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2" w:lineRule="exact"/>
        <w:rPr>
          <w:sz w:val="24"/>
          <w:szCs w:val="24"/>
          <w:color w:val="auto"/>
        </w:rPr>
      </w:pPr>
    </w:p>
    <w:p>
      <w:pPr>
        <w:ind w:left="660" w:right="4360" w:hanging="652"/>
        <w:spacing w:after="0" w:line="53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2007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ectPr>
          <w:pgSz w:w="11900" w:h="16838" w:orient="portrait"/>
          <w:cols w:equalWidth="0" w:num="1">
            <w:col w:w="11420"/>
          </w:cols>
          <w:pgMar w:left="240" w:top="459" w:right="239" w:bottom="1440" w:gutter="0" w:footer="0" w:header="0"/>
        </w:sect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459" w:right="239" w:bottom="1440" w:gutter="0" w:footer="0" w:header="0"/>
          <w:type w:val="continuous"/>
        </w:sectPr>
      </w:pPr>
    </w:p>
    <w:p>
      <w:pPr>
        <w:spacing w:after="0" w:line="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from ______________ to ______________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1-3548</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ALLETE, Inc.</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59" w:right="239" w:bottom="1440" w:gutter="0" w:footer="0" w:header="0"/>
          <w:type w:val="continuous"/>
        </w:sectPr>
      </w:pPr>
    </w:p>
    <w:p>
      <w:pPr>
        <w:spacing w:after="0" w:line="228"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41-0418150</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459" w:right="239" w:bottom="1440" w:gutter="0" w:footer="0" w:header="0"/>
          <w:type w:val="continuous"/>
        </w:sectPr>
      </w:pP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279-5000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20"/>
          </w:cols>
          <w:pgMar w:left="240" w:top="459" w:right="239" w:bottom="1440" w:gutter="0" w:footer="0" w:header="0"/>
          <w:type w:val="continuous"/>
        </w:sectPr>
      </w:pPr>
    </w:p>
    <w:p>
      <w:pPr>
        <w:spacing w:after="0" w:line="24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459" w:right="23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 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7"/>
          <w:szCs w:val="17"/>
          <w:color w:val="auto"/>
        </w:rPr>
        <w:t>Accelerated Filer £</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 £</w:t>
      </w:r>
    </w:p>
    <w:p>
      <w:pPr>
        <w:spacing w:after="0" w:line="200" w:lineRule="exact"/>
        <w:rPr>
          <w:sz w:val="24"/>
          <w:szCs w:val="24"/>
          <w:color w:val="auto"/>
        </w:rPr>
      </w:pPr>
    </w:p>
    <w:p>
      <w:pPr>
        <w:sectPr>
          <w:pgSz w:w="11900" w:h="16838" w:orient="portrait"/>
          <w:cols w:equalWidth="0" w:num="3">
            <w:col w:w="4360" w:space="720"/>
            <w:col w:w="3880" w:space="720"/>
            <w:col w:w="1740"/>
          </w:cols>
          <w:pgMar w:left="240" w:top="459" w:right="2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Yes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 No</w:t>
      </w:r>
    </w:p>
    <w:p>
      <w:pPr>
        <w:spacing w:after="0" w:line="211" w:lineRule="exact"/>
        <w:rPr>
          <w:sz w:val="24"/>
          <w:szCs w:val="24"/>
          <w:color w:val="auto"/>
        </w:rPr>
      </w:pPr>
    </w:p>
    <w:p>
      <w:pPr>
        <w:sectPr>
          <w:pgSz w:w="11900" w:h="16838" w:orient="portrait"/>
          <w:cols w:equalWidth="0" w:num="3">
            <w:col w:w="8180" w:space="220"/>
            <w:col w:w="400" w:space="240"/>
            <w:col w:w="2380"/>
          </w:cols>
          <w:pgMar w:left="240" w:top="459" w:right="239" w:bottom="1440"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30,821,767 shares outstanding</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September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4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30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11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65"/>
        </w:trPr>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 Harbor Statement Under the Private Securities Litigation Reform Act of 1995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Financial Information</w:t>
            </w:r>
          </w:p>
        </w:tc>
        <w:tc>
          <w:tcPr>
            <w:tcW w:w="130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4"/>
                <w:szCs w:val="24"/>
                <w:color w:val="auto"/>
              </w:rPr>
            </w:pPr>
          </w:p>
        </w:tc>
      </w:tr>
      <w:tr>
        <w:trPr>
          <w:trHeight w:val="346"/>
        </w:trPr>
        <w:tc>
          <w:tcPr>
            <w:tcW w:w="110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Consolidated Balance Sheet -</w:t>
            </w:r>
          </w:p>
        </w:tc>
        <w:tc>
          <w:tcPr>
            <w:tcW w:w="130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2007 and December 31, 2006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46"/>
        </w:trPr>
        <w:tc>
          <w:tcPr>
            <w:tcW w:w="110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Consolidated Statement of Income -</w:t>
            </w:r>
          </w:p>
        </w:tc>
        <w:tc>
          <w:tcPr>
            <w:tcW w:w="130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Quarter and Nine Months Ended September 30, 2007 and 2006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46"/>
        </w:trPr>
        <w:tc>
          <w:tcPr>
            <w:tcW w:w="110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Consolidated Statement of Cash Flows -</w:t>
            </w:r>
          </w:p>
        </w:tc>
        <w:tc>
          <w:tcPr>
            <w:tcW w:w="1300" w:type="dxa"/>
            <w:vAlign w:val="bottom"/>
          </w:tcPr>
          <w:p>
            <w:pPr>
              <w:spacing w:after="0"/>
              <w:rPr>
                <w:sz w:val="24"/>
                <w:szCs w:val="24"/>
                <w:color w:val="auto"/>
              </w:rPr>
            </w:pPr>
          </w:p>
        </w:tc>
      </w:tr>
      <w:tr>
        <w:trPr>
          <w:trHeight w:val="234"/>
        </w:trPr>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Nine Months Ended September 30, 2007 and 2006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65"/>
        </w:trPr>
        <w:tc>
          <w:tcPr>
            <w:tcW w:w="1100" w:type="dxa"/>
            <w:vAlign w:val="bottom"/>
          </w:tcPr>
          <w:p>
            <w:pPr>
              <w:spacing w:after="0"/>
              <w:rPr>
                <w:sz w:val="24"/>
                <w:szCs w:val="24"/>
                <w:color w:val="auto"/>
              </w:rPr>
            </w:pP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4.</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Information</w:t>
            </w:r>
          </w:p>
        </w:tc>
        <w:tc>
          <w:tcPr>
            <w:tcW w:w="130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1.</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1A.</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Risk Factors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2.</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3.</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4.</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Submission of Matters to a Vote of Security 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5.</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Information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110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Item 6.</w:t>
            </w: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11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abbreviations or acronyms are used in the text. References in this report to “we,” “us” and “our” are to ALLETE, Inc. and its subsidiaries, collectively.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Term</w:t>
            </w:r>
          </w:p>
        </w:tc>
      </w:tr>
      <w:tr>
        <w:trPr>
          <w:trHeight w:val="198"/>
        </w:trPr>
        <w:tc>
          <w:tcPr>
            <w:tcW w:w="2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2006 Form 10-K</w:t>
            </w:r>
          </w:p>
        </w:tc>
        <w:tc>
          <w:tcPr>
            <w:tcW w:w="8920" w:type="dxa"/>
            <w:vAlign w:val="bottom"/>
            <w:tcBorders>
              <w:top w:val="single" w:sz="8" w:color="auto"/>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rPr>
              <w:t>ALLETE’s Annual Report on Form 10-K for the Year Ended December 31, 2006</w:t>
            </w:r>
          </w:p>
        </w:tc>
        <w:tc>
          <w:tcPr>
            <w:tcW w:w="20" w:type="dxa"/>
            <w:vAlign w:val="bottom"/>
          </w:tcPr>
          <w:p>
            <w:pPr>
              <w:spacing w:after="0"/>
              <w:rPr>
                <w:sz w:val="17"/>
                <w:szCs w:val="17"/>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AFUDC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ALLETE</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ALLETE, Inc.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ALLETE Properties</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ALLETE Properties, LLC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AREA</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Arrowhead Regional Emission Abatement Plan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ATC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American Transmission Company LLC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BNI Coal</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BNI Coal, Ltd.</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Boswell</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Boswell Energy Center</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ALLETE, Inc. and its subsidiaries</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DOC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Minnesota Department of Commerce</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EITF</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Emerging Issues Task Force Issue No.</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Environmental Protection Agency</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ESOP</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Employee Stock Ownership Plan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FERC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Federal Energy Regulatory Commission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FIN</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FASB Interpretations</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Heating Degree Days</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Measure of the extent to which the average daily temperature is below 65 degrees Fahrenheit, increasing demand for</w:t>
            </w:r>
          </w:p>
        </w:tc>
      </w:tr>
      <w:tr>
        <w:trPr>
          <w:trHeight w:val="216"/>
        </w:trPr>
        <w:tc>
          <w:tcPr>
            <w:tcW w:w="2500" w:type="dxa"/>
            <w:vAlign w:val="bottom"/>
          </w:tcPr>
          <w:p>
            <w:pPr>
              <w:spacing w:after="0"/>
              <w:rPr>
                <w:sz w:val="18"/>
                <w:szCs w:val="18"/>
                <w:color w:val="auto"/>
              </w:rPr>
            </w:pPr>
          </w:p>
        </w:tc>
        <w:tc>
          <w:tcPr>
            <w:tcW w:w="8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heating</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Laskin</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Laskin Energy Center</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Minnesota Power</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 operating division of ALLETE, Inc.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Minnkota Power</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Minnkota Power Cooperative, Inc.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MISO</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Midwest Independent Transmission System Operator, Inc.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Moody’s</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Moody’s Investors Service, Inc.</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MPCA</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Minnesota Pollution Control Agency</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MPUC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Minnesota Public Utilities Commission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MW</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Megawatt(s)</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Note ___</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 ___ to the consolidated financial statements in this Form 10-Q</w:t>
            </w:r>
          </w:p>
        </w:tc>
      </w:tr>
      <w:tr>
        <w:trPr>
          <w:trHeight w:val="230"/>
        </w:trPr>
        <w:tc>
          <w:tcPr>
            <w:tcW w:w="2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NO</w:t>
            </w:r>
            <w:r>
              <w:rPr>
                <w:rFonts w:ascii="Times New Roman" w:cs="Times New Roman" w:eastAsia="Times New Roman" w:hAnsi="Times New Roman"/>
                <w:sz w:val="23"/>
                <w:szCs w:val="23"/>
                <w:color w:val="auto"/>
                <w:vertAlign w:val="subscript"/>
              </w:rPr>
              <w:t>X</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Nitrogen Oxide</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Palm Coast Park</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Palm Coast Park development project in northeast Florida</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Palm Coast Park District</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Palm Coast Park Community Development District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PSCW</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Public Service Commission of Wisconsin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Resource Plan</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Integrated Resource Plan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SFAS</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Statement of Financial Accounting Standards No.</w:t>
            </w:r>
          </w:p>
        </w:tc>
      </w:tr>
      <w:tr>
        <w:trPr>
          <w:trHeight w:val="230"/>
        </w:trPr>
        <w:tc>
          <w:tcPr>
            <w:tcW w:w="25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SO</w:t>
            </w:r>
            <w:r>
              <w:rPr>
                <w:rFonts w:ascii="Times New Roman" w:cs="Times New Roman" w:eastAsia="Times New Roman" w:hAnsi="Times New Roman"/>
                <w:sz w:val="23"/>
                <w:szCs w:val="23"/>
                <w:color w:val="auto"/>
                <w:vertAlign w:val="subscript"/>
              </w:rPr>
              <w:t>2</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Sulfur Dioxide</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Square Butte</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Square Butte Electric Cooperative</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Standard &amp; Poor’s</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Standard &amp; Poor’s Ratings Group, a division of McGraw-Hill Companies</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SWL&amp;P</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Superior Water, Light and Power Company</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Taconite Harbor</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Taconite Harbor Energy Center</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Town Center</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Town Center at Palm Coast development project in northeast Florida</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Town Center District</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Town Center at Palm Coast Community Development District</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WDNR</w:t>
            </w:r>
          </w:p>
        </w:tc>
        <w:tc>
          <w:tcPr>
            <w:tcW w:w="8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Wisconsin Department of Natural Resources</w:t>
            </w:r>
          </w:p>
        </w:tc>
      </w:tr>
      <w:tr>
        <w:trPr>
          <w:trHeight w:val="369"/>
        </w:trPr>
        <w:tc>
          <w:tcPr>
            <w:tcW w:w="2500" w:type="dxa"/>
            <w:vAlign w:val="bottom"/>
          </w:tcPr>
          <w:p>
            <w:pPr>
              <w:spacing w:after="0"/>
              <w:rPr>
                <w:sz w:val="24"/>
                <w:szCs w:val="24"/>
                <w:color w:val="auto"/>
              </w:rPr>
            </w:pPr>
          </w:p>
        </w:tc>
        <w:tc>
          <w:tcPr>
            <w:tcW w:w="89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ALLETE, Inc. 2007 Third Quarter 10-Q</w:t>
            </w:r>
          </w:p>
        </w:tc>
      </w:tr>
      <w:tr>
        <w:trPr>
          <w:trHeight w:val="188"/>
        </w:trPr>
        <w:tc>
          <w:tcPr>
            <w:tcW w:w="2500" w:type="dxa"/>
            <w:vAlign w:val="bottom"/>
          </w:tcPr>
          <w:p>
            <w:pPr>
              <w:spacing w:after="0"/>
              <w:rPr>
                <w:sz w:val="16"/>
                <w:szCs w:val="16"/>
                <w:color w:val="auto"/>
              </w:rPr>
            </w:pPr>
          </w:p>
        </w:tc>
        <w:tc>
          <w:tcPr>
            <w:tcW w:w="8940" w:type="dxa"/>
            <w:vAlign w:val="bottom"/>
            <w:gridSpan w:val="2"/>
          </w:tcPr>
          <w:p>
            <w:pPr>
              <w:ind w:left="8840"/>
              <w:spacing w:after="0"/>
              <w:rPr>
                <w:sz w:val="20"/>
                <w:szCs w:val="20"/>
                <w:color w:val="auto"/>
              </w:rPr>
            </w:pPr>
            <w:r>
              <w:rPr>
                <w:rFonts w:ascii="Times New Roman" w:cs="Times New Roman" w:eastAsia="Times New Roman" w:hAnsi="Times New Roman"/>
                <w:sz w:val="14"/>
                <w:szCs w:val="14"/>
                <w:color w:val="auto"/>
              </w:rPr>
              <w:t>3</w:t>
            </w:r>
          </w:p>
        </w:tc>
      </w:tr>
      <w:tr>
        <w:trPr>
          <w:trHeight w:val="101"/>
        </w:trPr>
        <w:tc>
          <w:tcPr>
            <w:tcW w:w="2500" w:type="dxa"/>
            <w:vAlign w:val="bottom"/>
            <w:tcBorders>
              <w:bottom w:val="single" w:sz="8" w:color="808080"/>
            </w:tcBorders>
          </w:tcPr>
          <w:p>
            <w:pPr>
              <w:spacing w:after="0"/>
              <w:rPr>
                <w:sz w:val="8"/>
                <w:szCs w:val="8"/>
                <w:color w:val="auto"/>
              </w:rPr>
            </w:pPr>
          </w:p>
        </w:tc>
        <w:tc>
          <w:tcPr>
            <w:tcW w:w="8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Safe Harbor Statement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Private Securities Litigation Reform Act of 1995</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205" w:lineRule="exact"/>
        <w:rPr>
          <w:sz w:val="20"/>
          <w:szCs w:val="20"/>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implement our strategic objectives;</w:t>
      </w:r>
    </w:p>
    <w:p>
      <w:pPr>
        <w:spacing w:after="0" w:line="26"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expansion and integrate acquisitions;</w:t>
      </w:r>
    </w:p>
    <w:p>
      <w:pPr>
        <w:spacing w:after="0" w:line="18" w:lineRule="exact"/>
        <w:rPr>
          <w:rFonts w:ascii="Times New Roman" w:cs="Times New Roman" w:eastAsia="Times New Roman" w:hAnsi="Times New Roman"/>
          <w:sz w:val="16"/>
          <w:szCs w:val="16"/>
          <w:color w:val="auto"/>
        </w:rPr>
      </w:pPr>
    </w:p>
    <w:p>
      <w:pPr>
        <w:jc w:val="both"/>
        <w:ind w:left="840" w:hanging="832"/>
        <w:spacing w:after="0" w:line="264" w:lineRule="auto"/>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zoning and permitting of land held for resale and environmental regulation;</w:t>
      </w: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restructuring initiatives in the electric industry;</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geographic factors, including political and economic risks;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and compliance with laws and policies;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weather conditions;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and pandemic diseases;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 and acts of terrorism;</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wholesale power market conditions;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population growth rates and demographic patterns;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effects of competition, including competition for retail and wholesale customers;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real estate market;</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and transportation of commodities;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rates or policies or in rates of inflation;</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project delays or changes in project costs;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construction materials and skilled construction labor for capital projects;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changes in operating expenses and capital expenditures;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and domestic economic conditions;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access capital markets and bank financing;</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interest rates and the performance of the financial markets;</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replace a mature workforce and retain qualified, skilled and experienced personnel; and</w:t>
      </w:r>
    </w:p>
    <w:p>
      <w:pPr>
        <w:spacing w:after="0" w:line="18" w:lineRule="exact"/>
        <w:rPr>
          <w:rFonts w:ascii="Times New Roman" w:cs="Times New Roman" w:eastAsia="Times New Roman" w:hAnsi="Times New Roman"/>
          <w:sz w:val="16"/>
          <w:szCs w:val="16"/>
          <w:color w:val="auto"/>
        </w:rPr>
      </w:pPr>
    </w:p>
    <w:p>
      <w:pPr>
        <w:ind w:left="840" w:hanging="832"/>
        <w:spacing w:after="0"/>
        <w:tabs>
          <w:tab w:leader="none" w:pos="8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legal and administrative proceedings (whether civil or criminal) and settlements that affect the business and profitability of ALLETE.</w:t>
      </w:r>
    </w:p>
    <w:p>
      <w:pPr>
        <w:spacing w:after="0" w:line="25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Additional disclosures regarding factors that could cause our results and performance to differ from results or performance anticipated by this report are discussed in Item 1A under the heading “Risk Factors” in Part I of our 2006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4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rPr>
              <w:t>ALLETE</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40" w:type="dxa"/>
            <w:vAlign w:val="bottom"/>
          </w:tcPr>
          <w:p>
            <w:pPr>
              <w:jc w:val="center"/>
              <w:ind w:left="2372"/>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40" w:type="dxa"/>
            <w:vAlign w:val="bottom"/>
          </w:tcPr>
          <w:p>
            <w:pPr>
              <w:jc w:val="center"/>
              <w:ind w:left="2372"/>
              <w:spacing w:after="0"/>
              <w:rPr>
                <w:sz w:val="20"/>
                <w:szCs w:val="20"/>
                <w:color w:val="auto"/>
              </w:rPr>
            </w:pPr>
            <w:r>
              <w:rPr>
                <w:rFonts w:ascii="Times New Roman" w:cs="Times New Roman" w:eastAsia="Times New Roman" w:hAnsi="Times New Roman"/>
                <w:sz w:val="16"/>
                <w:szCs w:val="16"/>
                <w:b w:val="1"/>
                <w:bCs w:val="1"/>
                <w:color w:val="auto"/>
              </w:rPr>
              <w:t>Millions – Unaudited</w:t>
            </w:r>
          </w:p>
        </w:tc>
        <w:tc>
          <w:tcPr>
            <w:tcW w:w="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6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2006</w:t>
            </w:r>
          </w:p>
        </w:tc>
        <w:tc>
          <w:tcPr>
            <w:tcW w:w="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61.4</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Short-Term Investments</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70.4</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Accounts Receivable (Less Allowance of $1.0 at September 30, 2007</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and $1.1 at December 31, 2006)</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61.8</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Inventories</w:t>
            </w:r>
          </w:p>
        </w:tc>
        <w:tc>
          <w:tcPr>
            <w:tcW w:w="6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48.6</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Prepayments and Other</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25.4</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color w:val="auto"/>
              </w:rPr>
              <w:t>Deferred Income Taxes</w:t>
            </w:r>
          </w:p>
        </w:tc>
        <w:tc>
          <w:tcPr>
            <w:tcW w:w="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Current Assets</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267.6</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1,033.8</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6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206.4</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138.7</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1,646.5</w:t>
            </w:r>
          </w:p>
        </w:tc>
        <w:tc>
          <w:tcPr>
            <w:tcW w:w="6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52.0</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Taxes</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13.8</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Accrued Interest</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5.9</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Long-Term Debt Due Within One Year</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29.4</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Deferred Profit on Sales of Real Estate</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5.3</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6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23.2</w:t>
            </w:r>
          </w:p>
        </w:tc>
        <w:tc>
          <w:tcPr>
            <w:tcW w:w="6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129.6</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6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409.0</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137.3</w:t>
            </w:r>
          </w:p>
        </w:tc>
        <w:tc>
          <w:tcPr>
            <w:tcW w:w="6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237.1</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6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9.0</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Liabilities</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922.0</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867.6</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70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7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6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Without Par Value, 43.3 Shares Authorized, 30.8 and 30.4</w:t>
            </w:r>
          </w:p>
        </w:tc>
        <w:tc>
          <w:tcPr>
            <w:tcW w:w="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Shares Outstanding</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460.0</w:t>
            </w: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Unearned ESOP Shares</w:t>
            </w:r>
          </w:p>
        </w:tc>
        <w:tc>
          <w:tcPr>
            <w:tcW w:w="7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(66.1)</w:t>
            </w:r>
          </w:p>
        </w:tc>
        <w:tc>
          <w:tcPr>
            <w:tcW w:w="6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7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(7.5)</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50"/>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6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338.1</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724.5</w:t>
            </w: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1,646.5</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Millions Except Per Share Amounts –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40" w:type="dxa"/>
            <w:vAlign w:val="bottom"/>
            <w:gridSpan w:val="3"/>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2007</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200.8</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Fuel and Purchased Power</w:t>
            </w:r>
          </w:p>
        </w:tc>
        <w:tc>
          <w:tcPr>
            <w:tcW w:w="1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w:t>
            </w:r>
          </w:p>
        </w:tc>
        <w:tc>
          <w:tcPr>
            <w:tcW w:w="1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3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96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 from Continuing Operations</w:t>
            </w:r>
          </w:p>
        </w:tc>
        <w:tc>
          <w:tcPr>
            <w:tcW w:w="1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1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Equity Earnings in ATC</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3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5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Minority</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Interest and Income Taxes</w:t>
            </w:r>
          </w:p>
        </w:tc>
        <w:tc>
          <w:tcPr>
            <w:tcW w:w="15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Minority Interest</w:t>
            </w:r>
          </w:p>
        </w:tc>
        <w:tc>
          <w:tcPr>
            <w:tcW w:w="1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15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from Discontinued Operations</w:t>
            </w:r>
          </w:p>
        </w:tc>
        <w:tc>
          <w:tcPr>
            <w:tcW w:w="1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Average Shares of Common Stock</w:t>
            </w: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Basic</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Diluted</w:t>
            </w:r>
          </w:p>
        </w:tc>
        <w:tc>
          <w:tcPr>
            <w:tcW w:w="15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3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 of Common Stock</w:t>
            </w:r>
          </w:p>
        </w:tc>
        <w:tc>
          <w:tcPr>
            <w:tcW w:w="15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Continuing Operations</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 of Common Stock</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Continuing Operations</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5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4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Dividends Per Share of Common Stock</w:t>
            </w: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0.4100</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0.3625</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1.2300</w:t>
            </w:r>
          </w:p>
        </w:tc>
        <w:tc>
          <w:tcPr>
            <w:tcW w:w="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ALLETE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Millions -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Nine Months Ended</w:t>
            </w: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2007</w:t>
            </w:r>
          </w:p>
        </w:tc>
        <w:tc>
          <w:tcPr>
            <w:tcW w:w="13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2006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Income</w:t>
            </w:r>
          </w:p>
        </w:tc>
        <w:tc>
          <w:tcPr>
            <w:tcW w:w="21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65.4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Income from Equity Investments, net of dividends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Gain on Sale of Assets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35.8</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Deferred Income Taxes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Minority Interest</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Bad Debt Expense</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Accounts Receivable</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11.3</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Inventories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Prepayments and Other</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Accounts Payable</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Liabilities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9.5</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Operating Activities for Discontinued Operations</w:t>
            </w:r>
          </w:p>
        </w:tc>
        <w:tc>
          <w:tcPr>
            <w:tcW w:w="2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Cash from Operating Activities</w:t>
            </w:r>
          </w:p>
        </w:tc>
        <w:tc>
          <w:tcPr>
            <w:tcW w:w="2120" w:type="dxa"/>
            <w:vAlign w:val="bottom"/>
          </w:tcPr>
          <w:p>
            <w:pPr>
              <w:spacing w:after="0"/>
              <w:rPr>
                <w:sz w:val="21"/>
                <w:szCs w:val="21"/>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98.4</w:t>
            </w:r>
          </w:p>
        </w:tc>
        <w:tc>
          <w:tcPr>
            <w:tcW w:w="1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40" w:type="dxa"/>
            <w:vAlign w:val="bottom"/>
            <w:tcBorders>
              <w:top w:val="single" w:sz="8" w:color="auto"/>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Proceeds from Sale of Available-For-Sale Securities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374.3</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Payments for Purchase of Available-For-Sale Securities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(340.2)</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Changes to Investments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(136.7)</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Investing Activities from Discontinued Operations</w:t>
            </w:r>
          </w:p>
        </w:tc>
        <w:tc>
          <w:tcPr>
            <w:tcW w:w="2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Cash for Investing Activities</w:t>
            </w:r>
          </w:p>
        </w:tc>
        <w:tc>
          <w:tcPr>
            <w:tcW w:w="2120" w:type="dxa"/>
            <w:vAlign w:val="bottom"/>
          </w:tcPr>
          <w:p>
            <w:pPr>
              <w:spacing w:after="0"/>
              <w:rPr>
                <w:sz w:val="21"/>
                <w:szCs w:val="21"/>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(116.2)</w:t>
            </w:r>
          </w:p>
        </w:tc>
        <w:tc>
          <w:tcPr>
            <w:tcW w:w="1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40" w:type="dxa"/>
            <w:vAlign w:val="bottom"/>
            <w:tcBorders>
              <w:top w:val="single" w:sz="8" w:color="auto"/>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19.9</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Issuance of Debt</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110.3</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(61.4)</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Dividends on Common Stock and Distributions to Minority Shareholders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Decrease in Book Overdrafts</w:t>
            </w:r>
          </w:p>
        </w:tc>
        <w:tc>
          <w:tcPr>
            <w:tcW w:w="2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Cash from (for) Financing Activities</w:t>
            </w:r>
          </w:p>
        </w:tc>
        <w:tc>
          <w:tcPr>
            <w:tcW w:w="2120" w:type="dxa"/>
            <w:vAlign w:val="bottom"/>
          </w:tcPr>
          <w:p>
            <w:pPr>
              <w:spacing w:after="0"/>
              <w:rPr>
                <w:sz w:val="21"/>
                <w:szCs w:val="21"/>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40" w:type="dxa"/>
            <w:vAlign w:val="bottom"/>
            <w:tcBorders>
              <w:top w:val="single" w:sz="8" w:color="auto"/>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Cash and Cash Equivalents</w:t>
            </w:r>
          </w:p>
        </w:tc>
        <w:tc>
          <w:tcPr>
            <w:tcW w:w="212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44.8</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12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61.4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should be read in conjunction with our 2006 Form 10-K. In our opinion, all adjustments necessary for a fair statement of the results for the interim periods have been made and have occurred in the normal course of business. The results of operations for an interim period are not necessarily indicative of the results to be expected for the full year.</w:t>
      </w:r>
    </w:p>
    <w:p>
      <w:pPr>
        <w:spacing w:after="0" w:line="19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OPERATIONS AND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stated at the lower of cost or market. Amounts removed from inventory are recorded on an average cost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4420" w:type="dxa"/>
            <w:vAlign w:val="bottom"/>
          </w:tcPr>
          <w:p>
            <w:pPr>
              <w:jc w:val="center"/>
              <w:ind w:left="3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7"/>
                <w:szCs w:val="17"/>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44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89"/>
        </w:trPr>
        <w:tc>
          <w:tcPr>
            <w:tcW w:w="4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Fuel</w:t>
            </w:r>
          </w:p>
        </w:tc>
        <w:tc>
          <w:tcPr>
            <w:tcW w:w="442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2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Materials and Supplies</w:t>
            </w:r>
          </w:p>
        </w:tc>
        <w:tc>
          <w:tcPr>
            <w:tcW w:w="44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358"/>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4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bl>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Asset Retirement Obligation (ARO)</w:t>
      </w:r>
      <w:r>
        <w:rPr>
          <w:rFonts w:ascii="Times New Roman" w:cs="Times New Roman" w:eastAsia="Times New Roman" w:hAnsi="Times New Roman"/>
          <w:sz w:val="18"/>
          <w:szCs w:val="18"/>
          <w:color w:val="auto"/>
        </w:rPr>
        <w:t>. At September 30, 2007, our ARO balance was $35.0 million ($27.2 million at December 31, 2006). This increase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establishment of an ARO for our Taconite Harbor facility resulting from the MPUC’s approval of our decommissioning estimate.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Statement of Cash Flows Information.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5"/>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420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3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89"/>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 Net of Amounts Capitalized</w:t>
            </w:r>
          </w:p>
        </w:tc>
        <w:tc>
          <w:tcPr>
            <w:tcW w:w="4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0"/>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4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$29.3</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343"/>
        </w:trPr>
        <w:tc>
          <w:tcPr>
            <w:tcW w:w="586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for Capital Additions to</w:t>
            </w: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3"/>
        </w:trPr>
        <w:tc>
          <w:tcPr>
            <w:tcW w:w="58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4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$4.6</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New Accounting Standards. </w:t>
      </w:r>
      <w:r>
        <w:rPr>
          <w:rFonts w:ascii="Times New Roman" w:cs="Times New Roman" w:eastAsia="Times New Roman" w:hAnsi="Times New Roman"/>
          <w:sz w:val="18"/>
          <w:szCs w:val="18"/>
          <w:i w:val="1"/>
          <w:iCs w:val="1"/>
          <w:color w:val="auto"/>
        </w:rPr>
        <w:t>SFAS 157</w:t>
      </w:r>
      <w:r>
        <w:rPr>
          <w:rFonts w:ascii="Times New Roman" w:cs="Times New Roman" w:eastAsia="Times New Roman" w:hAnsi="Times New Roman"/>
          <w:sz w:val="18"/>
          <w:szCs w:val="18"/>
          <w:color w:val="auto"/>
        </w:rPr>
        <w:t>. In September 2006, the FASB issued SFAS 157, “Fair Value Measurements,” to increase consistency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comparability in fair value measurements by defining fair value, establishing a framework for measuring fair value in generally accepted accounting principles,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We are currently evaluating the impact that the adoption of SFAS 157 will have on our consolidated financial position, results of operations and cash flows.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SFAS 159</w:t>
      </w:r>
      <w:r>
        <w:rPr>
          <w:rFonts w:ascii="Times New Roman" w:cs="Times New Roman" w:eastAsia="Times New Roman" w:hAnsi="Times New Roman"/>
          <w:sz w:val="18"/>
          <w:szCs w:val="18"/>
          <w:color w:val="auto"/>
        </w:rPr>
        <w:t>. In February 2007, the FASB issued SFAS 159, “The Fair Value Option for Financial Assets and Financial Liabilities,” which is an elective,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irrevocable election to measure eligible financial instruments and certain other assets and liabilities at fair value on an instrument-by-instrument basis. The election may only be applied at specified election dates and to instruments in their entirety rather than to portions of instruments. Upon initial election, the entity reports the difference between the instruments’ carrying value and their fair value as a cumulative-effect adjustment to the opening balance of retained earnings. At each subsequent reporting date, an entity reports in earnings, unrealized gains and losses on items for which the fair value option has been elected. SFAS 159 is effective for financial statements issued for fiscal years beginning after November 15, 2007, and is applied on a prospective basis. Early adoption of SFAS 159 is permitted provided the entity also elects to adopt the provisions of SFAS 157 as of the early adoption date selected for SFAS 159. We are currently evaluating the impact that the adoption of SFAS 159 will have on our consolidated financial position, results of operations and cash flows.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69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1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Nonregulated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4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Real</w:t>
            </w:r>
          </w:p>
        </w:tc>
        <w:tc>
          <w:tcPr>
            <w:tcW w:w="7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Utility</w:t>
            </w:r>
          </w:p>
        </w:tc>
        <w:tc>
          <w:tcPr>
            <w:tcW w:w="14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In ATC</w:t>
            </w: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12"/>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7"/>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Quarter Ended September 30, 2007</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2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$179.0</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Fuel and Purchased Power</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45"/>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Earnings in ATC</w:t>
            </w:r>
          </w:p>
        </w:tc>
        <w:tc>
          <w:tcPr>
            <w:tcW w:w="2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7"/>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 Before Minority Interest and</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2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Loss from Discontinued Operations – Net of Tax</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8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58"/>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42"/>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Quarter Ended September 30, 2006</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2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4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$168.1</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Fuel and Purchased Power</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$ 0.5</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7"/>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8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(7.3)</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Earnings in ATC</w:t>
            </w:r>
          </w:p>
        </w:tc>
        <w:tc>
          <w:tcPr>
            <w:tcW w:w="2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7"/>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 Before Minority Interest and</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2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3"/>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3"/>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2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w:t>
            </w: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0"/>
        </w:trPr>
        <w:tc>
          <w:tcPr>
            <w:tcW w:w="45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Loss from Discontinued Operations – Net of Tax</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8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58"/>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w:t>
            </w: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SEGMENTS (Continued)</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69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1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Nonregulated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3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Real</w:t>
            </w:r>
          </w:p>
        </w:tc>
        <w:tc>
          <w:tcPr>
            <w:tcW w:w="7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Utility</w:t>
            </w:r>
          </w:p>
        </w:tc>
        <w:tc>
          <w:tcPr>
            <w:tcW w:w="13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in ATC</w:t>
            </w: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Estate</w:t>
            </w: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Other</w:t>
            </w: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3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5"/>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2007</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3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$538.2</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Fuel and Purchased Power</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262.4</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7"/>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72.8</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34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(18.7)</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Earnings in ATC</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3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w:t>
            </w: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37"/>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 Before Minority Interest and</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33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3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Loss from Discontinued Operations – Net of Tax</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58"/>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3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5"/>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 September 30, 2007</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$1,646.5</w:t>
            </w:r>
          </w:p>
        </w:tc>
        <w:tc>
          <w:tcPr>
            <w:tcW w:w="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$983.1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$799.3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$140.2</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51"/>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2006</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Revenue</w:t>
            </w:r>
          </w:p>
        </w:tc>
        <w:tc>
          <w:tcPr>
            <w:tcW w:w="3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Fuel and Purchased Power</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211.9</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and Maintenance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33.3</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45"/>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Income (Loss) from Continuing Operations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340" w:type="dxa"/>
            <w:vAlign w:val="bottom"/>
          </w:tcPr>
          <w:p>
            <w:pPr>
              <w:spacing w:after="0"/>
              <w:rPr>
                <w:sz w:val="17"/>
                <w:szCs w:val="17"/>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Equity Earned in ATC</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3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337"/>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 Before Minority Interest and</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1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33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54.7</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23"/>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Minority Interest</w:t>
            </w:r>
          </w:p>
        </w:tc>
        <w:tc>
          <w:tcPr>
            <w:tcW w:w="3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Loss from Discontinued Operations – Net of Tax</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0"/>
        </w:trPr>
        <w:tc>
          <w:tcPr>
            <w:tcW w:w="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358"/>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3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5"/>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At September 30, 2006</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3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$1,009.9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$877.9</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$822.6</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$50.5</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$816.5</w:t>
            </w:r>
          </w:p>
        </w:tc>
        <w:tc>
          <w:tcPr>
            <w:tcW w:w="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$775.9</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4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ectPr>
          <w:pgSz w:w="11900" w:h="16838" w:orient="portrait"/>
          <w:cols w:equalWidth="0" w:num="1">
            <w:col w:w="11420"/>
          </w:cols>
          <w:pgMar w:left="240" w:top="360" w:right="239" w:bottom="1440" w:gutter="0" w:footer="0" w:header="0"/>
        </w:sectPr>
      </w:pP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0" w:name="page11"/>
    <w:bookmarkEnd w:id="10"/>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INVESTMENTS</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At September 30, 2007 and December 31, 2006, we held $70.4 million and $104.5 million, respectively, of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consisting of auction rate bonds and variable rate demand notes classified as available-for-sale securities. Our investments in these securities are recorded at cost; however, their cost approximates fair value because the variable interest rates for these securities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Investments. </w:t>
      </w:r>
      <w:r>
        <w:rPr>
          <w:rFonts w:ascii="Times New Roman" w:cs="Times New Roman" w:eastAsia="Times New Roman" w:hAnsi="Times New Roman"/>
          <w:sz w:val="18"/>
          <w:szCs w:val="18"/>
          <w:color w:val="auto"/>
        </w:rPr>
        <w:t>At September 30, 2007, Investments included the real estate assets of ALLETE Properties, our investment in ATC, debt and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consisting primarily of securities held to fund employee benefits and our emerging technology investments.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our investment in ATC under the equity method of accounting, pursuant to EITF 03-16, “Accounting for Investments in Limited Liability Companies,” which requires the use of the equity method of accounting for investments in limited liability companies.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46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46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5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6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27"/>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Real Estate Assets</w:t>
            </w:r>
          </w:p>
        </w:tc>
        <w:tc>
          <w:tcPr>
            <w:tcW w:w="4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$86.7</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Debt and Equity Securities</w:t>
            </w:r>
          </w:p>
        </w:tc>
        <w:tc>
          <w:tcPr>
            <w:tcW w:w="4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46.4</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0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ATC</w:t>
            </w:r>
          </w:p>
        </w:tc>
        <w:tc>
          <w:tcPr>
            <w:tcW w:w="4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65.0</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23"/>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Emerging Technology Investments</w:t>
            </w:r>
          </w:p>
        </w:tc>
        <w:tc>
          <w:tcPr>
            <w:tcW w:w="4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46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$206.4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w:t>
            </w:r>
          </w:p>
        </w:tc>
      </w:tr>
    </w:tbl>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6220" w:type="dxa"/>
            <w:vAlign w:val="bottom"/>
          </w:tcPr>
          <w:p>
            <w:pPr>
              <w:jc w:val="center"/>
              <w:ind w:left="51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tcPr>
          <w:p>
            <w:pPr>
              <w:spacing w:after="0"/>
              <w:rPr>
                <w:sz w:val="17"/>
                <w:szCs w:val="17"/>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 Estate Assets</w:t>
            </w:r>
          </w:p>
        </w:tc>
        <w:tc>
          <w:tcPr>
            <w:tcW w:w="6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580" w:type="dxa"/>
            <w:vAlign w:val="bottom"/>
          </w:tcPr>
          <w:p>
            <w:pPr>
              <w:spacing w:after="0"/>
              <w:rPr>
                <w:sz w:val="18"/>
                <w:szCs w:val="18"/>
                <w:color w:val="auto"/>
              </w:rPr>
            </w:pPr>
          </w:p>
        </w:tc>
        <w:tc>
          <w:tcPr>
            <w:tcW w:w="152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54"/>
        </w:trPr>
        <w:tc>
          <w:tcPr>
            <w:tcW w:w="310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345"/>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6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3"/>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Land Held for Sale Beginning Balance</w:t>
            </w:r>
          </w:p>
        </w:tc>
        <w:tc>
          <w:tcPr>
            <w:tcW w:w="6220" w:type="dxa"/>
            <w:vAlign w:val="bottom"/>
          </w:tcPr>
          <w:p>
            <w:pPr>
              <w:spacing w:after="0"/>
              <w:rPr>
                <w:sz w:val="24"/>
                <w:szCs w:val="2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03"/>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Additions during period:</w:t>
            </w:r>
          </w:p>
        </w:tc>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Capitalized Improvements</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03"/>
        </w:trPr>
        <w:tc>
          <w:tcPr>
            <w:tcW w:w="3100" w:type="dxa"/>
            <w:vAlign w:val="bottom"/>
          </w:tcPr>
          <w:p>
            <w:pPr>
              <w:spacing w:after="0"/>
              <w:rPr>
                <w:sz w:val="17"/>
                <w:szCs w:val="17"/>
                <w:color w:val="auto"/>
              </w:rPr>
            </w:pPr>
          </w:p>
        </w:tc>
        <w:tc>
          <w:tcPr>
            <w:tcW w:w="62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Purchases</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3"/>
        </w:trPr>
        <w:tc>
          <w:tcPr>
            <w:tcW w:w="31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Deductions during period:</w:t>
            </w: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Cost of Real Estate Sold</w:t>
            </w:r>
          </w:p>
        </w:tc>
        <w:tc>
          <w:tcPr>
            <w:tcW w:w="5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(5.9)</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337"/>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Land Held for Sale Ending Balance</w:t>
            </w:r>
          </w:p>
        </w:tc>
        <w:tc>
          <w:tcPr>
            <w:tcW w:w="6220" w:type="dxa"/>
            <w:vAlign w:val="bottom"/>
          </w:tcPr>
          <w:p>
            <w:pPr>
              <w:spacing w:after="0"/>
              <w:rPr>
                <w:sz w:val="24"/>
                <w:szCs w:val="2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59.0</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01"/>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Long-Term Finance Receivables</w:t>
            </w:r>
          </w:p>
        </w:tc>
        <w:tc>
          <w:tcPr>
            <w:tcW w:w="6220" w:type="dxa"/>
            <w:vAlign w:val="bottom"/>
          </w:tcPr>
          <w:p>
            <w:pPr>
              <w:spacing w:after="0"/>
              <w:rPr>
                <w:sz w:val="17"/>
                <w:szCs w:val="17"/>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2"/>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i w:val="1"/>
                <w:iCs w:val="1"/>
                <w:color w:val="auto"/>
              </w:rPr>
              <w:t>(a)</w:t>
            </w:r>
          </w:p>
        </w:tc>
        <w:tc>
          <w:tcPr>
            <w:tcW w:w="62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54"/>
        </w:trPr>
        <w:tc>
          <w:tcPr>
            <w:tcW w:w="310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34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Total Real Estate Assets</w:t>
            </w:r>
          </w:p>
        </w:tc>
        <w:tc>
          <w:tcPr>
            <w:tcW w:w="6220" w:type="dxa"/>
            <w:vAlign w:val="bottom"/>
          </w:tcPr>
          <w:p>
            <w:pPr>
              <w:spacing w:after="0"/>
              <w:rPr>
                <w:sz w:val="24"/>
                <w:szCs w:val="2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$86.7</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Consisted primarily of a shopping center.</w:t>
      </w:r>
    </w:p>
    <w:p>
      <w:pPr>
        <w:spacing w:after="0" w:line="2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Finance Receivables. </w:t>
      </w:r>
      <w:r>
        <w:rPr>
          <w:rFonts w:ascii="Times New Roman" w:cs="Times New Roman" w:eastAsia="Times New Roman" w:hAnsi="Times New Roman"/>
          <w:sz w:val="18"/>
          <w:szCs w:val="18"/>
          <w:color w:val="auto"/>
        </w:rPr>
        <w:t>The majority are receivables having maturities ranging from 3 to 5 years. The finance receivables accrue interest at market-based rates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net of an allowance for doubtful accounts of $0.2 million at September 30, 2007 ($0.2 million at December 31, 2006).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 w:name="page12"/>
    <w:bookmarkEnd w:id="11"/>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8"/>
          <w:szCs w:val="18"/>
          <w:b w:val="1"/>
          <w:bCs w:val="1"/>
          <w:color w:val="auto"/>
        </w:rPr>
        <w:t>INVESTMENTS (Continued)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In December 2005, we entered into an agreement with Wisconsin Public Service Corporation and WPS Investments, LLC that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Wisconsin subsidiary, Rainy River Energy Corporation - Wisconsin, to invest $60 million in ATC. In the first nine months of 2007, we invested an additional $8.7 million ($51.4 million invested through December 31, 2006) in ATC, reaching our approximate $60 million investment commitment. As of September 30, 2007, our equity investment balance in ATC was $65.0 million ($53.7 million at December 31, 2006), representing an 8.1 percent ownership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ALLETE's Interest in ATC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September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 Balance at December 31, 2006</w:t>
            </w:r>
          </w:p>
        </w:tc>
        <w:tc>
          <w:tcPr>
            <w:tcW w:w="4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3"/>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2007 Investments</w:t>
            </w:r>
          </w:p>
        </w:tc>
        <w:tc>
          <w:tcPr>
            <w:tcW w:w="4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0"/>
        </w:trPr>
        <w:tc>
          <w:tcPr>
            <w:tcW w:w="716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w:t>
            </w:r>
          </w:p>
        </w:tc>
        <w:tc>
          <w:tcPr>
            <w:tcW w:w="4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56"/>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Earnings Distributions</w:t>
            </w:r>
          </w:p>
        </w:tc>
        <w:tc>
          <w:tcPr>
            <w:tcW w:w="4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50"/>
        </w:trPr>
        <w:tc>
          <w:tcPr>
            <w:tcW w:w="7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Equity Investment Balance at September 30, 2007</w:t>
            </w:r>
          </w:p>
        </w:tc>
        <w:tc>
          <w:tcPr>
            <w:tcW w:w="4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SHORT-TERM AND LONG-TERM DEBT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 2007, we issued $60 million in principal amount of First Mortgage Bonds, 5.99% Series due February 1, 2027, in the private placement market. Proceeds were used to retire $60 million in principal amount of First Mortgage Bonds, 7% Series due on February 15, 2007.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8, 2007, we issued $50 million of senior unsecured notes (Notes) in the private placement market. The Notes bear an interest rate of 5.99% and will mature on June 1, 2017. The Company has the option to prepay all or a portion of the Notes at its discretion, subject to a make-whole provision. The Company intends to use the proceeds from the sale of the Notes to fund utility capital projects and for general corporate purposes.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SWL&amp;P, the City of Superior, Wisconsin, issued $6.4 million in principal amount of Collateralized Utility Revenue Refunding Bonds (Series A Bonds) and $6.1 million of Collateralized Utility Revenue Bonds (Series B Bonds) on October 3, 2007. The Series A Bonds bear an interest rate of 5.375% and will mature on November 1, 2021. The proceeds, together with other funds, were used to redeem $6.5 million of existing 6.125% bonds. The Series B Bonds bear an interest rate of 5.75% and will mature on November 1, 2037. The proceeds will be used to fund qualifying electric and gas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6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0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366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4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7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54"/>
        </w:trPr>
        <w:tc>
          <w:tcPr>
            <w:tcW w:w="1280" w:type="dxa"/>
            <w:vAlign w:val="bottom"/>
            <w:gridSpan w:val="2"/>
          </w:tcPr>
          <w:p>
            <w:pPr>
              <w:spacing w:after="0"/>
              <w:rPr>
                <w:sz w:val="4"/>
                <w:szCs w:val="4"/>
                <w:color w:val="auto"/>
              </w:rPr>
            </w:pPr>
          </w:p>
        </w:tc>
        <w:tc>
          <w:tcPr>
            <w:tcW w:w="44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12"/>
        </w:trPr>
        <w:tc>
          <w:tcPr>
            <w:tcW w:w="20" w:type="dxa"/>
            <w:vAlign w:val="bottom"/>
          </w:tcPr>
          <w:p>
            <w:pPr>
              <w:spacing w:after="0"/>
              <w:rPr>
                <w:sz w:val="18"/>
                <w:szCs w:val="18"/>
                <w:color w:val="auto"/>
              </w:rPr>
            </w:pP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4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327"/>
        </w:trPr>
        <w:tc>
          <w:tcPr>
            <w:tcW w:w="5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Gain (Loss) on Emerging Technology Investments</w:t>
            </w:r>
          </w:p>
        </w:tc>
        <w:tc>
          <w:tcPr>
            <w:tcW w:w="2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AFUDC – Equity</w:t>
            </w:r>
          </w:p>
        </w:tc>
        <w:tc>
          <w:tcPr>
            <w:tcW w:w="4440" w:type="dxa"/>
            <w:vAlign w:val="bottom"/>
          </w:tcPr>
          <w:p>
            <w:pPr>
              <w:spacing w:after="0"/>
              <w:rPr>
                <w:sz w:val="17"/>
                <w:szCs w:val="17"/>
                <w:color w:val="auto"/>
              </w:rPr>
            </w:pPr>
          </w:p>
        </w:tc>
        <w:tc>
          <w:tcPr>
            <w:tcW w:w="2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23"/>
        </w:trPr>
        <w:tc>
          <w:tcPr>
            <w:tcW w:w="5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2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358"/>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Total Other Income</w:t>
            </w:r>
          </w:p>
        </w:tc>
        <w:tc>
          <w:tcPr>
            <w:tcW w:w="4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$2.7</w:t>
            </w: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99"/>
              </w:rPr>
              <w:t>Quarter Ended</w:t>
            </w:r>
          </w:p>
        </w:tc>
        <w:tc>
          <w:tcPr>
            <w:tcW w:w="600" w:type="dxa"/>
            <w:vAlign w:val="bottom"/>
          </w:tcPr>
          <w:p>
            <w:pPr>
              <w:spacing w:after="0"/>
              <w:rPr>
                <w:sz w:val="24"/>
                <w:szCs w:val="24"/>
                <w:color w:val="auto"/>
              </w:rPr>
            </w:pPr>
          </w:p>
        </w:tc>
        <w:tc>
          <w:tcPr>
            <w:tcW w:w="19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34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2006 </w:t>
            </w:r>
            <w:r>
              <w:rPr>
                <w:rFonts w:ascii="Times New Roman" w:cs="Times New Roman" w:eastAsia="Times New Roman" w:hAnsi="Times New Roman"/>
                <w:sz w:val="16"/>
                <w:szCs w:val="16"/>
                <w:i w:val="1"/>
                <w:iCs w:val="1"/>
                <w:color w:val="auto"/>
              </w:rPr>
              <w:t>(a)</w:t>
            </w:r>
          </w:p>
        </w:tc>
        <w:tc>
          <w:tcPr>
            <w:tcW w:w="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2006 </w:t>
            </w:r>
            <w:r>
              <w:rPr>
                <w:rFonts w:ascii="Times New Roman" w:cs="Times New Roman" w:eastAsia="Times New Roman" w:hAnsi="Times New Roman"/>
                <w:sz w:val="16"/>
                <w:szCs w:val="16"/>
                <w:i w:val="1"/>
                <w:iCs w:val="1"/>
                <w:color w:val="auto"/>
              </w:rPr>
              <w:t>(a)</w:t>
            </w:r>
          </w:p>
        </w:tc>
        <w:tc>
          <w:tcPr>
            <w:tcW w:w="340" w:type="dxa"/>
            <w:vAlign w:val="bottom"/>
            <w:tcBorders>
              <w:bottom w:val="single" w:sz="8" w:color="auto"/>
            </w:tcBorders>
          </w:tcPr>
          <w:p>
            <w:pPr>
              <w:spacing w:after="0"/>
              <w:rPr>
                <w:sz w:val="22"/>
                <w:szCs w:val="22"/>
                <w:color w:val="auto"/>
              </w:rPr>
            </w:pPr>
          </w:p>
        </w:tc>
      </w:tr>
      <w:tr>
        <w:trPr>
          <w:trHeight w:val="212"/>
        </w:trPr>
        <w:tc>
          <w:tcPr>
            <w:tcW w:w="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27"/>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Tax Expense</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Federal</w:t>
            </w:r>
          </w:p>
        </w:tc>
        <w:tc>
          <w:tcPr>
            <w:tcW w:w="3860" w:type="dxa"/>
            <w:vAlign w:val="bottom"/>
          </w:tcPr>
          <w:p>
            <w:pPr>
              <w:spacing w:after="0"/>
              <w:rPr>
                <w:sz w:val="18"/>
                <w:szCs w:val="18"/>
                <w:color w:val="auto"/>
              </w:rPr>
            </w:pPr>
          </w:p>
        </w:tc>
        <w:tc>
          <w:tcPr>
            <w:tcW w:w="2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(15.2)</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24.5</w:t>
            </w:r>
          </w:p>
        </w:tc>
        <w:tc>
          <w:tcPr>
            <w:tcW w:w="8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56"/>
        </w:trPr>
        <w:tc>
          <w:tcPr>
            <w:tcW w:w="20" w:type="dxa"/>
            <w:vAlign w:val="bottom"/>
          </w:tcPr>
          <w:p>
            <w:pPr>
              <w:spacing w:after="0"/>
              <w:rPr>
                <w:sz w:val="22"/>
                <w:szCs w:val="22"/>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State</w:t>
            </w:r>
          </w:p>
        </w:tc>
        <w:tc>
          <w:tcPr>
            <w:tcW w:w="38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0.7</w:t>
            </w: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3.3</w:t>
            </w:r>
          </w:p>
        </w:tc>
        <w:tc>
          <w:tcPr>
            <w:tcW w:w="5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w:t>
            </w:r>
          </w:p>
        </w:tc>
        <w:tc>
          <w:tcPr>
            <w:tcW w:w="78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w:t>
            </w:r>
          </w:p>
        </w:tc>
        <w:tc>
          <w:tcPr>
            <w:tcW w:w="5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31.6</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329"/>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0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Federal</w:t>
            </w:r>
          </w:p>
        </w:tc>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78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w:t>
            </w:r>
          </w:p>
        </w:tc>
        <w:tc>
          <w:tcPr>
            <w:tcW w:w="5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56"/>
        </w:trPr>
        <w:tc>
          <w:tcPr>
            <w:tcW w:w="20" w:type="dxa"/>
            <w:vAlign w:val="bottom"/>
          </w:tcPr>
          <w:p>
            <w:pPr>
              <w:spacing w:after="0"/>
              <w:rPr>
                <w:sz w:val="22"/>
                <w:szCs w:val="22"/>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State</w:t>
            </w:r>
          </w:p>
        </w:tc>
        <w:tc>
          <w:tcPr>
            <w:tcW w:w="38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w:t>
            </w: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w:t>
            </w:r>
          </w:p>
        </w:tc>
        <w:tc>
          <w:tcPr>
            <w:tcW w:w="78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24.3</w:t>
            </w:r>
          </w:p>
        </w:tc>
        <w:tc>
          <w:tcPr>
            <w:tcW w:w="5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391"/>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Deferred Tax Credits</w:t>
            </w: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(0.3)</w:t>
            </w: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(0.3)</w:t>
            </w: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4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Income Tax Expense from Continuing Operations</w:t>
            </w:r>
          </w:p>
        </w:tc>
        <w:tc>
          <w:tcPr>
            <w:tcW w:w="2100" w:type="dxa"/>
            <w:vAlign w:val="bottom"/>
          </w:tcPr>
          <w:p>
            <w:pPr>
              <w:spacing w:after="0"/>
              <w:rPr>
                <w:sz w:val="24"/>
                <w:szCs w:val="24"/>
                <w:color w:val="auto"/>
              </w:rPr>
            </w:pP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w:t>
            </w:r>
          </w:p>
        </w:tc>
        <w:tc>
          <w:tcPr>
            <w:tcW w:w="780" w:type="dxa"/>
            <w:vAlign w:val="bottom"/>
          </w:tcPr>
          <w:p>
            <w:pPr>
              <w:spacing w:after="0"/>
              <w:rPr>
                <w:sz w:val="24"/>
                <w:szCs w:val="24"/>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12.1</w:t>
            </w:r>
          </w:p>
        </w:tc>
        <w:tc>
          <w:tcPr>
            <w:tcW w:w="560" w:type="dxa"/>
            <w:vAlign w:val="bottom"/>
          </w:tcPr>
          <w:p>
            <w:pPr>
              <w:spacing w:after="0"/>
              <w:rPr>
                <w:sz w:val="24"/>
                <w:szCs w:val="24"/>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56"/>
        </w:trPr>
        <w:tc>
          <w:tcPr>
            <w:tcW w:w="4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Income Tax Benefit from Discontinued Operations</w:t>
            </w:r>
          </w:p>
        </w:tc>
        <w:tc>
          <w:tcPr>
            <w:tcW w:w="2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45"/>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 Income Tax Expense</w:t>
            </w:r>
          </w:p>
        </w:tc>
        <w:tc>
          <w:tcPr>
            <w:tcW w:w="2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w:t>
            </w: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12.1</w:t>
            </w: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8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i w:val="1"/>
          <w:iCs w:val="1"/>
          <w:color w:val="auto"/>
        </w:rPr>
        <w:t>(a) Included a current federal tax benefit of $24.3 million and a deferred federal tax expense of $24.3 million related to the Kendall County refund.</w:t>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2007, the effective tax rate on income from continuing operations before minority interest was 34.6 percent (36.2 percent for nine months ended September 30, 2006). The effective rate of 34.6 percent for the nine months ended September 30, 2007, deviated from the statutory rate (approximately 40 percent) primarily due to a state income tax audit settlement ($1.5 million), deductions for Medicare health subsidies, domestic manufacturing deduction, AFUDC and tax planning initiatives.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Effective January 1, 2007, we adopted the provisions of FIN 48, “Accounting for Uncertainty in Income Taxes – an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FASB Statement No. 109.” As a result of the implementation of FIN 48, we recognized a $1.0 million increase in the liability for unrecognized tax benefits. The adoption of FIN 48 also resulted in a reduction in retained earnings of $0.7 million, a reduction of deferred tax liabilities of $0.8 million and an increase in accrued interest of $0.5 million. Subsequent to the implementation of FIN 48, ALLETE’s gross unrecognized tax benefits were $10.4 million. Of this total, $6.8 million (net of federal tax benefit on state issues) represents the amount of unrecognized tax benefits that, if recognized, would favorably affect the effective income tax rate.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liability for unrecognized tax benefits balance as of January 1, 2007, are $0.8 million (net of federal tax benefit on state issues) of tax positions for which the ultimate deductibility is highly certain, but for which there is uncertainty about the timing of deductibility. Due to the impact of deferred tax accounting, other than the accounting for interest and penalties, the disallowance of the shorter deductibility period would not affect the annual effective tax rate. The disallowance would, however, accelerate the payment of cash to the taxing authority to an earlier period.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interest related to unrecognized tax benefits in interest expense and penalties in operating expenses in the Consolidated Statement of Income. As of January 1, 2007, the Company had $1.3 million of accrued interest and no accrued penalties related to unrecognized tax benefits included in the Consolidated Balance Sheet. The liability for the payment of interest is $0.9 million as of September 30, 2007.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 w:name="page14"/>
    <w:bookmarkEnd w:id="13"/>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8"/>
          <w:szCs w:val="18"/>
          <w:b w:val="1"/>
          <w:bCs w:val="1"/>
          <w:color w:val="auto"/>
        </w:rPr>
        <w:t>INCOME TAX EXPENSE (Continued)</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2007, we settled a state audit resulting in the recognition of a tax benefit of $1.5 million. After the reversal of unrecognized tax benefits upon the audit settlement, ALLETE’s gross unrecognized tax benefits were $5.1 million at September 30, 2007. Of this total, $3.2 million (net of federal benefit on state issues) represented the amount of unrecognized tax benefits that, if recognized, would favorably affect the effective tax rate.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federal and various state jurisdictions. With few exceptions, ALLETE is no longer subject to federal examination for years before 2003 or state examinations for years before 2001.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amount of unrecognized tax benefits as of September 30, 2007, will change in the next 12 months; however, we do not expect the change to have a significant impact on our financial position, results of operations or cash flows.</w:t>
      </w: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early 2005, we completed the exit from our Water Services businesses with the sale of our wastewater assets in Georgia, which resulted in an immaterial gain. In 2005, the Florida Public Service Commission approved the transfer of 63 water and wastewater systems from Florida Water Services Corporation to Aqua Utilities Florida, Inc. (Aqua Utilities) and ordered a $1.7 million reduction to plant investment. The Company reserved for the reduction in 2005. On March 15, 2006, the Company paid Aqua Utilities the adjustment refund amount of $1.7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and nine months ended September 30, 2007, there were no financial results to report as discontinued operations.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4140" w:type="dxa"/>
            <w:vAlign w:val="bottom"/>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Discontinued Operations</w:t>
            </w:r>
          </w:p>
        </w:tc>
        <w:tc>
          <w:tcPr>
            <w:tcW w:w="4140" w:type="dxa"/>
            <w:vAlign w:val="bottom"/>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2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Summary Income Statement</w:t>
            </w:r>
          </w:p>
        </w:tc>
        <w:tc>
          <w:tcPr>
            <w:tcW w:w="414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2006</w:t>
            </w:r>
          </w:p>
        </w:tc>
      </w:tr>
      <w:tr>
        <w:trPr>
          <w:trHeight w:val="189"/>
        </w:trPr>
        <w:tc>
          <w:tcPr>
            <w:tcW w:w="4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14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03"/>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w:t>
            </w:r>
          </w:p>
        </w:tc>
        <w:tc>
          <w:tcPr>
            <w:tcW w:w="4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3"/>
        </w:trPr>
        <w:tc>
          <w:tcPr>
            <w:tcW w:w="4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Water Services</w:t>
            </w:r>
          </w:p>
        </w:tc>
        <w:tc>
          <w:tcPr>
            <w:tcW w:w="414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color w:val="auto"/>
              </w:rPr>
              <w:t>$(0.1)</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$(0.8)</w:t>
            </w:r>
          </w:p>
        </w:tc>
      </w:tr>
      <w:tr>
        <w:trPr>
          <w:trHeight w:val="33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4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23"/>
        </w:trPr>
        <w:tc>
          <w:tcPr>
            <w:tcW w:w="4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Water Services</w:t>
            </w:r>
          </w:p>
        </w:tc>
        <w:tc>
          <w:tcPr>
            <w:tcW w:w="414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r>
      <w:tr>
        <w:trPr>
          <w:trHeight w:val="358"/>
        </w:trPr>
        <w:tc>
          <w:tcPr>
            <w:tcW w:w="49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Net Loss on Disposal</w:t>
            </w:r>
          </w:p>
        </w:tc>
        <w:tc>
          <w:tcPr>
            <w:tcW w:w="414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color w:val="auto"/>
              </w:rPr>
              <w:t>(0.1)</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(0.5)</w:t>
            </w:r>
          </w:p>
        </w:tc>
      </w:tr>
      <w:tr>
        <w:trPr>
          <w:trHeight w:val="358"/>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4140" w:type="dxa"/>
            <w:vAlign w:val="bottom"/>
            <w:tcBorders>
              <w:bottom w:val="single" w:sz="8" w:color="auto"/>
            </w:tcBorders>
          </w:tcPr>
          <w:p>
            <w:pPr>
              <w:jc w:val="center"/>
              <w:ind w:left="2019"/>
              <w:spacing w:after="0"/>
              <w:rPr>
                <w:sz w:val="20"/>
                <w:szCs w:val="20"/>
                <w:color w:val="auto"/>
              </w:rPr>
            </w:pPr>
            <w:r>
              <w:rPr>
                <w:rFonts w:ascii="Times New Roman" w:cs="Times New Roman" w:eastAsia="Times New Roman" w:hAnsi="Times New Roman"/>
                <w:sz w:val="16"/>
                <w:szCs w:val="16"/>
                <w:color w:val="auto"/>
              </w:rPr>
              <w:t>$(0.1)</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$(0.5)</w:t>
            </w: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COMPREHENSIVE INCOME (LOSS)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quarter ended September 30, 2007, total comprehensive income, net of tax, was $16.3 million ($22.1 million for the quarter ended September 30, 2006). For the nine months ended September 30, 2007, total comprehensive income, net of tax, was $66.7 million ($54.4 million for the nine months ended September 30, 2006). Total comprehensive income (loss) includes net income (loss), unrealized gains and losses on securities classified as available-for-sale, and our unfunded pension liabilities.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w:t>
            </w:r>
          </w:p>
        </w:tc>
        <w:tc>
          <w:tcPr>
            <w:tcW w:w="4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Pr>
          <w:p>
            <w:pPr>
              <w:spacing w:after="0"/>
              <w:rPr>
                <w:sz w:val="17"/>
                <w:szCs w:val="17"/>
                <w:color w:val="auto"/>
              </w:rPr>
            </w:pPr>
          </w:p>
        </w:tc>
      </w:tr>
      <w:tr>
        <w:trPr>
          <w:trHeight w:val="225"/>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Income (Loss) – Net of Tax</w:t>
            </w:r>
          </w:p>
        </w:tc>
        <w:tc>
          <w:tcPr>
            <w:tcW w:w="4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8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212"/>
        </w:trPr>
        <w:tc>
          <w:tcPr>
            <w:tcW w:w="6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27"/>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Securities</w:t>
            </w:r>
          </w:p>
        </w:tc>
        <w:tc>
          <w:tcPr>
            <w:tcW w:w="41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3"/>
        </w:trPr>
        <w:tc>
          <w:tcPr>
            <w:tcW w:w="6460" w:type="dxa"/>
            <w:vAlign w:val="bottom"/>
          </w:tcPr>
          <w:p>
            <w:pPr>
              <w:spacing w:after="0"/>
              <w:rPr>
                <w:sz w:val="20"/>
                <w:szCs w:val="20"/>
                <w:color w:val="auto"/>
              </w:rPr>
            </w:pPr>
            <w:r>
              <w:rPr>
                <w:rFonts w:ascii="Times New Roman" w:cs="Times New Roman" w:eastAsia="Times New Roman" w:hAnsi="Times New Roman"/>
                <w:sz w:val="16"/>
                <w:szCs w:val="16"/>
                <w:color w:val="auto"/>
              </w:rPr>
              <w:t>Defined Benefit Pension and Other Postretirement Plans</w:t>
            </w:r>
          </w:p>
        </w:tc>
        <w:tc>
          <w:tcPr>
            <w:tcW w:w="41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(11.9)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Additional Pension Liability</w:t>
            </w:r>
          </w:p>
        </w:tc>
        <w:tc>
          <w:tcPr>
            <w:tcW w:w="4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358"/>
        </w:trPr>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4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$(7.5)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 w:name="page15"/>
    <w:bookmarkEnd w:id="1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nine months ended September 30, 2007, 0.1 million options to purchase shares of common stock were excluded from the computation of diluted earnings per share because the option exercise prices were greater than the average market prices, and therefore, their effect would be anti-dilutive (no options were excluded for the quarter ended September 30, 2007). For the quarter and nine months ended September 30, 2006, no options to purchase shares of common stock were excluded from the computation of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9"/>
              </w:rPr>
              <w:t>2007</w:t>
            </w: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900" w:type="dxa"/>
            <w:vAlign w:val="bottom"/>
          </w:tcPr>
          <w:p>
            <w:pPr>
              <w:spacing w:after="0"/>
              <w:rPr>
                <w:sz w:val="18"/>
                <w:szCs w:val="18"/>
                <w:color w:val="auto"/>
              </w:rPr>
            </w:pPr>
          </w:p>
        </w:tc>
      </w:tr>
      <w:tr>
        <w:trPr>
          <w:trHeight w:val="233"/>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Basic and Diluted</w:t>
            </w:r>
          </w:p>
        </w:tc>
        <w:tc>
          <w:tcPr>
            <w:tcW w:w="1720" w:type="dxa"/>
            <w:vAlign w:val="bottom"/>
          </w:tcPr>
          <w:p>
            <w:pPr>
              <w:spacing w:after="0"/>
              <w:rPr>
                <w:sz w:val="20"/>
                <w:szCs w:val="20"/>
                <w:color w:val="auto"/>
              </w:rPr>
            </w:pPr>
          </w:p>
        </w:tc>
        <w:tc>
          <w:tcPr>
            <w:tcW w:w="134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9"/>
              </w:rPr>
              <w:t>Dilutive</w:t>
            </w: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Dilutive</w:t>
            </w:r>
          </w:p>
        </w:tc>
        <w:tc>
          <w:tcPr>
            <w:tcW w:w="900" w:type="dxa"/>
            <w:vAlign w:val="bottom"/>
          </w:tcPr>
          <w:p>
            <w:pPr>
              <w:spacing w:after="0"/>
              <w:rPr>
                <w:sz w:val="20"/>
                <w:szCs w:val="20"/>
                <w:color w:val="auto"/>
              </w:rPr>
            </w:pPr>
          </w:p>
        </w:tc>
      </w:tr>
      <w:tr>
        <w:trPr>
          <w:trHeight w:val="22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3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Diluted</w:t>
            </w:r>
          </w:p>
        </w:tc>
      </w:tr>
      <w:tr>
        <w:trPr>
          <w:trHeight w:val="212"/>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 Except Per Share Amounts</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5"/>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Quarter Ended September 30,</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$21.9</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28.5</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2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Per Share from Continuing Operations</w:t>
            </w:r>
          </w:p>
        </w:tc>
        <w:tc>
          <w:tcPr>
            <w:tcW w:w="1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$0.58</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$0.58</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345"/>
        </w:trPr>
        <w:tc>
          <w:tcPr>
            <w:tcW w:w="3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$54.3</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1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28.3</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27.7</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2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Per Share from Continuing Operations</w:t>
            </w:r>
          </w:p>
        </w:tc>
        <w:tc>
          <w:tcPr>
            <w:tcW w:w="1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$1.96</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r>
    </w:tbl>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 PLANS</w:t>
            </w: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0"/>
        </w:trPr>
        <w:tc>
          <w:tcPr>
            <w:tcW w:w="10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6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Postretirement</w:t>
            </w:r>
          </w:p>
        </w:tc>
      </w:tr>
      <w:tr>
        <w:trPr>
          <w:trHeight w:val="203"/>
        </w:trPr>
        <w:tc>
          <w:tcPr>
            <w:tcW w:w="106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940" w:type="dxa"/>
            <w:vAlign w:val="bottom"/>
          </w:tcPr>
          <w:p>
            <w:pPr>
              <w:spacing w:after="0"/>
              <w:rPr>
                <w:sz w:val="17"/>
                <w:szCs w:val="17"/>
                <w:color w:val="auto"/>
              </w:rPr>
            </w:pPr>
          </w:p>
        </w:tc>
        <w:tc>
          <w:tcPr>
            <w:tcW w:w="206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Health and Life</w:t>
            </w:r>
          </w:p>
        </w:tc>
      </w:tr>
      <w:tr>
        <w:trPr>
          <w:trHeight w:val="225"/>
        </w:trPr>
        <w:tc>
          <w:tcPr>
            <w:tcW w:w="6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Components of Net Periodic Benefit Expense</w:t>
            </w:r>
          </w:p>
        </w:tc>
        <w:tc>
          <w:tcPr>
            <w:tcW w:w="1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87"/>
        </w:trPr>
        <w:tc>
          <w:tcPr>
            <w:tcW w:w="1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5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Quarter Ended September 30,</w:t>
            </w: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43"/>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5860" w:type="dxa"/>
            <w:vAlign w:val="bottom"/>
          </w:tcPr>
          <w:p>
            <w:pPr>
              <w:spacing w:after="0"/>
              <w:rPr>
                <w:sz w:val="24"/>
                <w:szCs w:val="24"/>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5860" w:type="dxa"/>
            <w:vAlign w:val="bottom"/>
          </w:tcPr>
          <w:p>
            <w:pPr>
              <w:spacing w:after="0"/>
              <w:rPr>
                <w:sz w:val="17"/>
                <w:szCs w:val="17"/>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5.7</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(7.7)</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0.8</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6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Amortization of Transition Obligation</w:t>
            </w: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58"/>
        </w:trPr>
        <w:tc>
          <w:tcPr>
            <w:tcW w:w="6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Periodic Benefit Expense</w:t>
            </w: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$0.3</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45"/>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3"/>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5860" w:type="dxa"/>
            <w:vAlign w:val="bottom"/>
          </w:tcPr>
          <w:p>
            <w:pPr>
              <w:spacing w:after="0"/>
              <w:rPr>
                <w:sz w:val="24"/>
                <w:szCs w:val="24"/>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$3.9</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5860" w:type="dxa"/>
            <w:vAlign w:val="bottom"/>
          </w:tcPr>
          <w:p>
            <w:pPr>
              <w:spacing w:after="0"/>
              <w:rPr>
                <w:sz w:val="17"/>
                <w:szCs w:val="17"/>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17.1</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(23.0)</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Prior Service Costs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2.4</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3"/>
        </w:trPr>
        <w:tc>
          <w:tcPr>
            <w:tcW w:w="6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Amortization of Transition Obligation</w:t>
            </w: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58"/>
        </w:trPr>
        <w:tc>
          <w:tcPr>
            <w:tcW w:w="6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Net Periodic Benefit Expense</w:t>
            </w:r>
          </w:p>
        </w:tc>
        <w:tc>
          <w:tcPr>
            <w:tcW w:w="15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$0.9</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2005, we determined that our postretirement health care plans meet the requirements of the Centers for Medicare and Medicaid Services’ (CMS) regulations and enrolled with the CMS to begin recovering the subsidy. We received our first subsidy payment of $0.3 million in 2007 for 2006 credits.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Employer Contributions. </w:t>
      </w:r>
      <w:r>
        <w:rPr>
          <w:rFonts w:ascii="Times New Roman" w:cs="Times New Roman" w:eastAsia="Times New Roman" w:hAnsi="Times New Roman"/>
          <w:sz w:val="18"/>
          <w:szCs w:val="18"/>
          <w:color w:val="auto"/>
        </w:rPr>
        <w:t>For the quarter ended September 30, 2007, no contributions were made to our pension or postretirement health and life plans.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nine months ended September 30, 2007, no contributions were made to our pension plans and $2.8 million of contributions were made to our postretirement health and life plans. We do not expect to make any additional contributions to fund our pension or postretirement health and life plans in 2007.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ectPr>
          <w:pgSz w:w="11900" w:h="16838" w:orient="portrait"/>
          <w:cols w:equalWidth="0" w:num="1">
            <w:col w:w="11420"/>
          </w:cols>
          <w:pgMar w:left="240" w:top="360" w:right="239" w:bottom="1440" w:gutter="0" w:footer="0" w:header="0"/>
        </w:sectPr>
      </w:pP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5" w:name="page16"/>
    <w:bookmarkEnd w:id="15"/>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COMMITMENTS, GUARANTEES AND CONTINGENCIES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i w:val="1"/>
          <w:iCs w:val="1"/>
          <w:color w:val="auto"/>
        </w:rPr>
        <w:t>Square Butte Power Purchase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Minnesota Power has a power purchase agreement with Square Butte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Minnesota Power was entitled to approximately 71 percent of the Unit’s output under the Agreement prior to 2006. Beginning in 2006, Minnkota Power exercised its option to reduce Minnesota Power’s entitlement by approximately 5 percent annually. We received notices from Minnkota Power reducing our output entitlement by approximately 5 percent annually to 60 percent as of January 1, 2007, 55 percent on January 1, 2008, and 50 percent on January 1, 2009, and thereafter. Minnkota Power has no further option to reduce Minnesota Power’s entitlement below 50 percent. Minnesota Power is obligated to pay its pro-rata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September 30, 2007, Square Butte had total debt outstanding of $323.5 million. Total annual debt service for Square Butte is expected to be approximately $26 million in each of the years 2007 through 2011. Variable operating costs include the price of coal purchased from BNI Coal, our subsidiary, under a long-term contract.</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Leasing Agreements. </w:t>
      </w:r>
      <w:r>
        <w:rPr>
          <w:rFonts w:ascii="Times New Roman" w:cs="Times New Roman" w:eastAsia="Times New Roman" w:hAnsi="Times New Roman"/>
          <w:sz w:val="18"/>
          <w:szCs w:val="18"/>
          <w:color w:val="auto"/>
        </w:rPr>
        <w:t>BNI Coal is obligated to make lease payments for a dragline totaling $2.8 million annually for the lease term which expires in 2027.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$8.2 million in 2007, $7.6 million in 2008, $7.0 million in 2009, $6.5 million in 2010, $6.0 million in 2011 and $51.2 million thereafter.</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Coal, Rail and Shipping Contracts. </w:t>
      </w:r>
      <w:r>
        <w:rPr>
          <w:rFonts w:ascii="Times New Roman" w:cs="Times New Roman" w:eastAsia="Times New Roman" w:hAnsi="Times New Roman"/>
          <w:sz w:val="18"/>
          <w:szCs w:val="18"/>
          <w:color w:val="auto"/>
        </w:rPr>
        <w:t>We have three coal supply agreements with various expiration dates ranging from December 2008 to December 2011.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have rail and shipping agreements for the transportation of all of our coal, with various expiration dates ranging from December 2007 to December 2011. Our minimum annual payment obligations under these coal, rail and shipping agreements are currently $42.1 million in 2007, $16.0 million in 2008, $10.7 million in 2009, $5.3 million in 2010 and $5.4 million in 2011. Our minimum annual payment obligations will increase when annual nominations are made for coal deliveries in future years.</w:t>
      </w:r>
    </w:p>
    <w:p>
      <w:pPr>
        <w:spacing w:after="0" w:line="2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Emerging Technology Portfolio. </w:t>
      </w:r>
      <w:r>
        <w:rPr>
          <w:rFonts w:ascii="Times New Roman" w:cs="Times New Roman" w:eastAsia="Times New Roman" w:hAnsi="Times New Roman"/>
          <w:sz w:val="18"/>
          <w:szCs w:val="18"/>
          <w:color w:val="auto"/>
        </w:rPr>
        <w:t>We have investments in emerging technologies through minority investments in venture capital funds structured as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companies, and direct investments in privately-held, start-up companies. We have committed to make additional investments in certain emerging technology venture capital funds. The total future commitment was $1.7 million at September 30, 2007 ($2.5 million at December 31, 2006). We do not have plans to make any additional investments beyond this commitment.</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Environmental Matters. </w:t>
      </w:r>
      <w:r>
        <w:rPr>
          <w:rFonts w:ascii="Times New Roman" w:cs="Times New Roman" w:eastAsia="Times New Roman" w:hAnsi="Times New Roman"/>
          <w:sz w:val="18"/>
          <w:szCs w:val="18"/>
          <w:color w:val="auto"/>
        </w:rPr>
        <w:t>Our businesses are subject to regulation of environmental matters by various federal, state and local authorities. Due to stricter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requirements through legislation and/or rulemaking in the future,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COMMITMENTS, GUARANTEES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(Continued)</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MR</w:t>
      </w:r>
    </w:p>
    <w:p>
      <w:pPr>
        <w:spacing w:after="0" w:line="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SWL&amp;P Manufactured Gas Plant</w:t>
      </w:r>
      <w:r>
        <w:rPr>
          <w:rFonts w:ascii="Times New Roman" w:cs="Times New Roman" w:eastAsia="Times New Roman" w:hAnsi="Times New Roman"/>
          <w:sz w:val="18"/>
          <w:szCs w:val="18"/>
          <w:color w:val="auto"/>
        </w:rPr>
        <w:t>. In May 2001, SWL&amp;P received notice from the WDNR that the City of Superior had found soil contamination on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adjoining a former Manufactured Gas Plant (MGP) site owned and operated by SWL&amp;P from 1889 to 1904. A report submitted in 2003 identified some MGP-like chemicals that were found in the soil near the former plant site. The investigation continued through the fall of 2006. The final Phase II report was issued in June 2007, confirming our understanding of the issues involved. The final Phase II Report and Risk Assessment were sent to the WDNR for review in June 2007. Although it is not possible to quantify the potential clean-up cost until the investigation is completed, a $0.5 million liability was recorded in December 2003 to address the known areas of contamination. A remediation plan will be developed during the fourth quarter of 2007. The Company has recorded a corresponding dollar amount as a regulatory asset to offset this liability. In May 2005, the PSCW approved the collection through rates of $150,000 of site investigation costs that had been incurred at the time SWL&amp;P filed its 2005 rate request. In December 2006, the PSCW approved the recovery of an additional $186,000 of site investigation costs that were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EPA Clean Air Interstate Rule and Clean Air Mercury Rule. </w:t>
      </w:r>
      <w:r>
        <w:rPr>
          <w:rFonts w:ascii="Times New Roman" w:cs="Times New Roman" w:eastAsia="Times New Roman" w:hAnsi="Times New Roman"/>
          <w:sz w:val="18"/>
          <w:szCs w:val="18"/>
          <w:color w:val="auto"/>
        </w:rPr>
        <w:t>In March 2005, the EPA announced the final Clean Air Interstate Rule (CAIR) that reduces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permanently caps emissions of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in the eastern United States. The CAIR includes Minnesota as one of the 28 states it considers as “significantly contributing” to air quality standards non-attainment in other states. The EPA also announced the final Clean Air Mercury Rule (CAMR) that reduces and permanently caps electric utility mercury emissions nationwide. The CAIR and the CAMR regulations have been challenged in the federal court system, which may delay implementation or modify provisions. If the CAMR and the CAIR do go into effect as currently enacted, Minnesota Power expects to be required to: (1) make emissions reductions; (2) purchase mercury,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and NO</w:t>
      </w:r>
      <w:r>
        <w:rPr>
          <w:rFonts w:ascii="Times New Roman" w:cs="Times New Roman" w:eastAsia="Times New Roman" w:hAnsi="Times New Roman"/>
          <w:sz w:val="23"/>
          <w:szCs w:val="23"/>
          <w:color w:val="auto"/>
          <w:vertAlign w:val="subscript"/>
        </w:rPr>
        <w:t>X</w:t>
      </w:r>
      <w:r>
        <w:rPr>
          <w:rFonts w:ascii="Times New Roman" w:cs="Times New Roman" w:eastAsia="Times New Roman" w:hAnsi="Times New Roman"/>
          <w:sz w:val="18"/>
          <w:szCs w:val="18"/>
          <w:color w:val="auto"/>
        </w:rPr>
        <w:t xml:space="preserve"> allowances through the EPA’s cap-and-trade system; or (3) use a combination of both.</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Minnesota Power petitioned the EPA to review its CAIR determinations affecting Minnesota. In July 2005, Minnesota Power also filed a Petition for Review with the U.S. Court of Appeals for the District of Columbia Circuit (Court of Appeals). In November 2005, the EPA agreed to reconsider certain aspects of the CAIR, including the Minnesota Power petition addressing emissions applied to air quality modeling used to determine Minnesota’s inclusion in the CAIR region and our claims about inequities in the SO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allowance methodology. In March 2006, the EPA announced that it would not make any changes to the CAIR as a result of the petitions for reconsideration. Petitions for Review, including Minnesota Power’s, remain pending at the Court of Appeals. If the Petitions for Review filed with the Court of Appeals are successful, we expect to incur significantly lower compliance costs, consistent with the rules applicable to those states determined to not be “significant contributors” to air quality non-attainment as addressed under the CAIR. Resolution of our CAIR Petition for Review with the Court of Appeals is anticipated by late 2008.</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Community Development District Obligations.</w:t>
      </w:r>
      <w:r>
        <w:rPr>
          <w:rFonts w:ascii="Times New Roman" w:cs="Times New Roman" w:eastAsia="Times New Roman" w:hAnsi="Times New Roman"/>
          <w:sz w:val="18"/>
          <w:szCs w:val="18"/>
          <w:i w:val="1"/>
          <w:iCs w:val="1"/>
          <w:color w:val="auto"/>
        </w:rPr>
        <w:t>Town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March 2005, the Town Center District issued $26.4 million of tax-exempt, 6%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Revenue Bonds, Series 2005, which are payable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are being billed to Town Center landowners beginning in November 2006. To the extent that we still own land at the time of the assessment, in accordance with EITF 91-10, we recognize the cost of our portion of these assessments, based upon our ownership of benefited property. At September 30, 2007, we owned 69 percent of the assessable land in the Town Center District (73 percent at December 31, 2006).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COMMITMENTS, GUARANTEES AND CONTINGENCIES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Community Development District Obligations. (Continued)</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Palm Coast Park. </w:t>
      </w:r>
      <w:r>
        <w:rPr>
          <w:rFonts w:ascii="Times New Roman" w:cs="Times New Roman" w:eastAsia="Times New Roman" w:hAnsi="Times New Roman"/>
          <w:sz w:val="18"/>
          <w:szCs w:val="18"/>
          <w:color w:val="auto"/>
        </w:rPr>
        <w:t>In May 2006, the Palm Coast Park District issued $31.8 million of tax-exempt, 5.7% Special Assessment Bonds, Series 2006,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over 31 years (by May 1, 2037). The bond proceeds (less capitalized interest, a debt service reserve fund and cost of issuance) are being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will be billed to Palm Coast Park landowners beginning in November 2007. To the extent that we still own land at the time of the assessment, in accordance with EITF 91-10, we will recognize the cost of our portion of these assessments, based upon our ownership of benefited property. At September 30, 2007, we owned 89 percent of the assessable land in the Palm Coast Park District (97 percent at December 31, 2006).</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We are involved in litigation arising in the normal course of business. Also in the normal course of business, we are involved in tax, regulatory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CONDITION AND RESULTS OF OPERATIONS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notes to those statements, management, discussion and analysis from the 2006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4 and “Risk Factors” located in Part I, Item 1A, page 24 of our 2006 Form 10-K. The risks and uncertainties described in this Form 10-Q and our 2006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ALLETE is a diversified company that has provided fundamental products and services since 1906. These include our former operations in the water, paper, telecommunications and automotive industries and the core </w:t>
      </w:r>
      <w:r>
        <w:rPr>
          <w:rFonts w:ascii="Times New Roman" w:cs="Times New Roman" w:eastAsia="Times New Roman" w:hAnsi="Times New Roman"/>
          <w:sz w:val="18"/>
          <w:szCs w:val="18"/>
          <w:b w:val="1"/>
          <w:bCs w:val="1"/>
          <w:color w:val="auto"/>
        </w:rPr>
        <w:t>Energy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Real Estate</w:t>
      </w:r>
      <w:r>
        <w:rPr>
          <w:rFonts w:ascii="Times New Roman" w:cs="Times New Roman" w:eastAsia="Times New Roman" w:hAnsi="Times New Roman"/>
          <w:sz w:val="18"/>
          <w:szCs w:val="18"/>
          <w:color w:val="auto"/>
        </w:rPr>
        <w:t xml:space="preserve"> businesses we operate today.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Energy </w:t>
      </w:r>
      <w:r>
        <w:rPr>
          <w:rFonts w:ascii="Times New Roman" w:cs="Times New Roman" w:eastAsia="Times New Roman" w:hAnsi="Times New Roman"/>
          <w:sz w:val="18"/>
          <w:szCs w:val="18"/>
          <w:color w:val="auto"/>
        </w:rPr>
        <w:t>is comprised of Regulated Utility, Nonregulated Energy Operations and Investment in ATC.</w:t>
      </w:r>
    </w:p>
    <w:p>
      <w:pPr>
        <w:spacing w:after="0" w:line="252" w:lineRule="exact"/>
        <w:rPr>
          <w:sz w:val="20"/>
          <w:szCs w:val="20"/>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Regulated Utility </w:t>
      </w:r>
      <w:r>
        <w:rPr>
          <w:rFonts w:ascii="Times New Roman" w:cs="Times New Roman" w:eastAsia="Times New Roman" w:hAnsi="Times New Roman"/>
          <w:sz w:val="18"/>
          <w:szCs w:val="18"/>
          <w:color w:val="auto"/>
        </w:rPr>
        <w:t>includes retail and wholesale rate regulated electric, natural gas and water services in northeastern Minnesota and northwestern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Wisconsin under the jurisdiction of state and federal regulatory authorities.</w:t>
      </w:r>
    </w:p>
    <w:p>
      <w:pPr>
        <w:spacing w:after="0" w:line="181" w:lineRule="exact"/>
        <w:rPr>
          <w:rFonts w:ascii="Times New Roman" w:cs="Times New Roman" w:eastAsia="Times New Roman" w:hAnsi="Times New Roman"/>
          <w:sz w:val="16"/>
          <w:szCs w:val="16"/>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Nonregulated Energy Operations </w:t>
      </w:r>
      <w:r>
        <w:rPr>
          <w:rFonts w:ascii="Times New Roman" w:cs="Times New Roman" w:eastAsia="Times New Roman" w:hAnsi="Times New Roman"/>
          <w:sz w:val="18"/>
          <w:szCs w:val="18"/>
          <w:color w:val="auto"/>
        </w:rPr>
        <w:t>includes our coal mining activities in North Dakota, approximately 50 MW of nonregulated generation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Minnesota land sales.</w:t>
      </w:r>
    </w:p>
    <w:p>
      <w:pPr>
        <w:spacing w:after="0" w:line="18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includes our equity ownership interest in ATC.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Real Estate </w:t>
      </w:r>
      <w:r>
        <w:rPr>
          <w:rFonts w:ascii="Times New Roman" w:cs="Times New Roman" w:eastAsia="Times New Roman" w:hAnsi="Times New Roman"/>
          <w:sz w:val="18"/>
          <w:szCs w:val="18"/>
          <w:color w:val="auto"/>
        </w:rPr>
        <w:t>includes our Florida real estate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includes our investments in emerging technologies, and earnings on cash and short-term investments.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EXECUTIVE SUMMARY (Continued)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Kilowatthours Sold</w:t>
            </w: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2"/>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5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99"/>
              </w:rPr>
              <w:t>2006</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Regulated Utility</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Retail and Municipals</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Residential</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258.8</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68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832.1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c>
          <w:tcPr>
            <w:tcW w:w="0" w:type="dxa"/>
            <w:vAlign w:val="bottom"/>
          </w:tcPr>
          <w:p>
            <w:pPr>
              <w:spacing w:after="0"/>
              <w:rPr>
                <w:sz w:val="1"/>
                <w:szCs w:val="1"/>
                <w:color w:val="auto"/>
              </w:rPr>
            </w:pPr>
          </w:p>
        </w:tc>
      </w:tr>
      <w:tr>
        <w:trPr>
          <w:trHeight w:val="203"/>
        </w:trPr>
        <w:tc>
          <w:tcPr>
            <w:tcW w:w="3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Commercial</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360.5</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68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1,033.6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w:t>
            </w:r>
          </w:p>
        </w:tc>
        <w:tc>
          <w:tcPr>
            <w:tcW w:w="0" w:type="dxa"/>
            <w:vAlign w:val="bottom"/>
          </w:tcPr>
          <w:p>
            <w:pPr>
              <w:spacing w:after="0"/>
              <w:rPr>
                <w:sz w:val="1"/>
                <w:szCs w:val="1"/>
                <w:color w:val="auto"/>
              </w:rPr>
            </w:pPr>
          </w:p>
        </w:tc>
      </w:tr>
      <w:tr>
        <w:trPr>
          <w:trHeight w:val="203"/>
        </w:trPr>
        <w:tc>
          <w:tcPr>
            <w:tcW w:w="3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Municipals</w:t>
            </w: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255.7</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680" w:type="dxa"/>
            <w:vAlign w:val="bottom"/>
          </w:tcPr>
          <w:p>
            <w:pPr>
              <w:spacing w:after="0"/>
              <w:rPr>
                <w:sz w:val="17"/>
                <w:szCs w:val="17"/>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751.3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0" w:type="dxa"/>
            <w:vAlign w:val="bottom"/>
          </w:tcPr>
          <w:p>
            <w:pPr>
              <w:spacing w:after="0"/>
              <w:rPr>
                <w:sz w:val="1"/>
                <w:szCs w:val="1"/>
                <w:color w:val="auto"/>
              </w:rPr>
            </w:pPr>
          </w:p>
        </w:tc>
      </w:tr>
      <w:tr>
        <w:trPr>
          <w:trHeight w:val="210"/>
        </w:trPr>
        <w:tc>
          <w:tcPr>
            <w:tcW w:w="33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Industrial</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1,775.8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68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5,215.2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5,429.1</w:t>
            </w:r>
          </w:p>
        </w:tc>
        <w:tc>
          <w:tcPr>
            <w:tcW w:w="0" w:type="dxa"/>
            <w:vAlign w:val="bottom"/>
          </w:tcPr>
          <w:p>
            <w:pPr>
              <w:spacing w:after="0"/>
              <w:rPr>
                <w:sz w:val="1"/>
                <w:szCs w:val="1"/>
                <w:color w:val="auto"/>
              </w:rPr>
            </w:pPr>
          </w:p>
        </w:tc>
      </w:tr>
      <w:tr>
        <w:trPr>
          <w:trHeight w:val="256"/>
        </w:trPr>
        <w:tc>
          <w:tcPr>
            <w:tcW w:w="3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21.5</w:t>
            </w: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62.8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345"/>
        </w:trPr>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Retail and Municipals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2,672.3</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2,731.0</w:t>
            </w:r>
          </w:p>
        </w:tc>
        <w:tc>
          <w:tcPr>
            <w:tcW w:w="680" w:type="dxa"/>
            <w:vAlign w:val="bottom"/>
          </w:tcPr>
          <w:p>
            <w:pPr>
              <w:spacing w:after="0"/>
              <w:rPr>
                <w:sz w:val="24"/>
                <w:szCs w:val="24"/>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7,895.0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7,978.5</w:t>
            </w:r>
          </w:p>
        </w:tc>
        <w:tc>
          <w:tcPr>
            <w:tcW w:w="0" w:type="dxa"/>
            <w:vAlign w:val="bottom"/>
          </w:tcPr>
          <w:p>
            <w:pPr>
              <w:spacing w:after="0"/>
              <w:rPr>
                <w:sz w:val="1"/>
                <w:szCs w:val="1"/>
                <w:color w:val="auto"/>
              </w:rPr>
            </w:pPr>
          </w:p>
        </w:tc>
      </w:tr>
      <w:tr>
        <w:trPr>
          <w:trHeight w:val="256"/>
        </w:trPr>
        <w:tc>
          <w:tcPr>
            <w:tcW w:w="3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Other Power Suppliers</w:t>
            </w:r>
          </w:p>
        </w:tc>
        <w:tc>
          <w:tcPr>
            <w:tcW w:w="1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571.9</w:t>
            </w:r>
          </w:p>
        </w:tc>
        <w:tc>
          <w:tcPr>
            <w:tcW w:w="3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1,608.8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1,604.9</w:t>
            </w:r>
          </w:p>
        </w:tc>
        <w:tc>
          <w:tcPr>
            <w:tcW w:w="0" w:type="dxa"/>
            <w:vAlign w:val="bottom"/>
          </w:tcPr>
          <w:p>
            <w:pPr>
              <w:spacing w:after="0"/>
              <w:rPr>
                <w:sz w:val="1"/>
                <w:szCs w:val="1"/>
                <w:color w:val="auto"/>
              </w:rPr>
            </w:pPr>
          </w:p>
        </w:tc>
      </w:tr>
      <w:tr>
        <w:trPr>
          <w:trHeight w:val="337"/>
        </w:trPr>
        <w:tc>
          <w:tcPr>
            <w:tcW w:w="33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Total Regulated Utility</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3,244.2</w:t>
            </w: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3,315.3</w:t>
            </w:r>
          </w:p>
        </w:tc>
        <w:tc>
          <w:tcPr>
            <w:tcW w:w="680" w:type="dxa"/>
            <w:vAlign w:val="bottom"/>
          </w:tcPr>
          <w:p>
            <w:pPr>
              <w:spacing w:after="0"/>
              <w:rPr>
                <w:sz w:val="24"/>
                <w:szCs w:val="24"/>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9,503.8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9,583.4</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Nonregulated Energy Operations</w:t>
            </w: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60.7</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184.2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399"/>
        </w:trPr>
        <w:tc>
          <w:tcPr>
            <w:tcW w:w="3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3,304.9</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3,375.7</w:t>
            </w: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9,688.0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9,764.7</w:t>
            </w:r>
          </w:p>
        </w:tc>
        <w:tc>
          <w:tcPr>
            <w:tcW w:w="0" w:type="dxa"/>
            <w:vAlign w:val="bottom"/>
          </w:tcPr>
          <w:p>
            <w:pPr>
              <w:spacing w:after="0"/>
              <w:rPr>
                <w:sz w:val="1"/>
                <w:szCs w:val="1"/>
                <w:color w:val="auto"/>
              </w:rPr>
            </w:pPr>
          </w:p>
        </w:tc>
      </w:tr>
      <w:tr>
        <w:trPr>
          <w:trHeight w:val="673"/>
        </w:trPr>
        <w:tc>
          <w:tcPr>
            <w:tcW w:w="3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gridSpan w:val="2"/>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2007</w:t>
            </w:r>
          </w:p>
        </w:tc>
        <w:tc>
          <w:tcPr>
            <w:tcW w:w="10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2006</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Revenue and Sales Activity </w:t>
            </w:r>
            <w:r>
              <w:rPr>
                <w:rFonts w:ascii="Times New Roman" w:cs="Times New Roman" w:eastAsia="Times New Roman" w:hAnsi="Times New Roman"/>
                <w:sz w:val="16"/>
                <w:szCs w:val="16"/>
                <w:b w:val="1"/>
                <w:bCs w:val="1"/>
                <w:i w:val="1"/>
                <w:iCs w:val="1"/>
                <w:color w:val="auto"/>
              </w:rPr>
              <w:t>(a)</w:t>
            </w: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Qty</w:t>
            </w: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Qty</w:t>
            </w: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2"/>
              </w:rPr>
              <w:t>Qty</w:t>
            </w:r>
          </w:p>
        </w:tc>
        <w:tc>
          <w:tcPr>
            <w:tcW w:w="12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Qty</w:t>
            </w: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Town Center Sales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Sq. Ft.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50,000</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114,300</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w:t>
            </w: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474,476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364,995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0"/>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Units</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356</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3.8</w:t>
            </w:r>
          </w:p>
        </w:tc>
        <w:tc>
          <w:tcPr>
            <w:tcW w:w="380" w:type="dxa"/>
            <w:vAlign w:val="bottom"/>
          </w:tcPr>
          <w:p>
            <w:pPr>
              <w:spacing w:after="0"/>
              <w:rPr>
                <w:sz w:val="18"/>
                <w:szCs w:val="18"/>
                <w:color w:val="auto"/>
              </w:rPr>
            </w:pPr>
          </w:p>
        </w:tc>
        <w:tc>
          <w:tcPr>
            <w:tcW w:w="5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130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4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Palm Coast Park</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Sq. Ft.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40,000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Units</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200</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tcPr>
          <w:p>
            <w:pPr>
              <w:spacing w:after="0"/>
              <w:rPr>
                <w:sz w:val="18"/>
                <w:szCs w:val="18"/>
                <w:color w:val="auto"/>
              </w:rPr>
            </w:pPr>
          </w:p>
        </w:tc>
        <w:tc>
          <w:tcPr>
            <w:tcW w:w="5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406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4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Land Sales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Acres </w:t>
            </w:r>
            <w:r>
              <w:rPr>
                <w:rFonts w:ascii="Times New Roman" w:cs="Times New Roman" w:eastAsia="Times New Roman" w:hAnsi="Times New Roman"/>
                <w:sz w:val="16"/>
                <w:szCs w:val="16"/>
                <w:i w:val="1"/>
                <w:iCs w:val="1"/>
                <w:color w:val="auto"/>
              </w:rPr>
              <w:t>(b)</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w:t>
            </w: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242</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4.9</w:t>
            </w:r>
          </w:p>
        </w:tc>
        <w:tc>
          <w:tcPr>
            <w:tcW w:w="380" w:type="dxa"/>
            <w:vAlign w:val="bottom"/>
          </w:tcPr>
          <w:p>
            <w:pPr>
              <w:spacing w:after="0"/>
              <w:rPr>
                <w:sz w:val="18"/>
                <w:szCs w:val="18"/>
                <w:color w:val="auto"/>
              </w:rPr>
            </w:pPr>
          </w:p>
        </w:tc>
        <w:tc>
          <w:tcPr>
            <w:tcW w:w="5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450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35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Contract Sales Price </w:t>
            </w:r>
            <w:r>
              <w:rPr>
                <w:rFonts w:ascii="Times New Roman" w:cs="Times New Roman" w:eastAsia="Times New Roman" w:hAnsi="Times New Roman"/>
                <w:sz w:val="16"/>
                <w:szCs w:val="16"/>
                <w:i w:val="1"/>
                <w:iCs w:val="1"/>
                <w:color w:val="auto"/>
              </w:rPr>
              <w:t>(c)</w:t>
            </w: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15.3</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34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 from Previously Deferred</w:t>
            </w:r>
          </w:p>
        </w:tc>
        <w:tc>
          <w:tcPr>
            <w:tcW w:w="1100" w:type="dxa"/>
            <w:vAlign w:val="bottom"/>
          </w:tcPr>
          <w:p>
            <w:pPr>
              <w:spacing w:after="0"/>
              <w:rPr>
                <w:sz w:val="24"/>
                <w:szCs w:val="24"/>
                <w:color w:val="auto"/>
              </w:rPr>
            </w:pPr>
          </w:p>
        </w:tc>
        <w:tc>
          <w:tcPr>
            <w:tcW w:w="10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000" w:type="dxa"/>
            <w:vAlign w:val="bottom"/>
          </w:tcPr>
          <w:p>
            <w:pPr>
              <w:spacing w:after="0"/>
              <w:rPr>
                <w:sz w:val="24"/>
                <w:szCs w:val="2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02"/>
        </w:trPr>
        <w:tc>
          <w:tcPr>
            <w:tcW w:w="33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365"/>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Adjustments </w:t>
            </w:r>
            <w:r>
              <w:rPr>
                <w:rFonts w:ascii="Times New Roman" w:cs="Times New Roman" w:eastAsia="Times New Roman" w:hAnsi="Times New Roman"/>
                <w:sz w:val="16"/>
                <w:szCs w:val="16"/>
                <w:i w:val="1"/>
                <w:iCs w:val="1"/>
                <w:color w:val="auto"/>
              </w:rPr>
              <w:t>(d)</w:t>
            </w: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0.6</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40"/>
        </w:trPr>
        <w:tc>
          <w:tcPr>
            <w:tcW w:w="3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Land Sales</w:t>
            </w: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365"/>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w:t>
            </w: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0"/>
        </w:trPr>
        <w:tc>
          <w:tcPr>
            <w:tcW w:w="3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3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$4.8</w:t>
            </w:r>
          </w:p>
        </w:tc>
        <w:tc>
          <w:tcPr>
            <w:tcW w:w="1000" w:type="dxa"/>
            <w:vAlign w:val="bottom"/>
          </w:tcPr>
          <w:p>
            <w:pPr>
              <w:spacing w:after="0"/>
              <w:rPr>
                <w:sz w:val="24"/>
                <w:szCs w:val="24"/>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$15.1</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Quantity amounts are approximate until final build-out.</w:t>
      </w:r>
    </w:p>
    <w:p>
      <w:pPr>
        <w:spacing w:after="0" w:line="28" w:lineRule="exact"/>
        <w:rPr>
          <w:rFonts w:ascii="Times New Roman" w:cs="Times New Roman" w:eastAsia="Times New Roman" w:hAnsi="Times New Roman"/>
          <w:sz w:val="16"/>
          <w:szCs w:val="16"/>
          <w:i w:val="1"/>
          <w:iCs w:val="1"/>
          <w:color w:val="auto"/>
        </w:rPr>
      </w:pPr>
    </w:p>
    <w:p>
      <w:pPr>
        <w:ind w:left="440" w:hanging="432"/>
        <w:spacing w:after="0"/>
        <w:tabs>
          <w:tab w:leader="none" w:pos="4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Acreage amounts are shown on a gross basis, including wetlands and minority interest.</w:t>
      </w:r>
    </w:p>
    <w:p>
      <w:pPr>
        <w:spacing w:after="0" w:line="18"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Reflected total contract sales price on closed land transactions.</w:t>
      </w:r>
    </w:p>
    <w:p>
      <w:pPr>
        <w:spacing w:after="0" w:line="18"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Contributed development dollars, which are credited to cost of real estate sold.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EXECUTIVE SUMMARY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income discussion summarizes, by segment, a comparison of the nine months ended September 30, 2007, to the nine months ended September 30, 2006.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Regulated Utility </w:t>
      </w:r>
      <w:r>
        <w:rPr>
          <w:rFonts w:ascii="Times New Roman" w:cs="Times New Roman" w:eastAsia="Times New Roman" w:hAnsi="Times New Roman"/>
          <w:sz w:val="18"/>
          <w:szCs w:val="18"/>
          <w:color w:val="auto"/>
        </w:rPr>
        <w:t>contributed income of $37.9 million in 2007 ($33.5 million in 2006). The increase in earnings for 2007 reflects:</w:t>
      </w:r>
    </w:p>
    <w:p>
      <w:pPr>
        <w:spacing w:after="0" w:line="256" w:lineRule="exact"/>
        <w:rPr>
          <w:sz w:val="20"/>
          <w:szCs w:val="20"/>
          <w:color w:val="auto"/>
        </w:rPr>
      </w:pPr>
    </w:p>
    <w:p>
      <w:pPr>
        <w:ind w:left="660" w:right="2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electric sales to residential, commercial and municipal customers, as well as increased gas sales at SWL&amp;P due to colder weather in the first quarter of 2007;</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increases, effective January 1, 2007, at SWL&amp;P;</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current revenue cost recovery on AREA project environmental capital expenditures;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AFUDC related to increased capital expenditures.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 higher operations and maintenance expenses relating to the Boswell Unit 4 outage.</w:t>
      </w:r>
    </w:p>
    <w:p>
      <w:pPr>
        <w:spacing w:after="0" w:line="24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Nonregulated Energy Operations </w:t>
      </w:r>
      <w:r>
        <w:rPr>
          <w:rFonts w:ascii="Times New Roman" w:cs="Times New Roman" w:eastAsia="Times New Roman" w:hAnsi="Times New Roman"/>
          <w:sz w:val="18"/>
          <w:szCs w:val="18"/>
          <w:color w:val="auto"/>
        </w:rPr>
        <w:t>reported income of $3.4 million in 2007 ($2.9 million in 2006), reflecting a $1.2 million after tax gain on land sold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part of our purchase of Taconite Harbor.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contributed income of $5.6 million in 2007 ($0.6 million in 2006). Our initial investment in ATC was in May 2006.</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Real Estate </w:t>
      </w:r>
      <w:r>
        <w:rPr>
          <w:rFonts w:ascii="Times New Roman" w:cs="Times New Roman" w:eastAsia="Times New Roman" w:hAnsi="Times New Roman"/>
          <w:sz w:val="18"/>
          <w:szCs w:val="18"/>
          <w:color w:val="auto"/>
        </w:rPr>
        <w:t>contributed income of $15.2 million in 2007 ($15.7 million in 2006). Income was lower in 2007 than in 2006 due to the deterioration of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The mix of real estate sales also varies from period to period which can impact comparisons between years.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reflected net income of $3.3 million in 2007 ($1.6 million in 2006). The increase in 2007 included a state tax audit settlement for $1.5 million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release from a loan guarantee for Northwest Airlines Corporation of $0.6 millionafter tax.</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SEPTEMBER 30, 2007 AND 2006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Business Segments for financial results by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Utility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$10.9 million, or 6 percent, from 2006 primarily due to increased fuel clause recoveries, and rate increases at SWL&amp;P.</w:t>
      </w:r>
    </w:p>
    <w:p>
      <w:pPr>
        <w:spacing w:after="0" w:line="25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Fuel clause recoveries increased $13.0 million in 2007 primarily as a result of increased purchased power expenses (see Fuel and Purchased Power Expense discussion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Revenue from other power suppliers decreased $2.3 million, or 8.4 percent, from 2006 primarily due to a 6 percent decrease in the price per kilowatthour.</w:t>
      </w:r>
    </w:p>
    <w:p>
      <w:pPr>
        <w:spacing w:after="0" w:line="26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New rates at SWL&amp;P, which became effective January 1, 2007, reflect a 2.8 percent increase in electric rates, a 1.4 percent increase in gas rates and an 8.6 percent increase in water rates. These rate increases resulted in a $0.4 million increase in operating revenue.</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26 percent of consolidated operating revenue in 2007 (24 percent in 2006). Revenue from electric sales to paper and pulp mills accounted for 10 percent of consolidated operating revenue in 2007 (9 percent in 2006). Revenue from electric sales to pipelines accounted for 7 percent of consolidated operating revenue in 2007 (6 percent in 2006).</w:t>
      </w:r>
    </w:p>
    <w:p>
      <w:pPr>
        <w:spacing w:after="0" w:line="20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Overall kilowatthour sales were down 2.1 percent compared to 2006. Combined residential, commercial and municipal kilowatthour sales were flat compared to 2006, while industrial kilowatthour sales decreased by 61.1 million, or 3.0 percent. The decrease in residential and commercial sales was primarily due to a warmer than average 2006 which was offset by higher municipal kilowatthour sales due to two existing municipal customers converting to full-energy requirements and residential and commercial customer growth. The reduction in industrial kilowatthour sales was primarily due to an idle production line at one of our taconite customers. In September 2007, the taconite customer resumed production on the idle line. Minor fluctuations in industrial kilowatthour sales generally do not have a large impact on revenue due to a fixed demand component of revenue, which is less sensitive to changes in kilowatthours sales.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COMPARISON OF THE QUARTERS ENDED SEPTEMBER 30, 2007 AND 2006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Utility (Continued)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$15.1 million, or 11 percent, from 2006.</w:t>
      </w:r>
    </w:p>
    <w:p>
      <w:pPr>
        <w:spacing w:after="0" w:line="25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and Purchased PowerExpense </w:t>
      </w:r>
      <w:r>
        <w:rPr>
          <w:rFonts w:ascii="Times New Roman" w:cs="Times New Roman" w:eastAsia="Times New Roman" w:hAnsi="Times New Roman"/>
          <w:sz w:val="18"/>
          <w:szCs w:val="18"/>
          <w:color w:val="auto"/>
        </w:rPr>
        <w:t>increased $12.3 million from 2006 primarily due to a $9.7 million increase in purchased power expense because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outages at our generating facilities and a major planned outage at the Square Butte generating facility. The replacement power costs are recovered through the regulated utility fuel adjustment clause in Minnesota.</w:t>
      </w:r>
    </w:p>
    <w:p>
      <w:pPr>
        <w:spacing w:after="0" w:line="201"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 </w:t>
      </w:r>
      <w:r>
        <w:rPr>
          <w:rFonts w:ascii="Times New Roman" w:cs="Times New Roman" w:eastAsia="Times New Roman" w:hAnsi="Times New Roman"/>
          <w:sz w:val="18"/>
          <w:szCs w:val="18"/>
          <w:color w:val="auto"/>
        </w:rPr>
        <w:t>increased $2.9 million, or 6 percent, from 2006 due to a planned outage at Boswell Unit 2, higher labor, and storm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expense.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decreased $0.1 million from 2006 primarily due to the life extension of Boswell Unit 3.</w:t>
      </w:r>
    </w:p>
    <w:p>
      <w:pPr>
        <w:spacing w:after="0" w:line="250"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$0.9 million from 2006 primarily due to higher earnings from the capitalization of AFUDC - Equity because of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activity.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Nonregulated Energy Operations</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$1.0 million, or 6 percent, from 2006 primarily due to higher coal revenue realized under a cost-plus contract. This reflects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27.3 percent increase in the delivered price per ton due to higher coal production expenses (see Operating expenses below).</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$1.9 million, or 13 percent, from 2006 reflecting higher coal production expenses and higher property taxes.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property taxes is primarily due to higher assessed market values, while the increase in coal operating expenses is due to higher fuel costs and dragline repairs.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ATC</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Earnings </w:t>
      </w:r>
      <w:r>
        <w:rPr>
          <w:rFonts w:ascii="Times New Roman" w:cs="Times New Roman" w:eastAsia="Times New Roman" w:hAnsi="Times New Roman"/>
          <w:sz w:val="18"/>
          <w:szCs w:val="18"/>
          <w:color w:val="auto"/>
        </w:rPr>
        <w:t>reflected $3.2 million of income in 2007 resulting from our pro-rata share of ATC’s earnings as discussed in Note 3. Our investment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ATC began in May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25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$10.3 million, or 68 percent, from 2006 due to the deterioration of market conditions in 2007. Revenue from land sales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2007 was $3.8 million, which included $0.1 million in previously deferred revenue. In 2006, revenue from land sales was $14.0 million, which included $1.0 million in previously deferred revenue.</w:t>
      </w:r>
    </w:p>
    <w:p>
      <w:pPr>
        <w:spacing w:after="0" w:line="20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2007, 50,000 commercial square feet were sold at Town Center (114,300 at Town Center in 2006) and 83 acres of other land were sold (242 acres in 2006). No residential units (356 at Town Center and 200 at Palm Coast Park in 2006) were sold during the third quarter.</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$1.5 million, or 30 percent, from 2006 reflecting a decrease in the cost of real estate sold and decreased selling expenses.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decreased $1.0 million, or 77 percent, from 2006 due to the prior year including additional interest relating to taxes owed on the gain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our Florida Water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quarter ended September 30, 2007, the effective tax rate on income from continuing operations before minority interest was 32.7 percent (34.5 percent for the quarter ended September 30, 2006). The effective rate of 32.7 percent for the quarter ended September 30, 2007, deviated from the statutory rate (approximately 40 percent) primarily due to revising the projected annual effective tax rate down, and recording the effects in the quarter ended September 30, 2007. The annual effective rate for 2007 is now estimated to be between 35 percent and 36 percent, down from the estimated 37 percent at June 30, 2007. The reason for the decrease in the annual rate is due to higher expected tax exempt interest, a higher projected domestic manufacturing deduction and tax planning initiatives.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ectPr>
          <w:pgSz w:w="11900" w:h="16838" w:orient="portrait"/>
          <w:cols w:equalWidth="0" w:num="1">
            <w:col w:w="11420"/>
          </w:cols>
          <w:pgMar w:left="240" w:top="360" w:right="239" w:bottom="1440" w:gutter="0" w:footer="0" w:header="0"/>
        </w:sectPr>
      </w:pP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2007 AND 2006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Utility</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$61.2 million, or 13 percent, from 2006 primarily due to increased fuel clause recoveries, increased kilowatthour sales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residential, commercial and municipal customers, increased power marketing prices, and rate increases at SWL&amp;P.</w:t>
      </w:r>
    </w:p>
    <w:p>
      <w:pPr>
        <w:spacing w:after="0" w:line="186"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Fuel clause recoveries increased $50.7 million in 2007 as a result of increased purchased power expenses (see Fuel and Purchased Power Expense discussion below).</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Revenue from other power suppliers increased $1.9 million, or 2.5 percent, from 2006 primarily due to a 2.7 percent increase in the price per kilowatthour.</w:t>
      </w:r>
    </w:p>
    <w:p>
      <w:pPr>
        <w:spacing w:after="0" w:line="18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New rates at SWL&amp;P, which became effective January 1, 2007, reflect a 2.8 percent increase in electric rates, a 1.4 percent increase in gas rates and an 8.6 percent increase in water rates. These rate increases resulted in a $1.2 million increase in operating revenue.</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from electric sales to taconite customers accounted for 24 percent of consolidated operating revenue in each 2007 and 2006. Revenue from electric sales to paper and pulp mills accounted for 9 percent of consolidated operating revenue in each of 2007 and 2006. Revenue from electric sales to pipelines accounted for 7 percent of consolidated operating revenue in 2007 (6 percent in 2006).</w:t>
      </w:r>
    </w:p>
    <w:p>
      <w:pPr>
        <w:spacing w:after="0" w:line="203"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Overall, kilowatthour sales were slightly lower in 2007. Combined residential, commercial and municipal kilowatthour sales increased 127.0 million, or 5.1 percent, from 2006, while industrial kilowatthour sales decreased by 213.9 million, or 3.9 percent. The increase in residential, commercial and municipal kilowatthour sales was primarily because of two existing municipal customers converting to full-energy requirements and a 10 percent increase in Heating Degree Days (primarily in February). The reduction in industrial kilowatthour sales was primarily due to an idle production line and production delays at one of our taconite customers. In September 2007, the affected taconite customer resumed production on the idle line. Minor fluctuations in industrial kilowatthour sales generally do not have a large impact on revenue due to a fixed demand component of revenue that is less sensitive to changes in kilowatthours sales.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$57.5 million, or 14 percent, from 2006.</w:t>
      </w:r>
    </w:p>
    <w:p>
      <w:pPr>
        <w:spacing w:after="0" w:line="254" w:lineRule="exact"/>
        <w:rPr>
          <w:sz w:val="20"/>
          <w:szCs w:val="20"/>
          <w:color w:val="auto"/>
        </w:rPr>
      </w:pPr>
    </w:p>
    <w:p>
      <w:pPr>
        <w:jc w:val="both"/>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and Purchased Power Expense </w:t>
      </w:r>
      <w:r>
        <w:rPr>
          <w:rFonts w:ascii="Times New Roman" w:cs="Times New Roman" w:eastAsia="Times New Roman" w:hAnsi="Times New Roman"/>
          <w:sz w:val="18"/>
          <w:szCs w:val="18"/>
          <w:color w:val="auto"/>
        </w:rPr>
        <w:t>increased $50.5 million from 2006 primarily due to a $47.6 million increase in purchased power reflecting a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increase in kilowatthours purchased and a 13.7 percent increase in the price per kilowatt purchased. The increase in purchased power was primarily due to the following outages at our generating facilities:</w:t>
      </w:r>
    </w:p>
    <w:p>
      <w:pPr>
        <w:spacing w:after="0" w:line="20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outage at Boswell Unit 3;</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outages at Laskin Unit 1 and Taconite Harbor Unit 2 relating to AREA plan environmental upgrades;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at Boswell Unit 4.</w:t>
      </w:r>
    </w:p>
    <w:p>
      <w:pPr>
        <w:spacing w:after="0" w:line="27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Boswell Unit 4 completed generator repairs and returned to service in May 2007, as scheduled. Substantially all of the costs of the replacement coils were covered under the original manufacturer’s warranty.</w:t>
      </w:r>
    </w:p>
    <w:p>
      <w:pPr>
        <w:spacing w:after="0" w:line="18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Additionally, low hydro generation and a lower Square Butte entitlement contributed to higher purchased power expense. The replacement power costs are recovered through the fuel adjustment clause in Minnesota.</w:t>
      </w:r>
    </w:p>
    <w:p>
      <w:pPr>
        <w:spacing w:after="0" w:line="18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 </w:t>
      </w:r>
      <w:r>
        <w:rPr>
          <w:rFonts w:ascii="Times New Roman" w:cs="Times New Roman" w:eastAsia="Times New Roman" w:hAnsi="Times New Roman"/>
          <w:sz w:val="18"/>
          <w:szCs w:val="18"/>
          <w:color w:val="auto"/>
        </w:rPr>
        <w:t>increased $8.0 million, or 5 percent, from 2006 due to a $7.0 million increase in plant maintenance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planned outages at our generating facilities.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w:t>
      </w:r>
      <w:r>
        <w:rPr>
          <w:rFonts w:ascii="Times New Roman" w:cs="Times New Roman" w:eastAsia="Times New Roman" w:hAnsi="Times New Roman"/>
          <w:sz w:val="18"/>
          <w:szCs w:val="18"/>
          <w:color w:val="auto"/>
        </w:rPr>
        <w:t>decreased $1.0 million from 2006 primarily due to the life extension of Boswell Unit 3.</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decreased $0.7 million from 2006 primarily due to capitalization of AFUDC-Debt because of increased construction activity.</w:t>
      </w:r>
    </w:p>
    <w:p>
      <w:pPr>
        <w:spacing w:after="0" w:line="252"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$1.8 million from 2006 primarily due to higher earnings from the capitalization of AFUDC-Equity because of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activity.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2007 AND 2006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Nonregulated Energy Operations</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increased $1.2 million, or 2 percent, from 2006 primarily due to higher coal revenue realized under a cost-plus contract. This reflects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5.8 percent increase in the delivered price per ton due to higher coal production expenses (see Operating expenses below).</w:t>
      </w:r>
    </w:p>
    <w:p>
      <w:pPr>
        <w:spacing w:after="0" w:line="182"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$3.1 million, or 7 percent, from 2006 reflecting higher coal production expense and higher property taxes. The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property taxes is primarily due to higher assessed market values, while the increase in coal operating expenses is due to higher fuel costs, dragline repairs and tires.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$2.0 million from 2006 reflecting a $1.9 million gain on land sold which was part of our Taconite Harbor purchase.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ATC</w:t>
      </w:r>
    </w:p>
    <w:p>
      <w:pPr>
        <w:spacing w:after="0" w:line="252"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Earnings </w:t>
      </w:r>
      <w:r>
        <w:rPr>
          <w:rFonts w:ascii="Times New Roman" w:cs="Times New Roman" w:eastAsia="Times New Roman" w:hAnsi="Times New Roman"/>
          <w:sz w:val="18"/>
          <w:szCs w:val="18"/>
          <w:color w:val="auto"/>
        </w:rPr>
        <w:t>reflected $9.3 million of income in 2007 resulting from our pro-rata share of ATC’s earnings as discussed in Note 3. Our investment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ATC began in May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252" w:lineRule="exact"/>
        <w:rPr>
          <w:sz w:val="20"/>
          <w:szCs w:val="20"/>
          <w:color w:val="auto"/>
        </w:rPr>
      </w:pPr>
    </w:p>
    <w:p>
      <w:pPr>
        <w:jc w:val="both"/>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decreased $3.0 million, or 7 percent, from 2006 due to the deterioration of market conditions in 2007. Revenue from land sales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2007 was $36.3 million, which included $2.4 million in previously deferred revenue. In 2006, revenue from land sales was $40.2 million which included $5.3 million in previously deferred revenue.</w:t>
      </w:r>
    </w:p>
    <w:p>
      <w:pPr>
        <w:spacing w:after="0" w:line="20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Through September 30, 2007, 474,476 commercial square feet were sold at Town Center (364,995 square feet in 2006), and 40,000 commercial square feet were sold at Palm Coast Park (none in 2006). Town Center has sold 130 residential units (542 units in 2006) and Palm Coast Park has sold 406 residential units (200 units in 2006). During the first nine months of 2007, 450 acres of other land were sold (708 acres in 2006).</w:t>
      </w:r>
    </w:p>
    <w:p>
      <w:pPr>
        <w:spacing w:after="0" w:line="199" w:lineRule="exact"/>
        <w:rPr>
          <w:sz w:val="20"/>
          <w:szCs w:val="20"/>
          <w:color w:val="auto"/>
        </w:rPr>
      </w:pPr>
    </w:p>
    <w:p>
      <w:pPr>
        <w:jc w:val="both"/>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increased $0.9 million, or 7 percent, from 2006 reflecting community development district property tax assessments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capitalized and increased selling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decreased $0.5 million from 2006 reflecting lower general and administrative expenses.</w:t>
      </w:r>
    </w:p>
    <w:p>
      <w:pPr>
        <w:spacing w:after="0" w:line="25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decreased $1.8 million from 2006, primarily due to the prior year including additional interest relating to taxes owed on the gain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our Florida Water assets.</w:t>
      </w:r>
    </w:p>
    <w:p>
      <w:pPr>
        <w:spacing w:after="0" w:line="182" w:lineRule="exact"/>
        <w:rPr>
          <w:sz w:val="20"/>
          <w:szCs w:val="20"/>
          <w:color w:val="auto"/>
        </w:rPr>
      </w:pPr>
    </w:p>
    <w:p>
      <w:pPr>
        <w:jc w:val="both"/>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w:t>
      </w:r>
      <w:r>
        <w:rPr>
          <w:rFonts w:ascii="Times New Roman" w:cs="Times New Roman" w:eastAsia="Times New Roman" w:hAnsi="Times New Roman"/>
          <w:sz w:val="18"/>
          <w:szCs w:val="18"/>
          <w:color w:val="auto"/>
        </w:rPr>
        <w:t>increased $0.3 million from 2006 primarily due to the release from a loan guarantee for Northwest Airlines Corporation of $1.0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partially offset by less investment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2007, the effective tax rate on income from continuing operations before minority interest was 34.6 percent (36.2 percent for nine months ended September 30, 2006). The effective rate of 34.6 percent for the nine months ended September 30, 2007, deviated from the statutory rate (approximately 40 percent) primarily due to a state income tax audit settlement ($1.5 million), deductions for Medicare health subsidies, a domestic manufacturing deduction, AFUDC and tax planning initiatives.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regulatory accounting, valuation of investments and provisions for environmental remediation. These policies are reviewed with the Audit Committee of our Board of Directors on a regular basis and summarized in Part II, Item 7 of our 2006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Earnings Guidance. </w:t>
      </w:r>
      <w:r>
        <w:rPr>
          <w:rFonts w:ascii="Times New Roman" w:cs="Times New Roman" w:eastAsia="Times New Roman" w:hAnsi="Times New Roman"/>
          <w:sz w:val="18"/>
          <w:szCs w:val="18"/>
          <w:color w:val="auto"/>
        </w:rPr>
        <w:t>ALLETE continues to expect that full-year 2007 earnings performance will be between $3.00 and $3.05 per share in 2007.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assumes that difficult Florida real estate market conditions will continue in the fourth quarter. Some real estate sales originally anticipated to close in 2007 are now being deferred or have been cancelled. As a result, total year net income from Real Estate is expected to be between $16 million and $18 million in 2007.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w:t>
      </w:r>
    </w:p>
    <w:p>
      <w:pPr>
        <w:spacing w:after="0" w:line="2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Rate Cases</w:t>
      </w:r>
      <w:r>
        <w:rPr>
          <w:rFonts w:ascii="Times New Roman" w:cs="Times New Roman" w:eastAsia="Times New Roman" w:hAnsi="Times New Roman"/>
          <w:sz w:val="18"/>
          <w:szCs w:val="18"/>
          <w:color w:val="auto"/>
        </w:rPr>
        <w:t>. Minnesota Power has and will continue to significantly increase its rate base. As a result of this rate base growth and other cost increases,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Minnesota Power anticipates filing a wholesale rate case with the FERC by the end of 2007 or early 2008, and anticipates filing a retail rate case with the MPUC in 2008 or 2009. SWL&amp;P also anticipates filing a retail rate case with the PSCW in 2008.</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Large Power Customers</w:t>
      </w:r>
      <w:r>
        <w:rPr>
          <w:rFonts w:ascii="Times New Roman" w:cs="Times New Roman" w:eastAsia="Times New Roman" w:hAnsi="Times New Roman"/>
          <w:sz w:val="18"/>
          <w:szCs w:val="18"/>
          <w:color w:val="auto"/>
        </w:rPr>
        <w:t>. Electric power is a key component in the mining, paper production and pipeline industries. Sales to our Large Power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these industries represent more than half of Minnesota Power’s regulated utility electric sales.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25, 2007, the MPUC approved our electric service agreement with PolyMet Mining, Inc. (PolyMet). In 2006, a contract for approximately 70 MW was successfully negotiated with PolyMet, a new industrial customer planning to start a copper, nickel and precious metals (non-ferrous) mining operation in late 2008. If PolyMet’s environmental permits are received and start-up is achieved, the contract with PolyMet will run through at least 2018.</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2007 Minnesota Power and Mesabi Nugget executed an electric service agreement, which will be filed for approval with the MPUC. Mesabi Nugget will produce pig iron, made from pulverized coal and iron ore fines from concentrate, in the form of nuggets with 96-98 percent iron content using a rotary hearth furnace fired by natural gas. Mesabi Nugget has received all necessary permits to begin operations in 2008. If the electric service agreement is approved Mesabi Nugget would be a 15 MW customer with potential growth to approximately 50 MW.</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AREA and Boswell 3 Emission Reduction Plan. </w:t>
      </w:r>
      <w:r>
        <w:rPr>
          <w:rFonts w:ascii="Times New Roman" w:cs="Times New Roman" w:eastAsia="Times New Roman" w:hAnsi="Times New Roman"/>
          <w:sz w:val="18"/>
          <w:szCs w:val="18"/>
          <w:color w:val="auto"/>
        </w:rPr>
        <w:t>As of September 30, 2007, we have spent $32.3 million of the expected $60 million on the AREA project.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2007, Laskin Unit 1 was placed back in service and cost-recovery began May 1, 2007. In June 2007, Taconite Harbor Unit 2 was placed back in service and cost-recovery began July 1, 2007. As of September 30, 2007, we have spent $63.3 million of the expected $200 million on the Boswell Unit 3 emission reduction plan. In late March 2007, the Boswell Unit 3 project received the necessary construction permits. In April 2007, the MPCA issued its assessment of the Boswell Unit 3 emission reduction plan under the Mercury Emissions Reduction Act of 2006. The MPCA found that Minnesota Power’s plan meets the statutory requirements and found it cost effective. Groundbreaking for the Boswell Unit 3 project occurred in May 2007. On October 4, 2007, the MPUC ruled in favor of Minnesota Power’s petition for current cost recovery for the Boswell Unit 3 emission reduction plan. The written order is expected by the end of October 2007.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(Continued)</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Integrated Resource Plan. </w:t>
      </w:r>
      <w:r>
        <w:rPr>
          <w:rFonts w:ascii="Times New Roman" w:cs="Times New Roman" w:eastAsia="Times New Roman" w:hAnsi="Times New Roman"/>
          <w:sz w:val="18"/>
          <w:szCs w:val="18"/>
          <w:color w:val="auto"/>
        </w:rPr>
        <w:t>In November 2007, we will file our Integrated Resource Plan with the MPUC detailing our retail energy demand and our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sourcing options to meet the projected demand over the next 15 years.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Minnesota Fuel Clause. </w:t>
      </w:r>
      <w:r>
        <w:rPr>
          <w:rFonts w:ascii="Times New Roman" w:cs="Times New Roman" w:eastAsia="Times New Roman" w:hAnsi="Times New Roman"/>
          <w:sz w:val="18"/>
          <w:szCs w:val="18"/>
          <w:color w:val="auto"/>
        </w:rPr>
        <w:t>In June 2003, the MPUC initiated an investigation into the continuing usefulness of the fuel clause as a regulatory tool for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utilities. Minnesota Power’s initial comments on the proposed scope and procedure of the investigation were filed in July 2003. In November 2003, the MPUC approved the initial scope and procedure of the investigation. The investigation’s purpose was to focus on whether the fuel clause continues to be an appropriate regulatory tool. Subsequent comments were filed during 2004. The fuel clause docket then became dormant while the MISO Day 2 docket, which held many fuel clause considerations, became very active. In March 2007, the MPUC solicited comments on whether the original fuel clause investigation should continue and, if so, what issues should be pursued. Minnesota Power filed comments in April 2007, suggesting that if the investigation continued, it should focus on remaining key elements of the fuel clause, beyond the purchased power transactions examined in the MISO Day 2 proceeding, such as fuel purchases and outages. Additionally, Minnesota Power’s comments suggested that more specialized fuel clause issues be addressed in separate dockets on an as needed basis. The DOC filed a letter requesting that the parties to the docket update the record in this proceeding by September 28, 2007. Minnesota Power complied by filing additional comments, updating Minnesota Power’s previous filings in the fuel clause investigation docket to account for changes occurring since the investigation began in July 2003. The fuel clause investigation docket is awaiting further action by the MPUC.</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Energy. </w:t>
      </w:r>
      <w:r>
        <w:rPr>
          <w:rFonts w:ascii="Times New Roman" w:cs="Times New Roman" w:eastAsia="Times New Roman" w:hAnsi="Times New Roman"/>
          <w:sz w:val="18"/>
          <w:szCs w:val="18"/>
          <w:color w:val="auto"/>
        </w:rPr>
        <w:t>In February 2007, the Minnesota Legislature enacted a law requiring most electric utilities to generate 25 percent of their energy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sources by 2025. Minnesota Power worked with other stakeholders to ensure the legislation included provisions for allowing regulatory assessment of the ratepayer cost for and technical feasibility of individual utilities meeting the 25 percent standard. Minnesota Power was developing and making renewable supply additions as part of its generation planning strategy prior to this legislation and this activity continues.</w:t>
      </w: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2006, we began purchasing the output from a 50-MW wind facility, Oliver Wind I, located in North Dakota, under a 25-year power purchase agreement with an affiliate of FPL Energy, LLC.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2007, the MPUC approved a second 25-year wind power purchase agreement to purchase an additional 48-MW of wind energy from Oliver Wind II, an expansion of Oliver Wind I located in North Dakota. The MPUC also allowed immediate recovery of the costs for associated transmission upgrades. The project is expected to be operational by the end of 2007.</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2007, the MPUC approved two 20-year Community-Based Energy Development Project power purchase agreements. The 2.5-MW Wing River Wind project, with Wing River Wind, LLC, became operational on July 6, 2007. The 30-MW Bear Creek Wind Partners project, with Bear Creek Wind Partners, LLC, is expected to be operational by the end of 2008.</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2007, we began construction of the $50 million, 25-MW Taconite Ridge Wind I Facility, located in northeastern Minnesota. On August 6, 2007, Minnesota Power filed a petition for cost recovery on the Taconite Ridge Wind I Facility with the MPUC. On September 6, 2007, the site permit application filed for the Taconite Ridge Wind I Facility was approved by the MPUC. On October 9, 2007 the DOC recommended approval of Minnesota Power’s cost recovery filing. The Taconite Ridge Wind I Facility is expected to become operational in mid-2008.</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Minnesota Power continues to investigate additional renewable energy resources including biomass, hydroelectric and wind generation that will help it meet the Minnesota 25 percent renewable energy standard. In particular, Minnesota Power is conducting a feasibility study for construction of a 25-MW biomass generating unit at its Laskin Energy Center, as well as looking at opportunities to expand biomass energy production at existing facilities. Additionally, Minnesota Power is pursuing a potential 10-MW expansion of its Fond du Lac hydroelectric station. The Company will submit plans regarding the additional renewable energy options currently under study as a part of its Resource Plan filing with the State of Minnesota in November 2007. We will also make specific renewable project filings for regulatory approval as needed.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Investment in ATC. </w:t>
      </w:r>
      <w:r>
        <w:rPr>
          <w:rFonts w:ascii="Times New Roman" w:cs="Times New Roman" w:eastAsia="Times New Roman" w:hAnsi="Times New Roman"/>
          <w:sz w:val="18"/>
          <w:szCs w:val="18"/>
          <w:color w:val="auto"/>
        </w:rPr>
        <w:t>In February 2007, we completed our $60 million investment in ATC. As of September 30, 2007, our equity investment was $65.0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representing an 8.1 percent ownership interest. As opportunities arise, we plan to make additional investments in ATC through general capital calls based upon our pro-rata ownership interest in ATC. (See Note 3.)</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Real Estate. </w:t>
      </w:r>
      <w:r>
        <w:rPr>
          <w:rFonts w:ascii="Times New Roman" w:cs="Times New Roman" w:eastAsia="Times New Roman" w:hAnsi="Times New Roman"/>
          <w:sz w:val="18"/>
          <w:szCs w:val="18"/>
          <w:color w:val="auto"/>
        </w:rPr>
        <w:t>In June 2005, we began selling property from our Town Center development project. In August 2006, we began selling property from our Palm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Coast Park development project. Since land is being sold before completion of the project infrastructure, revenue and cost of real estate sold are recorded using a percentage-of-completion method. As of September 30, 2007, we had $5.3 million ($7.5 million revenue; $1.9 million cost of real estate sold; $0.3 million selling expense) of deferred profit on sales of real estate, before taxes and minority interest, on our consolidated balance sheet. The majority of deferred profit relates to sales at Town Center.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Pending Contracts </w:t>
            </w:r>
            <w:r>
              <w:rPr>
                <w:rFonts w:ascii="Times New Roman" w:cs="Times New Roman" w:eastAsia="Times New Roman" w:hAnsi="Times New Roman"/>
                <w:sz w:val="16"/>
                <w:szCs w:val="16"/>
                <w:b w:val="1"/>
                <w:bCs w:val="1"/>
                <w:i w:val="1"/>
                <w:iCs w:val="1"/>
                <w:color w:val="auto"/>
              </w:rPr>
              <w:t>(a, b)</w:t>
            </w:r>
          </w:p>
        </w:tc>
        <w:tc>
          <w:tcPr>
            <w:tcW w:w="4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 xml:space="preserve">Quantity </w:t>
            </w:r>
            <w:r>
              <w:rPr>
                <w:rFonts w:ascii="Times New Roman" w:cs="Times New Roman" w:eastAsia="Times New Roman" w:hAnsi="Times New Roman"/>
                <w:sz w:val="16"/>
                <w:szCs w:val="16"/>
                <w:b w:val="1"/>
                <w:bCs w:val="1"/>
                <w:i w:val="1"/>
                <w:iCs w:val="1"/>
                <w:color w:val="auto"/>
              </w:rPr>
              <w:t>(c)</w:t>
            </w: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Contract</w:t>
            </w:r>
          </w:p>
        </w:tc>
        <w:tc>
          <w:tcPr>
            <w:tcW w:w="0" w:type="dxa"/>
            <w:vAlign w:val="bottom"/>
          </w:tcPr>
          <w:p>
            <w:pPr>
              <w:spacing w:after="0"/>
              <w:rPr>
                <w:sz w:val="1"/>
                <w:szCs w:val="1"/>
                <w:color w:val="auto"/>
              </w:rPr>
            </w:pPr>
          </w:p>
        </w:tc>
      </w:tr>
      <w:tr>
        <w:trPr>
          <w:trHeight w:val="225"/>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At September 30, 2007</w:t>
            </w:r>
          </w:p>
        </w:tc>
        <w:tc>
          <w:tcPr>
            <w:tcW w:w="48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Sales Price</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Town Center</w:t>
            </w:r>
          </w:p>
        </w:tc>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Sq. Ft.</w:t>
            </w:r>
          </w:p>
        </w:tc>
        <w:tc>
          <w:tcPr>
            <w:tcW w:w="4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331,724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0"/>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 Units</w:t>
            </w:r>
          </w:p>
        </w:tc>
        <w:tc>
          <w:tcPr>
            <w:tcW w:w="4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34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Palm Coast Park</w:t>
            </w:r>
          </w:p>
        </w:tc>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Sq. Ft.</w:t>
            </w:r>
          </w:p>
        </w:tc>
        <w:tc>
          <w:tcPr>
            <w:tcW w:w="4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 Units</w:t>
            </w:r>
          </w:p>
        </w:tc>
        <w:tc>
          <w:tcPr>
            <w:tcW w:w="4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1,981</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343"/>
        </w:trPr>
        <w:tc>
          <w:tcPr>
            <w:tcW w:w="5300" w:type="dxa"/>
            <w:vAlign w:val="bottom"/>
          </w:tcPr>
          <w:p>
            <w:pPr>
              <w:spacing w:after="0"/>
              <w:rPr>
                <w:sz w:val="20"/>
                <w:szCs w:val="20"/>
                <w:color w:val="auto"/>
              </w:rPr>
            </w:pPr>
            <w:r>
              <w:rPr>
                <w:rFonts w:ascii="Times New Roman" w:cs="Times New Roman" w:eastAsia="Times New Roman" w:hAnsi="Times New Roman"/>
                <w:sz w:val="16"/>
                <w:szCs w:val="16"/>
                <w:color w:val="auto"/>
              </w:rPr>
              <w:t>Other Land</w:t>
            </w:r>
          </w:p>
        </w:tc>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Acres</w:t>
            </w:r>
          </w:p>
        </w:tc>
        <w:tc>
          <w:tcPr>
            <w:tcW w:w="4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40"/>
        </w:trPr>
        <w:tc>
          <w:tcPr>
            <w:tcW w:w="530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40" w:hanging="332"/>
        <w:spacing w:after="0" w:line="270" w:lineRule="auto"/>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During the first nine months of 2007, there were two contracts canceled at Town Center ($3.2 million) and three contracts canceled at Lehigh ($3.7 million) in the “Other Land” category above.</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Pending contracts are contracts for which the due diligence period has ended, and the contract deposit is non-refundable subject to performance by the seller.</w:t>
      </w:r>
    </w:p>
    <w:p>
      <w:pPr>
        <w:spacing w:after="0" w:line="18" w:lineRule="exact"/>
        <w:rPr>
          <w:rFonts w:ascii="Times New Roman" w:cs="Times New Roman" w:eastAsia="Times New Roman" w:hAnsi="Times New Roman"/>
          <w:sz w:val="16"/>
          <w:szCs w:val="16"/>
          <w:i w:val="1"/>
          <w:iCs w:val="1"/>
          <w:color w:val="auto"/>
        </w:rPr>
      </w:pPr>
    </w:p>
    <w:p>
      <w:pPr>
        <w:jc w:val="both"/>
        <w:ind w:left="340" w:hanging="332"/>
        <w:spacing w:after="0" w:line="276" w:lineRule="auto"/>
        <w:tabs>
          <w:tab w:leader="none" w:pos="34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Acreage amounts are approximate and shown on a gross basis, including wetlands and minority interest. Acreage amounts may vary due to platting or surveying activity. Wetland amounts vary by property and are often not formally determined prior to sale. Commercial square feet and residential units are estimated and include minority interest. The actual property allocation at full build-out may be different than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(Continued)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2007, total pending land sales under contract were $73.2 million ($113.8 million at December 31, 2006) and are anticipated to close at various times through 2012. Pending land sales under contract for properties at Town Center and Palm Coast Park totaled $24.7 million ($40.1 million at December 31, 2006) and $39.1 million ($62.8 million at December 31, 2006), respectively. Prices on these contracts range from $20 to $42 per commercial square foot, $8,000 to $30,000 per residential unit and $11,000 to $300,000 per acre for all other properties. Prices per acre are stated on a gross acreage basis and are dependent on the type and location of the properties sold. The majority of the other properties under contract are zoned commercial or mixed use. In addition to minimum-base price contracts, certain contracts allow us to receive participation revenue from land sales to third parties if various formula-based criteria are achieved.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main decrease in pending land sales under contract is due to two large sales that closed during the second quarter of 2007 and five contract cancellations. In April 2007, Palm Coast Center, LLC and Target Corporation closed for $12.6 million at Town Center and in June 2007, LRCF Palm Coast, LLC (Lowe Enterprises) closed on the first parcel of the Sawmill Creek project at Palm Coast Park for $13.1 million pursuant to revised contract terms. Under the amended contract, the total purchase price under contract was reduced from $52.5 million to $42.0 million. In addition to the base price, the amended contract allows us to receive participation revenue from land sales to third parties if various formula based criteria are achieved. Current contract terms with Lowe Enterprises allow for extensions on the remaining three closings. The closings are expected to occur through 2011. During the first nine months of 2007, there were two contracts canceled at Town Center ($3.2 million) and three contracts canceled at Lehigh ($3.7 million). The three contract cancellations at Lehigh are included in the “Other Land” category. These contracts were all signed in the first half of 2007.</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purchaser defaults under terms of a contract, our remedies generally include retention of the purchaser’s deposit and the ability to remarket the property to other prospective buyers. In many cases, the purchaser has also incurred significant costs in planning, designing and marketing of the property under contract before the contract closes.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Conditions in the Florida real estate market may fluctuate over time and have been difficult in 2007. The difficult market conditions for Florida real estate have not improved, and we saw further market deterioration in the third quarter.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unable to predict when the Florida real estate market will begin to improve, we expect that our Real Estate business will continue to be not only profitable, but a significant contributor to ALLETE’s on-going earnings stream. We believe the Palm Coast area will continue to experience above average long-term population growth, and our already entitled inventory of mixed-use land in that area will continue to be attractive to buyers in northeastern Florida.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(Continued)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Development Projects</w:t>
            </w:r>
          </w:p>
        </w:tc>
        <w:tc>
          <w:tcPr>
            <w:tcW w:w="2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2840" w:type="dxa"/>
            <w:vAlign w:val="bottom"/>
          </w:tcPr>
          <w:p>
            <w:pPr>
              <w:spacing w:after="0"/>
              <w:rPr>
                <w:sz w:val="17"/>
                <w:szCs w:val="17"/>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4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2007</w:t>
            </w:r>
          </w:p>
        </w:tc>
        <w:tc>
          <w:tcPr>
            <w:tcW w:w="28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4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 xml:space="preserve">Acres </w:t>
            </w:r>
            <w:r>
              <w:rPr>
                <w:rFonts w:ascii="Times New Roman" w:cs="Times New Roman" w:eastAsia="Times New Roman" w:hAnsi="Times New Roman"/>
                <w:sz w:val="16"/>
                <w:szCs w:val="16"/>
                <w:b w:val="1"/>
                <w:bCs w:val="1"/>
                <w:i w:val="1"/>
                <w:iCs w:val="1"/>
                <w:color w:val="auto"/>
              </w:rPr>
              <w:t>(a)</w:t>
            </w:r>
          </w:p>
        </w:tc>
        <w:tc>
          <w:tcPr>
            <w:tcW w:w="14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 xml:space="preserve">Units </w:t>
            </w:r>
            <w:r>
              <w:rPr>
                <w:rFonts w:ascii="Times New Roman" w:cs="Times New Roman" w:eastAsia="Times New Roman" w:hAnsi="Times New Roman"/>
                <w:sz w:val="16"/>
                <w:szCs w:val="16"/>
                <w:b w:val="1"/>
                <w:bCs w:val="1"/>
                <w:i w:val="1"/>
                <w:iCs w:val="1"/>
                <w:color w:val="auto"/>
              </w:rPr>
              <w:t>(b)</w:t>
            </w:r>
          </w:p>
        </w:tc>
        <w:tc>
          <w:tcPr>
            <w:tcW w:w="14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 xml:space="preserve">Sq. Ft. </w:t>
            </w:r>
            <w:r>
              <w:rPr>
                <w:rFonts w:ascii="Times New Roman" w:cs="Times New Roman" w:eastAsia="Times New Roman" w:hAnsi="Times New Roman"/>
                <w:sz w:val="16"/>
                <w:szCs w:val="16"/>
                <w:b w:val="1"/>
                <w:bCs w:val="1"/>
                <w:i w:val="1"/>
                <w:iCs w:val="1"/>
                <w:color w:val="auto"/>
              </w:rPr>
              <w:t>(b, c)</w:t>
            </w: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Town Center</w:t>
            </w:r>
          </w:p>
        </w:tc>
        <w:tc>
          <w:tcPr>
            <w:tcW w:w="2840" w:type="dxa"/>
            <w:vAlign w:val="bottom"/>
          </w:tcPr>
          <w:p>
            <w:pPr>
              <w:jc w:val="center"/>
              <w:ind w:left="1339"/>
              <w:spacing w:after="0"/>
              <w:rPr>
                <w:sz w:val="20"/>
                <w:szCs w:val="20"/>
                <w:color w:val="auto"/>
              </w:rPr>
            </w:pPr>
            <w:r>
              <w:rPr>
                <w:rFonts w:ascii="Times New Roman" w:cs="Times New Roman" w:eastAsia="Times New Roman" w:hAnsi="Times New Roman"/>
                <w:sz w:val="16"/>
                <w:szCs w:val="16"/>
                <w:color w:val="auto"/>
              </w:rPr>
              <w:t>80%</w:t>
            </w: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At December 31, 2006</w:t>
            </w:r>
          </w:p>
        </w:tc>
        <w:tc>
          <w:tcPr>
            <w:tcW w:w="28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1,356</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2,222</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Sold</w:t>
            </w:r>
          </w:p>
        </w:tc>
        <w:tc>
          <w:tcPr>
            <w:tcW w:w="28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28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1,282</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2,269</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2,282,522</w:t>
            </w:r>
          </w:p>
        </w:tc>
        <w:tc>
          <w:tcPr>
            <w:tcW w:w="0" w:type="dxa"/>
            <w:vAlign w:val="bottom"/>
          </w:tcPr>
          <w:p>
            <w:pPr>
              <w:spacing w:after="0"/>
              <w:rPr>
                <w:sz w:val="1"/>
                <w:szCs w:val="1"/>
                <w:color w:val="auto"/>
              </w:rPr>
            </w:pPr>
          </w:p>
        </w:tc>
      </w:tr>
      <w:tr>
        <w:trPr>
          <w:trHeight w:val="40"/>
        </w:trPr>
        <w:tc>
          <w:tcPr>
            <w:tcW w:w="416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Palm Coast Park</w:t>
            </w:r>
          </w:p>
        </w:tc>
        <w:tc>
          <w:tcPr>
            <w:tcW w:w="2840" w:type="dxa"/>
            <w:vAlign w:val="bottom"/>
            <w:tcBorders>
              <w:top w:val="single" w:sz="8" w:color="auto"/>
            </w:tcBorders>
          </w:tcPr>
          <w:p>
            <w:pPr>
              <w:jc w:val="center"/>
              <w:ind w:left="1339"/>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At December 31, 2006</w:t>
            </w:r>
          </w:p>
        </w:tc>
        <w:tc>
          <w:tcPr>
            <w:tcW w:w="28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4,337</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3,760</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Sold</w:t>
            </w:r>
          </w:p>
        </w:tc>
        <w:tc>
          <w:tcPr>
            <w:tcW w:w="28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(863)</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28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3,586</w:t>
            </w: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3,354</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3,116,800</w:t>
            </w:r>
          </w:p>
        </w:tc>
        <w:tc>
          <w:tcPr>
            <w:tcW w:w="0" w:type="dxa"/>
            <w:vAlign w:val="bottom"/>
          </w:tcPr>
          <w:p>
            <w:pPr>
              <w:spacing w:after="0"/>
              <w:rPr>
                <w:sz w:val="1"/>
                <w:szCs w:val="1"/>
                <w:color w:val="auto"/>
              </w:rPr>
            </w:pPr>
          </w:p>
        </w:tc>
      </w:tr>
      <w:tr>
        <w:trPr>
          <w:trHeight w:val="40"/>
        </w:trPr>
        <w:tc>
          <w:tcPr>
            <w:tcW w:w="416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Ormond Crossings</w:t>
            </w:r>
          </w:p>
        </w:tc>
        <w:tc>
          <w:tcPr>
            <w:tcW w:w="2840" w:type="dxa"/>
            <w:vAlign w:val="bottom"/>
            <w:tcBorders>
              <w:top w:val="single" w:sz="8" w:color="auto"/>
            </w:tcBorders>
          </w:tcPr>
          <w:p>
            <w:pPr>
              <w:jc w:val="center"/>
              <w:ind w:left="1339"/>
              <w:spacing w:after="0"/>
              <w:rPr>
                <w:sz w:val="20"/>
                <w:szCs w:val="20"/>
                <w:color w:val="auto"/>
              </w:rPr>
            </w:pPr>
            <w:r>
              <w:rPr>
                <w:rFonts w:ascii="Times New Roman" w:cs="Times New Roman" w:eastAsia="Times New Roman" w:hAnsi="Times New Roman"/>
                <w:sz w:val="16"/>
                <w:szCs w:val="16"/>
                <w:color w:val="auto"/>
              </w:rPr>
              <w:t>100%</w:t>
            </w:r>
          </w:p>
        </w:tc>
        <w:tc>
          <w:tcPr>
            <w:tcW w:w="14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vMerge w:val="restart"/>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(d)</w:t>
            </w: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At December 31, 2006</w:t>
            </w:r>
          </w:p>
        </w:tc>
        <w:tc>
          <w:tcPr>
            <w:tcW w:w="2840" w:type="dxa"/>
            <w:vAlign w:val="bottom"/>
          </w:tcPr>
          <w:p>
            <w:pPr>
              <w:spacing w:after="0"/>
              <w:rPr>
                <w:sz w:val="17"/>
                <w:szCs w:val="17"/>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5,960</w:t>
            </w:r>
          </w:p>
        </w:tc>
        <w:tc>
          <w:tcPr>
            <w:tcW w:w="1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284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5,968</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40" w:hanging="332"/>
        <w:spacing w:after="0" w:line="270"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Estimated and includes minority interest. The actual property breakdown at full build-out may be different than these estimates.</w:t>
      </w:r>
    </w:p>
    <w:p>
      <w:pPr>
        <w:spacing w:after="0" w:line="18"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industrial, office, institutional and retail square footage.</w:t>
      </w:r>
    </w:p>
    <w:p>
      <w:pPr>
        <w:spacing w:after="0" w:line="18" w:lineRule="exact"/>
        <w:rPr>
          <w:rFonts w:ascii="Times New Roman" w:cs="Times New Roman" w:eastAsia="Times New Roman" w:hAnsi="Times New Roman"/>
          <w:sz w:val="16"/>
          <w:szCs w:val="16"/>
          <w:i w:val="1"/>
          <w:iCs w:val="1"/>
          <w:color w:val="auto"/>
        </w:rPr>
      </w:pPr>
    </w:p>
    <w:p>
      <w:pPr>
        <w:jc w:val="both"/>
        <w:ind w:left="340" w:hanging="332"/>
        <w:spacing w:after="0" w:line="276" w:lineRule="auto"/>
        <w:tabs>
          <w:tab w:leader="none" w:pos="34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 development order approval from the City of Ormond Beach was received in December 2006, for up to 3,700 residential units and 5 million commercial square feet. A development order from Flagler County is currently under review, and if approved, Ormond Crossings will receive entitlements for up to 700 additional residential units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Actual build-out, however, will consider market demand as well as infrastructure and mitigation costs.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Summary of Other Land Inventories</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2007</w:t>
            </w:r>
          </w:p>
        </w:tc>
        <w:tc>
          <w:tcPr>
            <w:tcW w:w="18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Mixed Use</w:t>
            </w:r>
          </w:p>
        </w:tc>
        <w:tc>
          <w:tcPr>
            <w:tcW w:w="12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3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2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Agricultural</w:t>
            </w:r>
          </w:p>
        </w:tc>
      </w:tr>
      <w:tr>
        <w:trPr>
          <w:trHeight w:val="214"/>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Acres </w:t>
            </w:r>
            <w:r>
              <w:rPr>
                <w:rFonts w:ascii="Times New Roman" w:cs="Times New Roman" w:eastAsia="Times New Roman" w:hAnsi="Times New Roman"/>
                <w:sz w:val="16"/>
                <w:szCs w:val="16"/>
                <w:b w:val="1"/>
                <w:bCs w:val="1"/>
                <w:i w:val="1"/>
                <w:iCs w:val="1"/>
                <w:color w:val="auto"/>
              </w:rPr>
              <w:t>(a)</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25"/>
        </w:trPr>
        <w:tc>
          <w:tcPr>
            <w:tcW w:w="3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Palm Coast Holdings</w:t>
            </w:r>
          </w:p>
        </w:tc>
        <w:tc>
          <w:tcPr>
            <w:tcW w:w="186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80%</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At December 31, 2006</w:t>
            </w:r>
          </w:p>
        </w:tc>
        <w:tc>
          <w:tcPr>
            <w:tcW w:w="18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1,404</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346</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0"/>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Sold</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(474)</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40"/>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40"/>
        </w:trPr>
        <w:tc>
          <w:tcPr>
            <w:tcW w:w="338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Lehigh</w:t>
            </w:r>
          </w:p>
        </w:tc>
        <w:tc>
          <w:tcPr>
            <w:tcW w:w="186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80%</w:t>
            </w:r>
          </w:p>
        </w:tc>
        <w:tc>
          <w:tcPr>
            <w:tcW w:w="10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At December 31, 2006</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0"/>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0"/>
        </w:trPr>
        <w:tc>
          <w:tcPr>
            <w:tcW w:w="338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Cape Coral</w:t>
            </w:r>
          </w:p>
        </w:tc>
        <w:tc>
          <w:tcPr>
            <w:tcW w:w="186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100%</w:t>
            </w:r>
          </w:p>
        </w:tc>
        <w:tc>
          <w:tcPr>
            <w:tcW w:w="10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At December 31, 2006</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Sold</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0"/>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0"/>
        </w:trPr>
        <w:tc>
          <w:tcPr>
            <w:tcW w:w="3380" w:type="dxa"/>
            <w:vAlign w:val="bottom"/>
            <w:gridSpan w:val="2"/>
          </w:tcPr>
          <w:p>
            <w:pPr>
              <w:spacing w:after="0"/>
              <w:rPr>
                <w:sz w:val="3"/>
                <w:szCs w:val="3"/>
                <w:color w:val="auto"/>
              </w:rPr>
            </w:pPr>
          </w:p>
        </w:tc>
        <w:tc>
          <w:tcPr>
            <w:tcW w:w="1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6"/>
                <w:szCs w:val="16"/>
                <w:i w:val="1"/>
                <w:iCs w:val="1"/>
                <w:color w:val="auto"/>
              </w:rPr>
              <w:t>(b)</w:t>
            </w:r>
          </w:p>
        </w:tc>
        <w:tc>
          <w:tcPr>
            <w:tcW w:w="186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100%</w:t>
            </w:r>
          </w:p>
        </w:tc>
        <w:tc>
          <w:tcPr>
            <w:tcW w:w="10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At December 31, 2006</w:t>
            </w:r>
          </w:p>
        </w:tc>
        <w:tc>
          <w:tcPr>
            <w:tcW w:w="18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934</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r>
      <w:tr>
        <w:trPr>
          <w:trHeight w:val="210"/>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Sold</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(364)</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r>
      <w:tr>
        <w:trPr>
          <w:trHeight w:val="216"/>
        </w:trPr>
        <w:tc>
          <w:tcPr>
            <w:tcW w:w="20" w:type="dxa"/>
            <w:vAlign w:val="bottom"/>
          </w:tcPr>
          <w:p>
            <w:pPr>
              <w:spacing w:after="0"/>
              <w:rPr>
                <w:sz w:val="18"/>
                <w:szCs w:val="18"/>
                <w:color w:val="auto"/>
              </w:rPr>
            </w:pPr>
          </w:p>
        </w:tc>
        <w:tc>
          <w:tcPr>
            <w:tcW w:w="3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Change in Estimate </w:t>
            </w:r>
            <w:r>
              <w:rPr>
                <w:rFonts w:ascii="Times New Roman" w:cs="Times New Roman" w:eastAsia="Times New Roman" w:hAnsi="Times New Roman"/>
                <w:sz w:val="16"/>
                <w:szCs w:val="16"/>
                <w:i w:val="1"/>
                <w:iCs w:val="1"/>
                <w:color w:val="auto"/>
              </w:rPr>
              <w:t>(a)</w:t>
            </w: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40"/>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40"/>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227" w:lineRule="exact"/>
        <w:rPr>
          <w:sz w:val="20"/>
          <w:szCs w:val="20"/>
          <w:color w:val="auto"/>
        </w:rPr>
      </w:pPr>
    </w:p>
    <w:p>
      <w:pPr>
        <w:jc w:val="both"/>
        <w:ind w:left="340" w:hanging="332"/>
        <w:spacing w:after="0" w:line="297" w:lineRule="auto"/>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Acreage amounts are approximate and shown on a gross basis, including wetlands and minority interest. Acreage amounts may vary due to platting or surveying activity. Wetland amounts vary by property and are often not formally determined prior to sale. The actual property allocation at full build-out may be different than these estimates.</w:t>
      </w:r>
    </w:p>
    <w:p>
      <w:pPr>
        <w:spacing w:after="0" w:line="162"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land located in Palm Coast, Florida not included in development projects.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ectPr>
          <w:pgSz w:w="11900" w:h="16838" w:orient="portrait"/>
          <w:cols w:equalWidth="0" w:num="1">
            <w:col w:w="11420"/>
          </w:cols>
          <w:pgMar w:left="240" w:top="360" w:right="239" w:bottom="1440" w:gutter="0" w:footer="0" w:header="0"/>
        </w:sectPr>
      </w:pP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OUTLOOK (Continued)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ALLETE’s aggregate federal and multi-state statutory tax rate is approximately 40% for 2007. On an ongoing basis, ALLETE has tax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tax adjustments that reduce the statutory rate to the expected annual effective tax rate. These tax credits and adjustments historically have included items such as investment tax credits, AFUDC, domestic manufacturer’s deduction, depletion allowances, as well as other items. The annual effective rate is also impacted by such items as changes in income from operations before minority interest, state and federal tax law changes that become effective during the year, business combinations, tax planning initiatives and resolution of prior years’ tax matters.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effective tax rate is currently estimated to be between 35% and 36% for 2007. At June 30, 2007, the annual effective tax rate was estimated to be 37%. The decrease in the projected annual effective tax rate is due to an estimated increase in the benefit of the domestic manufacturer’s deduction and tax planning initiatives.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financial condition is strong, as evidenced by cash and cash equivalents and short-term investments of $131.8 million, and a debt to total capital ratio of 38 percent at September 30, 2007.</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Activities. </w:t>
      </w:r>
      <w:r>
        <w:rPr>
          <w:rFonts w:ascii="Times New Roman" w:cs="Times New Roman" w:eastAsia="Times New Roman" w:hAnsi="Times New Roman"/>
          <w:sz w:val="18"/>
          <w:szCs w:val="18"/>
          <w:color w:val="auto"/>
        </w:rPr>
        <w:t>Cash flow from operating activities was $98.4 million for the nine months ended September 30, 2007 ($90.5 million for the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2006). Cash flow from operating activities was higher in 2007, primarily due to increased earnings from continuing operations compared to 2006 and no cash used for discontinued operations in 2007. Cash used for discontinued operations was higher in 2006 due to the payment of $13.1 million of accrued liabilities from 2005. Deferred income taxes was higher in 2006 due to the $24.3 million deferred federal tax refund received related to the Kendall County charge.</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Investing Activities. </w:t>
      </w:r>
      <w:r>
        <w:rPr>
          <w:rFonts w:ascii="Times New Roman" w:cs="Times New Roman" w:eastAsia="Times New Roman" w:hAnsi="Times New Roman"/>
          <w:sz w:val="18"/>
          <w:szCs w:val="18"/>
          <w:color w:val="auto"/>
        </w:rPr>
        <w:t>Cash flow used in investing activities was $116.2 million for the nine months ended September 30, 2007 ($101.6 million for the nine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2006). Cash used in investing activities was higher in 2007 due to additions to property, plant and equipment and was offset by activity within our short-term investment portfolio. Additions to property, plant and equipment were higher in 2007 than 2006 by $83.4 million primarily due to major environmental construction projects. Activity within our short-term investment portfolio reflected increased net sales of short-term investments of $34.1 million in 2007, while 2006 included $4.7 million of net purchases.</w:t>
      </w:r>
    </w:p>
    <w:p>
      <w:pPr>
        <w:spacing w:after="0" w:line="2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Financing Activities. </w:t>
      </w:r>
      <w:r>
        <w:rPr>
          <w:rFonts w:ascii="Times New Roman" w:cs="Times New Roman" w:eastAsia="Times New Roman" w:hAnsi="Times New Roman"/>
          <w:sz w:val="18"/>
          <w:szCs w:val="18"/>
          <w:color w:val="auto"/>
        </w:rPr>
        <w:t>Cash flow from financing activities was $34.4 million for the nine months ended September 30, 2007 (used for financing activities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$27.1 million for the nine months ended September 30, 2006). The increase in cash flows from financing activities is due to $50 million of unsecured notes issued in the private placement market in June 2007. (See Securities below and Note 4.)</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Working Capital. </w:t>
      </w:r>
      <w:r>
        <w:rPr>
          <w:rFonts w:ascii="Times New Roman" w:cs="Times New Roman" w:eastAsia="Times New Roman" w:hAnsi="Times New Roman"/>
          <w:sz w:val="18"/>
          <w:szCs w:val="18"/>
          <w:color w:val="auto"/>
        </w:rPr>
        <w:t>Additional working capital, if and when needed, generally is provided by the sale of commercial paper. We have 0.2 million original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of our common stock available for issuance through </w:t>
      </w:r>
      <w:r>
        <w:rPr>
          <w:rFonts w:ascii="Times New Roman" w:cs="Times New Roman" w:eastAsia="Times New Roman" w:hAnsi="Times New Roman"/>
          <w:sz w:val="18"/>
          <w:szCs w:val="18"/>
          <w:i w:val="1"/>
          <w:iCs w:val="1"/>
          <w:color w:val="auto"/>
        </w:rPr>
        <w:t>Invest Direct</w:t>
      </w:r>
      <w:r>
        <w:rPr>
          <w:rFonts w:ascii="Times New Roman" w:cs="Times New Roman" w:eastAsia="Times New Roman" w:hAnsi="Times New Roman"/>
          <w:sz w:val="18"/>
          <w:szCs w:val="18"/>
          <w:color w:val="auto"/>
        </w:rPr>
        <w:t>, our direct stock purchase and dividend reinvestment plan. We have bank lines of credit aggregating $170.0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8, 2007, we issued $50 million of senior unsecured notes (Notes) in the private placement market. The Notes bear an interest rate of 5.99 percent and will mature on June 1, 2017. The Company has the option to prepay all or a portion of the Notes at its discretion, subject to a make-whole provision. The Company intends to use the proceeds from the sale of the Notes to fund utility capital projects and for general corporate purposes.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SWL&amp;P, the City of Superior, Wisconsin, issued $6.4 million in principal amount of Collateralized Utility Revenue Refunding Bonds (Series A Bonds) and $6.1 million of Collateralized Utility Revenue Bonds (Series B Bonds) on October 3, 2007. The Series A Bonds bear an interest rate of 5.375% and will mature on November 1, 2021. The proceeds, together with other funds, were used to redeem $6.5 million of existing 6.125% bonds. The Series B Bonds bear an interest rate of 5.75% and will mature on November 1, 2037. The proceeds will be used to fund qualifying electric and gas projects.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Off-balance sheet arrangements are summarized in our 2006 Form 10-K, with additional disclosure discussed in Note 11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2007, additions to property, plant and equipment for continuing operations totaled $136.7 million ($53.3 million in 2006), which were spent in the Regulated Utility segment using a combination of internally generated funds and debt issuances.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development expenditures are and will be funded with a revolving development loan, tax-exempt bonds issued by community development districts and internally generated funds. Additional disclosure regarding the Town Center and Palm Coast Park district tax-exempt bonds is included in Note 11 of this Form 10-Q.</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AND OTHER</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discussed in our Critical Accounting Policies section, 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11 of this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standards are discussed in Note 1.</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INVESTMENTS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Available-For-Sale Securities. </w:t>
      </w:r>
      <w:r>
        <w:rPr>
          <w:rFonts w:ascii="Times New Roman" w:cs="Times New Roman" w:eastAsia="Times New Roman" w:hAnsi="Times New Roman"/>
          <w:sz w:val="18"/>
          <w:szCs w:val="18"/>
          <w:color w:val="auto"/>
        </w:rPr>
        <w:t>As of September 30, 2007, our available-for-sale securities portfolio consisted of securities in a grantor trust established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certain employee benefits included in Investments, and various auction rate bonds and variable rate demand notes included in Short-Term Investments. Our available-for-sale securities portfolio had a fair value of $99.7 million at September 30, 2007 ($130.1 million at December 31, 2006) and a total unrealized after-tax gain of $4.4 million at September 30, 2007 ($4.0 million at December 31, 2006).</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September 30, 2007.</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Emerging Technology Portfolio. </w:t>
      </w:r>
      <w:r>
        <w:rPr>
          <w:rFonts w:ascii="Times New Roman" w:cs="Times New Roman" w:eastAsia="Times New Roman" w:hAnsi="Times New Roman"/>
          <w:sz w:val="18"/>
          <w:szCs w:val="18"/>
          <w:color w:val="auto"/>
        </w:rPr>
        <w:t>As part of our emerging technology portfolio, we have several minority investments in venture capital funds and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in privately-held, start-up companies. We account for our investments in venture capital funds under the equity method and account for our direct investments in privately-held companies under the cost method based primarily on our ownership percentages. The total carrying value of our emerging technology portfolio was $8.3 million at September 30, 2007 ($9.2 million at December 31, 2006). Our policy is to review these investments quarterly for impairment by assessing such factors as continued commercial viability of products, cash flow and earnings. Any impairment would reduce the carrying value of the investment. As a result of our periodic assessments, we did not record any impairments on our emerging technology portfolio for the quarter ended September 30, 2007. Our basis in direct investments in privately-held companies included in the emerging technology portfolio was zero at both September 30, 2007 and December 31, 2006.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1" w:name="page32"/>
    <w:bookmarkEnd w:id="3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MARKETING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typically sold in the MISO market at market prices.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200 MW of generation from our Taconite Harbor facility in northern Minnesota has been sold through various long-term capacity and energy contracts. Long-term, we have entered into two capacity and energy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50-MW capacity and energy sales contract that extends through April 2008, with formula pricing based on variable production cost of a combustion-turbine, natural gas unit.</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As of September 30, 2007, evaluations were performed, under the supervision and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and principal financial officer, to allow timely decisions regarding required disclosure.</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Controls. </w:t>
      </w:r>
      <w:r>
        <w:rPr>
          <w:rFonts w:ascii="Times New Roman" w:cs="Times New Roman" w:eastAsia="Times New Roman" w:hAnsi="Times New Roman"/>
          <w:sz w:val="18"/>
          <w:szCs w:val="18"/>
          <w:color w:val="auto"/>
        </w:rPr>
        <w:t>While we continue to enhance our internal control over financial reporting, there has been no change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2" w:name="page33"/>
    <w:bookmarkEnd w:id="3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Material legal and regulatory proceedings are included in the discussion of Other Information in Part II, Item 5 and/or Note 11 of this Form 10-Q, and are incorporated by reference herein.</w:t>
      </w: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under the heading “Risk Factors” in Part I, Item 1A of our 2006 Form 10-K.</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made to our 2006 Form 10-K for background information on the following updates. Unless otherwise indicated, cited references are to our 2006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Page 8 – Minimum Revenue and Demand Under Contract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Form 10-Q for the Quarter Ended March 31, 2007, Page 26 – Item 5, Other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Revenue and Demand Under Contract</w:t>
            </w:r>
          </w:p>
        </w:tc>
        <w:tc>
          <w:tcPr>
            <w:tcW w:w="39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w:t>
            </w:r>
          </w:p>
        </w:tc>
      </w:tr>
      <w:tr>
        <w:trPr>
          <w:trHeight w:val="245"/>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September 30, 2007</w:t>
            </w:r>
          </w:p>
        </w:tc>
        <w:tc>
          <w:tcPr>
            <w:tcW w:w="390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Annual Revenue (a, b)</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Megawatts</w:t>
            </w:r>
          </w:p>
        </w:tc>
      </w:tr>
      <w:tr>
        <w:trPr>
          <w:trHeight w:val="34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$110.0</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$59.3</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$25.9</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2010</w:t>
            </w:r>
          </w:p>
        </w:tc>
        <w:tc>
          <w:tcPr>
            <w:tcW w:w="39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$25.5</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241"/>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2011</w:t>
            </w:r>
          </w:p>
        </w:tc>
        <w:tc>
          <w:tcPr>
            <w:tcW w:w="39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$23.3</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136</w:t>
            </w:r>
          </w:p>
        </w:tc>
      </w:tr>
    </w:tbl>
    <w:p>
      <w:pPr>
        <w:spacing w:after="0" w:line="133" w:lineRule="exact"/>
        <w:rPr>
          <w:sz w:val="20"/>
          <w:szCs w:val="20"/>
          <w:color w:val="auto"/>
        </w:rPr>
      </w:pPr>
    </w:p>
    <w:p>
      <w:pPr>
        <w:ind w:left="340" w:hanging="278"/>
        <w:spacing w:after="0"/>
        <w:tabs>
          <w:tab w:leader="none" w:pos="3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Based on past experience, we believe revenue from our large power customers will be substantially in excess of the minimum contract amounts.</w:t>
      </w:r>
    </w:p>
    <w:p>
      <w:pPr>
        <w:spacing w:after="0" w:line="28" w:lineRule="exact"/>
        <w:rPr>
          <w:rFonts w:ascii="Times New Roman" w:cs="Times New Roman" w:eastAsia="Times New Roman" w:hAnsi="Times New Roman"/>
          <w:sz w:val="16"/>
          <w:szCs w:val="16"/>
          <w:i w:val="1"/>
          <w:iCs w:val="1"/>
          <w:color w:val="auto"/>
        </w:rPr>
      </w:pPr>
    </w:p>
    <w:p>
      <w:pPr>
        <w:ind w:left="340" w:right="20" w:hanging="278"/>
        <w:spacing w:after="0" w:line="288" w:lineRule="auto"/>
        <w:tabs>
          <w:tab w:leader="none" w:pos="340" w:val="left"/>
        </w:tabs>
        <w:numPr>
          <w:ilvl w:val="0"/>
          <w:numId w:val="1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Although several contracts have a feature that allows demand to go to zero after a two-year advance notice of a permanent closure, this minimum revenue summary does not reflect this occurrence happening in the forecasted period because we believe it is unlikely.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Page 76 – Fuel Clause Recovery of MISO Day 2 Costs, First Full Paragraph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Form 10-Q for the Quarter Ended March 31, 2007, Page 27 – Item 5, Other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 Form 10-Q for the Quarter Ended June 30, 2007, Page 26 – Item 5, Other Information</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8, 2007, the Minnesota Office of Attorney General petitioned for reconsideration of the MPUC’s December 20, 2006, order. On February 15, 2007, the MPUC declined to address the Minnesota Office of Attorney General’s request for reconsideration. On April 10, 2007, the Minnesota Office of Attorney General filed an appeal with the Minnesota Court of Appeals. The appeal does not alter current cost recovery of MISO charges in accordance with the MPUC’s order. On June 25, 2007, the Office of Attorney General filed its initial brief. Reply briefs from the MPUC, Minnesota Power and other utilities were filed on July 30, 2007. The Minnesota Office of the Attorney General filed its surrebuttal brief on August 13, 2007, and the appeal awaits court scheduling.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ectPr>
          <w:pgSz w:w="11900" w:h="16838" w:orient="portrait"/>
          <w:cols w:equalWidth="0" w:num="1">
            <w:col w:w="11420"/>
          </w:cols>
          <w:pgMar w:left="240" w:top="360" w:right="239" w:bottom="1440" w:gutter="0" w:footer="0" w:header="0"/>
        </w:sectPr>
      </w:pPr>
    </w:p>
    <w:p>
      <w:pPr>
        <w:spacing w:after="0" w:line="4" w:lineRule="exact"/>
        <w:rPr>
          <w:sz w:val="20"/>
          <w:szCs w:val="20"/>
          <w:color w:val="auto"/>
        </w:rPr>
      </w:pPr>
    </w:p>
    <w:p>
      <w:pPr>
        <w:ind w:left="112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34"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color w:val="auto"/>
        </w:rPr>
        <w:t>Rule 13a-14(a)/15d-14(a) Certification by the Chief Executive Officer Pursuant to Section 302 of the Sarbanes-Oxley Act of 2002.</w:t>
      </w:r>
    </w:p>
    <w:p>
      <w:pPr>
        <w:spacing w:after="0" w:line="279" w:lineRule="exact"/>
        <w:rPr>
          <w:sz w:val="20"/>
          <w:szCs w:val="20"/>
          <w:color w:val="auto"/>
        </w:rPr>
      </w:pPr>
    </w:p>
    <w:p>
      <w:pPr>
        <w:ind w:left="340"/>
        <w:spacing w:after="0"/>
        <w:tabs>
          <w:tab w:leader="none" w:pos="112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color w:val="auto"/>
        </w:rPr>
        <w:t>Rule 13a-14(a)/15d-14(a) Certification by the Chief Financial Officer Pursuant to Section 302 of the Sarbanes-Oxley Act of 2002.</w:t>
      </w:r>
    </w:p>
    <w:p>
      <w:pPr>
        <w:spacing w:after="0" w:line="279" w:lineRule="exact"/>
        <w:rPr>
          <w:sz w:val="20"/>
          <w:szCs w:val="20"/>
          <w:color w:val="auto"/>
        </w:rPr>
      </w:pPr>
    </w:p>
    <w:p>
      <w:pPr>
        <w:ind w:left="1140" w:right="20" w:hanging="808"/>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 of Periodic Report by the Chief Executive Officer and Chief Financial Officer Pursuant to Section 906 of the Sarbanes-Oxley Act of 2002.</w:t>
      </w:r>
    </w:p>
    <w:p>
      <w:pPr>
        <w:spacing w:after="0" w:line="185" w:lineRule="exact"/>
        <w:rPr>
          <w:sz w:val="20"/>
          <w:szCs w:val="20"/>
          <w:color w:val="auto"/>
        </w:rPr>
      </w:pPr>
    </w:p>
    <w:p>
      <w:pPr>
        <w:jc w:val="both"/>
        <w:ind w:left="1140" w:hanging="808"/>
        <w:spacing w:after="0" w:line="268"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ALLETE News Release dated October 26, 2007, announcing 2007 third quarter earnings. </w:t>
      </w:r>
      <w:r>
        <w:rPr>
          <w:rFonts w:ascii="Times New Roman" w:cs="Times New Roman" w:eastAsia="Times New Roman" w:hAnsi="Times New Roman"/>
          <w:sz w:val="18"/>
          <w:szCs w:val="18"/>
          <w:b w:val="1"/>
          <w:bCs w:val="1"/>
          <w:color w:val="auto"/>
        </w:rPr>
        <w:t>(This exhibit has been furnished and shall 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color w:val="auto"/>
        </w:rPr>
        <w:t>SWL&amp;P is a party to other long-term debt instruments, $6,370,000 of City of Superior, Wisconsin, Collateralized Utility Revenue Refunding Bonds Series 2007A and $6,130,000 of City of Superior, Wisconsin, Collateralized Utility Revenue Bonds Series 2007B, that, pursuant to Regulation S-K, Item 601(b)(4)(iii), are not filed as exhibits since the total amount of debt authorized under each of these omitted instruments does not exceed 10% of our total consolidated assets. We will furnish copies of these instruments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4" w:name="page35"/>
    <w:bookmarkEnd w:id="34"/>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October 26, 2007</w:t>
      </w:r>
      <w:r>
        <w:rPr>
          <w:sz w:val="20"/>
          <w:szCs w:val="20"/>
          <w:color w:val="auto"/>
        </w:rPr>
        <w:tab/>
      </w:r>
      <w:r>
        <w:rPr>
          <w:rFonts w:ascii="Times New Roman" w:cs="Times New Roman" w:eastAsia="Times New Roman" w:hAnsi="Times New Roman"/>
          <w:sz w:val="17"/>
          <w:szCs w:val="17"/>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57632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3260" cy="17145"/>
                    </a:xfrm>
                    <a:prstGeom prst="rect">
                      <a:avLst/>
                    </a:prstGeom>
                    <a:noFill/>
                  </pic:spPr>
                </pic:pic>
              </a:graphicData>
            </a:graphic>
          </wp:anchor>
        </w:drawing>
      </w:r>
    </w:p>
    <w:p>
      <w:pPr>
        <w:spacing w:after="0" w:line="16"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color w:val="auto"/>
        </w:rPr>
        <w:t>Mark A. Schober</w:t>
      </w:r>
    </w:p>
    <w:p>
      <w:pPr>
        <w:spacing w:after="0" w:line="27"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18"/>
          <w:szCs w:val="18"/>
          <w:color w:val="auto"/>
        </w:rPr>
        <w:t>October 26, 2007</w:t>
      </w:r>
      <w:r>
        <w:rPr>
          <w:sz w:val="20"/>
          <w:szCs w:val="20"/>
          <w:color w:val="auto"/>
        </w:rPr>
        <w:tab/>
      </w:r>
      <w:r>
        <w:rPr>
          <w:rFonts w:ascii="Times New Roman" w:cs="Times New Roman" w:eastAsia="Times New Roman" w:hAnsi="Times New Roman"/>
          <w:sz w:val="17"/>
          <w:szCs w:val="17"/>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57632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3260" cy="17145"/>
                    </a:xfrm>
                    <a:prstGeom prst="rect">
                      <a:avLst/>
                    </a:prstGeom>
                    <a:noFill/>
                  </pic:spPr>
                </pic:pic>
              </a:graphicData>
            </a:graphic>
          </wp:anchor>
        </w:drawing>
      </w:r>
    </w:p>
    <w:p>
      <w:pPr>
        <w:spacing w:after="0" w:line="16"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color w:val="auto"/>
        </w:rPr>
        <w:t>Steven Q. DeVinck</w:t>
      </w:r>
    </w:p>
    <w:p>
      <w:pPr>
        <w:spacing w:after="0" w:line="27"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8"/>
          <w:szCs w:val="18"/>
          <w:color w:val="auto"/>
        </w:rPr>
        <w:t>Controller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ALLETE, Inc. 2007 Third Quarter 10-Q</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ALLETE Third Quarter 2007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Schober, of ALLETE, Inc. (ALLETE), certify that:</w:t>
      </w:r>
    </w:p>
    <w:p>
      <w:pPr>
        <w:spacing w:after="0" w:line="252" w:lineRule="exact"/>
        <w:rPr>
          <w:sz w:val="20"/>
          <w:szCs w:val="20"/>
          <w:color w:val="auto"/>
        </w:rPr>
      </w:pPr>
    </w:p>
    <w:p>
      <w:pPr>
        <w:ind w:left="340" w:hanging="233"/>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2007, of ALLETE;</w:t>
      </w:r>
    </w:p>
    <w:p>
      <w:pPr>
        <w:spacing w:after="0" w:line="252"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33"/>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 Rules 13a-15(e)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15d-1</w:t>
      </w:r>
      <w:r>
        <w:rPr>
          <w:rFonts w:ascii="Times New Roman" w:cs="Times New Roman" w:eastAsia="Times New Roman" w:hAnsi="Times New Roman"/>
          <w:sz w:val="18"/>
          <w:szCs w:val="18"/>
          <w:color w:val="auto"/>
        </w:rPr>
        <w:t>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8"/>
          <w:szCs w:val="18"/>
          <w:color w:val="auto"/>
        </w:rPr>
        <w:t>Date: October 26, 2007</w:t>
      </w:r>
      <w:r>
        <w:rPr>
          <w:sz w:val="20"/>
          <w:szCs w:val="20"/>
          <w:color w:val="auto"/>
        </w:rPr>
        <w:tab/>
      </w:r>
      <w:r>
        <w:rPr>
          <w:rFonts w:ascii="Times New Roman" w:cs="Times New Roman" w:eastAsia="Times New Roman" w:hAnsi="Times New Roman"/>
          <w:sz w:val="17"/>
          <w:szCs w:val="17"/>
          <w:u w:val="single" w:color="auto"/>
          <w:color w:val="auto"/>
        </w:rPr>
        <w:t>/s/ Mark A. Schober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Schober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ALLETE Third Quarter 2007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Schober, of ALLETE, Inc. (ALLETE), certify that:</w:t>
      </w:r>
    </w:p>
    <w:p>
      <w:pPr>
        <w:spacing w:after="0" w:line="252" w:lineRule="exact"/>
        <w:rPr>
          <w:sz w:val="20"/>
          <w:szCs w:val="20"/>
          <w:color w:val="auto"/>
        </w:rPr>
      </w:pPr>
    </w:p>
    <w:p>
      <w:pPr>
        <w:ind w:left="340" w:hanging="233"/>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2007, of ALLETE;</w:t>
      </w:r>
    </w:p>
    <w:p>
      <w:pPr>
        <w:spacing w:after="0" w:line="252"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233"/>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 Rules 13a-15(e)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15d-1</w:t>
      </w:r>
      <w:r>
        <w:rPr>
          <w:rFonts w:ascii="Times New Roman" w:cs="Times New Roman" w:eastAsia="Times New Roman" w:hAnsi="Times New Roman"/>
          <w:sz w:val="18"/>
          <w:szCs w:val="18"/>
          <w:color w:val="auto"/>
        </w:rPr>
        <w:t>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40" w:hanging="233"/>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8"/>
          <w:szCs w:val="18"/>
          <w:color w:val="auto"/>
        </w:rPr>
        <w:t>Date: October 26, 2007</w:t>
      </w:r>
      <w:r>
        <w:rPr>
          <w:sz w:val="20"/>
          <w:szCs w:val="20"/>
          <w:color w:val="auto"/>
        </w:rPr>
        <w:tab/>
      </w:r>
      <w:r>
        <w:rPr>
          <w:rFonts w:ascii="Times New Roman" w:cs="Times New Roman" w:eastAsia="Times New Roman" w:hAnsi="Times New Roman"/>
          <w:sz w:val="17"/>
          <w:szCs w:val="17"/>
          <w:u w:val="single" w:color="auto"/>
          <w:color w:val="auto"/>
        </w:rPr>
        <w:t>/s/ Mark A. Schober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Schober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ALLETE Third Quarter 2007 Form 10-Q</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officers of ALLETE, Inc. (ALLETE), does hereby certify that:</w:t>
      </w:r>
    </w:p>
    <w:p>
      <w:pPr>
        <w:spacing w:after="0" w:line="189" w:lineRule="exact"/>
        <w:rPr>
          <w:sz w:val="20"/>
          <w:szCs w:val="20"/>
          <w:color w:val="auto"/>
        </w:rPr>
      </w:pPr>
    </w:p>
    <w:p>
      <w:pPr>
        <w:ind w:left="340" w:hanging="233"/>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ALLETE for the quarterly period ended September 30, 2007, (Report) fully complies with the requirements of Section 13(a) of the Securities Exchange Act of 1934 (15 U.S.C. 78m); and</w:t>
      </w:r>
    </w:p>
    <w:p>
      <w:pPr>
        <w:spacing w:after="0" w:line="188" w:lineRule="exact"/>
        <w:rPr>
          <w:rFonts w:ascii="Times New Roman" w:cs="Times New Roman" w:eastAsia="Times New Roman" w:hAnsi="Times New Roman"/>
          <w:sz w:val="18"/>
          <w:szCs w:val="18"/>
          <w:color w:val="auto"/>
        </w:rPr>
      </w:pPr>
    </w:p>
    <w:p>
      <w:pPr>
        <w:ind w:left="340" w:hanging="233"/>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8"/>
          <w:szCs w:val="18"/>
          <w:color w:val="auto"/>
        </w:rPr>
        <w:t>Date: October 26, 2007</w:t>
      </w:r>
      <w:r>
        <w:rPr>
          <w:sz w:val="20"/>
          <w:szCs w:val="20"/>
          <w:color w:val="auto"/>
        </w:rPr>
        <w:tab/>
      </w:r>
      <w:r>
        <w:rPr>
          <w:rFonts w:ascii="Times New Roman" w:cs="Times New Roman" w:eastAsia="Times New Roman" w:hAnsi="Times New Roman"/>
          <w:sz w:val="17"/>
          <w:szCs w:val="17"/>
          <w:u w:val="single" w:color="auto"/>
          <w:color w:val="auto"/>
        </w:rPr>
        <w:t>/s/ Donald J. Shippar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J. Shippar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4740" w:val="left"/>
        </w:tabs>
        <w:rPr>
          <w:sz w:val="20"/>
          <w:szCs w:val="20"/>
          <w:color w:val="auto"/>
        </w:rPr>
      </w:pPr>
      <w:r>
        <w:rPr>
          <w:rFonts w:ascii="Times New Roman" w:cs="Times New Roman" w:eastAsia="Times New Roman" w:hAnsi="Times New Roman"/>
          <w:sz w:val="18"/>
          <w:szCs w:val="18"/>
          <w:color w:val="auto"/>
        </w:rPr>
        <w:t>Date: October 26, 2007</w:t>
      </w:r>
      <w:r>
        <w:rPr>
          <w:sz w:val="20"/>
          <w:szCs w:val="20"/>
          <w:color w:val="auto"/>
        </w:rPr>
        <w:tab/>
      </w:r>
      <w:r>
        <w:rPr>
          <w:rFonts w:ascii="Times New Roman" w:cs="Times New Roman" w:eastAsia="Times New Roman" w:hAnsi="Times New Roman"/>
          <w:sz w:val="17"/>
          <w:szCs w:val="17"/>
          <w:u w:val="single" w:color="auto"/>
          <w:color w:val="auto"/>
        </w:rPr>
        <w:t>/s/ Mark A. Schober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Schober</w:t>
      </w:r>
    </w:p>
    <w:p>
      <w:pPr>
        <w:spacing w:after="0" w:line="27"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For Release: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Oct. 26, 2007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Olson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218-723-3947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eolson@allete.com</w:t>
      </w:r>
    </w:p>
    <w:p>
      <w:pPr>
        <w:spacing w:after="0" w:line="149" w:lineRule="exact"/>
        <w:rPr>
          <w:sz w:val="20"/>
          <w:szCs w:val="20"/>
          <w:color w:val="auto"/>
        </w:rPr>
      </w:pPr>
    </w:p>
    <w:p>
      <w:pPr>
        <w:sectPr>
          <w:pgSz w:w="11900" w:h="16838" w:orient="portrait"/>
          <w:cols w:equalWidth="0" w:num="2">
            <w:col w:w="4220" w:space="720"/>
            <w:col w:w="6480"/>
          </w:cols>
          <w:pgMar w:left="240" w:top="364" w:right="2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Investor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Tim Thorp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218-723-3953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tthorp@allete.com</w:t>
      </w:r>
    </w:p>
    <w:p>
      <w:pPr>
        <w:spacing w:after="0" w:line="200" w:lineRule="exact"/>
        <w:rPr>
          <w:sz w:val="20"/>
          <w:szCs w:val="20"/>
          <w:color w:val="auto"/>
        </w:rPr>
      </w:pPr>
    </w:p>
    <w:p>
      <w:pPr>
        <w:sectPr>
          <w:pgSz w:w="11900" w:h="16838" w:orient="portrait"/>
          <w:cols w:equalWidth="0" w:num="2">
            <w:col w:w="4220" w:space="720"/>
            <w:col w:w="6480"/>
          </w:cols>
          <w:pgMar w:left="240" w:top="364" w:right="23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ALLETE reports third quarter 2007 earnings of 58 cents per share</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ALLETE Inc. (NYSE: ALE) today reported third quarter 2007 earnings of 58 cents per share, on net income of $16.5 million and operating revenue of $200.8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a year ago, earnings were 78 cents per share on net income of $21.8 million and operating revenue of $199.1 million.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from ALLETE’s energy business segments were, in total, about the same in the third quarter of 2007 as they were in 2006.</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ALLETE’s investment in the American Transmission Company recorded net income of $1.9 million in the third quarter of 2007, compared to $0.6 million in the third quarter a year ago. ALLETE began investing in ATC in May of 2006, and that investment gradually grew throughout the year.</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Regulated Utility net income of $13.0 million for the quarter was down from $13.7 million in 2006. Kilowatt-hour sales of electricity were about two percent lower than last year, and operations and maintenance expenses were higher due to a planned outage and storm recovery expenditures. These items were partially offset by a lower effective tax rate this year.</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ALLETE’s real estate income in the third quarter was $0.6 million compared with $5.1 million in the third quarter of 2006. ALLETE Chairman, President and CEO Don Shippar noted that the company’s latest earnings guidance, issued in July, assumed real estate activity during the second half of 2007 would fall from levels recorded a year earlier due to difficult market conditions.</w:t>
      </w:r>
    </w:p>
    <w:p>
      <w:pPr>
        <w:spacing w:after="0" w:line="203" w:lineRule="exact"/>
        <w:rPr>
          <w:sz w:val="20"/>
          <w:szCs w:val="20"/>
          <w:color w:val="auto"/>
        </w:rPr>
      </w:pPr>
    </w:p>
    <w:p>
      <w:pPr>
        <w:ind w:right="280" w:firstLine="45"/>
        <w:spacing w:after="0" w:line="282" w:lineRule="auto"/>
        <w:rPr>
          <w:sz w:val="20"/>
          <w:szCs w:val="20"/>
          <w:color w:val="auto"/>
        </w:rPr>
      </w:pPr>
      <w:r>
        <w:rPr>
          <w:rFonts w:ascii="Times New Roman" w:cs="Times New Roman" w:eastAsia="Times New Roman" w:hAnsi="Times New Roman"/>
          <w:sz w:val="18"/>
          <w:szCs w:val="18"/>
          <w:color w:val="auto"/>
        </w:rPr>
        <w:t>“ALLETE remains on track to meet our 2007 earnings expectation of $3.00 to $3.05 per share,” Shippar said. Through the first three quarters of this year, ALLETE has earned $2.31 per share versus $1.95 for the same period in 2006.</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ALLETE’s corporate headquarters are located in Duluth, Minnesota. ALLETE provides energy services in the upper Midwest and has significant real estate holdings in Florida. More information about the company is available on ALLETE’s Web site at </w:t>
      </w:r>
      <w:r>
        <w:rPr>
          <w:rFonts w:ascii="Times New Roman" w:cs="Times New Roman" w:eastAsia="Times New Roman" w:hAnsi="Times New Roman"/>
          <w:sz w:val="18"/>
          <w:szCs w:val="18"/>
          <w:u w:val="single" w:color="auto"/>
          <w:color w:val="auto"/>
        </w:rPr>
        <w:t>www.allete.com</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Periods Ended September 30, 2007 and 2006</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800" w:type="dxa"/>
            <w:vAlign w:val="bottom"/>
          </w:tcPr>
          <w:p>
            <w:pPr>
              <w:jc w:val="right"/>
              <w:ind w:right="1859"/>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7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70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 to Date</w:t>
            </w:r>
          </w:p>
        </w:tc>
      </w:tr>
      <w:tr>
        <w:trPr>
          <w:trHeight w:val="256"/>
        </w:trPr>
        <w:tc>
          <w:tcPr>
            <w:tcW w:w="20" w:type="dxa"/>
            <w:vAlign w:val="bottom"/>
          </w:tcPr>
          <w:p>
            <w:pPr>
              <w:spacing w:after="0"/>
              <w:rPr>
                <w:sz w:val="22"/>
                <w:szCs w:val="22"/>
                <w:color w:val="auto"/>
              </w:rPr>
            </w:pPr>
          </w:p>
        </w:tc>
        <w:tc>
          <w:tcPr>
            <w:tcW w:w="4000" w:type="dxa"/>
            <w:vAlign w:val="bottom"/>
            <w:tcBorders>
              <w:bottom w:val="single" w:sz="8" w:color="auto"/>
            </w:tcBorders>
          </w:tcPr>
          <w:p>
            <w:pPr>
              <w:spacing w:after="0"/>
              <w:rPr>
                <w:sz w:val="22"/>
                <w:szCs w:val="22"/>
                <w:color w:val="auto"/>
              </w:rPr>
            </w:pPr>
          </w:p>
        </w:tc>
        <w:tc>
          <w:tcPr>
            <w:tcW w:w="48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2006</w:t>
            </w: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2007</w:t>
            </w: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2006</w:t>
            </w:r>
          </w:p>
        </w:tc>
        <w:tc>
          <w:tcPr>
            <w:tcW w:w="20" w:type="dxa"/>
            <w:vAlign w:val="bottom"/>
          </w:tcPr>
          <w:p>
            <w:pPr>
              <w:spacing w:after="0"/>
              <w:rPr>
                <w:sz w:val="22"/>
                <w:szCs w:val="22"/>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Operating Revenue</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$200.8</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$199.1</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$629.4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20" w:type="dxa"/>
            <w:vAlign w:val="bottom"/>
          </w:tcPr>
          <w:p>
            <w:pPr>
              <w:spacing w:after="0"/>
              <w:rPr>
                <w:sz w:val="18"/>
                <w:szCs w:val="18"/>
                <w:color w:val="auto"/>
              </w:rPr>
            </w:pPr>
          </w:p>
        </w:tc>
      </w:tr>
      <w:tr>
        <w:trPr>
          <w:trHeight w:val="189"/>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Fuel and Purchased Power</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79.5</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262.4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211.9</w:t>
            </w:r>
          </w:p>
        </w:tc>
      </w:tr>
      <w:tr>
        <w:trPr>
          <w:trHeight w:val="210"/>
        </w:trPr>
        <w:tc>
          <w:tcPr>
            <w:tcW w:w="2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72.1</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68.7</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231.3</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220.0</w:t>
            </w:r>
          </w:p>
        </w:tc>
      </w:tr>
      <w:tr>
        <w:trPr>
          <w:trHeight w:val="256"/>
        </w:trPr>
        <w:tc>
          <w:tcPr>
            <w:tcW w:w="20" w:type="dxa"/>
            <w:vAlign w:val="bottom"/>
          </w:tcPr>
          <w:p>
            <w:pPr>
              <w:spacing w:after="0"/>
              <w:rPr>
                <w:sz w:val="22"/>
                <w:szCs w:val="22"/>
                <w:color w:val="auto"/>
              </w:rPr>
            </w:pPr>
          </w:p>
        </w:tc>
        <w:tc>
          <w:tcPr>
            <w:tcW w:w="4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12.2</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12.2</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35.8</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36.6</w:t>
            </w:r>
          </w:p>
        </w:tc>
      </w:tr>
      <w:tr>
        <w:trPr>
          <w:trHeight w:val="250"/>
        </w:trPr>
        <w:tc>
          <w:tcPr>
            <w:tcW w:w="20" w:type="dxa"/>
            <w:vAlign w:val="bottom"/>
          </w:tcPr>
          <w:p>
            <w:pPr>
              <w:spacing w:after="0"/>
              <w:rPr>
                <w:sz w:val="21"/>
                <w:szCs w:val="21"/>
                <w:color w:val="auto"/>
              </w:rPr>
            </w:pPr>
          </w:p>
        </w:tc>
        <w:tc>
          <w:tcPr>
            <w:tcW w:w="4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176.1</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160.4</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529.5</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468.5</w:t>
            </w: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 from Continuing Operations</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24.7</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101.4</w:t>
            </w:r>
          </w:p>
        </w:tc>
      </w:tr>
      <w:tr>
        <w:trPr>
          <w:trHeight w:val="189"/>
        </w:trPr>
        <w:tc>
          <w:tcPr>
            <w:tcW w:w="4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48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(18.7)</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(20.1)</w:t>
            </w:r>
          </w:p>
        </w:tc>
      </w:tr>
      <w:tr>
        <w:trPr>
          <w:trHeight w:val="210"/>
        </w:trPr>
        <w:tc>
          <w:tcPr>
            <w:tcW w:w="2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Earnings in ATC</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256"/>
        </w:trPr>
        <w:tc>
          <w:tcPr>
            <w:tcW w:w="20" w:type="dxa"/>
            <w:vAlign w:val="bottom"/>
          </w:tcPr>
          <w:p>
            <w:pPr>
              <w:spacing w:after="0"/>
              <w:rPr>
                <w:sz w:val="22"/>
                <w:szCs w:val="22"/>
                <w:color w:val="auto"/>
              </w:rPr>
            </w:pPr>
          </w:p>
        </w:tc>
        <w:tc>
          <w:tcPr>
            <w:tcW w:w="4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11.9</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50"/>
        </w:trPr>
        <w:tc>
          <w:tcPr>
            <w:tcW w:w="20" w:type="dxa"/>
            <w:vAlign w:val="bottom"/>
          </w:tcPr>
          <w:p>
            <w:pPr>
              <w:spacing w:after="0"/>
              <w:rPr>
                <w:sz w:val="21"/>
                <w:szCs w:val="21"/>
                <w:color w:val="auto"/>
              </w:rPr>
            </w:pPr>
          </w:p>
        </w:tc>
        <w:tc>
          <w:tcPr>
            <w:tcW w:w="400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r>
      <w:tr>
        <w:trPr>
          <w:trHeight w:val="187"/>
        </w:trPr>
        <w:tc>
          <w:tcPr>
            <w:tcW w:w="2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48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Before Minority Interest and Income Taxes</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35.1</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90.1</w:t>
            </w:r>
          </w:p>
        </w:tc>
      </w:tr>
      <w:tr>
        <w:trPr>
          <w:trHeight w:val="203"/>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32.6</w:t>
            </w:r>
          </w:p>
        </w:tc>
      </w:tr>
      <w:tr>
        <w:trPr>
          <w:trHeight w:val="225"/>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Minority Interest</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r>
      <w:tr>
        <w:trPr>
          <w:trHeight w:val="187"/>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16.5</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21.9</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54.3</w:t>
            </w:r>
          </w:p>
        </w:tc>
      </w:tr>
      <w:tr>
        <w:trPr>
          <w:trHeight w:val="225"/>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 Net of Tax</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$16.5</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$53.8</w:t>
            </w:r>
          </w:p>
        </w:tc>
      </w:tr>
      <w:tr>
        <w:trPr>
          <w:trHeight w:val="337"/>
        </w:trPr>
        <w:tc>
          <w:tcPr>
            <w:tcW w:w="4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Shares of Common Stock</w:t>
            </w:r>
          </w:p>
        </w:tc>
        <w:tc>
          <w:tcPr>
            <w:tcW w:w="48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28.5</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r>
      <w:tr>
        <w:trPr>
          <w:trHeight w:val="256"/>
        </w:trPr>
        <w:tc>
          <w:tcPr>
            <w:tcW w:w="20" w:type="dxa"/>
            <w:vAlign w:val="bottom"/>
          </w:tcPr>
          <w:p>
            <w:pPr>
              <w:spacing w:after="0"/>
              <w:rPr>
                <w:sz w:val="22"/>
                <w:szCs w:val="22"/>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28.5</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27.9</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28.3</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r>
      <w:tr>
        <w:trPr>
          <w:trHeight w:val="189"/>
        </w:trPr>
        <w:tc>
          <w:tcPr>
            <w:tcW w:w="2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 of Common Stock</w:t>
            </w:r>
          </w:p>
        </w:tc>
        <w:tc>
          <w:tcPr>
            <w:tcW w:w="48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Continuing Operations</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56"/>
        </w:trPr>
        <w:tc>
          <w:tcPr>
            <w:tcW w:w="20" w:type="dxa"/>
            <w:vAlign w:val="bottom"/>
          </w:tcPr>
          <w:p>
            <w:pPr>
              <w:spacing w:after="0"/>
              <w:rPr>
                <w:sz w:val="22"/>
                <w:szCs w:val="22"/>
                <w:color w:val="auto"/>
              </w:rPr>
            </w:pPr>
          </w:p>
        </w:tc>
        <w:tc>
          <w:tcPr>
            <w:tcW w:w="4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Discontinued Operations</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$1.94</w:t>
            </w:r>
          </w:p>
        </w:tc>
      </w:tr>
      <w:tr>
        <w:trPr>
          <w:trHeight w:val="189"/>
        </w:trPr>
        <w:tc>
          <w:tcPr>
            <w:tcW w:w="2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 of Common Stock</w:t>
            </w:r>
          </w:p>
        </w:tc>
        <w:tc>
          <w:tcPr>
            <w:tcW w:w="48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Continuing Operations</w:t>
            </w:r>
          </w:p>
        </w:tc>
        <w:tc>
          <w:tcPr>
            <w:tcW w:w="4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$1.95</w:t>
            </w:r>
          </w:p>
        </w:tc>
      </w:tr>
      <w:tr>
        <w:trPr>
          <w:trHeight w:val="256"/>
        </w:trPr>
        <w:tc>
          <w:tcPr>
            <w:tcW w:w="20" w:type="dxa"/>
            <w:vAlign w:val="bottom"/>
          </w:tcPr>
          <w:p>
            <w:pPr>
              <w:spacing w:after="0"/>
              <w:rPr>
                <w:sz w:val="22"/>
                <w:szCs w:val="22"/>
                <w:color w:val="auto"/>
              </w:rPr>
            </w:pPr>
          </w:p>
        </w:tc>
        <w:tc>
          <w:tcPr>
            <w:tcW w:w="4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Discontinued Operations</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0.00</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r>
      <w:tr>
        <w:trPr>
          <w:trHeight w:val="250"/>
        </w:trPr>
        <w:tc>
          <w:tcPr>
            <w:tcW w:w="20" w:type="dxa"/>
            <w:vAlign w:val="bottom"/>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$0.58</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$2.31</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r>
      <w:tr>
        <w:trPr>
          <w:trHeight w:val="210"/>
        </w:trPr>
        <w:tc>
          <w:tcPr>
            <w:tcW w:w="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Dividends Per Share of Common Stock</w:t>
            </w:r>
          </w:p>
        </w:tc>
        <w:tc>
          <w:tcPr>
            <w:tcW w:w="4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$0.4100</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$0.3625</w:t>
            </w: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$1.2300</w:t>
            </w: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$1.0875</w:t>
            </w: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56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Millions</w:t>
            </w:r>
          </w:p>
        </w:tc>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6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 31,</w:t>
            </w:r>
          </w:p>
        </w:tc>
      </w:tr>
      <w:tr>
        <w:trPr>
          <w:trHeight w:val="225"/>
        </w:trPr>
        <w:tc>
          <w:tcPr>
            <w:tcW w:w="20" w:type="dxa"/>
            <w:vAlign w:val="bottom"/>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4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2006</w:t>
            </w:r>
          </w:p>
        </w:tc>
        <w:tc>
          <w:tcPr>
            <w:tcW w:w="16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2006</w:t>
            </w:r>
          </w:p>
        </w:tc>
        <w:tc>
          <w:tcPr>
            <w:tcW w:w="20" w:type="dxa"/>
            <w:vAlign w:val="bottom"/>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40" w:type="dxa"/>
            <w:vAlign w:val="bottom"/>
          </w:tcPr>
          <w:p>
            <w:pPr>
              <w:spacing w:after="0"/>
              <w:rPr>
                <w:sz w:val="16"/>
                <w:szCs w:val="16"/>
                <w:color w:val="auto"/>
              </w:rPr>
            </w:pPr>
          </w:p>
        </w:tc>
        <w:tc>
          <w:tcPr>
            <w:tcW w:w="4560" w:type="dxa"/>
            <w:vAlign w:val="bottom"/>
          </w:tcPr>
          <w:p>
            <w:pPr>
              <w:ind w:left="9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Short-Term Investments</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$131.8</w:t>
            </w:r>
          </w:p>
        </w:tc>
        <w:tc>
          <w:tcPr>
            <w:tcW w:w="4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$ 149.3Current Liabilities</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$ 129.6</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$ 143.5</w:t>
            </w:r>
          </w:p>
        </w:tc>
      </w:tr>
      <w:tr>
        <w:trPr>
          <w:trHeight w:val="203"/>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135.8</w:t>
            </w:r>
          </w:p>
        </w:tc>
        <w:tc>
          <w:tcPr>
            <w:tcW w:w="4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138.4Long-Term Debt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409.0</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359.8</w:t>
            </w:r>
          </w:p>
        </w:tc>
      </w:tr>
      <w:tr>
        <w:trPr>
          <w:trHeight w:val="203"/>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1,033.8</w:t>
            </w:r>
          </w:p>
        </w:tc>
        <w:tc>
          <w:tcPr>
            <w:tcW w:w="4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921.6Other Liabilities</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364.3</w:t>
            </w:r>
          </w:p>
        </w:tc>
      </w:tr>
      <w:tr>
        <w:trPr>
          <w:trHeight w:val="203"/>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Investments</w:t>
            </w: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206.4</w:t>
            </w:r>
          </w:p>
        </w:tc>
        <w:tc>
          <w:tcPr>
            <w:tcW w:w="45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189.1Shareholders' Equity</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665.8</w:t>
            </w:r>
          </w:p>
        </w:tc>
      </w:tr>
      <w:tr>
        <w:trPr>
          <w:trHeight w:val="223"/>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138.7</w:t>
            </w:r>
          </w:p>
        </w:tc>
        <w:tc>
          <w:tcPr>
            <w:tcW w:w="4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135.0</w:t>
            </w:r>
          </w:p>
        </w:tc>
        <w:tc>
          <w:tcPr>
            <w:tcW w:w="1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$1,646.5</w:t>
            </w:r>
          </w:p>
        </w:tc>
        <w:tc>
          <w:tcPr>
            <w:tcW w:w="45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$1,533.4</w:t>
            </w:r>
            <w:r>
              <w:rPr>
                <w:rFonts w:ascii="Times New Roman" w:cs="Times New Roman" w:eastAsia="Times New Roman" w:hAnsi="Times New Roman"/>
                <w:sz w:val="16"/>
                <w:szCs w:val="16"/>
                <w:b w:val="1"/>
                <w:bCs w:val="1"/>
                <w:color w:val="auto"/>
              </w:rPr>
              <w:t>Total Liabilities and Shareholders' Equity</w:t>
            </w: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$1,646.5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20" w:type="dxa"/>
            <w:vAlign w:val="bottom"/>
            <w:tcBorders>
              <w:bottom w:val="single" w:sz="8" w:color="auto"/>
            </w:tcBorders>
          </w:tcPr>
          <w:p>
            <w:pPr>
              <w:spacing w:after="0"/>
              <w:rPr>
                <w:sz w:val="18"/>
                <w:szCs w:val="18"/>
                <w:color w:val="auto"/>
              </w:rPr>
            </w:pPr>
          </w:p>
        </w:tc>
      </w:tr>
      <w:tr>
        <w:trPr>
          <w:trHeight w:val="361"/>
        </w:trPr>
        <w:tc>
          <w:tcPr>
            <w:tcW w:w="20" w:type="dxa"/>
            <w:vAlign w:val="bottom"/>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334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208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Year to Date</w:t>
            </w: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3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56"/>
        </w:trPr>
        <w:tc>
          <w:tcPr>
            <w:tcW w:w="6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ALLETE, Inc.</w:t>
            </w:r>
          </w:p>
        </w:tc>
        <w:tc>
          <w:tcPr>
            <w:tcW w:w="2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2007</w:t>
            </w: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2006</w:t>
            </w:r>
          </w:p>
        </w:tc>
      </w:tr>
      <w:tr>
        <w:trPr>
          <w:trHeight w:val="189"/>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3"/>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Millions</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Regulated Utility</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Nonregulated Energy Operations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ATC</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0"/>
        </w:trPr>
        <w:tc>
          <w:tcPr>
            <w:tcW w:w="20" w:type="dxa"/>
            <w:vAlign w:val="bottom"/>
          </w:tcPr>
          <w:p>
            <w:pPr>
              <w:spacing w:after="0"/>
              <w:rPr>
                <w:sz w:val="18"/>
                <w:szCs w:val="18"/>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Real Estate</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56"/>
        </w:trPr>
        <w:tc>
          <w:tcPr>
            <w:tcW w:w="20" w:type="dxa"/>
            <w:vAlign w:val="bottom"/>
          </w:tcPr>
          <w:p>
            <w:pPr>
              <w:spacing w:after="0"/>
              <w:rPr>
                <w:sz w:val="22"/>
                <w:szCs w:val="22"/>
                <w:color w:val="auto"/>
              </w:rPr>
            </w:pPr>
          </w:p>
        </w:tc>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20" w:type="dxa"/>
            <w:vAlign w:val="bottom"/>
          </w:tcPr>
          <w:p>
            <w:pPr>
              <w:spacing w:after="0"/>
              <w:rPr>
                <w:sz w:val="18"/>
                <w:szCs w:val="18"/>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21.9</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r>
      <w:tr>
        <w:trPr>
          <w:trHeight w:val="242"/>
        </w:trPr>
        <w:tc>
          <w:tcPr>
            <w:tcW w:w="20" w:type="dxa"/>
            <w:vAlign w:val="bottom"/>
          </w:tcPr>
          <w:p>
            <w:pPr>
              <w:spacing w:after="0"/>
              <w:rPr>
                <w:sz w:val="21"/>
                <w:szCs w:val="21"/>
                <w:color w:val="auto"/>
              </w:rPr>
            </w:pPr>
          </w:p>
        </w:tc>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Loss from Discontinued Operations</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50"/>
        </w:trPr>
        <w:tc>
          <w:tcPr>
            <w:tcW w:w="20" w:type="dxa"/>
            <w:vAlign w:val="bottom"/>
          </w:tcPr>
          <w:p>
            <w:pPr>
              <w:spacing w:after="0"/>
              <w:rPr>
                <w:sz w:val="21"/>
                <w:szCs w:val="21"/>
                <w:color w:val="auto"/>
              </w:rPr>
            </w:pPr>
          </w:p>
        </w:tc>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Net Income</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$21.8</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$65.4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r>
      <w:tr>
        <w:trPr>
          <w:trHeight w:val="189"/>
        </w:trPr>
        <w:tc>
          <w:tcPr>
            <w:tcW w:w="20" w:type="dxa"/>
            <w:vAlign w:val="bottom"/>
          </w:tcPr>
          <w:p>
            <w:pPr>
              <w:spacing w:after="0"/>
              <w:rPr>
                <w:sz w:val="16"/>
                <w:szCs w:val="16"/>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Continuing Operations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$0.78</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56"/>
        </w:trPr>
        <w:tc>
          <w:tcPr>
            <w:tcW w:w="20" w:type="dxa"/>
            <w:vAlign w:val="bottom"/>
          </w:tcPr>
          <w:p>
            <w:pPr>
              <w:spacing w:after="0"/>
              <w:rPr>
                <w:sz w:val="22"/>
                <w:szCs w:val="22"/>
                <w:color w:val="auto"/>
              </w:rPr>
            </w:pPr>
          </w:p>
        </w:tc>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Discontinued Operations</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0.0</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r>
      <w:tr>
        <w:trPr>
          <w:trHeight w:val="250"/>
        </w:trPr>
        <w:tc>
          <w:tcPr>
            <w:tcW w:w="20" w:type="dxa"/>
            <w:vAlign w:val="bottom"/>
          </w:tcPr>
          <w:p>
            <w:pPr>
              <w:spacing w:after="0"/>
              <w:rPr>
                <w:sz w:val="21"/>
                <w:szCs w:val="21"/>
                <w:color w:val="auto"/>
              </w:rPr>
            </w:pPr>
          </w:p>
        </w:tc>
        <w:tc>
          <w:tcPr>
            <w:tcW w:w="598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$0.78</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337"/>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Statistical Data</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Common Stock</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High</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$50.05</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$49.30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Low</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$38.60</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$43.26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$38.60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w:t>
            </w: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Close</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$44.76</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$43.45</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$44.76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w:t>
            </w:r>
          </w:p>
        </w:tc>
      </w:tr>
      <w:tr>
        <w:trPr>
          <w:trHeight w:val="210"/>
        </w:trPr>
        <w:tc>
          <w:tcPr>
            <w:tcW w:w="20" w:type="dxa"/>
            <w:vAlign w:val="bottom"/>
          </w:tcPr>
          <w:p>
            <w:pPr>
              <w:spacing w:after="0"/>
              <w:rPr>
                <w:sz w:val="18"/>
                <w:szCs w:val="18"/>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Book Value</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$23.50</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$21.26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r>
      <w:tr>
        <w:trPr>
          <w:trHeight w:val="343"/>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Kilowatthours Sold</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Millions</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Regulated Utility</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Retail and Municipals</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Residential</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258.8</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263.0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832.1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800.1</w:t>
            </w:r>
          </w:p>
        </w:tc>
      </w:tr>
      <w:tr>
        <w:trPr>
          <w:trHeight w:val="203"/>
        </w:trPr>
        <w:tc>
          <w:tcPr>
            <w:tcW w:w="20" w:type="dxa"/>
            <w:vAlign w:val="bottom"/>
          </w:tcPr>
          <w:p>
            <w:pPr>
              <w:spacing w:after="0"/>
              <w:rPr>
                <w:sz w:val="17"/>
                <w:szCs w:val="17"/>
                <w:color w:val="auto"/>
              </w:rPr>
            </w:pPr>
          </w:p>
        </w:tc>
        <w:tc>
          <w:tcPr>
            <w:tcW w:w="598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Commercial</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360.5</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361.7</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1,033.6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1,005.9</w:t>
            </w:r>
          </w:p>
        </w:tc>
      </w:tr>
      <w:tr>
        <w:trPr>
          <w:trHeight w:val="203"/>
        </w:trPr>
        <w:tc>
          <w:tcPr>
            <w:tcW w:w="20" w:type="dxa"/>
            <w:vAlign w:val="bottom"/>
          </w:tcPr>
          <w:p>
            <w:pPr>
              <w:spacing w:after="0"/>
              <w:rPr>
                <w:sz w:val="17"/>
                <w:szCs w:val="17"/>
                <w:color w:val="auto"/>
              </w:rPr>
            </w:pPr>
          </w:p>
        </w:tc>
        <w:tc>
          <w:tcPr>
            <w:tcW w:w="598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Municipals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255.7</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248.6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751.3</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w:t>
            </w:r>
          </w:p>
        </w:tc>
      </w:tr>
      <w:tr>
        <w:trPr>
          <w:trHeight w:val="210"/>
        </w:trPr>
        <w:tc>
          <w:tcPr>
            <w:tcW w:w="20" w:type="dxa"/>
            <w:vAlign w:val="bottom"/>
          </w:tcPr>
          <w:p>
            <w:pPr>
              <w:spacing w:after="0"/>
              <w:rPr>
                <w:sz w:val="18"/>
                <w:szCs w:val="18"/>
                <w:color w:val="auto"/>
              </w:rPr>
            </w:pPr>
          </w:p>
        </w:tc>
        <w:tc>
          <w:tcPr>
            <w:tcW w:w="598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Industrial</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1,775.8</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1,836.9</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5,215.2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5,429.1</w:t>
            </w:r>
          </w:p>
        </w:tc>
      </w:tr>
      <w:tr>
        <w:trPr>
          <w:trHeight w:val="256"/>
        </w:trPr>
        <w:tc>
          <w:tcPr>
            <w:tcW w:w="20" w:type="dxa"/>
            <w:vAlign w:val="bottom"/>
          </w:tcPr>
          <w:p>
            <w:pPr>
              <w:spacing w:after="0"/>
              <w:rPr>
                <w:sz w:val="22"/>
                <w:szCs w:val="22"/>
                <w:color w:val="auto"/>
              </w:rPr>
            </w:pPr>
          </w:p>
        </w:tc>
        <w:tc>
          <w:tcPr>
            <w:tcW w:w="59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6"/>
                <w:szCs w:val="16"/>
                <w:color w:val="auto"/>
              </w:rPr>
              <w:t>Other</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20.8</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w:t>
            </w:r>
          </w:p>
        </w:tc>
      </w:tr>
      <w:tr>
        <w:trPr>
          <w:trHeight w:val="210"/>
        </w:trPr>
        <w:tc>
          <w:tcPr>
            <w:tcW w:w="20" w:type="dxa"/>
            <w:vAlign w:val="bottom"/>
          </w:tcPr>
          <w:p>
            <w:pPr>
              <w:spacing w:after="0"/>
              <w:rPr>
                <w:sz w:val="18"/>
                <w:szCs w:val="18"/>
                <w:color w:val="auto"/>
              </w:rPr>
            </w:pPr>
          </w:p>
        </w:tc>
        <w:tc>
          <w:tcPr>
            <w:tcW w:w="598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Total Retail and Municipal</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2,672.3</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2,731.0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7,895.0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7,978.5</w:t>
            </w:r>
          </w:p>
        </w:tc>
      </w:tr>
      <w:tr>
        <w:trPr>
          <w:trHeight w:val="242"/>
        </w:trPr>
        <w:tc>
          <w:tcPr>
            <w:tcW w:w="20" w:type="dxa"/>
            <w:vAlign w:val="bottom"/>
          </w:tcPr>
          <w:p>
            <w:pPr>
              <w:spacing w:after="0"/>
              <w:rPr>
                <w:sz w:val="21"/>
                <w:szCs w:val="21"/>
                <w:color w:val="auto"/>
              </w:rPr>
            </w:pPr>
          </w:p>
        </w:tc>
        <w:tc>
          <w:tcPr>
            <w:tcW w:w="59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Other Power Suppliers</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571.9</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584.3</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1,608.8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1,604.9</w:t>
            </w:r>
          </w:p>
        </w:tc>
      </w:tr>
      <w:tr>
        <w:trPr>
          <w:trHeight w:val="210"/>
        </w:trPr>
        <w:tc>
          <w:tcPr>
            <w:tcW w:w="20" w:type="dxa"/>
            <w:vAlign w:val="bottom"/>
          </w:tcPr>
          <w:p>
            <w:pPr>
              <w:spacing w:after="0"/>
              <w:rPr>
                <w:sz w:val="18"/>
                <w:szCs w:val="18"/>
                <w:color w:val="auto"/>
              </w:rPr>
            </w:pPr>
          </w:p>
        </w:tc>
        <w:tc>
          <w:tcPr>
            <w:tcW w:w="5980" w:type="dxa"/>
            <w:vAlign w:val="bottom"/>
          </w:tcPr>
          <w:p>
            <w:pPr>
              <w:ind w:left="2980"/>
              <w:spacing w:after="0"/>
              <w:rPr>
                <w:sz w:val="20"/>
                <w:szCs w:val="20"/>
                <w:color w:val="auto"/>
              </w:rPr>
            </w:pPr>
            <w:r>
              <w:rPr>
                <w:rFonts w:ascii="Times New Roman" w:cs="Times New Roman" w:eastAsia="Times New Roman" w:hAnsi="Times New Roman"/>
                <w:sz w:val="16"/>
                <w:szCs w:val="16"/>
                <w:color w:val="auto"/>
              </w:rPr>
              <w:t>Total Regulated Utility</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3,244.2</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3,315.3</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9,503.8</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9,583.4</w:t>
            </w:r>
          </w:p>
        </w:tc>
      </w:tr>
      <w:tr>
        <w:trPr>
          <w:trHeight w:val="242"/>
        </w:trPr>
        <w:tc>
          <w:tcPr>
            <w:tcW w:w="20" w:type="dxa"/>
            <w:vAlign w:val="bottom"/>
          </w:tcPr>
          <w:p>
            <w:pPr>
              <w:spacing w:after="0"/>
              <w:rPr>
                <w:sz w:val="21"/>
                <w:szCs w:val="21"/>
                <w:color w:val="auto"/>
              </w:rPr>
            </w:pPr>
          </w:p>
        </w:tc>
        <w:tc>
          <w:tcPr>
            <w:tcW w:w="59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Nonregulated Energy Operations</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60.7</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60.4</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184.2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r>
      <w:tr>
        <w:trPr>
          <w:trHeight w:val="250"/>
        </w:trPr>
        <w:tc>
          <w:tcPr>
            <w:tcW w:w="20" w:type="dxa"/>
            <w:vAlign w:val="bottom"/>
          </w:tcPr>
          <w:p>
            <w:pPr>
              <w:spacing w:after="0"/>
              <w:rPr>
                <w:sz w:val="21"/>
                <w:szCs w:val="21"/>
                <w:color w:val="auto"/>
              </w:rPr>
            </w:pPr>
          </w:p>
        </w:tc>
        <w:tc>
          <w:tcPr>
            <w:tcW w:w="59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6"/>
                <w:szCs w:val="16"/>
                <w:color w:val="auto"/>
              </w:rPr>
              <w:t>Total Kilowatthours Sold</w:t>
            </w:r>
          </w:p>
        </w:tc>
        <w:tc>
          <w:tcPr>
            <w:tcW w:w="2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3,304.9</w:t>
            </w:r>
          </w:p>
        </w:tc>
        <w:tc>
          <w:tcPr>
            <w:tcW w:w="11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3,375.7</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9,688.0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9,764.7</w:t>
            </w:r>
          </w:p>
        </w:tc>
      </w:tr>
      <w:tr>
        <w:trPr>
          <w:trHeight w:val="337"/>
        </w:trPr>
        <w:tc>
          <w:tcPr>
            <w:tcW w:w="6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Town Center Development Project</w:t>
            </w:r>
          </w:p>
        </w:tc>
        <w:tc>
          <w:tcPr>
            <w:tcW w:w="2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Commercial Square Footage Sold</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114,300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474,476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364,995</w:t>
            </w:r>
          </w:p>
        </w:tc>
      </w:tr>
      <w:tr>
        <w:trPr>
          <w:trHeight w:val="210"/>
        </w:trPr>
        <w:tc>
          <w:tcPr>
            <w:tcW w:w="20" w:type="dxa"/>
            <w:vAlign w:val="bottom"/>
          </w:tcPr>
          <w:p>
            <w:pPr>
              <w:spacing w:after="0"/>
              <w:rPr>
                <w:sz w:val="18"/>
                <w:szCs w:val="18"/>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Residential Units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356</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r>
      <w:tr>
        <w:trPr>
          <w:trHeight w:val="343"/>
        </w:trPr>
        <w:tc>
          <w:tcPr>
            <w:tcW w:w="20" w:type="dxa"/>
            <w:vAlign w:val="bottom"/>
          </w:tcPr>
          <w:p>
            <w:pPr>
              <w:spacing w:after="0"/>
              <w:rPr>
                <w:sz w:val="24"/>
                <w:szCs w:val="24"/>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Palm Coast Park Development Project</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Commercial Square Footage Sold</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Residential Units</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43"/>
        </w:trPr>
        <w:tc>
          <w:tcPr>
            <w:tcW w:w="20" w:type="dxa"/>
            <w:vAlign w:val="bottom"/>
          </w:tcPr>
          <w:p>
            <w:pPr>
              <w:spacing w:after="0"/>
              <w:rPr>
                <w:sz w:val="24"/>
                <w:szCs w:val="24"/>
                <w:color w:val="auto"/>
              </w:rPr>
            </w:pPr>
          </w:p>
        </w:tc>
        <w:tc>
          <w:tcPr>
            <w:tcW w:w="5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Land</w:t>
            </w:r>
          </w:p>
        </w:tc>
        <w:tc>
          <w:tcPr>
            <w:tcW w:w="2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Acres Sold</w:t>
            </w:r>
          </w:p>
        </w:tc>
        <w:tc>
          <w:tcPr>
            <w:tcW w:w="2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242</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611"/>
        </w:trPr>
        <w:tc>
          <w:tcPr>
            <w:tcW w:w="20" w:type="dxa"/>
            <w:vAlign w:val="bottom"/>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T"/>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99"/>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2019-12-13T04:27:59Z</dcterms:created>
  <dcterms:modified xsi:type="dcterms:W3CDTF">2019-12-13T04:27:59Z</dcterms:modified>
</cp:coreProperties>
</file>