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2016</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1148"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1148"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1148"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1148"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148"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1148"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1148"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49,462,700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September 30, 2016</w:t>
      </w:r>
    </w:p>
    <w:p>
      <w:pPr>
        <w:sectPr>
          <w:pgSz w:w="11900" w:h="16838" w:orient="portrait"/>
          <w:cols w:equalWidth="0" w:num="1">
            <w:col w:w="11420"/>
          </w:cols>
          <w:pgMar w:left="240" w:top="114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80" w:type="dxa"/>
            <w:vAlign w:val="bottom"/>
            <w:gridSpan w:val="3"/>
          </w:tcPr>
          <w:p>
            <w:pPr>
              <w:ind w:left="56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Definitions</w:t>
              </w:r>
            </w:hyperlink>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94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780" w:type="dxa"/>
            <w:vAlign w:val="bottom"/>
            <w:tcBorders>
              <w:top w:val="single" w:sz="8" w:color="0000EE"/>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4100" w:type="dxa"/>
            <w:vAlign w:val="bottom"/>
            <w:gridSpan w:val="6"/>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6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3060" w:type="dxa"/>
            <w:vAlign w:val="bottom"/>
            <w:gridSpan w:val="4"/>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Financial Statements</w:t>
              </w:r>
            </w:hyperlink>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8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7"/>
          </w:tcPr>
          <w:p>
            <w:pPr>
              <w:spacing w:after="0"/>
              <w:rPr>
                <w:sz w:val="20"/>
                <w:szCs w:val="20"/>
                <w:color w:val="auto"/>
              </w:rPr>
            </w:pPr>
            <w:r>
              <w:rPr>
                <w:rFonts w:ascii="Arial" w:cs="Arial" w:eastAsia="Arial" w:hAnsi="Arial"/>
                <w:sz w:val="18"/>
                <w:szCs w:val="18"/>
                <w:color w:val="auto"/>
              </w:rPr>
              <w:t>September 30, 2016, and December 31, 2015</w:t>
            </w:r>
          </w:p>
        </w:tc>
        <w:tc>
          <w:tcPr>
            <w:tcW w:w="200" w:type="dxa"/>
            <w:vAlign w:val="bottom"/>
            <w:gridSpan w:val="3"/>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20"/>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auto"/>
              </w:rPr>
              <w:t>Quarter and Nine Months Ended September 30, 2016, and 2015</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Consolidated Statement of Comprehensive Income -</w:t>
              </w:r>
            </w:hyperlink>
          </w:p>
        </w:tc>
        <w:tc>
          <w:tcPr>
            <w:tcW w:w="6600" w:type="dxa"/>
            <w:vAlign w:val="bottom"/>
            <w:tcBorders>
              <w:bottom w:val="single" w:sz="8" w:color="CCEEFF"/>
            </w:tcBorders>
            <w:gridSpan w:val="4"/>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7"/>
          </w:tcPr>
          <w:p>
            <w:pPr>
              <w:spacing w:after="0" w:line="202" w:lineRule="exact"/>
              <w:rPr>
                <w:sz w:val="20"/>
                <w:szCs w:val="20"/>
                <w:color w:val="auto"/>
              </w:rPr>
            </w:pPr>
            <w:r>
              <w:rPr>
                <w:rFonts w:ascii="Arial" w:cs="Arial" w:eastAsia="Arial" w:hAnsi="Arial"/>
                <w:sz w:val="18"/>
                <w:szCs w:val="18"/>
                <w:color w:val="auto"/>
              </w:rPr>
              <w:t>Quarter and Nine Months Ended September 30, 2016, and 2015</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20"/>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auto"/>
              </w:rPr>
              <w:t>Nine Months Ended September 30, 2016, and 2015</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380" w:type="dxa"/>
            <w:vAlign w:val="bottom"/>
            <w:gridSpan w:val="20"/>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 of Equity -</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7"/>
          </w:tcPr>
          <w:p>
            <w:pPr>
              <w:spacing w:after="0" w:line="202" w:lineRule="exact"/>
              <w:rPr>
                <w:sz w:val="20"/>
                <w:szCs w:val="20"/>
                <w:color w:val="auto"/>
              </w:rPr>
            </w:pPr>
            <w:r>
              <w:rPr>
                <w:rFonts w:ascii="Arial" w:cs="Arial" w:eastAsia="Arial" w:hAnsi="Arial"/>
                <w:sz w:val="18"/>
                <w:szCs w:val="18"/>
                <w:color w:val="auto"/>
              </w:rPr>
              <w:t>Nine Months Ended September 30, 2016</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30"/>
        </w:trPr>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20"/>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2.</w:t>
              </w:r>
            </w:hyperlink>
          </w:p>
        </w:tc>
        <w:tc>
          <w:tcPr>
            <w:tcW w:w="520" w:type="dxa"/>
            <w:vAlign w:val="bottom"/>
            <w:gridSpan w:val="2"/>
          </w:tcPr>
          <w:p>
            <w:pPr>
              <w:spacing w:after="0"/>
              <w:rPr>
                <w:sz w:val="17"/>
                <w:szCs w:val="17"/>
                <w:color w:val="auto"/>
              </w:rPr>
            </w:pPr>
          </w:p>
        </w:tc>
        <w:tc>
          <w:tcPr>
            <w:tcW w:w="9340" w:type="dxa"/>
            <w:vAlign w:val="bottom"/>
            <w:gridSpan w:val="17"/>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and Results of Operations</w:t>
              </w:r>
            </w:hyperlink>
          </w:p>
        </w:tc>
        <w:tc>
          <w:tcPr>
            <w:tcW w:w="4800" w:type="dxa"/>
            <w:vAlign w:val="bottom"/>
          </w:tcPr>
          <w:p>
            <w:pPr>
              <w:spacing w:after="0"/>
              <w:rPr>
                <w:sz w:val="17"/>
                <w:szCs w:val="17"/>
                <w:color w:val="auto"/>
              </w:rPr>
            </w:pPr>
          </w:p>
        </w:tc>
        <w:tc>
          <w:tcPr>
            <w:tcW w:w="200" w:type="dxa"/>
            <w:vAlign w:val="bottom"/>
            <w:gridSpan w:val="3"/>
          </w:tcPr>
          <w:p>
            <w:pPr>
              <w:jc w:val="right"/>
              <w:ind w:right="20"/>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3.</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5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4.</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840" w:type="dxa"/>
            <w:vAlign w:val="bottom"/>
            <w:gridSpan w:val="4"/>
          </w:tcPr>
          <w:p>
            <w:pPr>
              <w:ind w:lef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Part II.</w:t>
              </w:r>
            </w:hyperlink>
          </w:p>
        </w:tc>
        <w:tc>
          <w:tcPr>
            <w:tcW w:w="10380" w:type="dxa"/>
            <w:vAlign w:val="bottom"/>
            <w:gridSpan w:val="20"/>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1.</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1A.</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Risk Factors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2.</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5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3.</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Defaults Upon Senior Securities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4.</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5.</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Item 6.</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840" w:type="dxa"/>
            <w:vAlign w:val="bottom"/>
            <w:gridSpan w:val="4"/>
          </w:tcPr>
          <w:p>
            <w:pPr>
              <w:ind w:left="40"/>
              <w:spacing w:after="0" w:line="202"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Signatures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446"/>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20" w:type="dxa"/>
            <w:vAlign w:val="bottom"/>
            <w:gridSpan w:val="5"/>
          </w:tcPr>
          <w:p>
            <w:pPr>
              <w:ind w:left="180"/>
              <w:spacing w:after="0"/>
              <w:rPr>
                <w:sz w:val="20"/>
                <w:szCs w:val="20"/>
                <w:color w:val="auto"/>
              </w:rPr>
            </w:pPr>
            <w:r>
              <w:rPr>
                <w:rFonts w:ascii="Arial" w:cs="Arial" w:eastAsia="Arial" w:hAnsi="Arial"/>
                <w:sz w:val="14"/>
                <w:szCs w:val="14"/>
                <w:color w:val="auto"/>
              </w:rPr>
              <w:t>ALLETE, Inc. Third Quarter 2016 Form 10-Q</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1040" w:right="239" w:bottom="705" w:gutter="0" w:footer="0" w:header="0"/>
        </w:sect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040" w:right="239" w:bottom="705"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Allowance for Funds Used During Construction – the cost of both debt and equity funds used to finance utility</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Basin Electric Power Cooperative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gridSpan w:val="2"/>
          </w:tcPr>
          <w:p>
            <w:pPr>
              <w:spacing w:after="0"/>
              <w:rPr>
                <w:sz w:val="20"/>
                <w:szCs w:val="20"/>
                <w:color w:val="auto"/>
              </w:rPr>
            </w:pPr>
            <w:r>
              <w:rPr>
                <w:rFonts w:ascii="Arial" w:cs="Arial" w:eastAsia="Arial" w:hAnsi="Arial"/>
                <w:sz w:val="18"/>
                <w:szCs w:val="18"/>
                <w:color w:val="auto"/>
              </w:rPr>
              <w:t>Cliffs Natural Resources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Carbon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DC</w:t>
            </w:r>
          </w:p>
        </w:tc>
        <w:tc>
          <w:tcPr>
            <w:tcW w:w="8180" w:type="dxa"/>
            <w:vAlign w:val="bottom"/>
            <w:gridSpan w:val="2"/>
          </w:tcPr>
          <w:p>
            <w:pPr>
              <w:spacing w:after="0"/>
              <w:rPr>
                <w:sz w:val="20"/>
                <w:szCs w:val="20"/>
                <w:color w:val="auto"/>
              </w:rPr>
            </w:pPr>
            <w:r>
              <w:rPr>
                <w:rFonts w:ascii="Arial" w:cs="Arial" w:eastAsia="Arial" w:hAnsi="Arial"/>
                <w:sz w:val="18"/>
                <w:szCs w:val="18"/>
                <w:color w:val="auto"/>
              </w:rPr>
              <w:t>Direct Current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EIS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Environmental Impact Statement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Essar</w:t>
            </w:r>
          </w:p>
        </w:tc>
        <w:tc>
          <w:tcPr>
            <w:tcW w:w="8180" w:type="dxa"/>
            <w:vAlign w:val="bottom"/>
            <w:gridSpan w:val="2"/>
          </w:tcPr>
          <w:p>
            <w:pPr>
              <w:spacing w:after="0"/>
              <w:rPr>
                <w:sz w:val="20"/>
                <w:szCs w:val="20"/>
                <w:color w:val="auto"/>
              </w:rPr>
            </w:pPr>
            <w:r>
              <w:rPr>
                <w:rFonts w:ascii="Arial" w:cs="Arial" w:eastAsia="Arial" w:hAnsi="Arial"/>
                <w:sz w:val="18"/>
                <w:szCs w:val="18"/>
                <w:color w:val="auto"/>
              </w:rPr>
              <w:t>Essar Steel Minnesota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FERC</w:t>
            </w:r>
          </w:p>
        </w:tc>
        <w:tc>
          <w:tcPr>
            <w:tcW w:w="818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GHG</w:t>
            </w:r>
          </w:p>
        </w:tc>
        <w:tc>
          <w:tcPr>
            <w:tcW w:w="8180" w:type="dxa"/>
            <w:vAlign w:val="bottom"/>
            <w:gridSpan w:val="2"/>
          </w:tcPr>
          <w:p>
            <w:pPr>
              <w:spacing w:after="0"/>
              <w:rPr>
                <w:sz w:val="20"/>
                <w:szCs w:val="20"/>
                <w:color w:val="auto"/>
              </w:rPr>
            </w:pPr>
            <w:r>
              <w:rPr>
                <w:rFonts w:ascii="Arial" w:cs="Arial" w:eastAsia="Arial" w:hAnsi="Arial"/>
                <w:sz w:val="18"/>
                <w:szCs w:val="18"/>
                <w:color w:val="auto"/>
              </w:rPr>
              <w:t>Greenhouse Gases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GNTL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Northern Transmission Line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IBEW</w:t>
            </w:r>
          </w:p>
        </w:tc>
        <w:tc>
          <w:tcPr>
            <w:tcW w:w="8180" w:type="dxa"/>
            <w:vAlign w:val="bottom"/>
            <w:gridSpan w:val="2"/>
          </w:tcPr>
          <w:p>
            <w:pPr>
              <w:spacing w:after="0"/>
              <w:rPr>
                <w:sz w:val="20"/>
                <w:szCs w:val="20"/>
                <w:color w:val="auto"/>
              </w:rPr>
            </w:pPr>
            <w:r>
              <w:rPr>
                <w:rFonts w:ascii="Arial" w:cs="Arial" w:eastAsia="Arial" w:hAnsi="Arial"/>
                <w:sz w:val="18"/>
                <w:szCs w:val="18"/>
                <w:color w:val="auto"/>
              </w:rPr>
              <w:t>International Brotherhood of Electrical Workers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IRP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Integrated Resource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43"/>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Maximum Achievable Control Technology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Magnetation,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18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40"/>
              <w:spacing w:after="0"/>
              <w:rPr>
                <w:sz w:val="20"/>
                <w:szCs w:val="20"/>
                <w:color w:val="auto"/>
              </w:rPr>
            </w:pPr>
            <w:r>
              <w:rPr>
                <w:rFonts w:ascii="Arial" w:cs="Arial" w:eastAsia="Arial" w:hAnsi="Arial"/>
                <w:sz w:val="14"/>
                <w:szCs w:val="14"/>
                <w:color w:val="auto"/>
              </w:rPr>
              <w:t>ALLETE, Inc. Third Quarter 2016 Form 10-Q</w:t>
            </w:r>
          </w:p>
        </w:tc>
      </w:tr>
    </w:tbl>
    <w:p>
      <w:pPr>
        <w:spacing w:after="0" w:line="1" w:lineRule="exact"/>
        <w:rPr>
          <w:sz w:val="20"/>
          <w:szCs w:val="20"/>
          <w:color w:val="auto"/>
        </w:rPr>
      </w:pPr>
    </w:p>
    <w:p>
      <w:pPr>
        <w:sectPr>
          <w:pgSz w:w="11900" w:h="16838" w:orient="portrait"/>
          <w:cols w:equalWidth="0" w:num="1">
            <w:col w:w="11420"/>
          </w:cols>
          <w:pgMar w:left="240" w:top="1040"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04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NPDES</w:t>
            </w: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1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Shell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Shell Energy North America (US), L.P.</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Implementation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Thomson</w:t>
            </w:r>
          </w:p>
        </w:tc>
        <w:tc>
          <w:tcPr>
            <w:tcW w:w="8180" w:type="dxa"/>
            <w:vAlign w:val="bottom"/>
            <w:gridSpan w:val="2"/>
          </w:tcPr>
          <w:p>
            <w:pPr>
              <w:spacing w:after="0"/>
              <w:rPr>
                <w:sz w:val="20"/>
                <w:szCs w:val="20"/>
                <w:color w:val="auto"/>
              </w:rPr>
            </w:pPr>
            <w:r>
              <w:rPr>
                <w:rFonts w:ascii="Arial" w:cs="Arial" w:eastAsia="Arial" w:hAnsi="Arial"/>
                <w:sz w:val="18"/>
                <w:szCs w:val="18"/>
                <w:color w:val="auto"/>
              </w:rPr>
              <w:t>Thomson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United Taconite</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Taconite LLC,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gridSpan w:val="2"/>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83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40"/>
              <w:spacing w:after="0"/>
              <w:rPr>
                <w:sz w:val="20"/>
                <w:szCs w:val="20"/>
                <w:color w:val="auto"/>
              </w:rPr>
            </w:pPr>
            <w:r>
              <w:rPr>
                <w:rFonts w:ascii="Arial" w:cs="Arial" w:eastAsia="Arial" w:hAnsi="Arial"/>
                <w:sz w:val="14"/>
                <w:szCs w:val="14"/>
                <w:color w:val="auto"/>
              </w:rPr>
              <w:t>ALLETE, Inc. Third Quarter 2016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18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04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Forward-Looking Statements (Continued)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Part 1, Item 1A, under the heading “Risk Factors” beginning on page 25 of our 2015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00" w:type="dxa"/>
            <w:vAlign w:val="bottom"/>
          </w:tcPr>
          <w:p>
            <w:pPr>
              <w:spacing w:after="0"/>
              <w:rPr>
                <w:sz w:val="20"/>
                <w:szCs w:val="20"/>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$1.8 and $1.0)</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108.1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121.2</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38.9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35.7</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361.6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3,644.5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3,669.1</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358.9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133.8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124.5</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211.4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215.2</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106.5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$4,874.8</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$4,894.5</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$72.6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$88.8</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14.8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18.6</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186.6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93.6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404.3</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274.8</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1,358.9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582.1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579.8</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122.9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197.7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206.8</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335.9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3,001.8</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3,072.1</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6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16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w:t>
            </w:r>
          </w:p>
        </w:tc>
        <w:tc>
          <w:tcPr>
            <w:tcW w:w="1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Common Stock Without Par Value, 80.0 Shares Authorized, 49.5 and 49.1 Shares Outstanding</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1,289.4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1,271.4</w:t>
            </w:r>
          </w:p>
        </w:tc>
      </w:tr>
      <w:tr>
        <w:trPr>
          <w:trHeight w:val="27"/>
        </w:trPr>
        <w:tc>
          <w:tcPr>
            <w:tcW w:w="8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607.3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573.3</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ALLETE Equity</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1,873.0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1,873.0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1,822.4</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$4,874.8</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$4,894.5</w:t>
            </w:r>
          </w:p>
        </w:tc>
      </w:tr>
      <w:tr>
        <w:trPr>
          <w:trHeight w:val="27"/>
        </w:trPr>
        <w:tc>
          <w:tcPr>
            <w:tcW w:w="8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tcPr>
          <w:p>
            <w:pPr>
              <w:ind w:left="338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04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344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Quarter Ended</w:t>
            </w:r>
          </w:p>
        </w:tc>
        <w:tc>
          <w:tcPr>
            <w:tcW w:w="22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720" w:type="dxa"/>
            <w:vAlign w:val="bottom"/>
          </w:tcPr>
          <w:p>
            <w:pPr>
              <w:spacing w:after="0"/>
              <w:rPr>
                <w:sz w:val="23"/>
                <w:szCs w:val="23"/>
                <w:color w:val="auto"/>
              </w:rPr>
            </w:pPr>
          </w:p>
        </w:tc>
        <w:tc>
          <w:tcPr>
            <w:tcW w:w="344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22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720" w:type="dxa"/>
            <w:vAlign w:val="bottom"/>
          </w:tcPr>
          <w:p>
            <w:pPr>
              <w:spacing w:after="0"/>
              <w:rPr>
                <w:sz w:val="23"/>
                <w:szCs w:val="23"/>
                <w:color w:val="auto"/>
              </w:rPr>
            </w:pPr>
          </w:p>
        </w:tc>
        <w:tc>
          <w:tcPr>
            <w:tcW w:w="23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100" w:type="dxa"/>
            <w:vAlign w:val="bottom"/>
          </w:tcPr>
          <w:p>
            <w:pPr>
              <w:jc w:val="right"/>
              <w:ind w:right="630"/>
              <w:spacing w:after="0"/>
              <w:rPr>
                <w:sz w:val="20"/>
                <w:szCs w:val="20"/>
                <w:color w:val="auto"/>
              </w:rPr>
            </w:pPr>
            <w:r>
              <w:rPr>
                <w:rFonts w:ascii="Arial" w:cs="Arial" w:eastAsia="Arial" w:hAnsi="Arial"/>
                <w:sz w:val="18"/>
                <w:szCs w:val="18"/>
                <w:b w:val="1"/>
                <w:bCs w:val="1"/>
                <w:color w:val="auto"/>
                <w:w w:val="89"/>
              </w:rPr>
              <w:t>2015</w:t>
            </w: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7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$349.6</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$462.5</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$998.2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$1,105.8</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91.0</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76.8</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246.0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242.9</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16.6</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13.9</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49.5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46.4</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149.8</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113.1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80.8</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81.3</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240.9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246.4</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48.9</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43.2</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145.7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12.5</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12.3</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40.6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296.2</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377.3</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835.8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53.4</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85.2</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162.4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181.1</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(18.7)</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(17.7)</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(53.0)</w:t>
            </w: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6.1</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5.5</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1.2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1.7</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(11.4)</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(10.5)</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42.0</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74.7</w:t>
            </w: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127.2</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149.7</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14.4</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40.3</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60.3</w:t>
            </w: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111.5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122.7</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$40.3</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$60.4</w:t>
            </w: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$111.0</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$122.8</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Basic</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49.4</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48.8</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49.3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49.5</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48.9</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$0.82</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$1.24</w:t>
            </w: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$2.25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$0.81</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$1.23</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$0.52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$0.505</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$1.56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$1.515</w:t>
            </w:r>
          </w:p>
        </w:tc>
      </w:tr>
      <w:tr>
        <w:trPr>
          <w:trHeight w:val="27"/>
        </w:trPr>
        <w:tc>
          <w:tcPr>
            <w:tcW w:w="80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060" w:type="dxa"/>
            <w:vAlign w:val="bottom"/>
            <w:gridSpan w:val="2"/>
          </w:tcPr>
          <w:p>
            <w:pPr>
              <w:ind w:left="338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0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300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0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6360" w:type="dxa"/>
            <w:vAlign w:val="bottom"/>
          </w:tcPr>
          <w:p>
            <w:pPr>
              <w:spacing w:after="0"/>
              <w:rPr>
                <w:sz w:val="23"/>
                <w:szCs w:val="23"/>
                <w:color w:val="auto"/>
              </w:rPr>
            </w:pPr>
          </w:p>
        </w:tc>
        <w:tc>
          <w:tcPr>
            <w:tcW w:w="30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360" w:type="dxa"/>
            <w:vAlign w:val="bottom"/>
          </w:tcPr>
          <w:p>
            <w:pPr>
              <w:spacing w:after="0"/>
              <w:rPr>
                <w:sz w:val="23"/>
                <w:szCs w:val="23"/>
                <w:color w:val="auto"/>
              </w:rPr>
            </w:pPr>
          </w:p>
        </w:tc>
        <w:tc>
          <w:tcPr>
            <w:tcW w:w="19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r>
      <w:tr>
        <w:trPr>
          <w:trHeight w:val="27"/>
        </w:trPr>
        <w:tc>
          <w:tcPr>
            <w:tcW w:w="6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3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5"/>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$40.3</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$60.3</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$111.5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9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19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380"/>
              <w:spacing w:after="0"/>
              <w:rPr>
                <w:sz w:val="20"/>
                <w:szCs w:val="20"/>
                <w:color w:val="auto"/>
              </w:rPr>
            </w:pPr>
            <w:r>
              <w:rPr>
                <w:rFonts w:ascii="Arial" w:cs="Arial" w:eastAsia="Arial" w:hAnsi="Arial"/>
                <w:sz w:val="18"/>
                <w:szCs w:val="18"/>
                <w:color w:val="auto"/>
              </w:rPr>
              <w:t>Net of Income Tax Expense (Benefit) of $0.2, $(0.4), $0.2, and $(0.3)</w:t>
            </w:r>
          </w:p>
        </w:tc>
        <w:tc>
          <w:tcPr>
            <w:tcW w:w="1900" w:type="dxa"/>
            <w:vAlign w:val="bottom"/>
          </w:tcPr>
          <w:p>
            <w:pPr>
              <w:jc w:val="right"/>
              <w:ind w:right="270"/>
              <w:spacing w:after="0"/>
              <w:rPr>
                <w:sz w:val="20"/>
                <w:szCs w:val="20"/>
                <w:color w:val="auto"/>
              </w:rPr>
            </w:pPr>
            <w:r>
              <w:rPr>
                <w:rFonts w:ascii="Arial" w:cs="Arial" w:eastAsia="Arial" w:hAnsi="Arial"/>
                <w:sz w:val="18"/>
                <w:szCs w:val="18"/>
                <w:color w:val="auto"/>
              </w:rPr>
              <w:t>0.3</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19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380"/>
              <w:spacing w:after="0"/>
              <w:rPr>
                <w:sz w:val="20"/>
                <w:szCs w:val="20"/>
                <w:color w:val="auto"/>
              </w:rPr>
            </w:pPr>
            <w:r>
              <w:rPr>
                <w:rFonts w:ascii="Arial" w:cs="Arial" w:eastAsia="Arial" w:hAnsi="Arial"/>
                <w:sz w:val="18"/>
                <w:szCs w:val="18"/>
                <w:color w:val="auto"/>
              </w:rPr>
              <w:t>Net of Income Tax Expense of $–, $–, $–, and $0.1</w:t>
            </w:r>
          </w:p>
        </w:tc>
        <w:tc>
          <w:tcPr>
            <w:tcW w:w="19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9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380"/>
              <w:spacing w:after="0"/>
              <w:rPr>
                <w:sz w:val="20"/>
                <w:szCs w:val="20"/>
                <w:color w:val="auto"/>
              </w:rPr>
            </w:pPr>
            <w:r>
              <w:rPr>
                <w:rFonts w:ascii="Arial" w:cs="Arial" w:eastAsia="Arial" w:hAnsi="Arial"/>
                <w:sz w:val="18"/>
                <w:szCs w:val="18"/>
                <w:color w:val="auto"/>
              </w:rPr>
              <w:t>Net of Income Tax Expense of $0.1, $0.3, $0.3, and $0.7</w:t>
            </w:r>
          </w:p>
        </w:tc>
        <w:tc>
          <w:tcPr>
            <w:tcW w:w="1900" w:type="dxa"/>
            <w:vAlign w:val="bottom"/>
          </w:tcPr>
          <w:p>
            <w:pPr>
              <w:jc w:val="right"/>
              <w:ind w:right="270"/>
              <w:spacing w:after="0"/>
              <w:rPr>
                <w:sz w:val="20"/>
                <w:szCs w:val="20"/>
                <w:color w:val="auto"/>
              </w:rPr>
            </w:pPr>
            <w:r>
              <w:rPr>
                <w:rFonts w:ascii="Arial" w:cs="Arial" w:eastAsia="Arial" w:hAnsi="Arial"/>
                <w:sz w:val="18"/>
                <w:szCs w:val="18"/>
                <w:color w:val="auto"/>
              </w:rPr>
              <w:t>0.2</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9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0.5</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9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40.8</w:t>
            </w: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59.9</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112.3</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r>
      <w:tr>
        <w:trPr>
          <w:trHeight w:val="27"/>
        </w:trPr>
        <w:tc>
          <w:tcPr>
            <w:tcW w:w="6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19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19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$40.8</w:t>
            </w: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$60.0</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$111.8</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$123.3</w:t>
            </w:r>
          </w:p>
        </w:tc>
      </w:tr>
      <w:tr>
        <w:trPr>
          <w:trHeight w:val="27"/>
        </w:trPr>
        <w:tc>
          <w:tcPr>
            <w:tcW w:w="8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260" w:type="dxa"/>
            <w:vAlign w:val="bottom"/>
            <w:gridSpan w:val="2"/>
          </w:tcPr>
          <w:p>
            <w:pPr>
              <w:ind w:left="3380"/>
              <w:spacing w:after="0"/>
              <w:rPr>
                <w:sz w:val="20"/>
                <w:szCs w:val="20"/>
                <w:color w:val="auto"/>
              </w:rPr>
            </w:pPr>
            <w:r>
              <w:rPr>
                <w:rFonts w:ascii="Arial" w:cs="Arial" w:eastAsia="Arial" w:hAnsi="Arial"/>
                <w:sz w:val="18"/>
                <w:szCs w:val="18"/>
                <w:color w:val="auto"/>
                <w:w w:val="92"/>
              </w:rPr>
              <w:t>The accompanying notes are an integral part of these statements.</w:t>
            </w: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0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2600" w:type="dxa"/>
            <w:vAlign w:val="bottom"/>
            <w:gridSpan w:val="2"/>
          </w:tcPr>
          <w:p>
            <w:pPr>
              <w:jc w:val="right"/>
              <w:ind w:right="255"/>
              <w:spacing w:after="0"/>
              <w:rPr>
                <w:sz w:val="20"/>
                <w:szCs w:val="20"/>
                <w:color w:val="auto"/>
              </w:rPr>
            </w:pPr>
            <w:r>
              <w:rPr>
                <w:rFonts w:ascii="Arial" w:cs="Arial" w:eastAsia="Arial" w:hAnsi="Arial"/>
                <w:sz w:val="17"/>
                <w:szCs w:val="17"/>
                <w:b w:val="1"/>
                <w:bCs w:val="1"/>
                <w:color w:val="auto"/>
              </w:rPr>
              <w:t>Nine Months Ended</w:t>
            </w:r>
          </w:p>
        </w:tc>
      </w:tr>
      <w:tr>
        <w:trPr>
          <w:trHeight w:val="270"/>
        </w:trPr>
        <w:tc>
          <w:tcPr>
            <w:tcW w:w="8820" w:type="dxa"/>
            <w:vAlign w:val="bottom"/>
          </w:tcPr>
          <w:p>
            <w:pPr>
              <w:spacing w:after="0"/>
              <w:rPr>
                <w:sz w:val="23"/>
                <w:szCs w:val="23"/>
                <w:color w:val="auto"/>
              </w:rPr>
            </w:pPr>
          </w:p>
        </w:tc>
        <w:tc>
          <w:tcPr>
            <w:tcW w:w="2600" w:type="dxa"/>
            <w:vAlign w:val="bottom"/>
            <w:gridSpan w:val="2"/>
          </w:tcPr>
          <w:p>
            <w:pPr>
              <w:jc w:val="right"/>
              <w:ind w:right="455"/>
              <w:spacing w:after="0"/>
              <w:rPr>
                <w:sz w:val="20"/>
                <w:szCs w:val="20"/>
                <w:color w:val="auto"/>
              </w:rPr>
            </w:pPr>
            <w:r>
              <w:rPr>
                <w:rFonts w:ascii="Arial" w:cs="Arial" w:eastAsia="Arial" w:hAnsi="Arial"/>
                <w:sz w:val="17"/>
                <w:szCs w:val="17"/>
                <w:b w:val="1"/>
                <w:bCs w:val="1"/>
                <w:color w:val="auto"/>
              </w:rPr>
              <w:t>September 30,</w:t>
            </w:r>
          </w:p>
        </w:tc>
      </w:tr>
      <w:tr>
        <w:trPr>
          <w:trHeight w:val="270"/>
        </w:trPr>
        <w:tc>
          <w:tcPr>
            <w:tcW w:w="8820" w:type="dxa"/>
            <w:vAlign w:val="bottom"/>
          </w:tcPr>
          <w:p>
            <w:pPr>
              <w:spacing w:after="0"/>
              <w:rPr>
                <w:sz w:val="23"/>
                <w:szCs w:val="23"/>
                <w:color w:val="auto"/>
              </w:rPr>
            </w:pPr>
          </w:p>
        </w:tc>
        <w:tc>
          <w:tcPr>
            <w:tcW w:w="1680" w:type="dxa"/>
            <w:vAlign w:val="bottom"/>
          </w:tcPr>
          <w:p>
            <w:pPr>
              <w:jc w:val="right"/>
              <w:ind w:right="455"/>
              <w:spacing w:after="0"/>
              <w:rPr>
                <w:sz w:val="20"/>
                <w:szCs w:val="20"/>
                <w:color w:val="auto"/>
              </w:rPr>
            </w:pPr>
            <w:r>
              <w:rPr>
                <w:rFonts w:ascii="Arial" w:cs="Arial" w:eastAsia="Arial" w:hAnsi="Arial"/>
                <w:sz w:val="17"/>
                <w:szCs w:val="17"/>
                <w:b w:val="1"/>
                <w:bCs w:val="1"/>
                <w:color w:val="auto"/>
              </w:rPr>
              <w:t>2016</w:t>
            </w:r>
          </w:p>
        </w:tc>
        <w:tc>
          <w:tcPr>
            <w:tcW w:w="920" w:type="dxa"/>
            <w:vAlign w:val="bottom"/>
          </w:tcPr>
          <w:p>
            <w:pPr>
              <w:jc w:val="right"/>
              <w:ind w:right="255"/>
              <w:spacing w:after="0"/>
              <w:rPr>
                <w:sz w:val="20"/>
                <w:szCs w:val="20"/>
                <w:color w:val="auto"/>
              </w:rPr>
            </w:pPr>
            <w:r>
              <w:rPr>
                <w:rFonts w:ascii="Arial" w:cs="Arial" w:eastAsia="Arial" w:hAnsi="Arial"/>
                <w:sz w:val="17"/>
                <w:szCs w:val="17"/>
                <w:b w:val="1"/>
                <w:bCs w:val="1"/>
                <w:color w:val="auto"/>
              </w:rPr>
              <w:t>2015</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15"/>
        </w:trPr>
        <w:tc>
          <w:tcPr>
            <w:tcW w:w="88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$111.5</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$122.7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Allowance for Funds Used During Construction – Equity</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(5.8)</w:t>
            </w:r>
          </w:p>
        </w:tc>
        <w:tc>
          <w:tcPr>
            <w:tcW w:w="9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 on Sales of Investments and Property, Plant and Equipment</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(5.3)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Depreciation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141.8</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120.7</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Power Purchase Agreements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(16.7)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8.1</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5.0</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15.5</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2.0</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ESOP Compensation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1.6</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3.9</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11.5</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Bad Debt Expense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2.5</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Receivable</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10.6</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11.6</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9.7</w:t>
            </w:r>
          </w:p>
        </w:tc>
        <w:tc>
          <w:tcPr>
            <w:tcW w:w="920" w:type="dxa"/>
            <w:vAlign w:val="bottom"/>
          </w:tcPr>
          <w:p>
            <w:pPr>
              <w:jc w:val="right"/>
              <w:spacing w:after="0"/>
              <w:rPr>
                <w:sz w:val="20"/>
                <w:szCs w:val="20"/>
                <w:color w:val="auto"/>
              </w:rPr>
            </w:pPr>
            <w:r>
              <w:rPr>
                <w:rFonts w:ascii="Arial" w:cs="Arial" w:eastAsia="Arial" w:hAnsi="Arial"/>
                <w:sz w:val="17"/>
                <w:szCs w:val="17"/>
                <w:color w:val="auto"/>
              </w:rPr>
              <w:t>(24.1)</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Prepayments and Other</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(0.7)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0.6</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Current Liabilities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(23.0)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Cash Contributions to Defined Benefit Pension Plans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(6.3)</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(18.3)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7.8</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1.5</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Operating Activities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237.8</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254.6</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6.8</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0.7</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(7.2)</w:t>
            </w: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Acquisitions of Subsidiaries – Net of Cash Acquired</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Investment in ATC</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(3.5)</w:t>
            </w:r>
          </w:p>
        </w:tc>
        <w:tc>
          <w:tcPr>
            <w:tcW w:w="9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to Other Investments</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2.5</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(119.5)</w:t>
            </w:r>
          </w:p>
        </w:tc>
        <w:tc>
          <w:tcPr>
            <w:tcW w:w="920" w:type="dxa"/>
            <w:vAlign w:val="bottom"/>
          </w:tcPr>
          <w:p>
            <w:pPr>
              <w:jc w:val="right"/>
              <w:spacing w:after="0"/>
              <w:rPr>
                <w:sz w:val="20"/>
                <w:szCs w:val="20"/>
                <w:color w:val="auto"/>
              </w:rPr>
            </w:pPr>
            <w:r>
              <w:rPr>
                <w:rFonts w:ascii="Arial" w:cs="Arial" w:eastAsia="Arial" w:hAnsi="Arial"/>
                <w:sz w:val="17"/>
                <w:szCs w:val="17"/>
                <w:color w:val="auto"/>
              </w:rPr>
              <w:t>(208.2)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Property, Plant and Equipment</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0.2</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0.3</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for Investing Activities</w:t>
            </w:r>
          </w:p>
        </w:tc>
        <w:tc>
          <w:tcPr>
            <w:tcW w:w="168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rPr>
              <w:t>(120.7)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(534.3)</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27.0</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155.2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2.2</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240.0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Restricted Cash</w:t>
            </w:r>
          </w:p>
        </w:tc>
        <w:tc>
          <w:tcPr>
            <w:tcW w:w="1680" w:type="dxa"/>
            <w:vAlign w:val="bottom"/>
          </w:tcPr>
          <w:p>
            <w:pPr>
              <w:jc w:val="right"/>
              <w:ind w:right="215"/>
              <w:spacing w:after="0"/>
              <w:rPr>
                <w:sz w:val="20"/>
                <w:szCs w:val="20"/>
                <w:color w:val="auto"/>
              </w:rPr>
            </w:pPr>
            <w:r>
              <w:rPr>
                <w:rFonts w:ascii="Arial" w:cs="Arial" w:eastAsia="Arial" w:hAnsi="Arial"/>
                <w:sz w:val="17"/>
                <w:szCs w:val="17"/>
                <w:color w:val="auto"/>
              </w:rPr>
              <w:t>2.1</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2.2</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Notes Payable</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Repayments of Long-Term Debt</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(50.7)</w:t>
            </w:r>
          </w:p>
        </w:tc>
        <w:tc>
          <w:tcPr>
            <w:tcW w:w="920" w:type="dxa"/>
            <w:vAlign w:val="bottom"/>
          </w:tcPr>
          <w:p>
            <w:pPr>
              <w:jc w:val="right"/>
              <w:spacing w:after="0"/>
              <w:rPr>
                <w:sz w:val="20"/>
                <w:szCs w:val="20"/>
                <w:color w:val="auto"/>
              </w:rPr>
            </w:pPr>
            <w:r>
              <w:rPr>
                <w:rFonts w:ascii="Arial" w:cs="Arial" w:eastAsia="Arial" w:hAnsi="Arial"/>
                <w:sz w:val="17"/>
                <w:szCs w:val="17"/>
                <w:color w:val="auto"/>
              </w:rPr>
              <w:t>(81.8)</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 of Non-Controlling Interest</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(8.0)</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(0.8)</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Debt Issuance Costs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Dividends on Common Stock</w:t>
            </w:r>
          </w:p>
        </w:tc>
        <w:tc>
          <w:tcPr>
            <w:tcW w:w="1680" w:type="dxa"/>
            <w:vAlign w:val="bottom"/>
          </w:tcPr>
          <w:p>
            <w:pPr>
              <w:jc w:val="right"/>
              <w:ind w:right="175"/>
              <w:spacing w:after="0"/>
              <w:rPr>
                <w:sz w:val="20"/>
                <w:szCs w:val="20"/>
                <w:color w:val="auto"/>
              </w:rPr>
            </w:pPr>
            <w:r>
              <w:rPr>
                <w:rFonts w:ascii="Arial" w:cs="Arial" w:eastAsia="Arial" w:hAnsi="Arial"/>
                <w:sz w:val="17"/>
                <w:szCs w:val="17"/>
                <w:color w:val="auto"/>
              </w:rPr>
              <w:t>(77.0)</w:t>
            </w:r>
          </w:p>
        </w:tc>
        <w:tc>
          <w:tcPr>
            <w:tcW w:w="920" w:type="dxa"/>
            <w:vAlign w:val="bottom"/>
          </w:tcPr>
          <w:p>
            <w:pPr>
              <w:jc w:val="right"/>
              <w:spacing w:after="0"/>
              <w:rPr>
                <w:sz w:val="20"/>
                <w:szCs w:val="20"/>
                <w:color w:val="auto"/>
              </w:rPr>
            </w:pPr>
            <w:r>
              <w:rPr>
                <w:rFonts w:ascii="Arial" w:cs="Arial" w:eastAsia="Arial" w:hAnsi="Arial"/>
                <w:sz w:val="17"/>
                <w:szCs w:val="17"/>
                <w:color w:val="auto"/>
              </w:rPr>
              <w:t>(74.0)</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(for) Financing Activities</w:t>
            </w:r>
          </w:p>
        </w:tc>
        <w:tc>
          <w:tcPr>
            <w:tcW w:w="1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(106.9)</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236.9</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10.2</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(42.8)</w:t>
            </w:r>
          </w:p>
        </w:tc>
      </w:tr>
      <w:tr>
        <w:trPr>
          <w:trHeight w:val="31"/>
        </w:trPr>
        <w:tc>
          <w:tcPr>
            <w:tcW w:w="8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97.0</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145.8</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68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$107.2</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$103.0</w:t>
            </w:r>
          </w:p>
        </w:tc>
      </w:tr>
      <w:tr>
        <w:trPr>
          <w:trHeight w:val="31"/>
        </w:trPr>
        <w:tc>
          <w:tcPr>
            <w:tcW w:w="8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4"/>
        </w:trPr>
        <w:tc>
          <w:tcPr>
            <w:tcW w:w="882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134"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40" w:top="1040" w:right="239" w:bottom="134"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jc w:val="center"/>
              <w:ind w:right="134"/>
              <w:spacing w:after="0"/>
              <w:rPr>
                <w:sz w:val="20"/>
                <w:szCs w:val="20"/>
                <w:color w:val="auto"/>
              </w:rPr>
            </w:pPr>
            <w:r>
              <w:rPr>
                <w:rFonts w:ascii="Arial" w:cs="Arial" w:eastAsia="Arial" w:hAnsi="Arial"/>
                <w:sz w:val="16"/>
                <w:szCs w:val="16"/>
                <w:b w:val="1"/>
                <w:bCs w:val="1"/>
                <w:color w:val="auto"/>
                <w:w w:val="91"/>
              </w:rPr>
              <w:t>Accumulated</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jc w:val="center"/>
              <w:ind w:right="134"/>
              <w:spacing w:after="0"/>
              <w:rPr>
                <w:sz w:val="20"/>
                <w:szCs w:val="20"/>
                <w:color w:val="auto"/>
              </w:rPr>
            </w:pPr>
            <w:r>
              <w:rPr>
                <w:rFonts w:ascii="Arial" w:cs="Arial" w:eastAsia="Arial" w:hAnsi="Arial"/>
                <w:sz w:val="16"/>
                <w:szCs w:val="16"/>
                <w:b w:val="1"/>
                <w:bCs w:val="1"/>
                <w:color w:val="auto"/>
                <w:w w:val="93"/>
              </w:rPr>
              <w:t>Other</w:t>
            </w:r>
          </w:p>
        </w:tc>
        <w:tc>
          <w:tcPr>
            <w:tcW w:w="1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Non-Controlling</w:t>
            </w:r>
          </w:p>
        </w:tc>
      </w:tr>
      <w:tr>
        <w:trPr>
          <w:trHeight w:val="203"/>
        </w:trPr>
        <w:tc>
          <w:tcPr>
            <w:tcW w:w="4800" w:type="dxa"/>
            <w:vAlign w:val="bottom"/>
          </w:tcPr>
          <w:p>
            <w:pPr>
              <w:spacing w:after="0"/>
              <w:rPr>
                <w:sz w:val="17"/>
                <w:szCs w:val="17"/>
                <w:color w:val="auto"/>
              </w:rPr>
            </w:pPr>
          </w:p>
        </w:tc>
        <w:tc>
          <w:tcPr>
            <w:tcW w:w="140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1340" w:type="dxa"/>
            <w:vAlign w:val="bottom"/>
          </w:tcPr>
          <w:p>
            <w:pPr>
              <w:jc w:val="right"/>
              <w:ind w:right="313"/>
              <w:spacing w:after="0"/>
              <w:rPr>
                <w:sz w:val="20"/>
                <w:szCs w:val="20"/>
                <w:color w:val="auto"/>
              </w:rPr>
            </w:pPr>
            <w:r>
              <w:rPr>
                <w:rFonts w:ascii="Arial" w:cs="Arial" w:eastAsia="Arial" w:hAnsi="Arial"/>
                <w:sz w:val="16"/>
                <w:szCs w:val="16"/>
                <w:b w:val="1"/>
                <w:bCs w:val="1"/>
                <w:color w:val="auto"/>
              </w:rPr>
              <w:t>Retained</w:t>
            </w:r>
          </w:p>
        </w:tc>
        <w:tc>
          <w:tcPr>
            <w:tcW w:w="1540" w:type="dxa"/>
            <w:vAlign w:val="bottom"/>
          </w:tcPr>
          <w:p>
            <w:pPr>
              <w:jc w:val="center"/>
              <w:ind w:right="134"/>
              <w:spacing w:after="0"/>
              <w:rPr>
                <w:sz w:val="20"/>
                <w:szCs w:val="20"/>
                <w:color w:val="auto"/>
              </w:rPr>
            </w:pPr>
            <w:r>
              <w:rPr>
                <w:rFonts w:ascii="Arial" w:cs="Arial" w:eastAsia="Arial" w:hAnsi="Arial"/>
                <w:sz w:val="16"/>
                <w:szCs w:val="16"/>
                <w:b w:val="1"/>
                <w:bCs w:val="1"/>
                <w:color w:val="auto"/>
                <w:w w:val="89"/>
              </w:rPr>
              <w:t>Comprehensive</w:t>
            </w:r>
          </w:p>
        </w:tc>
        <w:tc>
          <w:tcPr>
            <w:tcW w:w="1100" w:type="dxa"/>
            <w:vAlign w:val="bottom"/>
          </w:tcPr>
          <w:p>
            <w:pPr>
              <w:jc w:val="right"/>
              <w:ind w:right="213"/>
              <w:spacing w:after="0"/>
              <w:rPr>
                <w:sz w:val="20"/>
                <w:szCs w:val="20"/>
                <w:color w:val="auto"/>
              </w:rPr>
            </w:pPr>
            <w:r>
              <w:rPr>
                <w:rFonts w:ascii="Arial" w:cs="Arial" w:eastAsia="Arial" w:hAnsi="Arial"/>
                <w:sz w:val="16"/>
                <w:szCs w:val="16"/>
                <w:b w:val="1"/>
                <w:bCs w:val="1"/>
                <w:color w:val="auto"/>
              </w:rPr>
              <w:t>Common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Interest in</w:t>
            </w:r>
          </w:p>
        </w:tc>
      </w:tr>
      <w:tr>
        <w:trPr>
          <w:trHeight w:val="210"/>
        </w:trPr>
        <w:tc>
          <w:tcPr>
            <w:tcW w:w="4800" w:type="dxa"/>
            <w:vAlign w:val="bottom"/>
          </w:tcPr>
          <w:p>
            <w:pPr>
              <w:spacing w:after="0"/>
              <w:rPr>
                <w:sz w:val="18"/>
                <w:szCs w:val="18"/>
                <w:color w:val="auto"/>
              </w:rPr>
            </w:pPr>
          </w:p>
        </w:tc>
        <w:tc>
          <w:tcPr>
            <w:tcW w:w="1400" w:type="dxa"/>
            <w:vAlign w:val="bottom"/>
          </w:tcPr>
          <w:p>
            <w:pPr>
              <w:jc w:val="right"/>
              <w:ind w:right="371"/>
              <w:spacing w:after="0"/>
              <w:rPr>
                <w:sz w:val="20"/>
                <w:szCs w:val="20"/>
                <w:color w:val="auto"/>
              </w:rPr>
            </w:pPr>
            <w:r>
              <w:rPr>
                <w:rFonts w:ascii="Arial" w:cs="Arial" w:eastAsia="Arial" w:hAnsi="Arial"/>
                <w:sz w:val="16"/>
                <w:szCs w:val="16"/>
                <w:b w:val="1"/>
                <w:bCs w:val="1"/>
                <w:color w:val="auto"/>
              </w:rPr>
              <w:t>Equity</w:t>
            </w:r>
          </w:p>
        </w:tc>
        <w:tc>
          <w:tcPr>
            <w:tcW w:w="1340" w:type="dxa"/>
            <w:vAlign w:val="bottom"/>
          </w:tcPr>
          <w:p>
            <w:pPr>
              <w:jc w:val="right"/>
              <w:ind w:right="313"/>
              <w:spacing w:after="0"/>
              <w:rPr>
                <w:sz w:val="20"/>
                <w:szCs w:val="20"/>
                <w:color w:val="auto"/>
              </w:rPr>
            </w:pPr>
            <w:r>
              <w:rPr>
                <w:rFonts w:ascii="Arial" w:cs="Arial" w:eastAsia="Arial" w:hAnsi="Arial"/>
                <w:sz w:val="16"/>
                <w:szCs w:val="16"/>
                <w:b w:val="1"/>
                <w:bCs w:val="1"/>
                <w:color w:val="auto"/>
              </w:rPr>
              <w:t>Earnings</w:t>
            </w:r>
          </w:p>
        </w:tc>
        <w:tc>
          <w:tcPr>
            <w:tcW w:w="1540" w:type="dxa"/>
            <w:vAlign w:val="bottom"/>
          </w:tcPr>
          <w:p>
            <w:pPr>
              <w:jc w:val="center"/>
              <w:ind w:right="134"/>
              <w:spacing w:after="0"/>
              <w:rPr>
                <w:sz w:val="20"/>
                <w:szCs w:val="20"/>
                <w:color w:val="auto"/>
              </w:rPr>
            </w:pPr>
            <w:r>
              <w:rPr>
                <w:rFonts w:ascii="Arial" w:cs="Arial" w:eastAsia="Arial" w:hAnsi="Arial"/>
                <w:sz w:val="16"/>
                <w:szCs w:val="16"/>
                <w:b w:val="1"/>
                <w:bCs w:val="1"/>
                <w:color w:val="auto"/>
                <w:w w:val="88"/>
              </w:rPr>
              <w:t>Income (Loss)</w:t>
            </w:r>
          </w:p>
        </w:tc>
        <w:tc>
          <w:tcPr>
            <w:tcW w:w="1100" w:type="dxa"/>
            <w:vAlign w:val="bottom"/>
          </w:tcPr>
          <w:p>
            <w:pPr>
              <w:jc w:val="right"/>
              <w:ind w:right="353"/>
              <w:spacing w:after="0"/>
              <w:rPr>
                <w:sz w:val="20"/>
                <w:szCs w:val="20"/>
                <w:color w:val="auto"/>
              </w:rPr>
            </w:pPr>
            <w:r>
              <w:rPr>
                <w:rFonts w:ascii="Arial" w:cs="Arial" w:eastAsia="Arial" w:hAnsi="Arial"/>
                <w:sz w:val="16"/>
                <w:szCs w:val="16"/>
                <w:b w:val="1"/>
                <w:bCs w:val="1"/>
                <w:color w:val="auto"/>
              </w:rPr>
              <w:t>Stock</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Subsidiaries</w:t>
            </w:r>
          </w:p>
        </w:tc>
      </w:tr>
      <w:tr>
        <w:trPr>
          <w:trHeight w:val="33"/>
        </w:trPr>
        <w:tc>
          <w:tcPr>
            <w:tcW w:w="4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5"/>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$1,822.4</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$573.3</w:t>
            </w:r>
          </w:p>
        </w:tc>
        <w:tc>
          <w:tcPr>
            <w:tcW w:w="15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$(24.5)</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$1,271.4</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37"/>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111.5</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111.0</w:t>
            </w:r>
          </w:p>
        </w:tc>
        <w:tc>
          <w:tcPr>
            <w:tcW w:w="1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Securities</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0.3</w:t>
            </w: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w w:val="97"/>
              </w:rPr>
              <w:t>Defined Benefit Pension and Other Postretirement Plans</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340" w:type="dxa"/>
            <w:vAlign w:val="bottom"/>
          </w:tcPr>
          <w:p>
            <w:pPr>
              <w:spacing w:after="0"/>
              <w:rPr>
                <w:sz w:val="21"/>
                <w:szCs w:val="21"/>
                <w:color w:val="auto"/>
              </w:rPr>
            </w:pPr>
          </w:p>
        </w:tc>
        <w:tc>
          <w:tcPr>
            <w:tcW w:w="1540" w:type="dxa"/>
            <w:vAlign w:val="bottom"/>
          </w:tcPr>
          <w:p>
            <w:pPr>
              <w:jc w:val="right"/>
              <w:ind w:right="174"/>
              <w:spacing w:after="0"/>
              <w:rPr>
                <w:sz w:val="20"/>
                <w:szCs w:val="20"/>
                <w:color w:val="auto"/>
              </w:rPr>
            </w:pPr>
            <w:r>
              <w:rPr>
                <w:rFonts w:ascii="Arial" w:cs="Arial" w:eastAsia="Arial" w:hAnsi="Arial"/>
                <w:sz w:val="18"/>
                <w:szCs w:val="18"/>
                <w:color w:val="auto"/>
              </w:rPr>
              <w:t>0.5</w:t>
            </w: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112.3</w:t>
            </w:r>
          </w:p>
        </w:tc>
        <w:tc>
          <w:tcPr>
            <w:tcW w:w="1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30.0</w:t>
            </w: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Retired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400" w:type="dxa"/>
            <w:vAlign w:val="bottom"/>
          </w:tcPr>
          <w:p>
            <w:pPr>
              <w:jc w:val="right"/>
              <w:spacing w:after="0"/>
              <w:rPr>
                <w:sz w:val="20"/>
                <w:szCs w:val="20"/>
                <w:color w:val="auto"/>
              </w:rPr>
            </w:pPr>
            <w:r>
              <w:rPr>
                <w:rFonts w:ascii="Arial" w:cs="Arial" w:eastAsia="Arial" w:hAnsi="Arial"/>
                <w:sz w:val="18"/>
                <w:szCs w:val="18"/>
                <w:color w:val="auto"/>
              </w:rPr>
              <w:t>(77.0)</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(77.0)</w:t>
            </w:r>
          </w:p>
        </w:tc>
        <w:tc>
          <w:tcPr>
            <w:tcW w:w="1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Non-Controlling Interest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September 30, 2016</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$1,873.0</w:t>
            </w:r>
          </w:p>
        </w:tc>
        <w:tc>
          <w:tcPr>
            <w:tcW w:w="13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$607.3</w:t>
            </w:r>
          </w:p>
        </w:tc>
        <w:tc>
          <w:tcPr>
            <w:tcW w:w="15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$(23.7)</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$1,289.4</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08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4"/>
        </w:trPr>
        <w:tc>
          <w:tcPr>
            <w:tcW w:w="9080" w:type="dxa"/>
            <w:vAlign w:val="bottom"/>
            <w:gridSpan w:val="4"/>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04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2015,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nine months ended September 30, 2016, are not necessarily indicative of results that may be expected for any other interim period or for the year ending December 31, 2016. For further information, refer to the Consolidated Financial Statements and notes included in our 2015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Inventories in our Regulated Operations and ALLETE Clean Energy segments are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an average cost or first-in, first-out basis. Inventories in our U.S. Water Services and Corporate and Other segments are carried at an average cost, first-in, first-out or specific identification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3520" w:type="dxa"/>
            <w:vAlign w:val="bottom"/>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Inventories</w:t>
            </w:r>
          </w:p>
        </w:tc>
        <w:tc>
          <w:tcPr>
            <w:tcW w:w="35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$45.9</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r>
      <w:tr>
        <w:trPr>
          <w:trHeight w:val="243"/>
        </w:trPr>
        <w:tc>
          <w:tcPr>
            <w:tcW w:w="2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520" w:type="dxa"/>
            <w:vAlign w:val="bottom"/>
          </w:tcPr>
          <w:p>
            <w:pPr>
              <w:jc w:val="right"/>
              <w:ind w:right="170"/>
              <w:spacing w:after="0"/>
              <w:rPr>
                <w:sz w:val="20"/>
                <w:szCs w:val="20"/>
                <w:color w:val="auto"/>
              </w:rPr>
            </w:pPr>
            <w:r>
              <w:rPr>
                <w:rFonts w:ascii="Arial" w:cs="Arial" w:eastAsia="Arial" w:hAnsi="Arial"/>
                <w:sz w:val="18"/>
                <w:szCs w:val="18"/>
                <w:color w:val="auto"/>
              </w:rPr>
              <w:t>49.8</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2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52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7.8</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2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352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3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$107.4</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r>
      <w:tr>
        <w:trPr>
          <w:trHeight w:val="200"/>
        </w:trPr>
        <w:tc>
          <w:tcPr>
            <w:tcW w:w="20" w:type="dxa"/>
            <w:vAlign w:val="bottom"/>
          </w:tcPr>
          <w:p>
            <w:pPr>
              <w:spacing w:after="0"/>
              <w:rPr>
                <w:sz w:val="17"/>
                <w:szCs w:val="17"/>
                <w:color w:val="auto"/>
              </w:rPr>
            </w:pPr>
          </w:p>
        </w:tc>
        <w:tc>
          <w:tcPr>
            <w:tcW w:w="64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5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406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40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9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4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$16.8</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6"/>
                <w:szCs w:val="16"/>
                <w:i w:val="1"/>
                <w:iCs w:val="1"/>
                <w:color w:val="auto"/>
              </w:rPr>
              <w:t>(a)</w:t>
            </w:r>
          </w:p>
        </w:tc>
        <w:tc>
          <w:tcPr>
            <w:tcW w:w="4060" w:type="dxa"/>
            <w:vAlign w:val="bottom"/>
          </w:tcPr>
          <w:p>
            <w:pPr>
              <w:jc w:val="right"/>
              <w:ind w:right="150"/>
              <w:spacing w:after="0"/>
              <w:rPr>
                <w:sz w:val="20"/>
                <w:szCs w:val="20"/>
                <w:color w:val="auto"/>
              </w:rPr>
            </w:pPr>
            <w:r>
              <w:rPr>
                <w:rFonts w:ascii="Arial" w:cs="Arial" w:eastAsia="Arial" w:hAnsi="Arial"/>
                <w:sz w:val="18"/>
                <w:szCs w:val="18"/>
                <w:color w:val="auto"/>
              </w:rPr>
              <w:t>7.0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5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15.1</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4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$38.9</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includes collateral deposits required under ALLETE Clean Energy’s loan agreements and cash pledged as collateral for U.S. Water Services’ standby letters of credit.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452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45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Payment </w:t>
            </w:r>
            <w:r>
              <w:rPr>
                <w:rFonts w:ascii="Arial" w:cs="Arial" w:eastAsia="Arial" w:hAnsi="Arial"/>
                <w:sz w:val="18"/>
                <w:szCs w:val="18"/>
                <w:i w:val="1"/>
                <w:iCs w:val="1"/>
                <w:color w:val="auto"/>
              </w:rPr>
              <w:t>(a)</w:t>
            </w:r>
          </w:p>
        </w:tc>
        <w:tc>
          <w:tcPr>
            <w:tcW w:w="4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$30.1</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 xml:space="preserve">Finance Receivable </w:t>
            </w:r>
            <w:r>
              <w:rPr>
                <w:rFonts w:ascii="Arial" w:cs="Arial" w:eastAsia="Arial" w:hAnsi="Arial"/>
                <w:sz w:val="18"/>
                <w:szCs w:val="18"/>
                <w:i w:val="1"/>
                <w:iCs w:val="1"/>
                <w:color w:val="auto"/>
              </w:rPr>
              <w:t>(b)</w:t>
            </w:r>
          </w:p>
        </w:tc>
        <w:tc>
          <w:tcPr>
            <w:tcW w:w="4520" w:type="dxa"/>
            <w:vAlign w:val="bottom"/>
          </w:tcPr>
          <w:p>
            <w:pPr>
              <w:jc w:val="right"/>
              <w:ind w:right="150"/>
              <w:spacing w:after="0"/>
              <w:rPr>
                <w:sz w:val="20"/>
                <w:szCs w:val="20"/>
                <w:color w:val="auto"/>
              </w:rPr>
            </w:pPr>
            <w:r>
              <w:rPr>
                <w:rFonts w:ascii="Arial" w:cs="Arial" w:eastAsia="Arial" w:hAnsi="Arial"/>
                <w:sz w:val="18"/>
                <w:szCs w:val="18"/>
                <w:color w:val="auto"/>
              </w:rPr>
              <w:t>11.6</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i w:val="1"/>
                <w:iCs w:val="1"/>
                <w:color w:val="auto"/>
              </w:rPr>
              <w:t>(c)</w:t>
            </w:r>
          </w:p>
        </w:tc>
        <w:tc>
          <w:tcPr>
            <w:tcW w:w="4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Other</w:t>
            </w:r>
          </w:p>
        </w:tc>
        <w:tc>
          <w:tcPr>
            <w:tcW w:w="4520" w:type="dxa"/>
            <w:vAlign w:val="bottom"/>
          </w:tcPr>
          <w:p>
            <w:pPr>
              <w:jc w:val="right"/>
              <w:ind w:right="150"/>
              <w:spacing w:after="0"/>
              <w:rPr>
                <w:sz w:val="20"/>
                <w:szCs w:val="20"/>
                <w:color w:val="auto"/>
              </w:rPr>
            </w:pPr>
            <w:r>
              <w:rPr>
                <w:rFonts w:ascii="Arial" w:cs="Arial" w:eastAsia="Arial" w:hAnsi="Arial"/>
                <w:sz w:val="18"/>
                <w:szCs w:val="18"/>
                <w:color w:val="auto"/>
              </w:rPr>
              <w:t>60.2</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5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4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$106.5</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r>
      <w:tr>
        <w:trPr>
          <w:trHeight w:val="20"/>
        </w:trPr>
        <w:tc>
          <w:tcPr>
            <w:tcW w:w="546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ind w:left="340" w:right="20" w:hanging="332"/>
        <w:spacing w:after="0" w:line="249"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Contract Payment includes a $31.0 million payment made to Cliffs as part of a long-term power sales agreement between Minnesota Power and Silver Bay Power. The contract payment will be amortized over the term of the sales agreement. (See Note 13. Commitments, Guarantees and Contingencies.)</w:t>
      </w:r>
    </w:p>
    <w:p>
      <w:pPr>
        <w:jc w:val="both"/>
        <w:ind w:left="340" w:hanging="332"/>
        <w:spacing w:after="0" w:line="263" w:lineRule="auto"/>
        <w:tabs>
          <w:tab w:leader="none" w:pos="340"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On September 22, 2016, ALLETE Properties sold its Ormond Crossings project and Lake Swamp wetland mitigation bank for consideration of approximately $21 million. The consideration included a down payment in the form of 0.1 million shares of ALLETE common stock with a value of $8.0 million. The remaining purchase price will be paid under the terms of a finance receivable due over a five-year period which bears interest at market rates and is collateralized by the property sold.</w:t>
      </w: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includes collateral deposits required under ALLETE Clean Energy’s loan agreements and PPAs.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20"/>
          </w:cols>
          <w:pgMar w:left="240" w:top="1040"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27"/>
        </w:trPr>
        <w:tc>
          <w:tcPr>
            <w:tcW w:w="7680" w:type="dxa"/>
            <w:vAlign w:val="bottom"/>
          </w:tcPr>
          <w:p>
            <w:pPr>
              <w:spacing w:after="0"/>
              <w:rPr>
                <w:sz w:val="24"/>
                <w:szCs w:val="24"/>
                <w:color w:val="auto"/>
              </w:rPr>
            </w:pPr>
          </w:p>
        </w:tc>
        <w:tc>
          <w:tcPr>
            <w:tcW w:w="228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2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7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2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Power Purchase Agreements</w:t>
            </w:r>
          </w:p>
        </w:tc>
        <w:tc>
          <w:tcPr>
            <w:tcW w:w="2280" w:type="dxa"/>
            <w:vAlign w:val="bottom"/>
          </w:tcPr>
          <w:p>
            <w:pPr>
              <w:jc w:val="right"/>
              <w:ind w:right="150"/>
              <w:spacing w:after="0"/>
              <w:rPr>
                <w:sz w:val="20"/>
                <w:szCs w:val="20"/>
                <w:color w:val="auto"/>
              </w:rPr>
            </w:pPr>
            <w:r>
              <w:rPr>
                <w:rFonts w:ascii="Arial" w:cs="Arial" w:eastAsia="Arial" w:hAnsi="Arial"/>
                <w:sz w:val="18"/>
                <w:szCs w:val="18"/>
                <w:color w:val="auto"/>
              </w:rPr>
              <w:t>24.3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7"/>
        </w:trPr>
        <w:tc>
          <w:tcPr>
            <w:tcW w:w="7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37"/>
        </w:trPr>
        <w:tc>
          <w:tcPr>
            <w:tcW w:w="7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22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$93.6</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w:t>
            </w:r>
          </w:p>
        </w:tc>
      </w:tr>
      <w:tr>
        <w:trPr>
          <w:trHeight w:val="27"/>
        </w:trPr>
        <w:tc>
          <w:tcPr>
            <w:tcW w:w="7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438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$136.5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Power Purchase Agreements</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119.8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138.1</w:t>
            </w:r>
          </w:p>
        </w:tc>
      </w:tr>
      <w:tr>
        <w:trPr>
          <w:trHeight w:val="27"/>
        </w:trPr>
        <w:tc>
          <w:tcPr>
            <w:tcW w:w="5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37.9</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41.7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42.9</w:t>
            </w:r>
          </w:p>
        </w:tc>
      </w:tr>
      <w:tr>
        <w:trPr>
          <w:trHeight w:val="27"/>
        </w:trPr>
        <w:tc>
          <w:tcPr>
            <w:tcW w:w="5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$335.9</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r>
      <w:tr>
        <w:trPr>
          <w:trHeight w:val="20"/>
        </w:trPr>
        <w:tc>
          <w:tcPr>
            <w:tcW w:w="558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relates to the estimated fair value of the earnings-based payment resulting from the U.S. Water Services acquisition. (See Note 3. Acquisitions and Note 5. Fair Value.)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$54.9</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$0.5</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$(19.5)</w:t>
            </w:r>
          </w:p>
        </w:tc>
        <w:tc>
          <w:tcPr>
            <w:tcW w:w="9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$3.7</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$1.7</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ALLETE Common Stock Received for Land Inventory</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$8.0</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Finance Receivable for Land Inventory</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$12.0</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0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Amendments to the Consolidation Analysis. </w:t>
      </w:r>
      <w:r>
        <w:rPr>
          <w:rFonts w:ascii="Arial" w:cs="Arial" w:eastAsia="Arial" w:hAnsi="Arial"/>
          <w:sz w:val="16"/>
          <w:szCs w:val="16"/>
          <w:color w:val="auto"/>
        </w:rPr>
        <w:t>In February 2015, the FASB issued revised guidance which changes the analysis that a reporting entity must</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to determine whether it should consolidate certain types of legal entities. The new standard affects (1) limited partnerships and similar legal entities,</w:t>
      </w:r>
    </w:p>
    <w:p>
      <w:pPr>
        <w:jc w:val="both"/>
        <w:ind w:firstLine="8"/>
        <w:spacing w:after="0" w:line="255" w:lineRule="auto"/>
        <w:tabs>
          <w:tab w:leader="none" w:pos="286"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fees paid to a decision maker or a service provider as a variable interest, (3) the effect of fee arrangements on the primary beneficiary determination, (4) the effect of related parties on the primary beneficiary determination, and (5) certain investment funds. This guidance was adopted in the first quarter of 2016 and did not have a material impact on our Consolidated Financial Statements.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Disclosures for Investments in Certain Entities That Calculate Net Asset Value per Share (or Its Equivalent). </w:t>
      </w:r>
      <w:r>
        <w:rPr>
          <w:rFonts w:ascii="Arial" w:cs="Arial" w:eastAsia="Arial" w:hAnsi="Arial"/>
          <w:sz w:val="18"/>
          <w:szCs w:val="18"/>
          <w:color w:val="auto"/>
        </w:rPr>
        <w:t>In May 2015, the FASB issued an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update which removes the requirement to categorize within the fair value hierarchy all investments for which fair value is measured using the net asset value per share (or its equivalent) practical expedient. The guidance applies to investments for which there is not a readily determinable fair value (market quote) or the investment is in a mutual fund without a publicly available net asset value. This guidance was adopted in the first quarter of 2016 and did not have a material impact on our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20"/>
          </w:cols>
          <w:pgMar w:left="240" w:top="104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Presentation of Debt Issuance Costs. </w:t>
      </w:r>
      <w:r>
        <w:rPr>
          <w:rFonts w:ascii="Arial" w:cs="Arial" w:eastAsia="Arial" w:hAnsi="Arial"/>
          <w:sz w:val="18"/>
          <w:szCs w:val="18"/>
          <w:color w:val="auto"/>
        </w:rPr>
        <w:t>In April 2015, the FASB issued revised guidance addressing the presentation requirements for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revised guidance, all costs incurred to issue debt are to be presented on the Consolidated Balance Sheet as a direct deduction from the carrying amount of that debt liability. This guidance was adopted in the first quarter of 2016 resulting in the reclassification of unamortized debt issuance costs from Other Non-Current Assets to Long-Term Debt on the Consolidated Balance Sheet. The effect of the adoption decreased Total Assets and Total Liabilities on the Consolidated Balance Sheet by $12.6 million as of December 31, 2015.</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In May 2014, the FASB issued amended revenue recognition guidance to clarify the principles for recognizing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contracts with customers. The guidance requires an entity to recognize revenue to depict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The guidance is effective for the Company beginning in the first quarter of 2018 with early adoption permitted. The Company is evaluating the impact of the amended revenue recognition guidance on the Company’s Consolidated Financial Statements.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an accounting standard update which revises the existing guidance for leases. Under the revised guidance, lessees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updated guidance. The revised guidance is effective for the Company beginning in the first quarter of 2019 with early adoption permitted. The Company is evaluating the impact of the amended lease guidance on the Company’s Consolidated Financial Statements.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Improvements to Employee Share-Based Payment Accounting. </w:t>
      </w:r>
      <w:r>
        <w:rPr>
          <w:rFonts w:ascii="Arial" w:cs="Arial" w:eastAsia="Arial" w:hAnsi="Arial"/>
          <w:sz w:val="18"/>
          <w:szCs w:val="18"/>
          <w:color w:val="auto"/>
        </w:rPr>
        <w:t>In March 2016, the FASB issued guidance to simplify the accounting for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by requiring all excess tax benefits and deficiencies to be recognized in income tax expense or benefit in earnings; thus, eliminating the requirement to classify the excess tax benefit and deficiencies as additional paid-in capital. Under the new guidance, an entity makes an accounting policy election to either estimate the expected forfeiture awards or account for forfeitures as they occur. This accounting guidance is effective for the Company beginning in the first quarter of 2017. The Company is evaluating the impact of the share-based payment guidance on the Company’s Consolidated Financial Statements.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Classification of Certain Cash Receipts and Cash Payments. </w:t>
      </w:r>
      <w:r>
        <w:rPr>
          <w:rFonts w:ascii="Arial" w:cs="Arial" w:eastAsia="Arial" w:hAnsi="Arial"/>
          <w:sz w:val="16"/>
          <w:szCs w:val="16"/>
          <w:color w:val="auto"/>
        </w:rPr>
        <w:t>In August 2016, the FASB issued an accounting standard update which addresses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This accounting guidance is effective for the Company beginning in the first quarter of 2018. The Company does not believe the guidance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04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September 30, 2016, the investment portfolio included the legacy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in other postretirement plans to fund employee benefits, the cash equivalents within these plans, and other assets consisting primarily of land in Minnesota.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52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5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4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ALLETE Properties </w:t>
            </w:r>
            <w:r>
              <w:rPr>
                <w:rFonts w:ascii="Arial" w:cs="Arial" w:eastAsia="Arial" w:hAnsi="Arial"/>
                <w:sz w:val="16"/>
                <w:szCs w:val="16"/>
                <w:i w:val="1"/>
                <w:iCs w:val="1"/>
                <w:color w:val="auto"/>
              </w:rPr>
              <w:t>(a)</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$32.9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(b)</w:t>
            </w:r>
          </w:p>
        </w:tc>
        <w:tc>
          <w:tcPr>
            <w:tcW w:w="4520" w:type="dxa"/>
            <w:vAlign w:val="bottom"/>
          </w:tcPr>
          <w:p>
            <w:pPr>
              <w:jc w:val="right"/>
              <w:ind w:right="210"/>
              <w:spacing w:after="0"/>
              <w:rPr>
                <w:sz w:val="20"/>
                <w:szCs w:val="20"/>
                <w:color w:val="auto"/>
              </w:rPr>
            </w:pPr>
            <w:r>
              <w:rPr>
                <w:rFonts w:ascii="Arial" w:cs="Arial" w:eastAsia="Arial" w:hAnsi="Arial"/>
                <w:sz w:val="18"/>
                <w:szCs w:val="18"/>
                <w:color w:val="auto"/>
              </w:rPr>
              <w:t>19.4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54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Other</w:t>
            </w:r>
          </w:p>
        </w:tc>
        <w:tc>
          <w:tcPr>
            <w:tcW w:w="452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54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$58.1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0"/>
        </w:trPr>
        <w:tc>
          <w:tcPr>
            <w:tcW w:w="54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jc w:val="both"/>
        <w:ind w:left="340" w:hanging="332"/>
        <w:spacing w:after="0" w:line="247"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On September 22, 2016, ALLETE Properties sold its Ormond Crossings project and Lake Swamp wetland mitigation bank for consideration of approximately $21 million. The consideration included a down payment in the form of 0.1 million shares of ALLETE common stock with a value of $8.0 million, with the remaining purchase price to be paid under the terms of a finance receivable due over a five-year period which bears interest at market rates. The finance receivable is collateralized by the property sold.</w:t>
      </w:r>
    </w:p>
    <w:p>
      <w:pPr>
        <w:spacing w:after="0" w:line="3" w:lineRule="exact"/>
        <w:rPr>
          <w:rFonts w:ascii="Arial" w:cs="Arial" w:eastAsia="Arial" w:hAnsi="Arial"/>
          <w:sz w:val="16"/>
          <w:szCs w:val="16"/>
          <w:i w:val="1"/>
          <w:iCs w:val="1"/>
          <w:color w:val="auto"/>
        </w:rPr>
      </w:pPr>
    </w:p>
    <w:p>
      <w:pPr>
        <w:ind w:left="340" w:hanging="332"/>
        <w:spacing w:after="0" w:line="290" w:lineRule="auto"/>
        <w:tabs>
          <w:tab w:leader="none" w:pos="34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As of September 30, 2016, the aggregate amount of available-for-sale corporate and governmental debt securities maturing in one year or less was $0.2 million, in one year to less than three years was $2.7 million, in three years to less than five years was $5.5 million, and in five or more years was $3.3 million.</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estimated fair value. Land values are reviewed for indicators of impairment on a quarterly basis and no impairments were recorded for the quarter and nine months ended September 30, 2016.</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acquisitions are consistent with ALLETE’s stated strategy of investing in energy infrastructure and related services businesses to complement its regulated businesses, balance exposure to business cycles and changing demand, and provide potential long-term earnings growth. The pro forma impact of the following acquisitions was not significant, either individually or in the aggregate, to the results of the Company for the nine months ended September 30, 2016 and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Acquisition of Non-Controlling Interest. </w:t>
      </w:r>
      <w:r>
        <w:rPr>
          <w:rFonts w:ascii="Arial" w:cs="Arial" w:eastAsia="Arial" w:hAnsi="Arial"/>
          <w:sz w:val="18"/>
          <w:szCs w:val="18"/>
          <w:color w:val="auto"/>
        </w:rPr>
        <w:t>On April 15, 2016, ALLETE Clean Energy acquired the non-controlling interest in the limited liability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its Condon wind energy facility for $8.0 million. This transaction was accounted for as an equity transaction, and no gain or loss was recognized in net income or other comprehensive income. As a result of the acquisition, the Condon wind energy facility is now a wholly-owned subsidiary of ALLETE Clean Energy.</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WEST. </w:t>
      </w:r>
      <w:r>
        <w:rPr>
          <w:rFonts w:ascii="Arial" w:cs="Arial" w:eastAsia="Arial" w:hAnsi="Arial"/>
          <w:sz w:val="16"/>
          <w:szCs w:val="16"/>
          <w:color w:val="auto"/>
        </w:rPr>
        <w:t>On October 11, 2016, U.S. Water Services acquired 100 percent of Water &amp; Energy Systems Technology of Nevada, Inc. (WEST). Total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transaction was $6.5 million, subject to a working capital adjustment. Consideration of $5.9 million was paid in cash on the acquisition date and a $0.6 million payment is due in April 2018. WEST, similar to U.S. Water Services, is an integrated water management company and was acquired to expand U.S. Water Services’ regional footprint in the Southwestern United States. We are currently in the process of accounting for the acquisition; therefore, certain disclosures, including the allocation of the purchase price, will be included in the Form 10-K for the year ended December 31,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 Water Services. </w:t>
      </w:r>
      <w:r>
        <w:rPr>
          <w:rFonts w:ascii="Arial" w:cs="Arial" w:eastAsia="Arial" w:hAnsi="Arial"/>
          <w:sz w:val="18"/>
          <w:szCs w:val="18"/>
          <w:color w:val="auto"/>
        </w:rPr>
        <w:t>In February 2015, ALLETE acquired U.S. Water Services. Total consideration for the transaction was $202.3 million, which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$166.6 million in cash and an estimated fair value of earnings-based contingent consideration of $35.7 million, as estimated at the date of acquisition, to be paid through 2019. The contingent consideration is presented within Other Non-Current Liabilities on the Consolidated Balance Sheet. The Consolidated Statement of Income reflects 100 percent of the results of operations for U.S. Water Services since the acquisition date as the Company has acquired 100 percent of U.S. Water Services.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20"/>
          </w:cols>
          <w:pgMar w:left="240" w:top="104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6"/>
                <w:szCs w:val="16"/>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6"/>
                <w:szCs w:val="16"/>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6"/>
                <w:szCs w:val="16"/>
                <w:i w:val="1"/>
                <w:iCs w:val="1"/>
                <w:color w:val="auto"/>
              </w:rPr>
              <w:t>(c)</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(d)</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122.9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Inventories was $2.7 million of fair value adjustments relating to work in progress and finished goods inventories which were recognized as Cost of Sales within one year from the acquisition date.</w:t>
      </w:r>
    </w:p>
    <w:p>
      <w:pPr>
        <w:ind w:left="340" w:hanging="332"/>
        <w:spacing w:after="0" w:line="263" w:lineRule="auto"/>
        <w:tabs>
          <w:tab w:leader="none" w:pos="3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Current Assets was $1.6 million relating to the fair value of sales backlog. Sales backlog was recognized as Cost of Sales within one year from the acquisition date. Also included in Other Current Assets was restricted cash of $2.1 million relating to cash pledged as collateral for standby letters of credit.</w:t>
      </w:r>
    </w:p>
    <w:p>
      <w:pPr>
        <w:ind w:left="340" w:hanging="332"/>
        <w:spacing w:after="0"/>
        <w:tabs>
          <w:tab w:leader="none" w:pos="3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Intangible Assets include customer relationships, patents, non-compete agreements, and trademarks and trade names. (See Note 4. Goodwill and Intangible Assets.)</w:t>
      </w:r>
    </w:p>
    <w:p>
      <w:pPr>
        <w:spacing w:after="0" w:line="16" w:lineRule="exact"/>
        <w:rPr>
          <w:rFonts w:ascii="Arial" w:cs="Arial" w:eastAsia="Arial" w:hAnsi="Arial"/>
          <w:sz w:val="15"/>
          <w:szCs w:val="15"/>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$2.9 million of deductible goodwill.</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$3.0 million after-tax were expensed as incurred during the first quarter of 2015 and recorded in Operating and Maintenance on the Consolidated Statement of Income.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Chanarambie/Viking. </w:t>
      </w:r>
      <w:r>
        <w:rPr>
          <w:rFonts w:ascii="Arial" w:cs="Arial" w:eastAsia="Arial" w:hAnsi="Arial"/>
          <w:sz w:val="18"/>
          <w:szCs w:val="18"/>
          <w:color w:val="auto"/>
        </w:rPr>
        <w:t>In April 2015, ALLETE Clean Energy acquired 100 percent of wind energy facilities in southern Minnesota (Chanarambie/Viking)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EDF Renewable Energy, Inc. for $48.0 million.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facilities have 97.5 MW of generating capability and are located near ALLETE Clean Energy’s Lake Benton facility. The wind energy facilities began commercial operations in 2003 and have PPAs in place for their entire output, which expire in 2018 (12 MW) and 2023 (85.5 MW).</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0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6"/>
                <w:szCs w:val="16"/>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top w:val="single" w:sz="8" w:color="auto"/>
            </w:tcBorders>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6"/>
                <w:szCs w:val="16"/>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Power Purchase Agreements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of goodwill. For tax purposes, the purchase price allocation resulted in no allocation to goodwill.</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$5.9 million related to the current portion of PPAs.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$0.2 million after-tax were expensed as incurred during the second quarter of 2015 and recorded in Operating and Maintenance on the Consolidated Statement of Income.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Armenia Mountain. </w:t>
      </w:r>
      <w:r>
        <w:rPr>
          <w:rFonts w:ascii="Arial" w:cs="Arial" w:eastAsia="Arial" w:hAnsi="Arial"/>
          <w:sz w:val="18"/>
          <w:szCs w:val="18"/>
          <w:color w:val="auto"/>
        </w:rPr>
        <w:t>In July 2015, ALLETE Clean Energy acquired 100 percent of a wind energy facility located near Troy, Pennsylvania (Armenia Mountain)</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AES Corporation (AES) and a minority shareholder for $111.1 million, plus the assumption of existing debt.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facility has 100.5 MW of generating capability, began commercial operations in 2009, and has PPAs in place for its entire output, which expire in 2024.</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Current Assets </w:t>
            </w:r>
            <w:r>
              <w:rPr>
                <w:rFonts w:ascii="Arial" w:cs="Arial" w:eastAsia="Arial" w:hAnsi="Arial"/>
                <w:sz w:val="16"/>
                <w:szCs w:val="16"/>
                <w:i w:val="1"/>
                <w:iCs w:val="1"/>
                <w:color w:val="auto"/>
              </w:rPr>
              <w:t>(a)</w:t>
            </w:r>
          </w:p>
        </w:tc>
        <w:tc>
          <w:tcPr>
            <w:tcW w:w="4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6"/>
                <w:szCs w:val="16"/>
                <w:i w:val="1"/>
                <w:iCs w:val="1"/>
                <w:color w:val="auto"/>
              </w:rPr>
              <w:t>(b)</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w:t>
            </w:r>
          </w:p>
        </w:tc>
      </w:tr>
      <w:tr>
        <w:trPr>
          <w:trHeight w:val="237"/>
        </w:trPr>
        <w:tc>
          <w:tcPr>
            <w:tcW w:w="68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50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Long-Term Debt Due Within One Year</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7"/>
        </w:trPr>
        <w:tc>
          <w:tcPr>
            <w:tcW w:w="68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Assets was $1.0 million related to the current portion of PPAs and $6.0 million of restricted cash related to collateral deposits required under its loan agreement.</w:t>
      </w:r>
    </w:p>
    <w:p>
      <w:pPr>
        <w:spacing w:after="0" w:line="1" w:lineRule="exact"/>
        <w:rPr>
          <w:rFonts w:ascii="Arial" w:cs="Arial" w:eastAsia="Arial" w:hAnsi="Arial"/>
          <w:sz w:val="16"/>
          <w:szCs w:val="16"/>
          <w:i w:val="1"/>
          <w:iCs w:val="1"/>
          <w:color w:val="auto"/>
        </w:rPr>
      </w:pPr>
    </w:p>
    <w:p>
      <w:pPr>
        <w:ind w:left="340" w:hanging="332"/>
        <w:spacing w:after="0" w:line="290" w:lineRule="auto"/>
        <w:tabs>
          <w:tab w:leader="none" w:pos="34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Non-Current Assets was $8.2 million related to the non-current portion of PPAs, $6.1 million of restricted cash related to collateral deposits required under its loan agreements, and an immaterial amount of goodwill. For tax purposes, the purchase price allocation resulted in no allocation to goodwill.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04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$1.6 million after-tax were expensed as incurred throughout the second and third quarters of 2015, and recorded in Operating and Maintenance on the Consolidated Statement of Income.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 and W Technologies. </w:t>
      </w:r>
      <w:r>
        <w:rPr>
          <w:rFonts w:ascii="Arial" w:cs="Arial" w:eastAsia="Arial" w:hAnsi="Arial"/>
          <w:sz w:val="16"/>
          <w:szCs w:val="16"/>
          <w:color w:val="auto"/>
        </w:rPr>
        <w:t>In November 2015, U.S. Water Services acquired 100 percent of A and W Technologies, Inc. (AWT). Total consideration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was $9.3 million, which included payment of $8.3 million in cash and a $1.0 million payment due in April 2017. AWT, similar to U.S. Water Services, is an integrated water management company and was acquired to expand U.S. Water Services’ regional footprint in the Southeastern United States.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6"/>
                <w:szCs w:val="16"/>
                <w:i w:val="1"/>
                <w:iCs w:val="1"/>
                <w:color w:val="auto"/>
              </w:rPr>
              <w:t>(a)</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(b)</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37"/>
        </w:trPr>
        <w:tc>
          <w:tcPr>
            <w:tcW w:w="69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4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Intangible Assets include customer relationships and non-compete agreements. (See Note 4. Goodwill and Intangible Assets.)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$4.4 million of deductible goodwill.</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were immaterial, expensed as incurred during the fourth quarter of 2015 and recorded in Operating and Maintenance on the Consolidated Statement of Income.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aggregate carrying amount of goodwill was $130.6 million as of September 30, 2016, and December 31, 2015. There have been no changes to goodwill by reportable segment for the nine months ended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Balances of intangible assets, net, excluding goodwill as of September 30, 2016,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940" w:type="dxa"/>
            <w:vAlign w:val="bottom"/>
          </w:tcPr>
          <w:p>
            <w:pPr>
              <w:spacing w:after="0"/>
              <w:rPr>
                <w:sz w:val="20"/>
                <w:szCs w:val="20"/>
                <w:color w:val="auto"/>
              </w:rPr>
            </w:pPr>
          </w:p>
        </w:tc>
        <w:tc>
          <w:tcPr>
            <w:tcW w:w="34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Amortization</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9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3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$60.8</w:t>
            </w: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7.2</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49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3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68.0</w:t>
            </w: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3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3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16.6</w:t>
            </w: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4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3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$84.6</w:t>
            </w:r>
          </w:p>
        </w:tc>
        <w:tc>
          <w:tcPr>
            <w:tcW w:w="1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$(3.8)</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Developed Technology and Other includes patents, non-compete agreements and land easements.</w:t>
      </w:r>
    </w:p>
    <w:p>
      <w:pPr>
        <w:spacing w:after="0" w:line="239" w:lineRule="exact"/>
        <w:rPr>
          <w:rFonts w:ascii="Arial" w:cs="Arial" w:eastAsia="Arial" w:hAnsi="Arial"/>
          <w:sz w:val="16"/>
          <w:szCs w:val="16"/>
          <w:i w:val="1"/>
          <w:iCs w:val="1"/>
          <w:color w:val="auto"/>
        </w:rPr>
      </w:pPr>
    </w:p>
    <w:p>
      <w:pPr>
        <w:ind w:left="4380"/>
        <w:spacing w:after="0"/>
        <w:rPr>
          <w:rFonts w:ascii="Arial" w:cs="Arial" w:eastAsia="Arial" w:hAnsi="Arial"/>
          <w:sz w:val="16"/>
          <w:szCs w:val="16"/>
          <w:i w:val="1"/>
          <w:iCs w:val="1"/>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20"/>
          </w:cols>
          <w:pgMar w:left="240" w:top="1040"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4. GOODWILL AND INTANGIBLE ASSETS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21 years, and developed technology and other have remaining useful lives ranging from approximately 2 years to approximately 12 years (weighted average of approximately 8 years). The weighted average remaining useful life of all definite-lived intangible assets as of September 30, 2016, is approximately 20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of intangible assets for the nine months ended September 30, 2016, was $3.8 million. Accumulated amortization was $7.9 million as of September 30, 2016 ($4.1 million as of December 31, 2015). The estimated amortization expense for definite-lived intangible assets for the remainder of 2016 is $1.3 million. Estimated annual amortization expense for definite-lived intangible assets is $5.0 million in 2017, $4.7 million in 2018, $4.4 million in 2019, $4.2 million in 2020 and $44.6 million thereafter.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10. Fair Value to the Consolidated Financial Statements in our 2015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2016, and December 31, 2015.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45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Fair Value as of September 30, 2016</w:t>
            </w:r>
          </w:p>
        </w:tc>
        <w:tc>
          <w:tcPr>
            <w:tcW w:w="700" w:type="dxa"/>
            <w:vAlign w:val="bottom"/>
          </w:tcPr>
          <w:p>
            <w:pPr>
              <w:spacing w:after="0"/>
              <w:rPr>
                <w:sz w:val="20"/>
                <w:szCs w:val="20"/>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Level 3</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$7.7</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$11.7</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$9.7</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$11.7</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w:t>
            </w:r>
          </w:p>
        </w:tc>
      </w:tr>
      <w:tr>
        <w:trPr>
          <w:trHeight w:val="27"/>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61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8"/>
                <w:szCs w:val="18"/>
                <w:i w:val="1"/>
                <w:iCs w:val="1"/>
                <w:color w:val="auto"/>
              </w:rPr>
              <w:t>(b)</w:t>
            </w:r>
          </w:p>
        </w:tc>
        <w:tc>
          <w:tcPr>
            <w:tcW w:w="2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$37.9</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37.9</w:t>
            </w:r>
          </w:p>
        </w:tc>
      </w:tr>
      <w:tr>
        <w:trPr>
          <w:trHeight w:val="27"/>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$37.9</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$9.7</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$(4.3)</w:t>
            </w: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$(37.9)</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04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46"/>
        </w:trPr>
        <w:tc>
          <w:tcPr>
            <w:tcW w:w="5480" w:type="dxa"/>
            <w:vAlign w:val="bottom"/>
          </w:tcPr>
          <w:p>
            <w:pPr>
              <w:spacing w:after="0"/>
              <w:rPr>
                <w:sz w:val="24"/>
                <w:szCs w:val="24"/>
                <w:color w:val="auto"/>
              </w:rPr>
            </w:pPr>
          </w:p>
        </w:tc>
        <w:tc>
          <w:tcPr>
            <w:tcW w:w="52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Fair Value as of December 31, 2015</w:t>
            </w:r>
          </w:p>
        </w:tc>
        <w:tc>
          <w:tcPr>
            <w:tcW w:w="700" w:type="dxa"/>
            <w:vAlign w:val="bottom"/>
          </w:tcPr>
          <w:p>
            <w:pPr>
              <w:spacing w:after="0"/>
              <w:rPr>
                <w:sz w:val="24"/>
                <w:szCs w:val="24"/>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Level 3</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$7.6</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$10.9</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10.9</w:t>
            </w: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$9.6</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$10.9</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$16.1</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$36.6</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36.6</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$16.1</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$36.6</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$9.6</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$(5.2)</w:t>
            </w: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$(36.6)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Level 3 liability in the preceding tables is the result of the February 2015 acquisition of U.S. Water Services. Changes in the U.S. Water Services Contingent Consideration can result from changes in discount rates, timing of milestones that trigger payment, and the timing and amount of earnings estimates. Changes in the fair value of U.S. Water Services’ Contingent Consideration for the nine months ended September 30, 2016, are primarily due to accretion expense. Management analyzes the fair value of the contingent liability on a quarterly basis and makes adjustments as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2016, and the year ended December 31, 2015, there were no transfers in or out of Levels 1, 2 or 3.</w:t>
      </w:r>
    </w:p>
    <w:p>
      <w:pPr>
        <w:spacing w:after="0" w:line="221"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6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September 30, 2016</w:t>
            </w:r>
          </w:p>
        </w:tc>
        <w:tc>
          <w:tcPr>
            <w:tcW w:w="3260" w:type="dxa"/>
            <w:vAlign w:val="bottom"/>
          </w:tcPr>
          <w:p>
            <w:pPr>
              <w:jc w:val="right"/>
              <w:ind w:right="470"/>
              <w:spacing w:after="0"/>
              <w:rPr>
                <w:sz w:val="20"/>
                <w:szCs w:val="20"/>
                <w:color w:val="auto"/>
              </w:rPr>
            </w:pPr>
            <w:r>
              <w:rPr>
                <w:rFonts w:ascii="Arial" w:cs="Arial" w:eastAsia="Arial" w:hAnsi="Arial"/>
                <w:sz w:val="18"/>
                <w:szCs w:val="18"/>
                <w:color w:val="auto"/>
              </w:rPr>
              <w:t>$1,556.9</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$1,721.8</w:t>
            </w: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2015</w:t>
            </w:r>
          </w:p>
        </w:tc>
        <w:tc>
          <w:tcPr>
            <w:tcW w:w="3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$1,605.0</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$1,676.0</w:t>
            </w:r>
          </w:p>
        </w:tc>
      </w:tr>
      <w:tr>
        <w:trPr>
          <w:trHeight w:val="20"/>
        </w:trPr>
        <w:tc>
          <w:tcPr>
            <w:tcW w:w="62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 For the nine months ended September 30, 2016, and the year ended December 31, 2015, there were no indicators of impairment for these non-financial assets.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03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REGULATORY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Regulatory matters are summarized in Note 5. Regulatory Matters to our Consolidated Financial Statements in our 2015 Form 10-K, with additional disclosure provided in the following paragraphs.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that allows for a 10.38 percent return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equity and a 54.29 percent equity ratio. Subsequent to this order, and as authorized by the MPUC, Minnesota Power also recognizes revenue under cost recovery riders for environmental, renewable and transmission investments. (See </w:t>
      </w:r>
      <w:r>
        <w:rPr>
          <w:rFonts w:ascii="Arial" w:cs="Arial" w:eastAsia="Arial" w:hAnsi="Arial"/>
          <w:sz w:val="18"/>
          <w:szCs w:val="18"/>
          <w:i w:val="1"/>
          <w:iCs w:val="1"/>
          <w:color w:val="auto"/>
        </w:rPr>
        <w:t>Transmission Cost Recovery Rider, Renewable Cost Recovery Rider</w:t>
      </w:r>
      <w:r>
        <w:rPr>
          <w:rFonts w:ascii="Arial" w:cs="Arial" w:eastAsia="Arial" w:hAnsi="Arial"/>
          <w:sz w:val="18"/>
          <w:szCs w:val="18"/>
          <w:color w:val="auto"/>
        </w:rPr>
        <w:t xml:space="preserve"> and </w:t>
      </w: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Revenue from cost recovery riders was $73.9 million for the nine months ended September 30, 2016 ($67.8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2015).</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2016 Minnesota Rate Case. </w:t>
      </w:r>
      <w:r>
        <w:rPr>
          <w:rFonts w:ascii="Arial" w:cs="Arial" w:eastAsia="Arial" w:hAnsi="Arial"/>
          <w:sz w:val="17"/>
          <w:szCs w:val="17"/>
          <w:color w:val="auto"/>
        </w:rPr>
        <w:t>On November 2, 2016, Minnesota Power filed a retail rate increase request with the MPUC seeking an average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 percent for retail customers. The rate filing seeks a return on equity of 10.25 percent, and a capital structure consisting of 53.8 percent equity and 46.2 percent debt. On an annualized basis, the requested rate increase would generate approximately $55 million in additional revenue. Once the filing is accepted as complete, interim rates of approximately $49 million are expected to be implemented within 60 days, subject to MPUC adjustment and authorization. We cannot predict the level of interim or final rates that may be authorized by the MPUC.</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Energy-Intensive Trade-Exposed (EITE) Customer Rates. </w:t>
      </w:r>
      <w:r>
        <w:rPr>
          <w:rFonts w:ascii="Arial" w:cs="Arial" w:eastAsia="Arial" w:hAnsi="Arial"/>
          <w:sz w:val="16"/>
          <w:szCs w:val="16"/>
          <w:color w:val="auto"/>
        </w:rPr>
        <w:t>The state of Minnesota enacted an EITE customer ratemaking law in June 2015 which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that it is the energy policy of the state to have competitive rates for certain industries such as mining and forest products. In November 2015, Minnesota Power filed a rate schedule petition for EITE customers and a corresponding rider for EITE cost recovery with the MPUC. The rate proposal was revenue and cash flow neutral to Minnesota Power. In an order dated March 23, 2016, the MPUC dismissed the petition without prejudice, providing Minnesota Power the option to refile the petition with additional information or file a new petition. On June 30, 2016, Minnesota Power filed a revised EITE petition with the MPUC, which includes additional information on the net benefits analysis, limits on eligible customers and term lengths for the EITE discount. On September 15, 2016, the MPUC approved a reduction in rates for EITE customers and determined that cost recovery will be addressed in a subsequent proceeding. Minnesota Power provided additional information on cost recovery allocation alternatives in a compliance filing made on October 13, 2016.</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 has 16 non-affiliated municipal customers in Minnesota. SWL&amp;P is a Wisconsin utility and a wholesale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of Minnesota Power. All of the wholesale contracts include a termination clause requiring a three-year notice to terminate.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Minnesota Power amended its formula-based wholesale electric sales contract with the Nashwauk Public Utilities Commission, extending the term through June 30, 2028. The electric service agreements with SWL&amp;P and one other municipal customer are effective through June 30, 2019. The rates included in these three contracts are set each July 1 based on a cost-based formula methodology, using estimated costs and a rate of return that is equal to Minnesota Power’s authorized rate of return for Minnesota retail customers (currently 10.38 percent). The formula-based rate methodology also provides for a yearly true-up calculation for actual costs incurred.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Minnesota Power amended its wholesale electric contracts with 14 municipal customers, extending the contract terms through December 31, 2024. These contracts include fixed capacity charges through 2018; beginning in 2019, the capacity charge will not increase by more than two percent or decrease by more than one percent from the previous year’s capacity charge and will be determined using a cost-based formula methodology. The base energy charge for each year of the contract term will be set each January 1, subject to monthly adjustment, and will also be determined using a cost-based formula methodology.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one of Minnesota Power’s municipal customers provided notice of its intent to terminate its contract effective June 30, 2019. Minnesota Power currently provides approximately 29 MW of average monthly demand to this customer. Under the Nashwauk Public Utilities Commission agreement, no termination notice may be given prior to June 30, 2025. Under the agreement with SWL&amp;P, no termination notice may be given prior to October 31, 2016. The remaining 14 municipal customers may not give termination notices prior to December 31, 2021.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104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Transmission Cost Recovery Rider. </w:t>
      </w:r>
      <w:r>
        <w:rPr>
          <w:rFonts w:ascii="Arial" w:cs="Arial" w:eastAsia="Arial" w:hAnsi="Arial"/>
          <w:sz w:val="18"/>
          <w:szCs w:val="18"/>
          <w:color w:val="auto"/>
        </w:rPr>
        <w:t>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an order dated February 3, 2016, the MPUC approved Minnesota Power’s updated billing factor which allows Minnesota Power to charge retail customers on a current basis for the costs of constructing certain transmission facilities plus a return on the capital invested. As a result of the MPUC approval of the certificate of need for the GNTL in June 2015, the project is eligible for cost recovery under the existing transmission cost recovery rider. Minnesota Power anticipates including its portion of the investments and expenditures for the GNTL in future transmission factor filings to include updated billing rates on customer bills.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in place for investments and expenditures related to the 497 MW</w:t>
      </w:r>
      <w:r>
        <w:rPr>
          <w:rFonts w:ascii="Arial" w:cs="Arial" w:eastAsia="Arial" w:hAnsi="Arial"/>
          <w:sz w:val="18"/>
          <w:szCs w:val="18"/>
          <w:i w:val="1"/>
          <w:iCs w:val="1"/>
          <w:color w:val="auto"/>
        </w:rPr>
        <w:t xml:space="preserve"> </w:t>
      </w:r>
      <w:r>
        <w:rPr>
          <w:rFonts w:ascii="Arial" w:cs="Arial" w:eastAsia="Arial" w:hAnsi="Arial"/>
          <w:sz w:val="18"/>
          <w:szCs w:val="18"/>
          <w:color w:val="auto"/>
        </w:rPr>
        <w:t>Bison Wind Energy Center in North Dakota and the restoration and repair of Thomson. Updated customer billing rates for the renewable cost recovery rider were approved by the MPUC in an order dated March 9, 2016, allowing Minnesota Power to charge retail customers on a current basis for the costs of constructing certain renewable investments plus a return on the capital invested. While approving the updated customer billing rates for the renewable cost recovery rider, the MPUC also allowed Minnesota Power additional time to submit support for its position on its utilization of North Dakota investment tax credits.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Minnesota Power accounts for North Dakota investment tax credits based on long-standing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has recorded a regulatory liability for North Dakota investment tax credits generated by its jurisdictional activity and expected to be realized in the future. North Dakota investment tax credits attributable to ALLETE’s apportionment and income of ALLETE’s other subsidiaries are included in the ALLETE consolidated group. The Minnesota Department of Commerce (Department) has inquired about our use of the North Dakota investment tax credits, taking the position that all North Dakota investment tax credits realized from the Bison Wind Energy Center should be credited to Minnesota Power regulated retail customers. The MPUC did not come to a decision on this issue in its order dated March 9, 2016, but requested that Minnesota Power provide further support on its position which was submitted on April 8, 2016.</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18, 2016, the MPUC held a hearing in which it decided Minnesota Power should attribute all North Dakota investment tax credits realized from the Bison Wind Energy Center to Minnesota Power regulated retail customers. As a result of the adverse regulatory outcome, Minnesota Power has created a regulatory liability, and recorded a reduction in operating revenue for $15.0 million. The North Dakota investment tax credits previously recognized as income tax credits in Corporate and Other were reversed in the third quarter of 2016 resulting in an $8.8 million charge to net income. Minnesota Power will seek reconsideration with the MPUC, and if not successful, will consider all available avenues of appeal.</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Minnesota Power also has approval for current cost recovery of investments and expenditures related to compliance with the Minnesota Solar Energy Standard. (See </w:t>
      </w:r>
      <w:r>
        <w:rPr>
          <w:rFonts w:ascii="Arial" w:cs="Arial" w:eastAsia="Arial" w:hAnsi="Arial"/>
          <w:sz w:val="17"/>
          <w:szCs w:val="17"/>
          <w:i w:val="1"/>
          <w:iCs w:val="1"/>
          <w:color w:val="auto"/>
        </w:rPr>
        <w:t>Minnesota Solar Energy Standard.</w:t>
      </w:r>
      <w:r>
        <w:rPr>
          <w:rFonts w:ascii="Arial" w:cs="Arial" w:eastAsia="Arial" w:hAnsi="Arial"/>
          <w:sz w:val="17"/>
          <w:szCs w:val="17"/>
          <w:color w:val="auto"/>
        </w:rPr>
        <w:t>) Currently, there is no approved customer billing rate for solar costs, but Minnesota Power expects to file its first solar factor filing in 2017 for recovery of costs related to the Camp Ripley solar project and community solar garden project.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Minnesota Power has an approved environmental improvement rider in place for investments and expenditures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implementation of the Boswell Unit 4 mercury emissions reduction plan completed in 2015. Customer billing rates for the environmental improvement rider were approved by the MPUC in August 2015. In September 2015, Minnesota Power filed an updated environmental improvement factor filing which included updated costs associated with Boswell Unit 4. Upon approval of the filing, Minnesota Power will be authorized to include updated billing rates on customer bills.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Boswell Remaining Life Petition. </w:t>
      </w:r>
      <w:r>
        <w:rPr>
          <w:rFonts w:ascii="Arial" w:cs="Arial" w:eastAsia="Arial" w:hAnsi="Arial"/>
          <w:sz w:val="17"/>
          <w:szCs w:val="17"/>
          <w:color w:val="auto"/>
        </w:rPr>
        <w:t>In November 2015, Minnesota Power filed a petition with the MPUC for approval to extend Boswell’s remaining life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2050 for all units and utilize the existing environmental improvement rider to credit a portion of the depreciation expense savings to customers. The extension request was based on the significant multi-emissions retrofit work done at Boswell Unit 3 and Boswell Unit 4. In an order dated September 23, 2016, the MPUC approved Minnesota Power’s request to withdraw the petition. Minnesota Power intends to address Boswell’s remaining life and the environmental improvement rider in the upcoming general rate case. (See </w:t>
      </w:r>
      <w:r>
        <w:rPr>
          <w:rFonts w:ascii="Arial" w:cs="Arial" w:eastAsia="Arial" w:hAnsi="Arial"/>
          <w:sz w:val="17"/>
          <w:szCs w:val="17"/>
          <w:i w:val="1"/>
          <w:iCs w:val="1"/>
          <w:color w:val="auto"/>
        </w:rPr>
        <w:t>2016 Minnesota Rate Case.</w:t>
      </w:r>
      <w:r>
        <w:rPr>
          <w:rFonts w:ascii="Arial" w:cs="Arial" w:eastAsia="Arial" w:hAnsi="Arial"/>
          <w:sz w:val="17"/>
          <w:szCs w:val="17"/>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0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Annual Automatic Adjustment (AAA) of Charges. </w:t>
      </w:r>
      <w:r>
        <w:rPr>
          <w:rFonts w:ascii="Arial" w:cs="Arial" w:eastAsia="Arial" w:hAnsi="Arial"/>
          <w:sz w:val="18"/>
          <w:szCs w:val="18"/>
          <w:color w:val="auto"/>
        </w:rPr>
        <w:t>In an order dated June 2, 2016, the MPUC approved Minnesota Power’s AAA filings made in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MPUC deferred action for 90 days on the AAA filing made in 2014 to review and confirm coal transportation costs and terms of service, which was subsequently completed on September 6, 2016, resulting in final approval of the filing.</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2016 Wisconsin Rate Case. </w:t>
      </w:r>
      <w:r>
        <w:rPr>
          <w:rFonts w:ascii="Arial" w:cs="Arial" w:eastAsia="Arial" w:hAnsi="Arial"/>
          <w:sz w:val="16"/>
          <w:szCs w:val="16"/>
          <w:color w:val="auto"/>
        </w:rPr>
        <w:t>SWL&amp;P’s current retail rates are based on a 2012 PSCW retail rate order that allows for a 10.9 percent return on common equity.</w:t>
      </w:r>
      <w:r>
        <w:rPr>
          <w:rFonts w:ascii="Arial" w:cs="Arial" w:eastAsia="Arial" w:hAnsi="Arial"/>
          <w:sz w:val="16"/>
          <w:szCs w:val="16"/>
          <w:i w:val="1"/>
          <w:iCs w:val="1"/>
          <w:color w:val="auto"/>
        </w:rPr>
        <w:t xml:space="preserve"> </w:t>
      </w:r>
      <w:r>
        <w:rPr>
          <w:rFonts w:ascii="Arial" w:cs="Arial" w:eastAsia="Arial" w:hAnsi="Arial"/>
          <w:sz w:val="16"/>
          <w:szCs w:val="16"/>
          <w:color w:val="auto"/>
        </w:rPr>
        <w:t>On June 28, 2016, SWL&amp;P filed a rate increase request with the PSCW requesting an average overall increase of 3.1 percent for retail customers (a 3.5 percent increase in electric rates, a 1.3 percent decrease in natural gas rates and a 7.8 percent increase in water rates). The rate filing seeks an overall return on equity of 10.9 percent, based on a capital structure consisting of approximately 55 percent equity and 45 percent debt. On an annualized basis, the requested rate increase would generate approximately $2.7 million in additional revenue. Hearings are expected to be scheduled in late 2016. The Company anticipates new rates will take effect during the first quarter of 2017. We cannot predict the level of rates that may be approved by the PSCW.</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Integrated Resource Plan (IRP). </w:t>
      </w:r>
      <w:r>
        <w:rPr>
          <w:rFonts w:ascii="Arial" w:cs="Arial" w:eastAsia="Arial" w:hAnsi="Arial"/>
          <w:sz w:val="17"/>
          <w:szCs w:val="17"/>
          <w:color w:val="auto"/>
        </w:rPr>
        <w:t>In a November 2013 order, the MPUC approved Minnesota Power’s 2013 IRP which detailed its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plan. Significant elements of the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include major wind investments in North Dakota completed in 2014, the installation of emissions control technology at Boswell Unit 4 completed in December 2015, planning for the proposed GNTL, the conversion of Laskin from coal to natural gas completed in June 2015 and the retirement of Taconite Harbor Unit 3 completed in May 2015. In September 2015, Minnesota Power filed its 2015 IRP with the MPUC which included an analysis of a variety of existing and future energy resource alternatives and a projection of customer cost impact by class. The 2015 IRP also contained the next steps in Minnesota Power’s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including the economic idling of Taconite Harbor Units 1 and 2 which was completed in September 2016, the ceasing of coal-fired operations at Taconite Harbor in 2020, and the addition of between 200 MW and 300 MW of natural gas-fired generation in the next decade.</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an order dated July 18, 2016, the MPUC approved Minnesota Power’s 2015 IRP with modifications. The order accepts Minnesota Power’s plans for Taconite Harbor, directs Minnesota Power to retire Boswell Units 1 and 2 no later than 2022, requires an analysis of generation and demand response alternatives to be filed with a natural gas resource proposal and requires Minnesota Power to conduct request for proposals for additional wind, solar and demand response resource additions subject to further MPUC approvals. On October 19, 2016, Minnesota Power announced that Boswell Units 1 and 2 will be retired in 2018 as the latest step in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Minnesota Power’s next IRP must be filed by February 1, 2018.</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Great Northern Transmission Line (GNTL)</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and Manitoba Hydro have proposed construction of the GNTL, an approximately 220-mile</w:t>
      </w:r>
      <w:r>
        <w:rPr>
          <w:rFonts w:ascii="Arial" w:cs="Arial" w:eastAsia="Arial" w:hAnsi="Arial"/>
          <w:sz w:val="17"/>
          <w:szCs w:val="17"/>
          <w:b w:val="1"/>
          <w:bCs w:val="1"/>
          <w:color w:val="auto"/>
        </w:rPr>
        <w:t xml:space="preserve"> </w:t>
      </w:r>
      <w:r>
        <w:rPr>
          <w:rFonts w:ascii="Arial" w:cs="Arial" w:eastAsia="Arial" w:hAnsi="Arial"/>
          <w:sz w:val="17"/>
          <w:szCs w:val="17"/>
          <w:color w:val="auto"/>
        </w:rPr>
        <w:t>500-kV transmission line between Manitoba and Minnesota’s Iron Range. The GNTL is subject to various federal and state regulatory approvals. In October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In a December 2015 order, the FERC approved our request to recover on construction work in progress related to the GNTL from Minnesota Power’s wholesale customers. In April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Manitoba Hydro must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 Upon receipt of all applicable permits and approvals, construction of the GNTL is expected to begin by 2017 and to be completed in 2020.</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Conservation Improvement Program (CIP). </w:t>
      </w:r>
      <w:r>
        <w:rPr>
          <w:rFonts w:ascii="Arial" w:cs="Arial" w:eastAsia="Arial" w:hAnsi="Arial"/>
          <w:sz w:val="18"/>
          <w:szCs w:val="18"/>
          <w:color w:val="auto"/>
        </w:rPr>
        <w:t>Minnesota requires electric utilities to spend a minimum of 1.5 percent of net gross operating revenues from</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provided in the state on energy CIPs each year. On June 1, 2016, Minnesota Power submitted its CIP triennial filing for 2017 through 2019 with the Minnesota Department of Commerce, which outlines Minnesota Power’s CIP spending and energy-saving goals for 2017 through 2019. A decision on the CIP triennial filing by the Minnesota Department of Commerce is expected in the fourth quarter of 2016.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20"/>
          </w:cols>
          <w:pgMar w:left="240" w:top="103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 2016, Minnesota Power submitted its 2015 CIP consolidated filing, which detailed Minnesota Power’s CIP program results and requested a CIP financial incentive of $7.5 million based upon MPUC procedures. In an order dated July 19, 2016, the MPUC approved Minnesota Power’s CIP consolidated filing, including the requested CIP financial incentive which was recorded as revenue and as a regulatory asset. The approved financial incentive will be recovered through customer billing rates in 2016 and 2017. In 2015, the CIP financial incentive of $6.2 million was also recognized in the third quarter. CIP financial incentives are recognized in the period in which the MPUC approves the filing.</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MISO Return on Equity Complaints. </w:t>
      </w:r>
      <w:r>
        <w:rPr>
          <w:rFonts w:ascii="Arial" w:cs="Arial" w:eastAsia="Arial" w:hAnsi="Arial"/>
          <w:sz w:val="17"/>
          <w:szCs w:val="17"/>
          <w:color w:val="auto"/>
        </w:rPr>
        <w:t>In November 2013, several customer groups located within the MISO service area filed complaints with the FERC</w:t>
      </w:r>
      <w:r>
        <w:rPr>
          <w:rFonts w:ascii="Arial" w:cs="Arial" w:eastAsia="Arial" w:hAnsi="Arial"/>
          <w:sz w:val="17"/>
          <w:szCs w:val="17"/>
          <w:b w:val="1"/>
          <w:bCs w:val="1"/>
          <w:color w:val="auto"/>
        </w:rPr>
        <w:t xml:space="preserve"> </w:t>
      </w:r>
      <w:r>
        <w:rPr>
          <w:rFonts w:ascii="Arial" w:cs="Arial" w:eastAsia="Arial" w:hAnsi="Arial"/>
          <w:sz w:val="17"/>
          <w:szCs w:val="17"/>
          <w:color w:val="auto"/>
        </w:rPr>
        <w:t>requesting, among other things, a reduction in the base return on equity used by MISO transmission owners, including ALLETE and ATC, to 9.15 percent. In December 2015, a federal administrative law judge ruled on the November 2013 complaint proposing a reduction in the base return on equity to 10.32 percent. On September 28, 2016, the FERC issued an order affirming the administrative law judge’s recommendation.</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February 2015, an additional complaint was filed with the FERC seeking an order to further reduce the base return on equity to 8.67 percent. On June 30, 2016, a federal administrative law judge ruled on the February 2015 complaint proposing a further reduction in the base return on equity to 9.70 percent, subject to approval or adjustment by the FERC. A final decision from the FERC on the administrative law judge’s recommendation is expected in 2017.</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the FERC approved an incentive adder of up to 50 basis points on the allowed base return on equity for our participation in a regional transmission organization upon the resolution of each individual return on equity complaint.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Minnesota Solar Energy Standard. </w:t>
      </w:r>
      <w:r>
        <w:rPr>
          <w:rFonts w:ascii="Arial" w:cs="Arial" w:eastAsia="Arial" w:hAnsi="Arial"/>
          <w:sz w:val="17"/>
          <w:szCs w:val="17"/>
          <w:color w:val="auto"/>
        </w:rPr>
        <w:t>In 2013, legislation was enacted by the state of Minnesota requiring at least 1.5 percent of total retail electric sales,</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sales to certain customers, to be generated by solar energy by the end of 2020. At least 10 percent of the 1.5 percent mandate must be met by solar energy generated by or procured from solar photovoltaic devices with a nameplate capacity of 20 kW or less. Minnesota Power has two solar projects under development. In August 2015, Minnesota Power filed for MPUC approval of a 10 MW utility scale solar project at Camp Ripley, a Minnesota Army National Guard base and training facility near Little Falls, Minnesota. In an order dated February 24, 2016, the MPUC approved the Camp Ripley solar project as eligible to meet the solar energy standard and for current cost recovery, subject to certain compliance requirements. In September 2015, Minnesota Power filed for MPUC approval of a community solar garden project in Duluth, Minnesota, which is comprised of a 1 MW solar array to be owned and operated by a third party with the output purchased by Minnesota Power and a 40 kW solar array that will be owned and operated by Minnesota Power. In an order dated July 27, 2016, the MPUC approved the community solar garden project and cost recovery, subject to certain compliance requirements. Minnesota Power believes these projects will meet approximately one-third of the overall mandate. Additionally, on June 1, 2016, Minnesota Power filed a proposal with the MPUC to increase the amount of solar rebates available for customer-sited solar installations and recover costs of the program through Minnesota Power’s renewable cost recovery rider. If approved, the Minnesota Power projects would meet part of the mandate related to solar photovoltaic devices with a nameplate capacity of 20 kW or less.</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of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40" w:top="104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NOTE 6. REGULATORY MATTERS (Continued)</w:t>
            </w:r>
          </w:p>
        </w:tc>
        <w:tc>
          <w:tcPr>
            <w:tcW w:w="3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27"/>
        </w:trPr>
        <w:tc>
          <w:tcPr>
            <w:tcW w:w="6760" w:type="dxa"/>
            <w:vAlign w:val="bottom"/>
          </w:tcPr>
          <w:p>
            <w:pPr>
              <w:spacing w:after="0"/>
              <w:rPr>
                <w:sz w:val="24"/>
                <w:szCs w:val="24"/>
                <w:color w:val="auto"/>
              </w:rPr>
            </w:pPr>
          </w:p>
        </w:tc>
        <w:tc>
          <w:tcPr>
            <w:tcW w:w="310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6"/>
                <w:szCs w:val="16"/>
                <w:i w:val="1"/>
                <w:iCs w:val="1"/>
                <w:color w:val="auto"/>
              </w:rPr>
              <w:t>(a)</w:t>
            </w:r>
          </w:p>
        </w:tc>
        <w:tc>
          <w:tcPr>
            <w:tcW w:w="3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Deferred Fuel Adjustment Clause</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$16.8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Assets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(b)</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213.9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(c)</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65.1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6"/>
                <w:szCs w:val="16"/>
                <w:i w:val="1"/>
                <w:iCs w:val="1"/>
                <w:color w:val="auto"/>
              </w:rPr>
              <w:t>(d)</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39.9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16"/>
                <w:szCs w:val="16"/>
                <w:i w:val="1"/>
                <w:iCs w:val="1"/>
                <w:color w:val="auto"/>
              </w:rPr>
              <w:t>(e)</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24.8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Other</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358.9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r>
      <w:tr>
        <w:trPr>
          <w:trHeight w:val="237"/>
        </w:trPr>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Assets</w:t>
            </w:r>
          </w:p>
        </w:tc>
        <w:tc>
          <w:tcPr>
            <w:tcW w:w="3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$375.7</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$382.6</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76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Wholesale and Retail Contra AFUDC </w:t>
            </w:r>
            <w:r>
              <w:rPr>
                <w:rFonts w:ascii="Arial" w:cs="Arial" w:eastAsia="Arial" w:hAnsi="Arial"/>
                <w:sz w:val="16"/>
                <w:szCs w:val="16"/>
                <w:i w:val="1"/>
                <w:iCs w:val="1"/>
                <w:color w:val="auto"/>
              </w:rPr>
              <w:t>(f)</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$56.9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 xml:space="preserve">North Dakota Investment Tax Credits </w:t>
            </w:r>
            <w:r>
              <w:rPr>
                <w:rFonts w:ascii="Arial" w:cs="Arial" w:eastAsia="Arial" w:hAnsi="Arial"/>
                <w:sz w:val="18"/>
                <w:szCs w:val="18"/>
                <w:i w:val="1"/>
                <w:iCs w:val="1"/>
                <w:color w:val="auto"/>
              </w:rPr>
              <w:t>(g)</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27.9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(c)</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15.6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6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(b)</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Other</w:t>
            </w:r>
          </w:p>
        </w:tc>
        <w:tc>
          <w:tcPr>
            <w:tcW w:w="3100" w:type="dxa"/>
            <w:vAlign w:val="bottom"/>
          </w:tcPr>
          <w:p>
            <w:pPr>
              <w:jc w:val="right"/>
              <w:ind w:right="270"/>
              <w:spacing w:after="0"/>
              <w:rPr>
                <w:sz w:val="20"/>
                <w:szCs w:val="20"/>
                <w:color w:val="auto"/>
              </w:rPr>
            </w:pPr>
            <w:r>
              <w:rPr>
                <w:rFonts w:ascii="Arial" w:cs="Arial" w:eastAsia="Arial" w:hAnsi="Arial"/>
                <w:sz w:val="18"/>
                <w:szCs w:val="18"/>
                <w:color w:val="auto"/>
              </w:rPr>
              <w:t>2.5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6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3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$122.9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r>
      <w:tr>
        <w:trPr>
          <w:trHeight w:val="20"/>
        </w:trPr>
        <w:tc>
          <w:tcPr>
            <w:tcW w:w="676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as actuarial gains and losses as well as prior service costs and credits, are recognized as regulatory assets or regulatory liabilities on the Consolidated Balance Sheet. The asset or liability will decrease as the deferred items are amortized and recognized as components of net periodic benefit cost. (See Note 12.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These assets and liabilities are offsets to deferred income taxes recognized on certain regulatory temporary differences, which will reverse over the remaining lives of those temporary differences.</w:t>
      </w:r>
    </w:p>
    <w:p>
      <w:pPr>
        <w:jc w:val="both"/>
        <w:ind w:left="340" w:hanging="332"/>
        <w:spacing w:after="0" w:line="246"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assets are revenues not yet collected from our customers primarily due to capital expenditures related to the Bison Wind Energy Center, investment in CapX2020 projects, and the Boswell Unit 4 environmental upgrade and are recognized in accordance with the accounting standards for alternative revenue programs. The cost recovery rider regulatory assets as of September 30, 2016, will be recovered over the next two years.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Asset retirement obligations will accrete and be amortized over the lives of the related property with asset retirement obligations.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Wholesale and Retail Contra AFUDC represents the regulatory offset to AFUDC Equity and Debt recorded during the construction period of our cost recovery rider projects prior to placing the projects in service. The regulatory liability will decrease over the remaining depreciable lives of the related assets.</w:t>
      </w:r>
    </w:p>
    <w:p>
      <w:pPr>
        <w:ind w:left="340" w:hanging="332"/>
        <w:spacing w:after="0" w:line="257"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North Dakota investment tax credits expected to be realized from the Bison Wind Energy Center that will be credited to Minnesota Power’s regulated retail customers over the remaining life of the Bison Wind Energy Center through future renewable cost recovery rider filings.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parts of Wisconsin, Michigan, Minnesota and Illinois. We account for our investment in ATC under the equity method of accounting. As of September 30, 2016, our equity investment in ATC was $133.8 million ($124.5 million at December 31, 2015). In the first nine months of 2016, we invested $3.5 million in ATC, and on October 28, 2016, we invested an additional $1.9 million. We do not expect to make any additional investments in 2016.</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2015</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0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0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7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September 30, 2016</w:t>
            </w:r>
          </w:p>
        </w:tc>
        <w:tc>
          <w:tcPr>
            <w:tcW w:w="4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r>
      <w:tr>
        <w:trPr>
          <w:trHeight w:val="20"/>
        </w:trPr>
        <w:tc>
          <w:tcPr>
            <w:tcW w:w="734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863"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20"/>
          </w:cols>
          <w:pgMar w:left="240" w:top="1040" w:right="239" w:bottom="863"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7. INVESTMENT IN ATC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28, 2016, the FERC issued an order reducing ATC’s authorized return on equity to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30, 2016, a federal administrative law judge ruled on an additional complaint proposing a further reduction in the base return on equity to 9.70 percent, subject to approval or adjustment by the FERC. A final decision from the FERC on the administrative law judge’s recommendation is expected in 2017. (See Note 6. Regulatory Matters.) We own approximately 8 percent of ATC and estimate that for every 50 basis point reduction in ATC’s allowed return on equity our equity earnings in ATC would be impacted annually by approximately $0.5 million after-tax ($0.9 million pre-tax).</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ALLETE’s short-term and long-term debt as of September 30, 2016 and 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September 30, 2016</w:t>
            </w:r>
          </w:p>
        </w:tc>
        <w:tc>
          <w:tcPr>
            <w:tcW w:w="25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Debt </w:t>
            </w:r>
            <w:r>
              <w:rPr>
                <w:rFonts w:ascii="Arial" w:cs="Arial" w:eastAsia="Arial" w:hAnsi="Arial"/>
                <w:sz w:val="16"/>
                <w:szCs w:val="16"/>
                <w:i w:val="1"/>
                <w:iCs w:val="1"/>
                <w:color w:val="auto"/>
              </w:rPr>
              <w:t>(a)</w:t>
            </w:r>
          </w:p>
        </w:tc>
        <w:tc>
          <w:tcPr>
            <w:tcW w:w="2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$187.2</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w:t>
            </w:r>
          </w:p>
        </w:tc>
      </w:tr>
      <w:tr>
        <w:trPr>
          <w:trHeight w:val="243"/>
        </w:trPr>
        <w:tc>
          <w:tcPr>
            <w:tcW w:w="2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580" w:type="dxa"/>
            <w:vAlign w:val="bottom"/>
          </w:tcPr>
          <w:p>
            <w:pPr>
              <w:jc w:val="right"/>
              <w:ind w:right="270"/>
              <w:spacing w:after="0"/>
              <w:rPr>
                <w:sz w:val="20"/>
                <w:szCs w:val="20"/>
                <w:color w:val="auto"/>
              </w:rPr>
            </w:pPr>
            <w:r>
              <w:rPr>
                <w:rFonts w:ascii="Arial" w:cs="Arial" w:eastAsia="Arial" w:hAnsi="Arial"/>
                <w:sz w:val="18"/>
                <w:szCs w:val="18"/>
                <w:color w:val="auto"/>
              </w:rPr>
              <w:t>1,369.7</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(10.8)</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1,358.9</w:t>
            </w:r>
          </w:p>
        </w:tc>
      </w:tr>
      <w:tr>
        <w:trPr>
          <w:trHeight w:val="27"/>
        </w:trPr>
        <w:tc>
          <w:tcPr>
            <w:tcW w:w="2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$1,556.9</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$(11.4)</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$1,545.5</w:t>
            </w:r>
          </w:p>
        </w:tc>
      </w:tr>
      <w:tr>
        <w:trPr>
          <w:trHeight w:val="200"/>
        </w:trPr>
        <w:tc>
          <w:tcPr>
            <w:tcW w:w="20" w:type="dxa"/>
            <w:vAlign w:val="bottom"/>
          </w:tcPr>
          <w:p>
            <w:pPr>
              <w:spacing w:after="0"/>
              <w:rPr>
                <w:sz w:val="17"/>
                <w:szCs w:val="17"/>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Consisted of long-term debt due within one year.</w:t>
            </w:r>
          </w:p>
        </w:tc>
        <w:tc>
          <w:tcPr>
            <w:tcW w:w="258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December 31, 2015</w:t>
            </w: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Debt </w:t>
            </w:r>
            <w:r>
              <w:rPr>
                <w:rFonts w:ascii="Arial" w:cs="Arial" w:eastAsia="Arial" w:hAnsi="Arial"/>
                <w:sz w:val="16"/>
                <w:szCs w:val="16"/>
                <w:i w:val="1"/>
                <w:iCs w:val="1"/>
                <w:color w:val="auto"/>
              </w:rPr>
              <w:t>(a)</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$37.9</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1,568.7</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(12.0)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1,556.7</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$1,606.6</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$(12.6)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$1,594.0</w:t>
            </w:r>
          </w:p>
        </w:tc>
      </w:tr>
      <w:tr>
        <w:trPr>
          <w:trHeight w:val="200"/>
        </w:trPr>
        <w:tc>
          <w:tcPr>
            <w:tcW w:w="20" w:type="dxa"/>
            <w:vAlign w:val="bottom"/>
          </w:tcPr>
          <w:p>
            <w:pPr>
              <w:spacing w:after="0"/>
              <w:rPr>
                <w:sz w:val="17"/>
                <w:szCs w:val="17"/>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Consisted of long-term debt due within one year and notes payable.</w:t>
            </w:r>
          </w:p>
        </w:tc>
        <w:tc>
          <w:tcPr>
            <w:tcW w:w="19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material long-term debt was issued in the first nine months of 2016.</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2016, our ratio was approximately 0.45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September 30, 2016,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040"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2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6"/>
        </w:trPr>
        <w:tc>
          <w:tcPr>
            <w:tcW w:w="4840" w:type="dxa"/>
            <w:vAlign w:val="bottom"/>
          </w:tcPr>
          <w:p>
            <w:pPr>
              <w:spacing w:after="0"/>
              <w:rPr>
                <w:sz w:val="24"/>
                <w:szCs w:val="24"/>
                <w:color w:val="auto"/>
              </w:rPr>
            </w:pPr>
          </w:p>
        </w:tc>
        <w:tc>
          <w:tcPr>
            <w:tcW w:w="41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Quarter Ended</w:t>
            </w:r>
          </w:p>
        </w:tc>
        <w:tc>
          <w:tcPr>
            <w:tcW w:w="24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840" w:type="dxa"/>
            <w:vAlign w:val="bottom"/>
          </w:tcPr>
          <w:p>
            <w:pPr>
              <w:spacing w:after="0"/>
              <w:rPr>
                <w:sz w:val="23"/>
                <w:szCs w:val="23"/>
                <w:color w:val="auto"/>
              </w:rPr>
            </w:pPr>
          </w:p>
        </w:tc>
        <w:tc>
          <w:tcPr>
            <w:tcW w:w="41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24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4840" w:type="dxa"/>
            <w:vAlign w:val="bottom"/>
          </w:tcPr>
          <w:p>
            <w:pPr>
              <w:spacing w:after="0"/>
              <w:rPr>
                <w:sz w:val="23"/>
                <w:szCs w:val="23"/>
                <w:color w:val="auto"/>
              </w:rPr>
            </w:pPr>
          </w:p>
        </w:tc>
        <w:tc>
          <w:tcPr>
            <w:tcW w:w="28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8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Tax Expense </w:t>
            </w:r>
            <w:r>
              <w:rPr>
                <w:rFonts w:ascii="Arial" w:cs="Arial" w:eastAsia="Arial" w:hAnsi="Arial"/>
                <w:sz w:val="16"/>
                <w:szCs w:val="16"/>
                <w:i w:val="1"/>
                <w:iCs w:val="1"/>
                <w:color w:val="auto"/>
              </w:rPr>
              <w:t>(a)</w:t>
            </w:r>
          </w:p>
        </w:tc>
        <w:tc>
          <w:tcPr>
            <w:tcW w:w="28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Federal</w:t>
            </w:r>
          </w:p>
        </w:tc>
        <w:tc>
          <w:tcPr>
            <w:tcW w:w="2840" w:type="dxa"/>
            <w:vAlign w:val="bottom"/>
          </w:tcPr>
          <w:p>
            <w:pPr>
              <w:jc w:val="center"/>
              <w:ind w:left="17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840" w:type="dxa"/>
            <w:vAlign w:val="bottom"/>
            <w:tcBorders>
              <w:bottom w:val="single" w:sz="8" w:color="CCEEFF"/>
            </w:tcBorders>
            <w:shd w:val="clear" w:color="auto" w:fill="CCEEFF"/>
          </w:tcPr>
          <w:p>
            <w:pPr>
              <w:jc w:val="center"/>
              <w:ind w:left="17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r>
      <w:tr>
        <w:trPr>
          <w:trHeight w:val="237"/>
        </w:trPr>
        <w:tc>
          <w:tcPr>
            <w:tcW w:w="48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2840" w:type="dxa"/>
            <w:vAlign w:val="bottom"/>
            <w:tcBorders>
              <w:top w:val="single" w:sz="8" w:color="auto"/>
            </w:tcBorders>
          </w:tcPr>
          <w:p>
            <w:pPr>
              <w:jc w:val="center"/>
              <w:ind w:left="17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$0.2</w:t>
            </w:r>
          </w:p>
        </w:tc>
        <w:tc>
          <w:tcPr>
            <w:tcW w:w="13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$0.2</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$0.5</w:t>
            </w:r>
          </w:p>
        </w:tc>
      </w:tr>
      <w:tr>
        <w:trPr>
          <w:trHeight w:val="27"/>
        </w:trPr>
        <w:tc>
          <w:tcPr>
            <w:tcW w:w="48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28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Federal</w:t>
            </w:r>
          </w:p>
        </w:tc>
        <w:tc>
          <w:tcPr>
            <w:tcW w:w="2840" w:type="dxa"/>
            <w:vAlign w:val="bottom"/>
          </w:tcPr>
          <w:p>
            <w:pPr>
              <w:jc w:val="center"/>
              <w:ind w:left="1790"/>
              <w:spacing w:after="0"/>
              <w:rPr>
                <w:sz w:val="20"/>
                <w:szCs w:val="20"/>
                <w:color w:val="auto"/>
              </w:rPr>
            </w:pPr>
            <w:r>
              <w:rPr>
                <w:rFonts w:ascii="Arial" w:cs="Arial" w:eastAsia="Arial" w:hAnsi="Arial"/>
                <w:sz w:val="18"/>
                <w:szCs w:val="18"/>
                <w:color w:val="auto"/>
                <w:w w:val="91"/>
              </w:rPr>
              <w:t>$0.4</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$14.8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$7.1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$23.5</w:t>
            </w:r>
          </w:p>
        </w:tc>
      </w:tr>
      <w:tr>
        <w:trPr>
          <w:trHeight w:val="27"/>
        </w:trPr>
        <w:tc>
          <w:tcPr>
            <w:tcW w:w="48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8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w:t>
            </w:r>
          </w:p>
        </w:tc>
        <w:tc>
          <w:tcPr>
            <w:tcW w:w="1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(0.1)</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(0.2)</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(0.5)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(0.6)</w:t>
            </w:r>
          </w:p>
        </w:tc>
      </w:tr>
      <w:tr>
        <w:trPr>
          <w:trHeight w:val="27"/>
        </w:trPr>
        <w:tc>
          <w:tcPr>
            <w:tcW w:w="48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2840" w:type="dxa"/>
            <w:vAlign w:val="bottom"/>
            <w:tcBorders>
              <w:bottom w:val="single" w:sz="8" w:color="CCEEFF"/>
            </w:tcBorders>
            <w:shd w:val="clear" w:color="auto" w:fill="CCEEFF"/>
          </w:tcPr>
          <w:p>
            <w:pPr>
              <w:jc w:val="center"/>
              <w:ind w:left="1790"/>
              <w:spacing w:after="0"/>
              <w:rPr>
                <w:sz w:val="20"/>
                <w:szCs w:val="20"/>
                <w:color w:val="auto"/>
              </w:rPr>
            </w:pPr>
            <w:r>
              <w:rPr>
                <w:rFonts w:ascii="Arial" w:cs="Arial" w:eastAsia="Arial" w:hAnsi="Arial"/>
                <w:sz w:val="18"/>
                <w:szCs w:val="18"/>
                <w:color w:val="auto"/>
                <w:w w:val="91"/>
              </w:rPr>
              <w:t>$1.7</w:t>
            </w:r>
          </w:p>
        </w:tc>
        <w:tc>
          <w:tcPr>
            <w:tcW w:w="12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$14.2</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$26.5</w:t>
            </w:r>
          </w:p>
        </w:tc>
      </w:tr>
      <w:tr>
        <w:trPr>
          <w:trHeight w:val="237"/>
        </w:trPr>
        <w:tc>
          <w:tcPr>
            <w:tcW w:w="4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2840" w:type="dxa"/>
            <w:vAlign w:val="bottom"/>
            <w:tcBorders>
              <w:top w:val="single" w:sz="8" w:color="auto"/>
            </w:tcBorders>
          </w:tcPr>
          <w:p>
            <w:pPr>
              <w:jc w:val="center"/>
              <w:ind w:left="1790"/>
              <w:spacing w:after="0"/>
              <w:rPr>
                <w:sz w:val="20"/>
                <w:szCs w:val="20"/>
                <w:color w:val="auto"/>
              </w:rPr>
            </w:pPr>
            <w:r>
              <w:rPr>
                <w:rFonts w:ascii="Arial" w:cs="Arial" w:eastAsia="Arial" w:hAnsi="Arial"/>
                <w:sz w:val="18"/>
                <w:szCs w:val="18"/>
                <w:color w:val="auto"/>
                <w:w w:val="91"/>
              </w:rPr>
              <w:t>$1.7</w:t>
            </w:r>
          </w:p>
        </w:tc>
        <w:tc>
          <w:tcPr>
            <w:tcW w:w="12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$14.4</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$15.7</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349" w:lineRule="auto"/>
        <w:tabs>
          <w:tab w:leader="none" w:pos="3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For the nine months ended September 30, 2016, and 2015, the federal and state current tax expense was minimal due to NOLs which resulted from the bonus depreciation provisions of the Protecting Americans from Tax Hikes Act of 2015, the Tax Increase Prevention Act of 2014 and the American Taxpayer Relief Act of 2012.</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4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Quarter Ended</w:t>
            </w:r>
          </w:p>
        </w:tc>
        <w:tc>
          <w:tcPr>
            <w:tcW w:w="22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40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680" w:type="dxa"/>
            <w:vAlign w:val="bottom"/>
          </w:tcPr>
          <w:p>
            <w:pPr>
              <w:spacing w:after="0"/>
              <w:rPr>
                <w:sz w:val="23"/>
                <w:szCs w:val="23"/>
                <w:color w:val="auto"/>
              </w:rPr>
            </w:pPr>
          </w:p>
        </w:tc>
      </w:tr>
      <w:tr>
        <w:trPr>
          <w:trHeight w:val="270"/>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600" w:type="dxa"/>
            <w:vAlign w:val="bottom"/>
          </w:tcPr>
          <w:p>
            <w:pPr>
              <w:jc w:val="right"/>
              <w:ind w:right="730"/>
              <w:spacing w:after="0"/>
              <w:rPr>
                <w:sz w:val="20"/>
                <w:szCs w:val="20"/>
                <w:color w:val="auto"/>
              </w:rPr>
            </w:pPr>
            <w:r>
              <w:rPr>
                <w:rFonts w:ascii="Arial" w:cs="Arial" w:eastAsia="Arial" w:hAnsi="Arial"/>
                <w:sz w:val="18"/>
                <w:szCs w:val="18"/>
                <w:b w:val="1"/>
                <w:bCs w:val="1"/>
                <w:color w:val="auto"/>
              </w:rPr>
              <w:t>2016</w:t>
            </w: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r>
      <w:tr>
        <w:trPr>
          <w:trHeight w:val="27"/>
        </w:trPr>
        <w:tc>
          <w:tcPr>
            <w:tcW w:w="57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$42.0</w:t>
            </w:r>
          </w:p>
        </w:tc>
        <w:tc>
          <w:tcPr>
            <w:tcW w:w="1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$74.7</w:t>
            </w:r>
          </w:p>
        </w:tc>
        <w:tc>
          <w:tcPr>
            <w:tcW w:w="16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$127.2</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$149.7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20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600" w:type="dxa"/>
            <w:vAlign w:val="bottom"/>
          </w:tcPr>
          <w:p>
            <w:pPr>
              <w:jc w:val="right"/>
              <w:ind w:right="570"/>
              <w:spacing w:after="0"/>
              <w:rPr>
                <w:sz w:val="20"/>
                <w:szCs w:val="20"/>
                <w:color w:val="auto"/>
              </w:rPr>
            </w:pPr>
            <w:r>
              <w:rPr>
                <w:rFonts w:ascii="Arial" w:cs="Arial" w:eastAsia="Arial" w:hAnsi="Arial"/>
                <w:sz w:val="18"/>
                <w:szCs w:val="18"/>
                <w:color w:val="auto"/>
              </w:rPr>
              <w:t>35%</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7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2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$14.7</w:t>
            </w:r>
          </w:p>
        </w:tc>
        <w:tc>
          <w:tcPr>
            <w:tcW w:w="1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$26.1</w:t>
            </w:r>
          </w:p>
        </w:tc>
        <w:tc>
          <w:tcPr>
            <w:tcW w:w="16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$44.5</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$52.4</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2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0.9</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(0.2)</w:t>
            </w:r>
          </w:p>
        </w:tc>
        <w:tc>
          <w:tcPr>
            <w:tcW w:w="16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5.9</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2200" w:type="dxa"/>
            <w:vAlign w:val="bottom"/>
          </w:tcPr>
          <w:p>
            <w:pPr>
              <w:jc w:val="right"/>
              <w:ind w:right="250"/>
              <w:spacing w:after="0"/>
              <w:rPr>
                <w:sz w:val="20"/>
                <w:szCs w:val="20"/>
                <w:color w:val="auto"/>
              </w:rPr>
            </w:pPr>
            <w:r>
              <w:rPr>
                <w:rFonts w:ascii="Arial" w:cs="Arial" w:eastAsia="Arial" w:hAnsi="Arial"/>
                <w:sz w:val="18"/>
                <w:szCs w:val="18"/>
                <w:color w:val="auto"/>
              </w:rPr>
              <w:t>(14.0)</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(11.0)</w:t>
            </w:r>
          </w:p>
        </w:tc>
        <w:tc>
          <w:tcPr>
            <w:tcW w:w="1600" w:type="dxa"/>
            <w:vAlign w:val="bottom"/>
          </w:tcPr>
          <w:p>
            <w:pPr>
              <w:jc w:val="right"/>
              <w:ind w:right="670"/>
              <w:spacing w:after="0"/>
              <w:rPr>
                <w:sz w:val="20"/>
                <w:szCs w:val="20"/>
                <w:color w:val="auto"/>
              </w:rPr>
            </w:pPr>
            <w:r>
              <w:rPr>
                <w:rFonts w:ascii="Arial" w:cs="Arial" w:eastAsia="Arial" w:hAnsi="Arial"/>
                <w:sz w:val="18"/>
                <w:szCs w:val="18"/>
                <w:color w:val="auto"/>
              </w:rPr>
              <w:t>(34.5)</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(31.8)</w:t>
            </w:r>
          </w:p>
        </w:tc>
      </w:tr>
      <w:tr>
        <w:trPr>
          <w:trHeight w:val="27"/>
        </w:trPr>
        <w:tc>
          <w:tcPr>
            <w:tcW w:w="5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2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c>
          <w:tcPr>
            <w:tcW w:w="16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(0.1)</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Other</w:t>
            </w:r>
          </w:p>
        </w:tc>
        <w:tc>
          <w:tcPr>
            <w:tcW w:w="2200" w:type="dxa"/>
            <w:vAlign w:val="bottom"/>
          </w:tcPr>
          <w:p>
            <w:pPr>
              <w:jc w:val="right"/>
              <w:ind w:right="310"/>
              <w:spacing w:after="0"/>
              <w:rPr>
                <w:sz w:val="20"/>
                <w:szCs w:val="20"/>
                <w:color w:val="auto"/>
              </w:rPr>
            </w:pPr>
            <w:r>
              <w:rPr>
                <w:rFonts w:ascii="Arial" w:cs="Arial" w:eastAsia="Arial" w:hAnsi="Arial"/>
                <w:sz w:val="18"/>
                <w:szCs w:val="18"/>
                <w:color w:val="auto"/>
              </w:rPr>
              <w:t>0.1</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(0.2)</w:t>
            </w:r>
          </w:p>
        </w:tc>
        <w:tc>
          <w:tcPr>
            <w:tcW w:w="1600" w:type="dxa"/>
            <w:vAlign w:val="bottom"/>
          </w:tcPr>
          <w:p>
            <w:pPr>
              <w:jc w:val="right"/>
              <w:ind w:right="670"/>
              <w:spacing w:after="0"/>
              <w:rPr>
                <w:sz w:val="20"/>
                <w:szCs w:val="20"/>
                <w:color w:val="auto"/>
              </w:rPr>
            </w:pPr>
            <w:r>
              <w:rPr>
                <w:rFonts w:ascii="Arial" w:cs="Arial" w:eastAsia="Arial" w:hAnsi="Arial"/>
                <w:sz w:val="18"/>
                <w:szCs w:val="18"/>
                <w:color w:val="auto"/>
              </w:rPr>
              <w:t>(0.1)</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4.5</w:t>
            </w:r>
          </w:p>
        </w:tc>
      </w:tr>
      <w:tr>
        <w:trPr>
          <w:trHeight w:val="27"/>
        </w:trPr>
        <w:tc>
          <w:tcPr>
            <w:tcW w:w="57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w:t>
            </w:r>
          </w:p>
        </w:tc>
        <w:tc>
          <w:tcPr>
            <w:tcW w:w="1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$14.4</w:t>
            </w:r>
          </w:p>
        </w:tc>
        <w:tc>
          <w:tcPr>
            <w:tcW w:w="16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$15.7</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r>
      <w:tr>
        <w:trPr>
          <w:trHeight w:val="20"/>
        </w:trPr>
        <w:tc>
          <w:tcPr>
            <w:tcW w:w="574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2016, the effective tax rate was 12.3 percent (18.0 percent for the nine months ended September 30, 2015).</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2016, we had gross unrecognized tax benefits of $2.0 million ($2.4 million as of December 31, 2015).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ALLETE is no longer subject to federal examination for years before 2013, or state examination for years before 2012.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40" w:top="104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10. RECLASSIFICATIONS OUT OF ACCUMULATED OTHER COMPREHENSIVE INCOME (LOSS)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unrealized gains and losses on available-for-sale securities, defined benefit pension and other postretirement items, consisting of deferred actuarial gains or losses and prior service costs or credits, and gains and losses on derivatives accounted for as cash flow hedges.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quarter and nine months ended September 30, 2016 and 2015, reclassifications out of accumulated other comprehensive income for the Company were not material. Changes in accumulated other comprehensive loss for the nine months ended September 30, 2016, are presented on the Consolidated Statement of Equity.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performance share awards granted under our Executive Long-Term Incentive Compensation Plan and common shares under the forward sale agreement entered into in 2014, a portion of which were issued in 2015. For the nine months ended September 30, 2016, and 2015, no options to purchase shares of common stock were excluded from the computation of diluted earnings per share.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2015</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Dilutive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540" w:type="dxa"/>
            <w:vAlign w:val="bottom"/>
            <w:gridSpan w:val="3"/>
          </w:tcPr>
          <w:p>
            <w:pPr>
              <w:ind w:left="260"/>
              <w:spacing w:after="0"/>
              <w:rPr>
                <w:sz w:val="20"/>
                <w:szCs w:val="20"/>
                <w:color w:val="auto"/>
              </w:rPr>
            </w:pPr>
            <w:r>
              <w:rPr>
                <w:rFonts w:ascii="Arial" w:cs="Arial" w:eastAsia="Arial" w:hAnsi="Arial"/>
                <w:sz w:val="18"/>
                <w:szCs w:val="18"/>
                <w:b w:val="1"/>
                <w:bCs w:val="1"/>
                <w:color w:val="auto"/>
              </w:rPr>
              <w:t>Diluted</w:t>
            </w: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Basic</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Securities</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ALLETE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$40.3</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$60.4</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49.4</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48.8</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$0.82</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$1.24</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ALLETE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$111.0</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$122.8</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49.3</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48.0</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$2.25</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$2.56</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gridSpan w:val="3"/>
          </w:tcPr>
          <w:p>
            <w:pPr>
              <w:ind w:left="880"/>
              <w:spacing w:after="0"/>
              <w:rPr>
                <w:sz w:val="20"/>
                <w:szCs w:val="20"/>
                <w:color w:val="auto"/>
              </w:rPr>
            </w:pPr>
            <w:r>
              <w:rPr>
                <w:rFonts w:ascii="Arial" w:cs="Arial" w:eastAsia="Arial" w:hAnsi="Arial"/>
                <w:sz w:val="18"/>
                <w:szCs w:val="18"/>
                <w:b w:val="1"/>
                <w:bCs w:val="1"/>
                <w:color w:val="auto"/>
                <w:w w:val="91"/>
              </w:rPr>
              <w:t>Pension</w:t>
            </w:r>
          </w:p>
        </w:tc>
        <w:tc>
          <w:tcPr>
            <w:tcW w:w="900" w:type="dxa"/>
            <w:vAlign w:val="bottom"/>
          </w:tcPr>
          <w:p>
            <w:pPr>
              <w:spacing w:after="0"/>
              <w:rPr>
                <w:sz w:val="20"/>
                <w:szCs w:val="20"/>
                <w:color w:val="auto"/>
              </w:rPr>
            </w:pPr>
          </w:p>
        </w:tc>
        <w:tc>
          <w:tcPr>
            <w:tcW w:w="23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70"/>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Components of Net Periodic Benefit Expense (Income)</w:t>
            </w:r>
          </w:p>
        </w:tc>
        <w:tc>
          <w:tcPr>
            <w:tcW w:w="9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2015</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2016</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w:t>
            </w: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$2.6</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7.5</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1.9</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(2.8)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Credits</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(0.7)</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Amortization of Net Loss</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4.4</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9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w:t>
            </w:r>
          </w:p>
        </w:tc>
        <w:tc>
          <w:tcPr>
            <w:tcW w:w="14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$(0.6)</w:t>
            </w: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64"/>
        </w:trPr>
        <w:tc>
          <w:tcPr>
            <w:tcW w:w="40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$7.6</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$3.0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22.4</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5.6</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(30.5)</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(8.4)</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0.1</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Amortization of Net Loss</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13.4</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$13.0</w:t>
            </w:r>
          </w:p>
        </w:tc>
        <w:tc>
          <w:tcPr>
            <w:tcW w:w="14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$(1.9)</w:t>
            </w: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7"/>
              </w:rPr>
              <w:t>$(1.5)</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863"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20"/>
          </w:cols>
          <w:pgMar w:left="240" w:top="1040" w:right="239" w:bottom="863"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nine months ended September 30, 2016, we contributed $6.3 million in cash to our defined benefit pension plan (none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30, 2015); we do not expect to make additional contributions to our defined benefit pension plan in 2016. For the nine months ended September 30, 2016, and 2015, we made no contributions to our other postretirement benefit plan; we do not expect to make any contributions to our other postretirement benefit plan in 2016.</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12. Commitments, Guarantees and Contingencies to our Consolidated Financial Statements in our 2015 Form 10-K, with additional disclosure provided in the following paragraphs.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PPA with Square Butte that extends through 2026 (Agreement). Minnesota Power is obligated to pay its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Square Butte’s costs based on its entitlement to the output of Square Butte’s 455 MW coal-fired generating unit. Minnesota Power’s output entitlement under the Agreement is 50 percent for the remainder of the Agreement, subject to the provisions of the Minnkota Power sales agreement described below. Square Butte’s costs consist primarily of debt service, operating and maintenance, depreciation and fuel expenses. As of September 30, 2016, Square Butte had total debt outstanding of $329.7 million. Fuel expenses are recoverable through Minnesota Power’s fuel adjustment clause and include the cost of coal purchased from BNI Energy under a long-term contract.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nine months ended September 30, 2016, was $56.8 million ($57.6 million for the nine months ended September 30, 2015). This reflects Minnesota Power’s pro rata share of total Square Butte costs based on the 50 percent output entitlement. Included in this amount was Minnesota Power’s pro rata share of interest expense of $7.2 million during the nine months ended September 30, 2016 ($7.6 million for the nine months ended September 30, 2015). Minnesota Power’s payments to Square Butte are approved as a purchased power expense for ratemaking purposes by both the MPUC and the FERC.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Minnesota Power has a power sales agreement with Minnkota Power, which commenced in 2014. Under the power sales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2016 and in 2015.</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Silver Bay Power Sales Agreement</w:t>
      </w:r>
      <w:r>
        <w:rPr>
          <w:rFonts w:ascii="Arial" w:cs="Arial" w:eastAsia="Arial" w:hAnsi="Arial"/>
          <w:sz w:val="18"/>
          <w:szCs w:val="18"/>
          <w:color w:val="auto"/>
        </w:rPr>
        <w:t>. On May 23, 2016, Minnesota Power and Silver Bay Power entered into a long-term PPA through 2031. Silver Bay Power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approximately 90 MW of load to Northshore Mining which has been served predominately through self-generation by Silver Bay Power. In the years 2016 through 2019, Minnesota Power will supply Silver Bay Power with at least 50 MW of energy and Silver Bay Power will have the option to purchase additional energy from Minnesota Power as it transitions away from self-generation. On December 31, 2019, Silver Bay Power will cease self-generation and Minnesota Power will supply the entire energy requirements for Silver Bay Power.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Shell Energy PPA. </w:t>
      </w:r>
      <w:r>
        <w:rPr>
          <w:rFonts w:ascii="Arial" w:cs="Arial" w:eastAsia="Arial" w:hAnsi="Arial"/>
          <w:sz w:val="18"/>
          <w:szCs w:val="18"/>
          <w:color w:val="auto"/>
        </w:rPr>
        <w:t>In June 2016, Minnesota Power and Shell Energy signed a PPA that provides for Minnesota Power to purchase 50 MW of energy at fixed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The PPA begins in January 2017 and expires in December 2019.</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Minnesota Power has coal supply agreements providing for the purchase of a significant portion of its coal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December 2016 and a portion of its coal requirements through December 2021. Minnesota Power also has coal transportation agreements in place for the delivery of a significant portion of its coal requirements through December 2018. The minimum annual payment obligation under these supply and transportation agreements is $7.9 million for the remainder of 2016, $27.9 million in 2017, $27.0 million in 2018, $1.8 million in 2019 and none thereafter. The delivered costs of fuel for Minnesota Power’s generation are recoverable from Minnesota Power’s utility customers through the fuel adjustment clause.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04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Leasing Agreements. </w:t>
      </w:r>
      <w:r>
        <w:rPr>
          <w:rFonts w:ascii="Arial" w:cs="Arial" w:eastAsia="Arial" w:hAnsi="Arial"/>
          <w:sz w:val="17"/>
          <w:szCs w:val="17"/>
          <w:color w:val="auto"/>
        </w:rPr>
        <w:t>BNI Energy is obligated to make lease payments for a dragline totaling $2.8 million annually during the lease term, which expires in</w:t>
      </w:r>
      <w:r>
        <w:rPr>
          <w:rFonts w:ascii="Arial" w:cs="Arial" w:eastAsia="Arial" w:hAnsi="Arial"/>
          <w:sz w:val="17"/>
          <w:szCs w:val="17"/>
          <w:b w:val="1"/>
          <w:bCs w:val="1"/>
          <w:color w:val="auto"/>
        </w:rPr>
        <w:t xml:space="preserve"> </w:t>
      </w:r>
      <w:r>
        <w:rPr>
          <w:rFonts w:ascii="Arial" w:cs="Arial" w:eastAsia="Arial" w:hAnsi="Arial"/>
          <w:sz w:val="17"/>
          <w:szCs w:val="17"/>
          <w:color w:val="auto"/>
        </w:rPr>
        <w:t>2027. 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2022. The aggregate amount of minimum lease payments for all operating leases is $3.5 million for the remainder of 2016, $12.6 million in 2017, $11.1 million in 2018, $9.9 million in 2019, $6.9 million in 2020 and $23.2 million thereafter.</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transmission investments are summarized in Note 12. Commitments, Guarantees and Contingencies to our Consolidated Financial Statements in our 2015 Form 10-K, with additional disclosure provided in the following paragraphs.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(See Note 6. Regulatory Matters.) In a December 2015 order, the FERC approved our request to recover on construction work in progress related to the GNTL from Minnesota Power’s wholesale customers. In April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Manitoba Hydro must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 Upon receipt of all applicable permits and approvals, construction of the GNTL is expected to begin by 2017 and to be completed in 2020. Total project cost in the U.S., including substation work, is estimated to be between $560 million and $710 million. Minnesota Power is expected to have majority ownership of the transmission 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to conduct such operations have been obtained. We anticipate that with many state and federal environmental regulations finalized, or to be finalized in the near future, potential expenditures for future environmental matters may be material and may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2008, Minnesota Power received a Notice of Violation (NOV) from the EPA asserting violations of the NSR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Clean Air Act at Boswell and Laskin Unit 2 between the years of 1981 and 2001. Minnesota Power received an additional NOV in April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(Court) in 2014. The Consent Decree provided for, among other requirements, more stringent emissions limits at all affected units, the option of refueling, retrofits or retirements at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On October 19, 2016, Minnesota Power announced that Boswell Units 1 and 2 will be retired in 2018 as the latest step in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We believe that costs to retire would be eligible for recovery in rates over time subject to regulatory approval in a rate proceeding.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a total of 28 states in the eastern half of the United States, including Minnesota, to reduce</w:t>
      </w:r>
      <w:r>
        <w:rPr>
          <w:rFonts w:ascii="Arial" w:cs="Arial" w:eastAsia="Arial" w:hAnsi="Arial"/>
          <w:sz w:val="18"/>
          <w:szCs w:val="18"/>
          <w:i w:val="1"/>
          <w:iCs w:val="1"/>
          <w:color w:val="auto"/>
        </w:rPr>
        <w:t xml:space="preserve"> </w:t>
      </w:r>
      <w:r>
        <w:rPr>
          <w:rFonts w:ascii="Arial" w:cs="Arial" w:eastAsia="Arial" w:hAnsi="Arial"/>
          <w:sz w:val="18"/>
          <w:szCs w:val="18"/>
          <w:color w:val="auto"/>
        </w:rPr>
        <w:t>power plant emissions that contribute to ozone or fine particulate pollution in other states. The CSAPR does not require installation of controls; rather it requires that facilities have sufficient allowances to cover their emissions on an annual basis. These allowances are allocated to facilities from each state’s annual budget and can be bought and sold.</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2014, the EPA distributed the CSAPR allowances to CSAPR-subject units for the Phase I years (2015 and 2016). Phase II allowances (2017 and beyond) for 2017 and 2018 were distributed on June 29, 2016. Based on our review of the NO</w:t>
      </w:r>
      <w:r>
        <w:rPr>
          <w:rFonts w:ascii="Arial" w:cs="Arial" w:eastAsia="Arial" w:hAnsi="Arial"/>
          <w:sz w:val="11"/>
          <w:szCs w:val="11"/>
          <w:color w:val="auto"/>
        </w:rPr>
        <w:t>x</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Phase I and Phase II allowances already issued, and Phase II allowances not yet issued, we currently expect projected generation levels and emission rates will result in compliance in both Phase I and Phase II.</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in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were required to be in compliance with the rule by April 2015. States had the authority to grant sources a one-year extension. The MPCA approved Minnesota Power’s request for an extension of the date of compliance for the Boswell Unit 4 environmental upgrade to April 1, 2016. Construction on the project to implement the Boswell Unit 4 mercury emissions reduction plan was completed in 2015. Boswell Unit 3 is also subject to the MATS rule; however, investments and compliance work completed at Boswell Unit 3, including the emission reduction investments completed in 2009, meet the requirements of the MATS rule. The conversion of Laskin Units 1 and 2 to natural gas in June 2015 positioned those units for MATS compliance.</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2015, the U.S. Supreme Court reversed and remanded an earlier U.S. Court of Appeals for the D.C. Circuit decision on the MATS rule. The U.S. Supreme Court ruled that it was unreasonable for the EPA to deem cost of compliance irrelevant in determining that regulation of emissions of hazardous air pollutants from power plants was “appropriate and necessary” under Section 112 of the Clean Air Act. The MATS rule remains in effect until the U.S. Court of Appeals for the D.C. Circuit acts on the remand. In December 2015, the U.S. Court of Appeals for the D.C. Circuit rejected a motion by utilities and states to vacate the MATS rule, instead ordering the rule to remain in effect while the EPA completes its review. On April 15, 2016, the EPA announced its determination that the MATS rule is appropriate and necessary, even after considering cost of compliance. The outcome of these proceedings is not expected to have a material impact on Minnesota Power generation due to emission reduction obligations under the Minnesota Mercury Emissions Reduction Act and the Consent Decree. (See </w:t>
      </w:r>
      <w:r>
        <w:rPr>
          <w:rFonts w:ascii="Arial" w:cs="Arial" w:eastAsia="Arial" w:hAnsi="Arial"/>
          <w:sz w:val="17"/>
          <w:szCs w:val="17"/>
          <w:i w:val="1"/>
          <w:iCs w:val="1"/>
          <w:color w:val="auto"/>
        </w:rPr>
        <w:t>New Source Review.</w:t>
      </w:r>
      <w:r>
        <w:rPr>
          <w:rFonts w:ascii="Arial" w:cs="Arial" w:eastAsia="Arial" w:hAnsi="Arial"/>
          <w:sz w:val="17"/>
          <w:szCs w:val="17"/>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04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In order to comply with the 2006 Minnesota Mercury Emissions Reduction Act, which was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into rules promulgated by the MPCA in September 2014, Minnesota Power was required to implement a mercury emissions reduction project for Boswell Unit 4 by 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issued by the EPA for Industrial Boiler MACT became effective in 2012. Major existing sources had until January 31, 2016, to achieve compliance with the final rule and July 29, 2016, to perform initial compliance demonstrations. Minnesota Power’s Hibbard Renewable Energy Center and Rapids Energy Center are subject to this rule and are currently in compliance. Compliance consists largely of adjustments to our operating practices; therefore the costs for complying with the final rule are not expected to be material.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more stringent control related to emissions that result in ground level ozone. In 2010, the EPA proposed to revise the</w:t>
      </w:r>
      <w:r>
        <w:rPr>
          <w:rFonts w:ascii="Arial" w:cs="Arial" w:eastAsia="Arial" w:hAnsi="Arial"/>
          <w:sz w:val="17"/>
          <w:szCs w:val="17"/>
          <w:i w:val="1"/>
          <w:iCs w:val="1"/>
          <w:color w:val="auto"/>
        </w:rPr>
        <w:t xml:space="preserve"> </w:t>
      </w:r>
      <w:r>
        <w:rPr>
          <w:rFonts w:ascii="Arial" w:cs="Arial" w:eastAsia="Arial" w:hAnsi="Arial"/>
          <w:sz w:val="17"/>
          <w:szCs w:val="17"/>
          <w:color w:val="auto"/>
        </w:rPr>
        <w:t>2008 eight-hour ozone standard of 75 parts per billion (ppb) and to adopt a secondary standard for the protection of sensitive vegetation from ozone-related damage. In October 2015, the EPA published the final rule in the Federal Register revising the eight-hour ozone standard to 70 ppb with a secondary standard also set at 70 ppb. All areas of Minnesota currently meet the new standard based on the most recent available ambient monitoring data; however, some areas in the metropolitan Twin Cities and southwest portion of the state are close to exceeding the standard. As a result, voluntary efforts to reduce ozone continue in the state. No additional costs for compliance are anticipated at this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finalized the Particulate Matter NAAQS in 2006. Since then, the EPA has established more stringent 24-hour and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fine particulate matter (PM</w:t>
      </w:r>
      <w:r>
        <w:rPr>
          <w:rFonts w:ascii="Arial" w:cs="Arial" w:eastAsia="Arial" w:hAnsi="Arial"/>
          <w:sz w:val="12"/>
          <w:szCs w:val="12"/>
          <w:color w:val="auto"/>
        </w:rPr>
        <w:t>2.5</w:t>
      </w:r>
      <w:r>
        <w:rPr>
          <w:rFonts w:ascii="Arial" w:cs="Arial" w:eastAsia="Arial" w:hAnsi="Arial"/>
          <w:sz w:val="18"/>
          <w:szCs w:val="18"/>
          <w:color w:val="auto"/>
        </w:rPr>
        <w:t>) standards; the 24-hour coarse particulate matter standard has remained unchanged. In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revising aspects of relevant monitoring, designation and permitting requirements. New projects and permits must comply with the new standard, which is generally demonstrated by modeling at the facility level.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relocating or repurposing existing monitors. The EPA asked states to submit attainment designations by 2013, based on already available monitoring data, and issued designations of the 2012 revised primary annual fine particulate attainment status in 2014. The EPA designated the entire state of Minnesota as unclassifiable/attainment; however, Minnesota sources may ultimately be required to reduce their emissions to assist with attainment in neighboring states. On September 27, 2016, environmental groups filed a lawsuit against the EPA in the United States District Court for the Northern District of California alleging the EPA had failed to fully implement the PM</w:t>
      </w:r>
      <w:r>
        <w:rPr>
          <w:rFonts w:ascii="Arial" w:cs="Arial" w:eastAsia="Arial" w:hAnsi="Arial"/>
          <w:sz w:val="12"/>
          <w:szCs w:val="12"/>
          <w:color w:val="auto"/>
        </w:rPr>
        <w:t>2.5</w:t>
      </w:r>
      <w:r>
        <w:rPr>
          <w:rFonts w:ascii="Arial" w:cs="Arial" w:eastAsia="Arial" w:hAnsi="Arial"/>
          <w:sz w:val="18"/>
          <w:szCs w:val="18"/>
          <w:color w:val="auto"/>
        </w:rPr>
        <w:t xml:space="preserve"> standards in 24 states, including Minnesota, by not enforcing states’ submittals of required infrastructure SIPs for the 2012 PM</w:t>
      </w:r>
      <w:r>
        <w:rPr>
          <w:rFonts w:ascii="Arial" w:cs="Arial" w:eastAsia="Arial" w:hAnsi="Arial"/>
          <w:sz w:val="12"/>
          <w:szCs w:val="12"/>
          <w:color w:val="auto"/>
        </w:rPr>
        <w:t>2.5</w:t>
      </w:r>
      <w:r>
        <w:rPr>
          <w:rFonts w:ascii="Arial" w:cs="Arial" w:eastAsia="Arial" w:hAnsi="Arial"/>
          <w:sz w:val="18"/>
          <w:szCs w:val="18"/>
          <w:color w:val="auto"/>
        </w:rPr>
        <w:t xml:space="preserve"> NAAQS. The outcome of this litigation is uncertain, and as such any costs for complying with the final Particulate Matter NAAQS cannot be estimated at this time.</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SO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NAAQS. </w:t>
      </w:r>
      <w:r>
        <w:rPr>
          <w:rFonts w:ascii="Arial" w:cs="Arial" w:eastAsia="Arial" w:hAnsi="Arial"/>
          <w:sz w:val="16"/>
          <w:szCs w:val="16"/>
          <w:color w:val="auto"/>
        </w:rPr>
        <w:t>During 2010, the EPA finalized one-hour NAAQS for SO</w:t>
      </w:r>
      <w:r>
        <w:rPr>
          <w:rFonts w:ascii="Arial" w:cs="Arial" w:eastAsia="Arial" w:hAnsi="Arial"/>
          <w:sz w:val="11"/>
          <w:szCs w:val="11"/>
          <w:color w:val="auto"/>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and NO</w:t>
      </w:r>
      <w:r>
        <w:rPr>
          <w:rFonts w:ascii="Arial" w:cs="Arial" w:eastAsia="Arial" w:hAnsi="Arial"/>
          <w:sz w:val="11"/>
          <w:szCs w:val="11"/>
          <w:color w:val="auto"/>
        </w:rPr>
        <w:t>2</w:t>
      </w:r>
      <w:r>
        <w:rPr>
          <w:rFonts w:ascii="Arial" w:cs="Arial" w:eastAsia="Arial" w:hAnsi="Arial"/>
          <w:sz w:val="16"/>
          <w:szCs w:val="16"/>
          <w:color w:val="auto"/>
        </w:rPr>
        <w:t>. Ambient monitoring data indicates that Minnesota is likely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these standards; however, the one-hour SO</w:t>
      </w:r>
      <w:r>
        <w:rPr>
          <w:rFonts w:ascii="Arial" w:cs="Arial" w:eastAsia="Arial" w:hAnsi="Arial"/>
          <w:sz w:val="11"/>
          <w:szCs w:val="11"/>
          <w:color w:val="auto"/>
        </w:rPr>
        <w:t>2</w:t>
      </w:r>
      <w:r>
        <w:rPr>
          <w:rFonts w:ascii="Arial" w:cs="Arial" w:eastAsia="Arial" w:hAnsi="Arial"/>
          <w:sz w:val="16"/>
          <w:szCs w:val="16"/>
          <w:color w:val="auto"/>
        </w:rPr>
        <w:t xml:space="preserve"> NAAQS also requires the EPA to evaluate additional modeling and monitoring considerations to determine attainment. In 2012, the MPCA notified Minnesota Power that modeling had been suspended as a result of the EPA’s announcement that the SIP submittals would not require modeling demonstrations for states, such as Minnesota, where ambient monitors indicate compliance with the standard. The EPA notified states that their infrastructure SIPs for maintaining attainment of the standard were required to be submitted to the EPA for approval by 2013. However, the State of Minnesota delayed completing the documents pending EPA guidance to states for preparing the SIP submittal.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04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2013, the EPA provided guidance to states regarding implementation of the one-hour NO</w:t>
      </w:r>
      <w:r>
        <w:rPr>
          <w:rFonts w:ascii="Arial" w:cs="Arial" w:eastAsia="Arial" w:hAnsi="Arial"/>
          <w:sz w:val="11"/>
          <w:szCs w:val="11"/>
          <w:color w:val="auto"/>
        </w:rPr>
        <w:t>2</w:t>
      </w:r>
      <w:r>
        <w:rPr>
          <w:rFonts w:ascii="Arial" w:cs="Arial" w:eastAsia="Arial" w:hAnsi="Arial"/>
          <w:sz w:val="16"/>
          <w:szCs w:val="16"/>
          <w:color w:val="auto"/>
        </w:rPr>
        <w:t xml:space="preserve"> NAAQS and in 2014, as clarified in February 2015, the MPCA submitted a SIP revision to the EPA addressing the infrastructure requirements of Sections 110(a)(1) and 110(a)(2) of the Clean Air Act in regards to the one-hour NO</w:t>
      </w:r>
      <w:r>
        <w:rPr>
          <w:rFonts w:ascii="Arial" w:cs="Arial" w:eastAsia="Arial" w:hAnsi="Arial"/>
          <w:sz w:val="11"/>
          <w:szCs w:val="11"/>
          <w:color w:val="auto"/>
        </w:rPr>
        <w:t>2</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NAAQS, among other standards. The SIP stated that since the EPA determined in 2012 that no area in the country is in violation of the one-hour NO</w:t>
      </w:r>
      <w:r>
        <w:rPr>
          <w:rFonts w:ascii="Arial" w:cs="Arial" w:eastAsia="Arial" w:hAnsi="Arial"/>
          <w:sz w:val="11"/>
          <w:szCs w:val="11"/>
          <w:color w:val="auto"/>
        </w:rPr>
        <w:t>2</w:t>
      </w:r>
      <w:r>
        <w:rPr>
          <w:rFonts w:ascii="Arial" w:cs="Arial" w:eastAsia="Arial" w:hAnsi="Arial"/>
          <w:sz w:val="16"/>
          <w:szCs w:val="16"/>
          <w:color w:val="auto"/>
        </w:rPr>
        <w:t xml:space="preserve"> NAAQS, there are no nonattainment areas in the country for this pollutant, and therefore Minnesota’s NO</w:t>
      </w:r>
      <w:r>
        <w:rPr>
          <w:rFonts w:ascii="Arial" w:cs="Arial" w:eastAsia="Arial" w:hAnsi="Arial"/>
          <w:sz w:val="11"/>
          <w:szCs w:val="11"/>
          <w:color w:val="auto"/>
        </w:rPr>
        <w:t>2</w:t>
      </w:r>
      <w:r>
        <w:rPr>
          <w:rFonts w:ascii="Arial" w:cs="Arial" w:eastAsia="Arial" w:hAnsi="Arial"/>
          <w:sz w:val="16"/>
          <w:szCs w:val="16"/>
          <w:color w:val="auto"/>
        </w:rPr>
        <w:t xml:space="preserve"> emissions cannot be significantly contributing to nonattainment in any other state. In October 2015, the EPA published in the Federal Register an approval and partial disapproval of the 2014 SIP revision. According to the MPCA, the partial disapproval is regarding state delegation of a program unrelated to the one-hour NAAQS for SO</w:t>
      </w:r>
      <w:r>
        <w:rPr>
          <w:rFonts w:ascii="Arial" w:cs="Arial" w:eastAsia="Arial" w:hAnsi="Arial"/>
          <w:sz w:val="11"/>
          <w:szCs w:val="11"/>
          <w:color w:val="auto"/>
        </w:rPr>
        <w:t>2</w:t>
      </w:r>
      <w:r>
        <w:rPr>
          <w:rFonts w:ascii="Arial" w:cs="Arial" w:eastAsia="Arial" w:hAnsi="Arial"/>
          <w:sz w:val="16"/>
          <w:szCs w:val="16"/>
          <w:color w:val="auto"/>
        </w:rPr>
        <w:t xml:space="preserve"> and NO</w:t>
      </w:r>
      <w:r>
        <w:rPr>
          <w:rFonts w:ascii="Arial" w:cs="Arial" w:eastAsia="Arial" w:hAnsi="Arial"/>
          <w:sz w:val="11"/>
          <w:szCs w:val="11"/>
          <w:color w:val="auto"/>
        </w:rPr>
        <w:t>2</w:t>
      </w:r>
      <w:r>
        <w:rPr>
          <w:rFonts w:ascii="Arial" w:cs="Arial" w:eastAsia="Arial" w:hAnsi="Arial"/>
          <w:sz w:val="16"/>
          <w:szCs w:val="16"/>
          <w:color w:val="auto"/>
        </w:rPr>
        <w:t>, and is not expected to require further action. As such, additional compliance costs for the one-hour NO</w:t>
      </w:r>
      <w:r>
        <w:rPr>
          <w:rFonts w:ascii="Arial" w:cs="Arial" w:eastAsia="Arial" w:hAnsi="Arial"/>
          <w:sz w:val="11"/>
          <w:szCs w:val="11"/>
          <w:color w:val="auto"/>
        </w:rPr>
        <w:t>2</w:t>
      </w:r>
      <w:r>
        <w:rPr>
          <w:rFonts w:ascii="Arial" w:cs="Arial" w:eastAsia="Arial" w:hAnsi="Arial"/>
          <w:sz w:val="16"/>
          <w:szCs w:val="16"/>
          <w:color w:val="auto"/>
        </w:rPr>
        <w:t xml:space="preserve"> NAAQS are not expected at this time.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August 2015, the EPA finalized the SO</w:t>
      </w:r>
      <w:r>
        <w:rPr>
          <w:rFonts w:ascii="Arial" w:cs="Arial" w:eastAsia="Arial" w:hAnsi="Arial"/>
          <w:sz w:val="11"/>
          <w:szCs w:val="11"/>
          <w:color w:val="auto"/>
        </w:rPr>
        <w:t>2</w:t>
      </w:r>
      <w:r>
        <w:rPr>
          <w:rFonts w:ascii="Arial" w:cs="Arial" w:eastAsia="Arial" w:hAnsi="Arial"/>
          <w:sz w:val="16"/>
          <w:szCs w:val="16"/>
          <w:color w:val="auto"/>
        </w:rPr>
        <w:t xml:space="preserve"> data requirements rule (DRR) for the 2010 one-hour NAAQS to assist the states in implementing the standard. The rule sets emissions thresholds and exemptions for facilities that trigger modeling requirements. On January 8, 2016, the MPCA informed the EPA of the Minnesota sources subject to the rule, confirming that Boswell and Taconite Harbor are the only Minnesota Power generating facilities subject to the DRR. The MPCA was required to notify the EPA how each source will evaluate air quality by July 1, 2016. Compliance options include ambient monitoring, modeling existing enforceable emission limits, or modeling actual emissions. The MPCA initially informed Minnesota Power that compliant SO</w:t>
      </w:r>
      <w:r>
        <w:rPr>
          <w:rFonts w:ascii="Arial" w:cs="Arial" w:eastAsia="Arial" w:hAnsi="Arial"/>
          <w:sz w:val="11"/>
          <w:szCs w:val="11"/>
          <w:color w:val="auto"/>
        </w:rPr>
        <w:t>2</w:t>
      </w:r>
      <w:r>
        <w:rPr>
          <w:rFonts w:ascii="Arial" w:cs="Arial" w:eastAsia="Arial" w:hAnsi="Arial"/>
          <w:sz w:val="16"/>
          <w:szCs w:val="16"/>
          <w:color w:val="auto"/>
        </w:rPr>
        <w:t xml:space="preserve"> modeling recently completed at these facilities would satisfy the DRR obligations, and no further modeling would be required. However, the DRR also requires facilities have federally-enforceable permit limits at which the one-hour SO</w:t>
      </w:r>
      <w:r>
        <w:rPr>
          <w:rFonts w:ascii="Arial" w:cs="Arial" w:eastAsia="Arial" w:hAnsi="Arial"/>
          <w:sz w:val="11"/>
          <w:szCs w:val="11"/>
          <w:color w:val="auto"/>
        </w:rPr>
        <w:t>2</w:t>
      </w:r>
      <w:r>
        <w:rPr>
          <w:rFonts w:ascii="Arial" w:cs="Arial" w:eastAsia="Arial" w:hAnsi="Arial"/>
          <w:sz w:val="16"/>
          <w:szCs w:val="16"/>
          <w:color w:val="auto"/>
        </w:rPr>
        <w:t xml:space="preserve"> NAAQS compliance was modeled by January 13, 2017. Taconite Harbor was issued an amended air permit on September 1, 2016 containing the new modeling limits at that facility. The MPCA informed Minnesota Power that the MPCA will not meet the January 13, 2017 deadline to amend the Boswell permit. However, the MPCA is in discussions with the EPA on alternate compliance pathways to use existing completed modeling at current limits. Compliance costs for the one-hour SO</w:t>
      </w:r>
      <w:r>
        <w:rPr>
          <w:rFonts w:ascii="Arial" w:cs="Arial" w:eastAsia="Arial" w:hAnsi="Arial"/>
          <w:sz w:val="11"/>
          <w:szCs w:val="11"/>
          <w:color w:val="auto"/>
        </w:rPr>
        <w:t>2</w:t>
      </w:r>
      <w:r>
        <w:rPr>
          <w:rFonts w:ascii="Arial" w:cs="Arial" w:eastAsia="Arial" w:hAnsi="Arial"/>
          <w:sz w:val="16"/>
          <w:szCs w:val="16"/>
          <w:color w:val="auto"/>
        </w:rPr>
        <w:t xml:space="preserve"> NAAQS are not expected to be material.</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Class I Air Quality Petitions and Requests. </w:t>
      </w:r>
      <w:r>
        <w:rPr>
          <w:rFonts w:ascii="Arial" w:cs="Arial" w:eastAsia="Arial" w:hAnsi="Arial"/>
          <w:sz w:val="18"/>
          <w:szCs w:val="18"/>
          <w:color w:val="auto"/>
        </w:rPr>
        <w:t>In 2014, the Fond du Lac Band of Lake Superior Chippewa (Fond du Lac Band) announced its intent to 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EPA to redesignate its reservation air shed from Class II to Class I air quality pursuant to Section 164(c) of the Clean Air Act. The Fond du Lac Band does not currently possess authority to directly regulate air quality. Class I air shed status, if granted, would allow the Fond du Lac Band to impose more stringent Clean Air Act protections within the boundaries of the Fond du Lac reservation, including the reservation air shed, near Cloquet, Minnesota. Five other reservations across the U.S. have received Class I status. A public hearing was held by the Fond du Lac Band in October 2014, and the extended public comment period on the petition expired in November 2014. After the Fond du Lac Band prepares responses to the comments, it is anticipated to make a formal submittal request to the EPA.</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2013, the Bad River Band of Lake Superior Chippewa (Bad River Band) announced its intent to petition the EPA to redesignate its reservation air shed, which is located approximately 100 miles east of Duluth, Minnesota, from Class II to Class I air quality pursuant to Section 164(c) of the Clean Air Act. The Class I analysis report was issued by the Bad River Band in January 2015 which was followed by public hearings in March 2015 and a public comment period ending in May 2015. After the Bad River Band prepares responses to the comments, it is also anticipated to make a formal submittal request to the EPA.</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deadline for the approval, denial, or modification of these requests by the EPA. We are unable to determine the impact of potential Class I status on the Company’s operations at this time.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04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President Obama’s Climate Action Plan. </w:t>
      </w:r>
      <w:r>
        <w:rPr>
          <w:rFonts w:ascii="Arial" w:cs="Arial" w:eastAsia="Arial" w:hAnsi="Arial"/>
          <w:sz w:val="18"/>
          <w:szCs w:val="18"/>
          <w:color w:val="auto"/>
        </w:rPr>
        <w:t>In 2013, President Obama announced a Climate Action Plan (CAP) that calls for implementation of measures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2010, the EPA issued the Prevention of Significant Deterioration (PSD) and Title V Greenhouse Gas Tailoring Rule</w:t>
      </w:r>
      <w:r>
        <w:rPr>
          <w:rFonts w:ascii="Arial" w:cs="Arial" w:eastAsia="Arial" w:hAnsi="Arial"/>
          <w:sz w:val="18"/>
          <w:szCs w:val="18"/>
          <w:i w:val="1"/>
          <w:iCs w:val="1"/>
          <w:color w:val="auto"/>
        </w:rPr>
        <w:t xml:space="preserve"> </w:t>
      </w:r>
      <w:r>
        <w:rPr>
          <w:rFonts w:ascii="Arial" w:cs="Arial" w:eastAsia="Arial" w:hAnsi="Arial"/>
          <w:sz w:val="18"/>
          <w:szCs w:val="18"/>
          <w:color w:val="auto"/>
        </w:rPr>
        <w:t>(Tailoring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2014, the U.S. Supreme Court invalidated the aspect of the Tailoring Rule that established higher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 2016, the EPA published a proposed rule in the Federal Register to revise its PSD and Title V regulatory provisions concerning GHG emissions. In this proposed rule, the EPA proposes to amend its regulations to clarify that a source’s obligation to obtain a PSD or Title V permit is triggered only by non-GHG pollutants. If the PSD or Title V permitting requirements are triggered by non-GHG, NSR pollutants, then these programs will also apply to the source’s GHG emissions. The proposed rule, as currently written, is not expected to have a material impact on the Title V permitting for current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under Section 111(b) of the Clean Air Act, to new fossil fuel-fired electric generating units. The proposed NSPS would have applied only to new or re-powered units. Based on the volume of comments received, the EPA announced its intent to re-propose the rule. In 2013, the EPA retracted its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2014, the EPA announced a proposed rule under Section 111(d) of the Clean Air Act for existing power plants entitled “Carbon Pollution Emission Guidelines for Existing Stationary Sources: Electric Generating Units”, also referred to as the Clean Power Plan (CPP). The EPA issued the final CPP in August 2015, together with a proposed federal implementation plan and a model rule for emissions trading. Numerous petitions for review of the rule have been filed with the U.S. Court of Appeals for the District of Columbia Circuit. On February 9, 2016, the U.S. Supreme Court issued an order staying the effectiveness of the rule until after the appellate court process is complete. On September 27, 2016, the U.S. Court of Appeals for the District of Columbia heard oral arguments and is currently deliberating. The EPA is precluded from enforcing the CPP while the U.S. Supreme Court stay is in force; however, the MPCA has been holding a series of meetings on the CPP for educational and planning purposes in the interim. Minnesota Power has been actively involved in these MPCA meetings, and is closely monitoring the appeals process.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upheld, the CPP would establish uniform CO</w:t>
      </w:r>
      <w:r>
        <w:rPr>
          <w:rFonts w:ascii="Arial" w:cs="Arial" w:eastAsia="Arial" w:hAnsi="Arial"/>
          <w:sz w:val="11"/>
          <w:szCs w:val="11"/>
          <w:color w:val="auto"/>
        </w:rPr>
        <w:t>2</w:t>
      </w:r>
      <w:r>
        <w:rPr>
          <w:rFonts w:ascii="Arial" w:cs="Arial" w:eastAsia="Arial" w:hAnsi="Arial"/>
          <w:sz w:val="17"/>
          <w:szCs w:val="17"/>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7"/>
          <w:szCs w:val="17"/>
          <w:color w:val="auto"/>
        </w:rPr>
        <w:t xml:space="preserve"> emissions from the power sector. State goals were determined based on CPP source-specific performance emission rates and each state’s mix of power plants. The EPA maintains such goals are achievable if a state undertakes a combination of measures across its power sector that constitutes the EPA’s guideline for a Best System of Emission Reductions (BSER). BSER is comprised of three building blocks: 1) improved fossil fuel power plant efficiency, 2) increased reliance on low-emitting power sources by generating more electricity from existing natural gas combined cycle units, and 3) building more zero- and low-emitting power sources, including renewable energy. States may also choose to include avoided CO</w:t>
      </w:r>
      <w:r>
        <w:rPr>
          <w:rFonts w:ascii="Arial" w:cs="Arial" w:eastAsia="Arial" w:hAnsi="Arial"/>
          <w:sz w:val="11"/>
          <w:szCs w:val="11"/>
          <w:color w:val="auto"/>
        </w:rPr>
        <w:t>2</w:t>
      </w:r>
      <w:r>
        <w:rPr>
          <w:rFonts w:ascii="Arial" w:cs="Arial" w:eastAsia="Arial" w:hAnsi="Arial"/>
          <w:sz w:val="17"/>
          <w:szCs w:val="17"/>
          <w:color w:val="auto"/>
        </w:rPr>
        <w:t xml:space="preserve"> emissions from customer energy efficiency measures for credit towards meeting state goals.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104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State goals under the CPP are expressed as both mass-based and rate-based, and include interim goals to be met over the years 2022 through 2029, as well as a final goal to be met in 2030 and thereafter. Under the original schedule for the CPP, each state would have been required to develop a SIP by September 6, 2016, or by September 6, 2018, if granted an extension. Due to the U.S Supreme Court order staying the effectiveness of the CPP, those SIP submittal dates are not currently in effect. If the CPP is upheld at the completion of the appellate court process, all of the CPP regulatory deadlines are expected to be reset based on the length of time that the appeals process takes.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developing its plan, a state may choose to meet either the mass-based or the rate-based goals. Minnesota Power is currently evaluating the CPP as it relates to the State of Minnesota as well as its potential impact on the Company and is actively discussing potential compliance scenarios with regulatory agencies and in public stakeholder meetings. Minnesota has already initiated several measures consistent with those called for under the CAP and CPP. Minnesota Power is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6. Regulatory Matters.)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EPA accepted comments through November 1, 2016, on the proposed Clean Energy Incentive Program (CEIP) that may be facilitated as part of the CPP. The CEIP would reassign CPP emission rate credits or allowances for certain early action or designated deployments of renewable energy and energy efficiency measures.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Minnesota Power would seek recovery of any additional costs through cost recovery riders or in a general rate case.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Minnesota’s Next Generation Energy Act of 2007. </w:t>
      </w:r>
      <w:r>
        <w:rPr>
          <w:rFonts w:ascii="Arial" w:cs="Arial" w:eastAsia="Arial" w:hAnsi="Arial"/>
          <w:sz w:val="18"/>
          <w:szCs w:val="18"/>
          <w:color w:val="auto"/>
        </w:rPr>
        <w:t>In April 2014, the U.S. District Court for the District of Minnesota ruled that part of Minnesota’s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Energy Act of 2007 (NEGA) violated the Commerce Clause of the U.S. Constitution. The portions of the law which were ruled unconstitutional prohibited the importation of power from a new CO</w:t>
      </w:r>
      <w:r>
        <w:rPr>
          <w:rFonts w:ascii="Arial" w:cs="Arial" w:eastAsia="Arial" w:hAnsi="Arial"/>
          <w:sz w:val="12"/>
          <w:szCs w:val="12"/>
          <w:color w:val="auto"/>
        </w:rPr>
        <w:t>2</w:t>
      </w:r>
      <w:r>
        <w:rPr>
          <w:rFonts w:ascii="Arial" w:cs="Arial" w:eastAsia="Arial" w:hAnsi="Arial"/>
          <w:sz w:val="18"/>
          <w:szCs w:val="18"/>
          <w:color w:val="auto"/>
        </w:rPr>
        <w:t>-producing facility outside of Minnesota and prohibited the entry into new long-term PPAs that would increase CO</w:t>
      </w:r>
      <w:r>
        <w:rPr>
          <w:rFonts w:ascii="Arial" w:cs="Arial" w:eastAsia="Arial" w:hAnsi="Arial"/>
          <w:sz w:val="12"/>
          <w:szCs w:val="12"/>
          <w:color w:val="auto"/>
        </w:rPr>
        <w:t>2</w:t>
      </w:r>
      <w:r>
        <w:rPr>
          <w:rFonts w:ascii="Arial" w:cs="Arial" w:eastAsia="Arial" w:hAnsi="Arial"/>
          <w:sz w:val="18"/>
          <w:szCs w:val="18"/>
          <w:color w:val="auto"/>
        </w:rPr>
        <w:t xml:space="preserve"> emissions in Minnesota. The State of Minnesota appealed the decision to the U.S. Court of Appeals for the Eighth Circuit in 2014. On June 15, 2016, the U.S. Court of Appeals for the Eighth Circuit upheld the federal district court’s decision that part of the NEGA violated the Commerce Clause of the U.S. Constitution. Minnesota Governor Dayton subsequently announced that the State of Minnesota would cease pursuing further appeals of the U.S. Court of Appeals for the Eighth Circuit’s decision.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Clean Water Act - Aquatic Organisms. </w:t>
      </w:r>
      <w:r>
        <w:rPr>
          <w:rFonts w:ascii="Arial" w:cs="Arial" w:eastAsia="Arial" w:hAnsi="Arial"/>
          <w:sz w:val="16"/>
          <w:szCs w:val="16"/>
          <w:color w:val="auto"/>
        </w:rPr>
        <w:t>In 2011, the EPA announced proposed regulations under Section 316(b) of the Clean Water Act that set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effective in 2014. The Section 316(b) standards will be implemented through NPDES permits issued to the covered facilities with compliance timing dependent on individual NPDES renewal schedules. No NPDES permits for Minnesota Power generating facilities have been re-issued containing Section 316(b) requirements since the final rule was published, so at this time we are unable to determine the final cost of compliance. Should the MPCA require significant modifications to Minnesota Power’s intake structures, its preliminary assessment suggests costs of compliance up to $15 million over the next 5 years. Minnesota Power would seek recovery of any additional costs through a general rate case.</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In 2013, the EPA announced proposed revisions to the federal effluent limit guidelines (ELG) for</w:t>
      </w:r>
      <w:r>
        <w:rPr>
          <w:rFonts w:ascii="Arial" w:cs="Arial" w:eastAsia="Arial" w:hAnsi="Arial"/>
          <w:sz w:val="16"/>
          <w:szCs w:val="16"/>
          <w:i w:val="1"/>
          <w:iCs w:val="1"/>
          <w:color w:val="auto"/>
        </w:rPr>
        <w:t xml:space="preserve"> </w:t>
      </w:r>
      <w:r>
        <w:rPr>
          <w:rFonts w:ascii="Arial" w:cs="Arial" w:eastAsia="Arial" w:hAnsi="Arial"/>
          <w:sz w:val="16"/>
          <w:szCs w:val="16"/>
          <w:color w:val="auto"/>
        </w:rPr>
        <w:t>steam electric power generating stations under the Clean Water Act. The final ELG was issued in September 2015. It sets effluent limits and prescribes BACT for several wastewater streams, including flue gas desulphurization (FGD) water and coal combustion landfill leachate. The ELG rule also prohibits the discharge of bottom and fly ash contact waters. Compliance with the final rule is required between November 1, 2018, and December 31, 2023.</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20"/>
          </w:cols>
          <w:pgMar w:left="240" w:top="104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reviewing the final rule and evaluating its potential impact on Minnesota Power’s operations, primarily at Boswell. Boswell currently discharges bottom ash contact water through its NPDES permit, and also has a closed-loop FGD system that does not currently discharge, but may do so in the future. Under the final ELG rule, bottom ash discharge would not be allowed and bottom ash contact water would either need to be re-used in a closed-loop process, routed to a FGD scrubber, or the bottom ash handling system would need to be converted to a dry process. If the FGD wastewater is discharged in the future, it would require additional wastewater treatment. Efforts have been underway at Boswell for several years to reduce the amount of water discharged and evaluate potential re-use options in its plant processes. Additional efforts are underway to determine if land application of certain wastewater streams under a state disposal system may be feasible.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and/or reuse. Minnesota Power would seek recovery of any additional costs through cost recovery riders or in a general rate case.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Coal Ash Management Facilities. </w:t>
      </w:r>
      <w:r>
        <w:rPr>
          <w:rFonts w:ascii="Arial" w:cs="Arial" w:eastAsia="Arial" w:hAnsi="Arial"/>
          <w:sz w:val="16"/>
          <w:szCs w:val="16"/>
          <w:color w:val="auto"/>
        </w:rPr>
        <w:t>Minnesota Power generates or disposes coal ash at four of its electric generating facilities. One facility stores ash in onsite</w:t>
      </w:r>
      <w:r>
        <w:rPr>
          <w:rFonts w:ascii="Arial" w:cs="Arial" w:eastAsia="Arial" w:hAnsi="Arial"/>
          <w:sz w:val="16"/>
          <w:szCs w:val="16"/>
          <w:i w:val="1"/>
          <w:iCs w:val="1"/>
          <w:color w:val="auto"/>
        </w:rPr>
        <w:t xml:space="preserve"> </w:t>
      </w:r>
      <w:r>
        <w:rPr>
          <w:rFonts w:ascii="Arial" w:cs="Arial" w:eastAsia="Arial" w:hAnsi="Arial"/>
          <w:sz w:val="16"/>
          <w:szCs w:val="16"/>
          <w:color w:val="auto"/>
        </w:rPr>
        <w:t>impoundments (ash ponds) with engineered liners and containment dikes. Another facility’s ash is beneficially re-used. The other two facilities generate a combined wood and coal ash that is either land applied as an approved beneficial use or trucked to state permitted landfills. In 2010, the EPA proposed regulations for coal combustion residuals (CCR) generated by the electric utility sector. The proposal sought comments on three general regulatory schemes for coal ash under Subtitle D of Resource Conservation and Recovery Act (RCRA) (non-hazardous) or Subtitle C of RCRA (hazardous).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EPA issued the final CCR rule in 2014 under Subtitle D (non-hazardous) of RCRA and it was published in the Federal Register in April 2015. The rule includes additional requirements for new landfill and impoundment construction as well as closure activities related to certain existing impoundments. Costs of compliance for Boswell and Laskin are expected to occur primarily over the next 10 years and be between approximately $65 million and $100 million. Minnesota Power has not disposed ash onsite at Taconite Harbor since the effective date of the rule, and therefore, the CCR rule is not applicable to that generating facility. Minnesota Power continues to work on minimizing costs through evaluation of beneficial re-use and recycling of CCR and CCR-related waters. Minnesota Power would seek recovery of any additional costs through a general rate case.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PPAs in place for their entire output and expire in various years between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September 30, 2016, ALLETE Clean Energy has $14.6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September 30, 2016, U.S. Water Services has $0.8 million outstanding in standby letters of credit.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Energy. </w:t>
      </w:r>
      <w:r>
        <w:rPr>
          <w:rFonts w:ascii="Arial" w:cs="Arial" w:eastAsia="Arial" w:hAnsi="Arial"/>
          <w:sz w:val="18"/>
          <w:szCs w:val="18"/>
          <w:color w:val="auto"/>
        </w:rPr>
        <w:t>As of September 30, 2016, BNI Energy had surety bonds outstanding of $49.9 million related to the reclamation liability for closing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its mine and mine facilities. Although its coal supply agreements obligate the customers to provide for the closing costs, additional assurance is required by federal and state regulations. In addition to the surety bonds, BNI Energy has secured a letter of credit for an additional $0.6 million to provide for BNI Energy’s total reclamation liability, which is currently estimated at $47.5 million. BNI Energy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September 30, 2016, ALLETE Properties, through its subsidiaries, had surety bonds outstanding and letters of credit to</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entities totaling $8.6 million primarily related to development and maintenance obligations for various projects. The estimated cost of the remaining development work is approximately $5.4 million. ALLETE Properties does not believe it is likely that any of these outstanding surety bonds or letters of credit will be drawn upon.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20"/>
          </w:cols>
          <w:pgMar w:left="240" w:top="104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At September 30, 2016, we owned 72 percent of the assessable land in the Town Center District (72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at December 31, 2015) and 92 percent of the assessable land in the Palm Coast Park District (92 percent at December 31, 2015). At these ownership levels, our annual assessments related to capital improvement and special assessment bonds for the ALLETE Properties projects within these districts are approximately $1.4 million for Town Center at Palm Coast and $2.1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Regulated Operations includes three operating segments which consist of our regulated utilities, Minnesota Power and SWL&amp;P, as well as our investment in ATC, a Wisconsin-based regulated utility that owns and maintains electric transmission assets in parts of Wisconsin, Michigan, Minnesota and Illinois. ALLETE Clean Energy is our business focused on developing, acquiring and operating clean and renewable energy projects. U.S. Water Services is our integrated water management company which was acquired in February 2015.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other business development and corporate expenditures, unallocated interest expense, a small amount of non-rate base generation, approximately 5,000 acres of land in Minnesota, and earnings on cash and investments.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88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Quarter Ended</w:t>
            </w:r>
          </w:p>
        </w:tc>
        <w:tc>
          <w:tcPr>
            <w:tcW w:w="22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300" w:type="dxa"/>
            <w:vAlign w:val="bottom"/>
          </w:tcPr>
          <w:p>
            <w:pPr>
              <w:spacing w:after="0"/>
              <w:rPr>
                <w:sz w:val="23"/>
                <w:szCs w:val="23"/>
                <w:color w:val="auto"/>
              </w:rPr>
            </w:pPr>
          </w:p>
        </w:tc>
        <w:tc>
          <w:tcPr>
            <w:tcW w:w="38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September 30,</w:t>
            </w:r>
          </w:p>
        </w:tc>
        <w:tc>
          <w:tcPr>
            <w:tcW w:w="22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300" w:type="dxa"/>
            <w:vAlign w:val="bottom"/>
          </w:tcPr>
          <w:p>
            <w:pPr>
              <w:spacing w:after="0"/>
              <w:rPr>
                <w:sz w:val="23"/>
                <w:szCs w:val="23"/>
                <w:color w:val="auto"/>
              </w:rPr>
            </w:pPr>
          </w:p>
        </w:tc>
        <w:tc>
          <w:tcPr>
            <w:tcW w:w="25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3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5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5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2560" w:type="dxa"/>
            <w:vAlign w:val="bottom"/>
          </w:tcPr>
          <w:p>
            <w:pPr>
              <w:jc w:val="right"/>
              <w:ind w:right="110"/>
              <w:spacing w:after="0"/>
              <w:rPr>
                <w:sz w:val="20"/>
                <w:szCs w:val="20"/>
                <w:color w:val="auto"/>
              </w:rPr>
            </w:pPr>
            <w:r>
              <w:rPr>
                <w:rFonts w:ascii="Arial" w:cs="Arial" w:eastAsia="Arial" w:hAnsi="Arial"/>
                <w:sz w:val="18"/>
                <w:szCs w:val="18"/>
                <w:color w:val="auto"/>
              </w:rPr>
              <w:t>$253.3</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$250.2</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$740.5</w:t>
            </w:r>
          </w:p>
        </w:tc>
        <w:tc>
          <w:tcPr>
            <w:tcW w:w="940" w:type="dxa"/>
            <w:vAlign w:val="bottom"/>
          </w:tcPr>
          <w:p>
            <w:pPr>
              <w:jc w:val="right"/>
              <w:spacing w:after="0"/>
              <w:rPr>
                <w:sz w:val="20"/>
                <w:szCs w:val="20"/>
                <w:color w:val="auto"/>
              </w:rPr>
            </w:pPr>
            <w:r>
              <w:rPr>
                <w:rFonts w:ascii="Arial" w:cs="Arial" w:eastAsia="Arial" w:hAnsi="Arial"/>
                <w:sz w:val="18"/>
                <w:szCs w:val="18"/>
                <w:color w:val="auto"/>
              </w:rPr>
              <w:t>$743.0</w:t>
            </w:r>
          </w:p>
        </w:tc>
      </w:tr>
      <w:tr>
        <w:trPr>
          <w:trHeight w:val="27"/>
        </w:trPr>
        <w:tc>
          <w:tcPr>
            <w:tcW w:w="5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2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14.7</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151.1</w:t>
            </w:r>
          </w:p>
        </w:tc>
        <w:tc>
          <w:tcPr>
            <w:tcW w:w="1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57.1</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37.8</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36.1</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104.5</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7"/>
        </w:trPr>
        <w:tc>
          <w:tcPr>
            <w:tcW w:w="5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43.8</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25.1</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96.1</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79.3</w:t>
            </w:r>
          </w:p>
        </w:tc>
      </w:tr>
      <w:tr>
        <w:trPr>
          <w:trHeight w:val="27"/>
        </w:trPr>
        <w:tc>
          <w:tcPr>
            <w:tcW w:w="5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Revenue</w:t>
            </w:r>
          </w:p>
        </w:tc>
        <w:tc>
          <w:tcPr>
            <w:tcW w:w="2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$349.6</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$462.5</w:t>
            </w:r>
          </w:p>
        </w:tc>
        <w:tc>
          <w:tcPr>
            <w:tcW w:w="1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$998.2</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$1,105.8</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Attributable to ALLETE</w:t>
            </w:r>
          </w:p>
        </w:tc>
        <w:tc>
          <w:tcPr>
            <w:tcW w:w="25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2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$45.0</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$43.8</w:t>
            </w:r>
          </w:p>
        </w:tc>
        <w:tc>
          <w:tcPr>
            <w:tcW w:w="1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$110.0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70"/>
        </w:trPr>
        <w:tc>
          <w:tcPr>
            <w:tcW w:w="53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5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13.2</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9.7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5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2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1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53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5"/>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2.4</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530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25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$40.3</w:t>
            </w:r>
          </w:p>
        </w:tc>
        <w:tc>
          <w:tcPr>
            <w:tcW w:w="13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$60.4</w:t>
            </w:r>
          </w:p>
        </w:tc>
        <w:tc>
          <w:tcPr>
            <w:tcW w:w="1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$111.0</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$122.8</w:t>
            </w:r>
          </w:p>
        </w:tc>
      </w:tr>
      <w:tr>
        <w:trPr>
          <w:trHeight w:val="27"/>
        </w:trPr>
        <w:tc>
          <w:tcPr>
            <w:tcW w:w="5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20"/>
          </w:cols>
          <w:pgMar w:left="240" w:top="1040"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38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27"/>
        </w:trPr>
        <w:tc>
          <w:tcPr>
            <w:tcW w:w="6220" w:type="dxa"/>
            <w:vAlign w:val="bottom"/>
          </w:tcPr>
          <w:p>
            <w:pPr>
              <w:spacing w:after="0"/>
              <w:rPr>
                <w:sz w:val="24"/>
                <w:szCs w:val="24"/>
                <w:color w:val="auto"/>
              </w:rPr>
            </w:pPr>
          </w:p>
        </w:tc>
        <w:tc>
          <w:tcPr>
            <w:tcW w:w="386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6220" w:type="dxa"/>
            <w:vAlign w:val="bottom"/>
          </w:tcPr>
          <w:p>
            <w:pPr>
              <w:spacing w:after="0"/>
              <w:rPr>
                <w:sz w:val="20"/>
                <w:szCs w:val="20"/>
                <w:color w:val="auto"/>
              </w:rPr>
            </w:pPr>
          </w:p>
        </w:tc>
        <w:tc>
          <w:tcPr>
            <w:tcW w:w="38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2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8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(a)</w:t>
            </w:r>
          </w:p>
        </w:tc>
        <w:tc>
          <w:tcPr>
            <w:tcW w:w="3860" w:type="dxa"/>
            <w:vAlign w:val="bottom"/>
          </w:tcPr>
          <w:p>
            <w:pPr>
              <w:jc w:val="right"/>
              <w:ind w:right="50"/>
              <w:spacing w:after="0"/>
              <w:rPr>
                <w:sz w:val="20"/>
                <w:szCs w:val="20"/>
                <w:color w:val="auto"/>
              </w:rPr>
            </w:pPr>
            <w:r>
              <w:rPr>
                <w:rFonts w:ascii="Arial" w:cs="Arial" w:eastAsia="Arial" w:hAnsi="Arial"/>
                <w:sz w:val="18"/>
                <w:szCs w:val="18"/>
                <w:color w:val="auto"/>
              </w:rPr>
              <w:t>$3,838.8</w:t>
            </w:r>
          </w:p>
        </w:tc>
        <w:tc>
          <w:tcPr>
            <w:tcW w:w="1340" w:type="dxa"/>
            <w:vAlign w:val="bottom"/>
          </w:tcPr>
          <w:p>
            <w:pPr>
              <w:jc w:val="right"/>
              <w:spacing w:after="0"/>
              <w:rPr>
                <w:sz w:val="20"/>
                <w:szCs w:val="20"/>
                <w:color w:val="auto"/>
              </w:rPr>
            </w:pPr>
            <w:r>
              <w:rPr>
                <w:rFonts w:ascii="Arial" w:cs="Arial" w:eastAsia="Arial" w:hAnsi="Arial"/>
                <w:sz w:val="18"/>
                <w:szCs w:val="18"/>
                <w:color w:val="auto"/>
              </w:rPr>
              <w:t>$3,853.1</w:t>
            </w:r>
          </w:p>
        </w:tc>
      </w:tr>
      <w:tr>
        <w:trPr>
          <w:trHeight w:val="27"/>
        </w:trPr>
        <w:tc>
          <w:tcPr>
            <w:tcW w:w="6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220" w:type="dxa"/>
            <w:vAlign w:val="bottom"/>
            <w:shd w:val="clear" w:color="auto" w:fill="CCEEFF"/>
          </w:tcPr>
          <w:p>
            <w:pPr>
              <w:spacing w:after="0"/>
              <w:rPr>
                <w:sz w:val="23"/>
                <w:szCs w:val="23"/>
                <w:color w:val="auto"/>
              </w:rPr>
            </w:pPr>
          </w:p>
        </w:tc>
        <w:tc>
          <w:tcPr>
            <w:tcW w:w="38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8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3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483.5</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501.5</w:t>
            </w:r>
          </w:p>
        </w:tc>
      </w:tr>
      <w:tr>
        <w:trPr>
          <w:trHeight w:val="243"/>
        </w:trPr>
        <w:tc>
          <w:tcPr>
            <w:tcW w:w="622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860" w:type="dxa"/>
            <w:vAlign w:val="bottom"/>
          </w:tcPr>
          <w:p>
            <w:pPr>
              <w:jc w:val="right"/>
              <w:ind w:right="150"/>
              <w:spacing w:after="0"/>
              <w:rPr>
                <w:sz w:val="20"/>
                <w:szCs w:val="20"/>
                <w:color w:val="auto"/>
              </w:rPr>
            </w:pPr>
            <w:r>
              <w:rPr>
                <w:rFonts w:ascii="Arial" w:cs="Arial" w:eastAsia="Arial" w:hAnsi="Arial"/>
                <w:sz w:val="18"/>
                <w:szCs w:val="18"/>
                <w:color w:val="auto"/>
              </w:rPr>
              <w:t>259.4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258.3</w:t>
            </w:r>
          </w:p>
        </w:tc>
      </w:tr>
      <w:tr>
        <w:trPr>
          <w:trHeight w:val="27"/>
        </w:trPr>
        <w:tc>
          <w:tcPr>
            <w:tcW w:w="6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220" w:type="dxa"/>
            <w:vAlign w:val="bottom"/>
            <w:shd w:val="clear" w:color="auto" w:fill="CCEEFF"/>
          </w:tcPr>
          <w:p>
            <w:pPr>
              <w:spacing w:after="0"/>
              <w:rPr>
                <w:sz w:val="23"/>
                <w:szCs w:val="23"/>
                <w:color w:val="auto"/>
              </w:rPr>
            </w:pPr>
          </w:p>
        </w:tc>
        <w:tc>
          <w:tcPr>
            <w:tcW w:w="38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22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860" w:type="dxa"/>
            <w:vAlign w:val="bottom"/>
          </w:tcPr>
          <w:p>
            <w:pPr>
              <w:jc w:val="right"/>
              <w:ind w:right="150"/>
              <w:spacing w:after="0"/>
              <w:rPr>
                <w:sz w:val="20"/>
                <w:szCs w:val="20"/>
                <w:color w:val="auto"/>
              </w:rPr>
            </w:pPr>
            <w:r>
              <w:rPr>
                <w:rFonts w:ascii="Arial" w:cs="Arial" w:eastAsia="Arial" w:hAnsi="Arial"/>
                <w:sz w:val="18"/>
                <w:szCs w:val="18"/>
                <w:color w:val="auto"/>
              </w:rPr>
              <w:t>293.1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281.6</w:t>
            </w:r>
          </w:p>
        </w:tc>
      </w:tr>
      <w:tr>
        <w:trPr>
          <w:trHeight w:val="27"/>
        </w:trPr>
        <w:tc>
          <w:tcPr>
            <w:tcW w:w="62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6"/>
                <w:szCs w:val="16"/>
                <w:i w:val="1"/>
                <w:iCs w:val="1"/>
                <w:color w:val="auto"/>
              </w:rPr>
              <w:t>(a)</w:t>
            </w:r>
          </w:p>
        </w:tc>
        <w:tc>
          <w:tcPr>
            <w:tcW w:w="3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$4,874.8</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$4,894.5</w:t>
            </w:r>
          </w:p>
        </w:tc>
      </w:tr>
      <w:tr>
        <w:trPr>
          <w:trHeight w:val="20"/>
        </w:trPr>
        <w:tc>
          <w:tcPr>
            <w:tcW w:w="622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jc w:val="both"/>
        <w:ind w:left="340" w:hanging="332"/>
        <w:spacing w:after="0" w:line="254" w:lineRule="auto"/>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As a result of revised accounting guidance adopted in the first quarter of 2016, we reclassified unamortized debt issuance costs from Other Non-Current Assets to Long-Term Debt on the Consolidated Balance Sheet. Prior period segment assets have been revised to conform to the current presentation. (See Note 1. Operations and Significant Accounting Policies.)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the 2015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2015 Form 10-K under the headings: “Forward-Looking Statements” located on page 5 and “Risk Factors” located in Part I, Item 1A, beginning on page 25 of our 2015 Form 10</w:t>
      </w:r>
      <w:r>
        <w:rPr>
          <w:rFonts w:ascii="MS PGothic" w:cs="MS PGothic" w:eastAsia="MS PGothic" w:hAnsi="MS PGothic"/>
          <w:sz w:val="17"/>
          <w:szCs w:val="17"/>
          <w:color w:val="auto"/>
        </w:rPr>
        <w:t>‑</w:t>
      </w:r>
      <w:r>
        <w:rPr>
          <w:rFonts w:ascii="Arial" w:cs="Arial" w:eastAsia="Arial" w:hAnsi="Arial"/>
          <w:sz w:val="17"/>
          <w:szCs w:val="17"/>
          <w:color w:val="auto"/>
        </w:rPr>
        <w:t>K. The risks and uncertainties described in this Form 10-Q and our 2015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parts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6. Regulatory Matters.)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four states, approximately 535 MW of nameplate capacity wind energy generation that are under long-term power sales agreements. In addition, ALLETE Clean Energy constructed a 107 MW wind energy facility for sale to Montana-Dakota Utilities; construction and sale were completed in the fourth quarter of 2015.</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5,000 acres of land in Minnesota, and earnings on cash and investments.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04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2016,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nine months ended September 30, 2016, to the nine months ended September 30, 2015.</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income attributable to ALLETE for the nine months ended September 30, 2016, was $111.0 million, or $2.25 per diluted share, compared to $122.8 million, or $2.55 per diluted share, for the same period in 2015. Net income for 2016 included an $8.8 million, or $0.18 per share, adverse impact for the regulatory outcome of an October 18, 2016, MPUC hearing on the allocation of North Dakota investment tax credits. (See Note 6. Regulatory Matters.) Net income for 2015 included a $4.8 million after-tax expense, or $0.10 per share, for acquisition costs related to U.S. Water Services and ALLETE Clean Energy’s acquisitions. (See Note 3. Acquisitions.) In 2015, net income also included the recognition of $13.7 million after-tax estimated profit, or $0.29 per share, under percentage of completion accounting, for the construction of a wind energy facility which was sold to Montana-Dakota Utilities in the fourth quarter of 2015. Net income for 2016 also decreased due to lower net income at ALLETE Clean Energy. Earnings per share dilution was $0.06 due to additional shares of common stock outstanding as of September 30, 2016.</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$110.0 million for the nine months ended September 30, 2016, compared to $108.1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same period in 2015. Net income for 2016 increased primarily due to higher net income at Minnesota Power resulting from lower operating and maintenance expenses, and higher FERC formula-based rates and cost recovery rider revenue. These increases were mostly offset by higher depreciation and property tax expenses, lower industrial sales and demand revenue, and impacts of warmer temperatures in 2016. Our equity earnings in ATC and earnings at SWL&amp;P for the nine months ended September 30, 2016, were similar to the same period in 2015.</w:t>
      </w:r>
    </w:p>
    <w:p>
      <w:pPr>
        <w:spacing w:after="0" w:line="168"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net income attributable to ALLETE was $9.7 million for the nine months ended September 30, 2016, compared to $18.7 million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in 2015. Net income for 2015 included the recognition of $13.7 million after-tax estimated profit under percentage of completion accounting, for the construction of a wind energy facility which was sold to Montana-Dakota Utilities in the fourth quarter of 2015. In 2015, net income also included a $1.8 million after</w:t>
      </w:r>
      <w:r>
        <w:rPr>
          <w:rFonts w:ascii="MS PGothic" w:cs="MS PGothic" w:eastAsia="MS PGothic" w:hAnsi="MS PGothic"/>
          <w:sz w:val="17"/>
          <w:szCs w:val="17"/>
          <w:color w:val="auto"/>
        </w:rPr>
        <w:t>‑</w:t>
      </w:r>
      <w:r>
        <w:rPr>
          <w:rFonts w:ascii="Arial" w:cs="Arial" w:eastAsia="Arial" w:hAnsi="Arial"/>
          <w:sz w:val="17"/>
          <w:szCs w:val="17"/>
          <w:color w:val="auto"/>
        </w:rPr>
        <w:t>tax expense, or $0.04 per share, for acquisition costs related to the Chanarambie/Viking and Armenia Mountain wind energy facilities. The decrease in net income for 2016 was partially offset by income generated from the operations of wind energy facilities acquired in April and July 2015. Net income in 2016 also included a $0.9 million after-tax expense related to the repayment of long-term debt.</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income attributable to ALLETE was $2.0 million for the nine months ended September 30, 2016, compared to $1.5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from the date of acquisition, February 10, 2015, through September 30, 2015. Net income for 2015 included $1.6 million of after-tax expense recognized as cost of sales related to purchase accounting for inventories and sales backlog. Net income for 2016 reflects increased investments in back office systems and support at U.S. Water Services as we create a platform for future growth.</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loss attributable to ALLETE was $10.7 million for the nine months ended September 30, 2016, compared to $5.5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2015. In 2016, the net loss increased primarily due to the adverse regulatory outcome of an October 18, 2016, MPUC hearing on the allocation of North Dakota investment tax credits, higher interest expense and state income tax expense. The net loss for 2016 was partially offset by a $3.3 million after-tax gain for the sale of ALLETE Properties’ Ormond Crossings project and Lake Swamp mitigation bank. In 2015, the net loss included a $3.0 million after-tax expense for acquisition costs related to U.S. Water Services.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039"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QUARTERS ENDED SEPTEMBER 30, 2016, AND 2015</w:t>
            </w:r>
          </w:p>
        </w:tc>
        <w:tc>
          <w:tcPr>
            <w:tcW w:w="2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40" w:type="dxa"/>
            <w:vAlign w:val="bottom"/>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$253.3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w:t>
            </w:r>
          </w:p>
        </w:tc>
      </w:tr>
      <w:tr>
        <w:trPr>
          <w:trHeight w:val="243"/>
        </w:trPr>
        <w:tc>
          <w:tcPr>
            <w:tcW w:w="44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91.0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76.8</w:t>
            </w: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44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0.7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52.9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43"/>
        </w:trPr>
        <w:tc>
          <w:tcPr>
            <w:tcW w:w="44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38.5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40" w:type="dxa"/>
            <w:vAlign w:val="bottom"/>
          </w:tcPr>
          <w:p>
            <w:pPr>
              <w:spacing w:after="0"/>
              <w:rPr>
                <w:sz w:val="23"/>
                <w:szCs w:val="23"/>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37"/>
        </w:trPr>
        <w:tc>
          <w:tcPr>
            <w:tcW w:w="440" w:type="dxa"/>
            <w:vAlign w:val="bottom"/>
          </w:tcPr>
          <w:p>
            <w:pPr>
              <w:spacing w:after="0"/>
              <w:rPr>
                <w:sz w:val="20"/>
                <w:szCs w:val="20"/>
                <w:color w:val="auto"/>
              </w:rPr>
            </w:pPr>
          </w:p>
        </w:tc>
        <w:tc>
          <w:tcPr>
            <w:tcW w:w="7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42.3</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w:t>
            </w: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44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Equity Earnings in ATC</w:t>
            </w: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6.1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40" w:type="dxa"/>
            <w:vAlign w:val="bottom"/>
          </w:tcPr>
          <w:p>
            <w:pPr>
              <w:spacing w:after="0"/>
              <w:rPr>
                <w:sz w:val="23"/>
                <w:szCs w:val="23"/>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440" w:type="dxa"/>
            <w:vAlign w:val="bottom"/>
          </w:tcPr>
          <w:p>
            <w:pPr>
              <w:spacing w:after="0"/>
              <w:rPr>
                <w:sz w:val="20"/>
                <w:szCs w:val="20"/>
                <w:color w:val="auto"/>
              </w:rPr>
            </w:pPr>
          </w:p>
        </w:tc>
        <w:tc>
          <w:tcPr>
            <w:tcW w:w="7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Before Non-Controlling Interest and Income Taxes</w:t>
            </w:r>
          </w:p>
        </w:tc>
        <w:tc>
          <w:tcPr>
            <w:tcW w:w="2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36.0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w:t>
            </w:r>
          </w:p>
        </w:tc>
      </w:tr>
      <w:tr>
        <w:trPr>
          <w:trHeight w:val="27"/>
        </w:trPr>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40" w:type="dxa"/>
            <w:vAlign w:val="bottom"/>
          </w:tcPr>
          <w:p>
            <w:pPr>
              <w:spacing w:after="0"/>
              <w:rPr>
                <w:sz w:val="23"/>
                <w:szCs w:val="23"/>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37"/>
        </w:trPr>
        <w:tc>
          <w:tcPr>
            <w:tcW w:w="440" w:type="dxa"/>
            <w:vAlign w:val="bottom"/>
          </w:tcPr>
          <w:p>
            <w:pPr>
              <w:spacing w:after="0"/>
              <w:rPr>
                <w:sz w:val="20"/>
                <w:szCs w:val="20"/>
                <w:color w:val="auto"/>
              </w:rPr>
            </w:pPr>
          </w:p>
        </w:tc>
        <w:tc>
          <w:tcPr>
            <w:tcW w:w="7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Attributable to ALLETE</w:t>
            </w:r>
          </w:p>
        </w:tc>
        <w:tc>
          <w:tcPr>
            <w:tcW w:w="2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$45.0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r>
      <w:tr>
        <w:trPr>
          <w:trHeight w:val="27"/>
        </w:trPr>
        <w:tc>
          <w:tcPr>
            <w:tcW w:w="440" w:type="dxa"/>
            <w:vAlign w:val="bottom"/>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$3.1 million, or 1 percent, from 2015 primarily due to higher kWh sales, fuel adjustment clause recoveries, cost recovery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rider revenue, transmission revenue, financial incentives under the Minnesota conservation improvement program and FERC formula-based rates, partially offset by the adverse impact of a regulatory outcome related to the allocation of North Dakota investment tax credits.</w:t>
      </w:r>
    </w:p>
    <w:p>
      <w:pPr>
        <w:spacing w:after="0" w:line="16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increased $6.5 million primarily due to a 5.0 percent increase in kWh sales and higher pricing on our wholesale power sales agreements compared to last year. Sales to Other Power Suppliers are sold at market-based prices into the MISO market on a daily basis or through bilateral agreements of various durations, and increased 8.5 percent in 2016 compared to 2015 primarily as a result of more energy available for sale. Sales to our industrial customers increased 6.2 percent primarily due to the commencement of a long-term PPA with Silver Bay Power; however, demand revenue from our industrial customers was down in 2016 as a result of lower demand nominations during the quarter. (See Note 13. Commitments, Guarantees and Contingencies.)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250</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383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391</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1,633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1,538</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205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2,471</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2,388</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1,141</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1,052</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89</w:t>
            </w:r>
          </w:p>
        </w:tc>
        <w:tc>
          <w:tcPr>
            <w:tcW w:w="106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3,612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3,440</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0"/>
        </w:trPr>
        <w:tc>
          <w:tcPr>
            <w:tcW w:w="502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17 percent of consolidated operating revenue in 2016 (12 percent in 2015). Revenue from electric sales to paper, pulp and secondary wood product customers accounted for 5 percent of consolidated operating revenue in 2016 (5 percent in 2015). Revenue from electric sales to pipelines and other industrial customers accounted for 7 percent of consolidated operating revenue in 2016 (5 percent in 2015).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20"/>
          </w:cols>
          <w:pgMar w:left="240" w:top="364"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THE QUARTERS ENDED SEPTEMBER 30, 2016, AND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Fuel adjustment clause recoveries increased $6.5 million due to higher fuel and purchased power costs attributable to our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Cost recovery rider revenue increased $2.1 million primarily due to the completion of the Boswell Unit 4 environmental upgrade in the fourth quarter of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Transmission revenue increased $1.2 million primarily due to higher MISO-related revenue. (See </w:t>
      </w:r>
      <w:r>
        <w:rPr>
          <w:rFonts w:ascii="Arial" w:cs="Arial" w:eastAsia="Arial" w:hAnsi="Arial"/>
          <w:sz w:val="17"/>
          <w:szCs w:val="17"/>
          <w:i w:val="1"/>
          <w:iCs w:val="1"/>
          <w:color w:val="auto"/>
        </w:rPr>
        <w:t>Operating Expenses - Transmission Services.</w:t>
      </w:r>
      <w:r>
        <w:rPr>
          <w:rFonts w:ascii="Arial" w:cs="Arial" w:eastAsia="Arial" w:hAnsi="Arial"/>
          <w:sz w:val="17"/>
          <w:szCs w:val="17"/>
          <w:color w:val="auto"/>
        </w:rPr>
        <w: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incentives under the Minnesota conservation improvement program increased $1.2 million from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from our wholesale customers under formula-based rates increased $1.1 million primarily due to environmental and other investments.</w:t>
      </w:r>
    </w:p>
    <w:p>
      <w:pPr>
        <w:spacing w:after="0" w:line="2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decreased $15.0 million due to an adverse impact for the regulatory outcome of an October 18, 2016, MPUC hearing on the allocation of North Dakota investment tax credits. (See Note 6. Regulatory Matters.)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$20.6 million, or 11 percent, from 2015.</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increased $14.2 million, or 18 percent, from 2015 primarily due to higher fuel costs and kWh sales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2015. Fuel and purchased power expense related to our retail and municipal customers is recovered through the fuel adjustment clause.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$2.7 million, or 19 percent, from 2015 primarily due to higher MISO-related expense. (See</w:t>
      </w:r>
      <w:r>
        <w:rPr>
          <w:rFonts w:ascii="Arial" w:cs="Arial" w:eastAsia="Arial" w:hAnsi="Arial"/>
          <w:sz w:val="18"/>
          <w:szCs w:val="18"/>
          <w:i w:val="1"/>
          <w:iCs w:val="1"/>
          <w:color w:val="auto"/>
        </w:rPr>
        <w:t xml:space="preserve"> Operating Revenue.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$1.8 million, or 3 percent, from 2015 primarily due to lower salary and benefit expenses.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$4.9 million, or 15 percent, from 2015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$0.4 million, or 4 percent, from 2015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decreased $0.4 million, or 3 percent, from 2015 primarily due to lower average interest rates. We record interest expense for Regulated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based on Minnesota Power’s rate base and authorized capital structure, and allocate the balance to Corporate and Other.</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$0.6 million, or 11 percent, from 2015 primarily due to additional investment in ATC and period over period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ATC’s estimate of a refund liability related to MISO return on equity complaints.</w:t>
      </w:r>
    </w:p>
    <w:p>
      <w:pPr>
        <w:spacing w:after="0" w:line="17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$18.1 million from 2015 due to lower pre-tax income, higher production tax credits and the impact of accounting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adverse regulatory outcome relating to the allocation of prior period North Dakota investment tax credits. (See Note 6. Regulatory Matters.) To account for this outcome, our Regulated Operations reduced operating revenue and recorded a corresponding regulatory liability for $15.0 million during the third quarter of 2016. In addition, and to reflect proper segment reporting, our Regulated Operations recorded a tax benefit of $8.8 million and Corporate and Other recorded an offsetting $8.8 million tax expense.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04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QUARTERS ENDED SEPTEMBER 30, 2016, AND 2015 (Continued)</w:t>
            </w: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1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19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40" w:type="dxa"/>
            <w:vAlign w:val="bottom"/>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r>
      <w:tr>
        <w:trPr>
          <w:trHeight w:val="243"/>
        </w:trPr>
        <w:tc>
          <w:tcPr>
            <w:tcW w:w="440" w:type="dxa"/>
            <w:vAlign w:val="bottom"/>
          </w:tcPr>
          <w:p>
            <w:pPr>
              <w:spacing w:after="0"/>
              <w:rPr>
                <w:sz w:val="21"/>
                <w:szCs w:val="21"/>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440" w:type="dxa"/>
            <w:vAlign w:val="bottom"/>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$136.4 million from 2015. Operating revenue in 2015 included the recognition under percentage of completion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$135.9 million in revenue for the construction of a wind energy facility which was sold to Montana-Dakota Utilities in the fourth quarter of 2015.</w:t>
      </w:r>
    </w:p>
    <w:p>
      <w:pPr>
        <w:spacing w:after="0" w:line="133"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6"/>
              </w:rPr>
              <w:t>Quarter Ended 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86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2016</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kWh</w:t>
            </w: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42.2</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48.4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22.2</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31.5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17.4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45.3</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46.0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40.2</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Wind Energy Facilities</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197.1</w:t>
            </w:r>
          </w:p>
        </w:tc>
        <w:tc>
          <w:tcPr>
            <w:tcW w:w="15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14.7</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213.5</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Development Fee </w:t>
            </w:r>
            <w:r>
              <w:rPr>
                <w:rFonts w:ascii="Arial" w:cs="Arial" w:eastAsia="Arial" w:hAnsi="Arial"/>
                <w:sz w:val="16"/>
                <w:szCs w:val="16"/>
                <w:i w:val="1"/>
                <w:iCs w:val="1"/>
                <w:color w:val="auto"/>
              </w:rPr>
              <w:t>(a)</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Production and Operating Revenue</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197.1</w:t>
            </w:r>
          </w:p>
        </w:tc>
        <w:tc>
          <w:tcPr>
            <w:tcW w:w="1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$14.7</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213.5</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720" w:type="dxa"/>
            <w:vAlign w:val="bottom"/>
          </w:tcPr>
          <w:p>
            <w:pPr>
              <w:ind w:left="540"/>
              <w:spacing w:after="0"/>
              <w:rPr>
                <w:sz w:val="20"/>
                <w:szCs w:val="20"/>
                <w:color w:val="auto"/>
              </w:rPr>
            </w:pPr>
            <w:r>
              <w:rPr>
                <w:rFonts w:ascii="Arial" w:cs="Arial" w:eastAsia="Arial" w:hAnsi="Arial"/>
                <w:sz w:val="16"/>
                <w:szCs w:val="16"/>
                <w:i w:val="1"/>
                <w:iCs w:val="1"/>
                <w:color w:val="auto"/>
              </w:rPr>
              <w:t>(a)  2015 included the recognition of $114.9 million of cost of sales.</w:t>
            </w:r>
          </w:p>
        </w:tc>
        <w:tc>
          <w:tcPr>
            <w:tcW w:w="1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decreased $12.2 million, or 92 percent, from 2015. Net income for 2015 included the recognition under percentage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completion accounting of $12.3 million of after-tax estimated profit for the construction of a wind energy facility which was sold to Montana-Dakota Utilities in the fourth quarter of 2015. In 2015, net income also included a $0.9 million after-tax expense for acquisition costs related to the Armenia Mountain wind energy facility. Net income in 2016 included a $0.9 million after-tax expense related to the repayment of long-term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U.S. Water Services</w:t>
            </w:r>
          </w:p>
        </w:tc>
        <w:tc>
          <w:tcPr>
            <w:tcW w:w="4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6"/>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Quarter Ended September 30,</w:t>
            </w:r>
          </w:p>
        </w:tc>
        <w:tc>
          <w:tcPr>
            <w:tcW w:w="43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3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4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$37.8</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434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3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$1.7 million, or 5 percent, in 2016 compared with the same period in 2015. Revenue from chemical sales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which includes recurring revenue contracts for the delivery and service of chemicals, increased 11 percent to $31.1 million in 2016 compared to $27.8 million in 2015. Revenue from equipment and related services, which includes sales of water treatment equipment, was $6.7 million for 2016 compared to $8.3 million in 2015; equipment sales can fluctuate from quarter to quarter. U.S. Water Services strives to provide a full-service product offering to customers including equipment, chemicals, engineering and service.</w:t>
      </w:r>
    </w:p>
    <w:p>
      <w:pPr>
        <w:spacing w:after="0" w:line="18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$0.5 million from 2015. Net income in 2015 included higher cost of sales resulting from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fair value adjustments for inventories and sales backlog of $0.6 million. 2016 earnings also reflect increased investments in back office systems and support at U.S. Water Services as we create a platform for future growth.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COMPARISON OF THE QUARTERS ENDED SEPTEMBER 30, 2016, AND 2015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$18.7 million, or 75 percent, from 2015 primarily due to an increase in land sales at ALLETE Properties, which sold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Ormond Crossings project and Lake Swamp wetland mitigation bank in 2016. The increase was partially offset by a decrease in revenue at BNI Energy, which operates under cost-plus fixed fee contracts, as a result of lower expenses in 2016.</w:t>
      </w:r>
    </w:p>
    <w:p>
      <w:pPr>
        <w:spacing w:after="0" w:line="18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Net Income Attributable to ALLETE </w:t>
      </w:r>
      <w:r>
        <w:rPr>
          <w:rFonts w:ascii="Arial" w:cs="Arial" w:eastAsia="Arial" w:hAnsi="Arial"/>
          <w:sz w:val="17"/>
          <w:szCs w:val="17"/>
          <w:color w:val="auto"/>
        </w:rPr>
        <w:t>decreased $9.6 million from 2015 primarily due to an $8.8 million adverse impact for the regulatory outcome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October 18, 2016, MPUC hearing on the allocation of North Dakota investment tax credits (see Note 6. Regulatory Matters and </w:t>
      </w:r>
      <w:r>
        <w:rPr>
          <w:rFonts w:ascii="Arial" w:cs="Arial" w:eastAsia="Arial" w:hAnsi="Arial"/>
          <w:sz w:val="17"/>
          <w:szCs w:val="17"/>
          <w:i w:val="1"/>
          <w:iCs w:val="1"/>
          <w:color w:val="auto"/>
        </w:rPr>
        <w:t>Regulated Operations -</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 Expense</w:t>
      </w:r>
      <w:r>
        <w:rPr>
          <w:rFonts w:ascii="Arial" w:cs="Arial" w:eastAsia="Arial" w:hAnsi="Arial"/>
          <w:sz w:val="17"/>
          <w:szCs w:val="17"/>
          <w:color w:val="auto"/>
        </w:rPr>
        <w:t>), higher state income tax expense and lower net income at BNI Energy, partially offset by a $3.3 million after-tax gain at ALLETE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resulting from the sale of its Ormond Crossings project and Lake Swamp wetland mitigation bank.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quarter ended September 30, 2016, the effective tax rate was 4.0 percent (19.3 percent for the quarter ended September 30, 2015). The effective tax rate deviated from the combined statutory rate of approximately 41 percent primarily due to production tax credits. (See Note 9. Income Tax Expense.) The estimated annual effective tax rate can differ from what a quarterly effective tax rate would otherwise be on a stand-alone basis, and this may cause quarter to quarter differences in the timing of income taxes.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2016 AND 2015</w:t>
            </w:r>
          </w:p>
        </w:tc>
        <w:tc>
          <w:tcPr>
            <w:tcW w:w="2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420" w:type="dxa"/>
            <w:vAlign w:val="bottom"/>
          </w:tcPr>
          <w:p>
            <w:pPr>
              <w:spacing w:after="0"/>
              <w:rPr>
                <w:sz w:val="24"/>
                <w:szCs w:val="24"/>
                <w:color w:val="auto"/>
              </w:rPr>
            </w:pPr>
          </w:p>
        </w:tc>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3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$740.5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$743.0</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380" w:type="dxa"/>
            <w:vAlign w:val="bottom"/>
          </w:tcPr>
          <w:p>
            <w:pPr>
              <w:jc w:val="right"/>
              <w:ind w:right="250"/>
              <w:spacing w:after="0"/>
              <w:rPr>
                <w:sz w:val="20"/>
                <w:szCs w:val="20"/>
                <w:color w:val="auto"/>
              </w:rPr>
            </w:pPr>
            <w:r>
              <w:rPr>
                <w:rFonts w:ascii="Arial" w:cs="Arial" w:eastAsia="Arial" w:hAnsi="Arial"/>
                <w:sz w:val="18"/>
                <w:szCs w:val="18"/>
                <w:color w:val="auto"/>
              </w:rPr>
              <w:t>246.0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242.9</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49.5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380" w:type="dxa"/>
            <w:vAlign w:val="bottom"/>
          </w:tcPr>
          <w:p>
            <w:pPr>
              <w:jc w:val="right"/>
              <w:ind w:right="250"/>
              <w:spacing w:after="0"/>
              <w:rPr>
                <w:sz w:val="20"/>
                <w:szCs w:val="20"/>
                <w:color w:val="auto"/>
              </w:rPr>
            </w:pPr>
            <w:r>
              <w:rPr>
                <w:rFonts w:ascii="Arial" w:cs="Arial" w:eastAsia="Arial" w:hAnsi="Arial"/>
                <w:sz w:val="18"/>
                <w:szCs w:val="18"/>
                <w:color w:val="auto"/>
              </w:rPr>
              <w:t>4.6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157.0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380" w:type="dxa"/>
            <w:vAlign w:val="bottom"/>
          </w:tcPr>
          <w:p>
            <w:pPr>
              <w:jc w:val="right"/>
              <w:ind w:right="250"/>
              <w:spacing w:after="0"/>
              <w:rPr>
                <w:sz w:val="20"/>
                <w:szCs w:val="20"/>
                <w:color w:val="auto"/>
              </w:rPr>
            </w:pPr>
            <w:r>
              <w:rPr>
                <w:rFonts w:ascii="Arial" w:cs="Arial" w:eastAsia="Arial" w:hAnsi="Arial"/>
                <w:sz w:val="18"/>
                <w:szCs w:val="18"/>
                <w:color w:val="auto"/>
              </w:rPr>
              <w:t>115.1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99.4</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36.3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37"/>
        </w:trPr>
        <w:tc>
          <w:tcPr>
            <w:tcW w:w="420" w:type="dxa"/>
            <w:vAlign w:val="bottom"/>
          </w:tcPr>
          <w:p>
            <w:pPr>
              <w:spacing w:after="0"/>
              <w:rPr>
                <w:sz w:val="20"/>
                <w:szCs w:val="20"/>
                <w:color w:val="auto"/>
              </w:rPr>
            </w:pPr>
          </w:p>
        </w:tc>
        <w:tc>
          <w:tcPr>
            <w:tcW w:w="77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Operating Income</w:t>
            </w:r>
          </w:p>
        </w:tc>
        <w:tc>
          <w:tcPr>
            <w:tcW w:w="23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132.0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148.8</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(38.8)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4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Equity Earnings in ATC</w:t>
            </w:r>
          </w:p>
        </w:tc>
        <w:tc>
          <w:tcPr>
            <w:tcW w:w="2380" w:type="dxa"/>
            <w:vAlign w:val="bottom"/>
          </w:tcPr>
          <w:p>
            <w:pPr>
              <w:jc w:val="right"/>
              <w:ind w:right="250"/>
              <w:spacing w:after="0"/>
              <w:rPr>
                <w:sz w:val="20"/>
                <w:szCs w:val="20"/>
                <w:color w:val="auto"/>
              </w:rPr>
            </w:pPr>
            <w:r>
              <w:rPr>
                <w:rFonts w:ascii="Arial" w:cs="Arial" w:eastAsia="Arial" w:hAnsi="Arial"/>
                <w:sz w:val="18"/>
                <w:szCs w:val="18"/>
                <w:color w:val="auto"/>
              </w:rPr>
              <w:t>15.0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420" w:type="dxa"/>
            <w:vAlign w:val="bottom"/>
          </w:tcPr>
          <w:p>
            <w:pPr>
              <w:spacing w:after="0"/>
              <w:rPr>
                <w:sz w:val="20"/>
                <w:szCs w:val="20"/>
                <w:color w:val="auto"/>
              </w:rPr>
            </w:pPr>
          </w:p>
        </w:tc>
        <w:tc>
          <w:tcPr>
            <w:tcW w:w="77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Income Before Non-Controlling Interest and Income Taxes</w:t>
            </w:r>
          </w:p>
        </w:tc>
        <w:tc>
          <w:tcPr>
            <w:tcW w:w="23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110.0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124.6</w:t>
            </w:r>
          </w:p>
        </w:tc>
      </w:tr>
      <w:tr>
        <w:trPr>
          <w:trHeight w:val="27"/>
        </w:trPr>
        <w:tc>
          <w:tcPr>
            <w:tcW w:w="4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37"/>
        </w:trPr>
        <w:tc>
          <w:tcPr>
            <w:tcW w:w="420" w:type="dxa"/>
            <w:vAlign w:val="bottom"/>
          </w:tcPr>
          <w:p>
            <w:pPr>
              <w:spacing w:after="0"/>
              <w:rPr>
                <w:sz w:val="20"/>
                <w:szCs w:val="20"/>
                <w:color w:val="auto"/>
              </w:rPr>
            </w:pPr>
          </w:p>
        </w:tc>
        <w:tc>
          <w:tcPr>
            <w:tcW w:w="77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Income Attributable to ALLETE</w:t>
            </w:r>
          </w:p>
        </w:tc>
        <w:tc>
          <w:tcPr>
            <w:tcW w:w="2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$110.0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$108.1</w:t>
            </w:r>
          </w:p>
        </w:tc>
      </w:tr>
      <w:tr>
        <w:trPr>
          <w:trHeight w:val="27"/>
        </w:trPr>
        <w:tc>
          <w:tcPr>
            <w:tcW w:w="420" w:type="dxa"/>
            <w:vAlign w:val="bottom"/>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21" w:lineRule="exact"/>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$2.5 million from 2015 primarily due to the adverse impact of a regulatory outcome related to the allocation of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Dakota investment tax credits and lower fuel adjustment clause recoveries, conservation improvement program recoveries, and gas sales, partially offset by higher transmission revenue, cost recovery rider revenue, FERC formula</w:t>
      </w:r>
      <w:r>
        <w:rPr>
          <w:rFonts w:ascii="MS PGothic" w:cs="MS PGothic" w:eastAsia="MS PGothic" w:hAnsi="MS PGothic"/>
          <w:sz w:val="18"/>
          <w:szCs w:val="18"/>
          <w:color w:val="auto"/>
        </w:rPr>
        <w:t>‑</w:t>
      </w:r>
      <w:r>
        <w:rPr>
          <w:rFonts w:ascii="Arial" w:cs="Arial" w:eastAsia="Arial" w:hAnsi="Arial"/>
          <w:sz w:val="18"/>
          <w:szCs w:val="18"/>
          <w:color w:val="auto"/>
        </w:rPr>
        <w:t>based rates and kWh sales.</w:t>
      </w:r>
    </w:p>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decreased $15.0 million due to an adverse impact for the regulatory outcome of an October 18, 2016, MPUC hearing on the allocation of North Dakota investment tax credits. (See Note 6. Regulatory Matters.)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decreased $3.4 million due to lower fuel and purchased power costs attributable to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COMPARISON OF THE NINE MONTHS ENDED SEPTEMBER 30, 2016 AND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decreased $4.8 million from 2015 primarily due to a reduction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Revenue from gas sales at SWL&amp;P decreased $1.5 million from 2015 as a result of warmer temperatures in 2016 compared to the same period in 2015. (See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Transmission revenue increased $6.5 million primarily due to period over period changes in our estimate of a refund liability related to MISO return on equity complaints and higher MISO-related revenue. (See </w:t>
      </w:r>
      <w:r>
        <w:rPr>
          <w:rFonts w:ascii="Arial" w:cs="Arial" w:eastAsia="Arial" w:hAnsi="Arial"/>
          <w:sz w:val="18"/>
          <w:szCs w:val="18"/>
          <w:i w:val="1"/>
          <w:iCs w:val="1"/>
          <w:color w:val="auto"/>
        </w:rPr>
        <w:t>Operating Expenses - Transmission Services.</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Cost recovery rider revenue increased $6.1 million primarily due to the completion of the Boswell Unit 4 environmental upgrade in the fourth quarter of 2015.</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Revenue from our wholesale customers under formula-based rates increased $4.0 million primarily due to additional environmental and other investments.</w:t>
      </w:r>
    </w:p>
    <w:p>
      <w:pPr>
        <w:spacing w:after="0" w:line="170"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Despite relatively flat overall kWh sales, revenue increased $3.1 million from 2015 primarily due to higher pricing on our wholesale power sales agreements compared to last year and the commencement of a long-term PPA with Silver Bay Power. (See Note 13. Commitments, Guarantees and Contingencies.) Sales to our industrial customers decreased 6.4 percent primarily due to reduced taconite production. In addition, demand revenue from our industrial customers was down in 2016 as a result of lower demand nominations. Sales to our residential, commercial and municipal customers have been impacted by warmer temperatures in 2016 compared to the same period in 2015. Heating degree days in Duluth, Minnesota, were approximately 4 percent lower in the first nine months of 2016 compared to the same period in 2015.</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816</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833</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98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1,090</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1,106</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4,740</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5,063</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498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611</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629</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7,257</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7,631</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90"/>
              <w:spacing w:after="0"/>
              <w:rPr>
                <w:sz w:val="20"/>
                <w:szCs w:val="20"/>
                <w:color w:val="auto"/>
              </w:rPr>
            </w:pPr>
            <w:r>
              <w:rPr>
                <w:rFonts w:ascii="Arial" w:cs="Arial" w:eastAsia="Arial" w:hAnsi="Arial"/>
                <w:sz w:val="18"/>
                <w:szCs w:val="18"/>
                <w:color w:val="auto"/>
              </w:rPr>
              <w:t>3,456</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3,056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400</w:t>
            </w:r>
          </w:p>
        </w:tc>
        <w:tc>
          <w:tcPr>
            <w:tcW w:w="106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7"/>
        </w:trPr>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10,713</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10,687</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0"/>
        </w:trPr>
        <w:tc>
          <w:tcPr>
            <w:tcW w:w="49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17 percent of consolidated operating revenue in 2016 (17 percent in 2015). Revenue from electric sales to paper, pulp and secondary wood product customers accounted for 6 percent of consolidated operating revenue in 2016 (6 percent in 2015). Revenue from electric sales to pipelines and other industrial customers accounted for 7 percent of consolidated operating revenue in 2016 (6 percent in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$14.3 million, or 2 percent, from 2015.</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increased $3.1 million, or 1 percent, from 2015 primarily due to higher fuel and purchased power costs attributable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sales to Other Power Suppliers, partially offset by lower fuel and purchased power costs attributable to our retail and municipal customers in 2016 compared to 2015.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$9.4 million, or 23 percent, from 2015 primarily due to higher MISO-related expense and period over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in our estimate of a refund for MISO transmission expense related to MISO return on equity complaints. (See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Note 6. Regulatory Matters.)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20"/>
          </w:cols>
          <w:pgMar w:left="240" w:top="1040"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COMPARISON OF THE NINE MONTHS ENDED SEPTEMBER 30, 2016 AND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$1.4 million, or 23 percent, from 2015 due to lower purchased gas at SWL&amp;P. (See</w:t>
      </w:r>
      <w:r>
        <w:rPr>
          <w:rFonts w:ascii="Arial" w:cs="Arial" w:eastAsia="Arial" w:hAnsi="Arial"/>
          <w:sz w:val="18"/>
          <w:szCs w:val="18"/>
          <w:i w:val="1"/>
          <w:iCs w:val="1"/>
          <w:color w:val="auto"/>
        </w:rPr>
        <w:t xml:space="preserve"> Operating Revenue.</w:t>
      </w:r>
      <w:r>
        <w:rPr>
          <w:rFonts w:ascii="Arial" w:cs="Arial" w:eastAsia="Arial" w:hAnsi="Arial"/>
          <w:sz w:val="18"/>
          <w:szCs w:val="18"/>
          <w:color w:val="auto"/>
        </w:rPr>
        <w:t>)</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$14.2 million, or 8 percent, from 2015 primarily due to lower salary and benefit expenses, a $3.6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sales tax refund received in the first quarter of 2016, and a $4.8 million decrease in conservation improvement program expenses. Conservation improvement program expenses are recovered from certain retail customers.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$15.7 million, or 16 percent, from 2015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$1.7 million, or 5 percent, from 2015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decreased $2.1 million, or 5 percent, from 2015 primarily due to lower average interest rates. We record interest expense for Regulated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based on Minnesota Power’s rate base and authorized capital structure, and allocate the balance to Corporate and Other.</w:t>
      </w:r>
    </w:p>
    <w:p>
      <w:pPr>
        <w:spacing w:after="0" w:line="14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$0.9 million, or 6 percent, from 2015 primarily due to additional investment in ATC and period over period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ATC’s estimate of a refund liability related to MISO return on equity complaints.</w:t>
      </w:r>
    </w:p>
    <w:p>
      <w:pPr>
        <w:spacing w:after="0" w:line="17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$16.5 million from 2015 due to lower pre-tax income, higher production tax credits and the impact of accounting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adverse regulatory outcome relating to the allocation of prior period North Dakota investment tax credits. (See Note 6. Regulatory Matters.) To account for this outcome, our Regulated Operations reduced operating revenue and recorded a corresponding regulatory liability for $15.0 million during the third quarter of 2016. In addition, and to reflect proper segment reporting, our Regulated Operations recorded a tax benefit of $8.8 million and Corporate and Other recorded an offsetting $8.8 million tax expense.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6"/>
        </w:trPr>
        <w:tc>
          <w:tcPr>
            <w:tcW w:w="4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41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$57.1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r>
      <w:tr>
        <w:trPr>
          <w:trHeight w:val="243"/>
        </w:trPr>
        <w:tc>
          <w:tcPr>
            <w:tcW w:w="4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4100" w:type="dxa"/>
            <w:vAlign w:val="bottom"/>
          </w:tcPr>
          <w:p>
            <w:pPr>
              <w:jc w:val="right"/>
              <w:ind w:right="170"/>
              <w:spacing w:after="0"/>
              <w:rPr>
                <w:sz w:val="20"/>
                <w:szCs w:val="20"/>
                <w:color w:val="auto"/>
              </w:rPr>
            </w:pPr>
            <w:r>
              <w:rPr>
                <w:rFonts w:ascii="Arial" w:cs="Arial" w:eastAsia="Arial" w:hAnsi="Arial"/>
                <w:sz w:val="18"/>
                <w:szCs w:val="18"/>
                <w:color w:val="auto"/>
              </w:rPr>
              <w:t>$9.7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4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$140.4 million from 2015. Operating revenue in 2015 included the recognition under percentage of completion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$156.4 million in revenue for the construction of a wind energy facility which was sold to Montana-Dakota Utilities in the fourth quarter of 2015. The decrease in operating revenue was partially offset by revenue generated from the operations of wind energy facilities acquired in April and July 2015.</w:t>
      </w:r>
    </w:p>
    <w:p>
      <w:pPr>
        <w:spacing w:after="0" w:line="156"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42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Nine Months Ended 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kWh</w:t>
            </w: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w w:val="93"/>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175.7</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$9.1</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196.8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113.8</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7.5</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129.6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67.0</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55.1</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151.5</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8.4</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161.4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190.4</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9.5</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99.5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181.0</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16.9</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Wind Energy Facilities</w:t>
            </w:r>
          </w:p>
        </w:tc>
        <w:tc>
          <w:tcPr>
            <w:tcW w:w="16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879.4</w:t>
            </w:r>
          </w:p>
        </w:tc>
        <w:tc>
          <w:tcPr>
            <w:tcW w:w="12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57.1</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676.1</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Development Fee </w:t>
            </w:r>
            <w:r>
              <w:rPr>
                <w:rFonts w:ascii="Arial" w:cs="Arial" w:eastAsia="Arial" w:hAnsi="Arial"/>
                <w:sz w:val="16"/>
                <w:szCs w:val="16"/>
                <w:i w:val="1"/>
                <w:iCs w:val="1"/>
                <w:color w:val="auto"/>
              </w:rPr>
              <w:t>(a)</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6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879.4</w:t>
            </w:r>
          </w:p>
        </w:tc>
        <w:tc>
          <w:tcPr>
            <w:tcW w:w="12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$57.1</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676.1</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989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1"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i w:val="1"/>
          <w:iCs w:val="1"/>
          <w:color w:val="auto"/>
        </w:rPr>
        <w:t>(a)</w:t>
        <w:tab/>
        <w:t>2015 included the recognition of $132.9 million of cost of sales.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39"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20"/>
          </w:cols>
          <w:pgMar w:left="240" w:top="1039"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COMPARISON OF THE NINE MONTHS ENDED SEPTEMBER 30, 2016 AND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decreased $9.0 million from 2015. Net income for 2015 included the recognition under percentage of completion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of $13.7 million of after-tax estimated profit for the construction of a wind energy facility which was sold to Montana-Dakota Utilities in the fourth quarter of 2015. In 2015, net income also included a $1.8 million after-tax expense for acquisition costs related to the Chanarambie/Viking and Armenia Mountain wind energy facilities. The decrease in net income for 2016 was partially offset by income generated from the operations of wind energy facilities acquired in April and July 2015. Net income in 2016 also included a $0.9 million after-tax expense related to the repayment of long-term debt.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46"/>
        </w:trPr>
        <w:tc>
          <w:tcPr>
            <w:tcW w:w="7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40" w:type="dxa"/>
            <w:vAlign w:val="bottom"/>
          </w:tcPr>
          <w:p>
            <w:pPr>
              <w:jc w:val="right"/>
              <w:ind w:right="210"/>
              <w:spacing w:after="0"/>
              <w:rPr>
                <w:sz w:val="20"/>
                <w:szCs w:val="20"/>
                <w:color w:val="auto"/>
              </w:rPr>
            </w:pPr>
            <w:r>
              <w:rPr>
                <w:rFonts w:ascii="Arial" w:cs="Arial" w:eastAsia="Arial" w:hAnsi="Arial"/>
                <w:sz w:val="18"/>
                <w:szCs w:val="18"/>
                <w:b w:val="1"/>
                <w:bCs w:val="1"/>
                <w:color w:val="auto"/>
              </w:rPr>
              <w:t>Nine Months Ended</w:t>
            </w:r>
          </w:p>
        </w:tc>
        <w:tc>
          <w:tcPr>
            <w:tcW w:w="2560" w:type="dxa"/>
            <w:vAlign w:val="bottom"/>
          </w:tcPr>
          <w:p>
            <w:pPr>
              <w:jc w:val="right"/>
              <w:ind w:right="10"/>
              <w:spacing w:after="0"/>
              <w:rPr>
                <w:sz w:val="20"/>
                <w:szCs w:val="20"/>
                <w:color w:val="auto"/>
              </w:rPr>
            </w:pPr>
            <w:r>
              <w:rPr>
                <w:rFonts w:ascii="Arial" w:cs="Arial" w:eastAsia="Arial" w:hAnsi="Arial"/>
                <w:sz w:val="18"/>
                <w:szCs w:val="18"/>
                <w:b w:val="1"/>
                <w:bCs w:val="1"/>
                <w:color w:val="auto"/>
              </w:rPr>
              <w:t>Period February 10, 2015</w:t>
            </w:r>
          </w:p>
        </w:tc>
      </w:tr>
      <w:tr>
        <w:trPr>
          <w:trHeight w:val="270"/>
        </w:trPr>
        <w:tc>
          <w:tcPr>
            <w:tcW w:w="7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64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 2016</w:t>
            </w:r>
          </w:p>
        </w:tc>
        <w:tc>
          <w:tcPr>
            <w:tcW w:w="256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Through September 30, 2015</w:t>
            </w:r>
          </w:p>
        </w:tc>
      </w:tr>
      <w:tr>
        <w:trPr>
          <w:trHeight w:val="27"/>
        </w:trPr>
        <w:tc>
          <w:tcPr>
            <w:tcW w:w="72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4"/>
        </w:trPr>
        <w:tc>
          <w:tcPr>
            <w:tcW w:w="72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36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r>
      <w:tr>
        <w:trPr>
          <w:trHeight w:val="243"/>
        </w:trPr>
        <w:tc>
          <w:tcPr>
            <w:tcW w:w="720" w:type="dxa"/>
            <w:vAlign w:val="bottom"/>
          </w:tcPr>
          <w:p>
            <w:pPr>
              <w:spacing w:after="0"/>
              <w:rPr>
                <w:sz w:val="21"/>
                <w:szCs w:val="21"/>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3640" w:type="dxa"/>
            <w:vAlign w:val="bottom"/>
          </w:tcPr>
          <w:p>
            <w:pPr>
              <w:jc w:val="right"/>
              <w:ind w:right="210"/>
              <w:spacing w:after="0"/>
              <w:rPr>
                <w:sz w:val="20"/>
                <w:szCs w:val="20"/>
                <w:color w:val="auto"/>
              </w:rPr>
            </w:pPr>
            <w:r>
              <w:rPr>
                <w:rFonts w:ascii="Arial" w:cs="Arial" w:eastAsia="Arial" w:hAnsi="Arial"/>
                <w:sz w:val="18"/>
                <w:szCs w:val="18"/>
                <w:color w:val="auto"/>
              </w:rPr>
              <w:t>$104.5</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7"/>
        </w:trPr>
        <w:tc>
          <w:tcPr>
            <w:tcW w:w="7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3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2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$18.5 million in 2016 compared to the period from February 10, 2015, to September 30, 2015. The results for 2015 reflect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from the date of acquisition, February 10, 2015, through September 30, 2015, and therefore, do not reflect a full nine months. Revenue from chemical sales and related services, which includes recurring revenue contracts for the delivery and service of chemicals, was $84.3 million in 2016 compared to $66.6 million in 2015. Revenue from equipment and related services, which includes sales of water treatment equipment, was $20.2 million for 2016 compared to $19.4 million in 2015; equipment sales can fluctuate from quarter to quarter. U.S. Water Services strives to provide a full-service product offering to customers including equipment, chemicals, engineering and service.</w:t>
      </w:r>
    </w:p>
    <w:p>
      <w:pPr>
        <w:spacing w:after="0" w:line="17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increased $0.5 million for the nine months ended September 30, 2016, compared to the period from February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to September 30, 2015. U.S. Water Services sells certain products which are seasonal in nature, with higher demand typically realized in warmer months. The results for 2015 reflect operations from the date of acquisition, February 10, 2015, through September 30, 2015, and therefore do not reflect a full nine months. Net income for the nine months ended September 30, 2016 included $0.3 million of after-tax expense recognized as cost of sales related to fair value adjustments for inventories and sales backlog resulting from purchase accounting ($1.6 million after-tax for the period from February 10, 2015, through September 30, 2015); these purchase accounting adjustments were fully recognized as of March 31, 2016. 2016 earnings also reflect increased investments in back office systems and support at U.S. Water Services as we create a platform for future growth.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$16.8 million, or 21 percent, from 2015 primarily due to an increase in land sales at ALLETE Properties, which sold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Ormond Crossings project and Lake Swamp wetland mitigation bank in 2016. The increase was partially offset by a decrease in revenue at BNI Energy, which operates under cost-plus fixed fee contracts, as a result of lower expenses in 2016.</w:t>
      </w:r>
    </w:p>
    <w:p>
      <w:pPr>
        <w:spacing w:after="0" w:line="18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b w:val="1"/>
          <w:bCs w:val="1"/>
          <w:i w:val="1"/>
          <w:iCs w:val="1"/>
          <w:color w:val="auto"/>
        </w:rPr>
        <w:t xml:space="preserve">Net Loss Attributable to ALLETE </w:t>
      </w:r>
      <w:r>
        <w:rPr>
          <w:rFonts w:ascii="Arial" w:cs="Arial" w:eastAsia="Arial" w:hAnsi="Arial"/>
          <w:sz w:val="17"/>
          <w:szCs w:val="17"/>
          <w:color w:val="auto"/>
        </w:rPr>
        <w:t>increased $5.2 million from 2015 primarily due to an $8.8 million adverse impact for the regulatory outcome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October 18, 2016, MPUC hearing on the allocation of North Dakota investment tax credits (see Note 6. Regulatory Matters and </w:t>
      </w:r>
      <w:r>
        <w:rPr>
          <w:rFonts w:ascii="Arial" w:cs="Arial" w:eastAsia="Arial" w:hAnsi="Arial"/>
          <w:sz w:val="17"/>
          <w:szCs w:val="17"/>
          <w:i w:val="1"/>
          <w:iCs w:val="1"/>
          <w:color w:val="auto"/>
        </w:rPr>
        <w:t>Regulated Operations -</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 Expense</w:t>
      </w:r>
      <w:r>
        <w:rPr>
          <w:rFonts w:ascii="Arial" w:cs="Arial" w:eastAsia="Arial" w:hAnsi="Arial"/>
          <w:sz w:val="17"/>
          <w:szCs w:val="17"/>
          <w:color w:val="auto"/>
        </w:rPr>
        <w:t>), and higher interest expense and state income tax expense, partially offset by a $3.3 million after-tax gain at ALLETE Properties</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the sale of its Ormond Crossings project and Lake Swamp wetland mitigation bank and a $3.0 million after-tax expense in 2015 for acquisition costs related to U.S. Water Services. Net income at BNI Energy increased to $5.4 million in 2016 compared to $5.3 million in 2015, and net income at ALLETE Properties increased to $1.1 million in 2016 compared to a net loss of $2.9 million in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nine months ended September 30, 2016, the effective tax rate was 12.3 percent (18.0 percent for the nine months ended September 30, 2015). The effective rate deviated from the combined statutory rate of approximately 41 percent primarily due to production tax credits. (See Note 9. Income Tax Expense.)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104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taxation and valuation of goodwill and intangible assets. These policies are reviewed with the Audit Committee of our Board of Directors on a regular basis and summarized in Part II, Item 7. Management’s Discussion and Analysis of Financial Condition and Results of Operations of our 2015 Form 10-K.</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2015 Form 10-K.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average annual earnings per share growth of a minimum of five percent and providing a dividend payout competitive with our industry.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Regulated Operations to be approximately 85 percent to 90 percent of total consolidated net income in 2016.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7"/>
          <w:szCs w:val="17"/>
          <w:i w:val="1"/>
          <w:iCs w:val="1"/>
          <w:color w:val="auto"/>
        </w:rPr>
        <w:t>EnergyForward.</w:t>
      </w:r>
      <w:r>
        <w:rPr>
          <w:rFonts w:ascii="Arial" w:cs="Arial" w:eastAsia="Arial" w:hAnsi="Arial"/>
          <w:sz w:val="17"/>
          <w:szCs w:val="17"/>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regulators to earn a fair rate of return. We project that Minnesota Power will not earn its allowed rate of return in 2016.</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Regulatory Matters. </w:t>
      </w:r>
      <w:r>
        <w:rPr>
          <w:rFonts w:ascii="Arial" w:cs="Arial" w:eastAsia="Arial" w:hAnsi="Arial"/>
          <w:sz w:val="17"/>
          <w:szCs w:val="17"/>
          <w:color w:val="auto"/>
        </w:rPr>
        <w:t>Entities within our Regulated Operations segment are under the jurisdiction of the MPUC, the FERC, the PSCW or the NDPSC.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 6. Regulatory Matters for discussion of regulatory matters within our Minnesota, FERC, Wisconsin, and North Dakota jurisdictions.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2016 Minnesota Rate Case. </w:t>
      </w:r>
      <w:r>
        <w:rPr>
          <w:rFonts w:ascii="Arial" w:cs="Arial" w:eastAsia="Arial" w:hAnsi="Arial"/>
          <w:sz w:val="17"/>
          <w:szCs w:val="17"/>
          <w:color w:val="auto"/>
        </w:rPr>
        <w:t>On November 2, 2016, Minnesota Power filed a retail rate increase request with the MPUC seeking an average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 percent for retail customers. The rate filing seeks a return on equity of 10.25 percent, and a capital structure consisting of 53.8 percent equity and 46.2 percent debt. On an annualized basis, the requested rate increase would generate approximately $55 million in additional revenue. Once the filing is accepted as complete, interim rates of approximately $49 million are expected to be implemented within 60 days, subject to MPUC adjustment and authorization. We cannot predict the level of interim or final rates that may be authorized by the MPUC.</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2016 Wisconsin Rate Case. </w:t>
      </w:r>
      <w:r>
        <w:rPr>
          <w:rFonts w:ascii="Arial" w:cs="Arial" w:eastAsia="Arial" w:hAnsi="Arial"/>
          <w:sz w:val="16"/>
          <w:szCs w:val="16"/>
          <w:color w:val="auto"/>
        </w:rPr>
        <w:t>SWL&amp;P’s current retail rates are based on a 2012 PSCW retail rate order that allows for a 10.9 percent return on common equity.</w:t>
      </w:r>
      <w:r>
        <w:rPr>
          <w:rFonts w:ascii="Arial" w:cs="Arial" w:eastAsia="Arial" w:hAnsi="Arial"/>
          <w:sz w:val="16"/>
          <w:szCs w:val="16"/>
          <w:i w:val="1"/>
          <w:iCs w:val="1"/>
          <w:color w:val="auto"/>
        </w:rPr>
        <w:t xml:space="preserve"> </w:t>
      </w:r>
      <w:r>
        <w:rPr>
          <w:rFonts w:ascii="Arial" w:cs="Arial" w:eastAsia="Arial" w:hAnsi="Arial"/>
          <w:sz w:val="16"/>
          <w:szCs w:val="16"/>
          <w:color w:val="auto"/>
        </w:rPr>
        <w:t>On June 28, 2016, SWL&amp;P filed a rate increase request with the PSCW requesting an average overall increase of 3.1 percent for retail customers (a 3.5 percent increase in electric rates, a 1.3 percent decrease in natural gas rates and a 7.8 percent increase in water rates). The rate filing seeks an overall return on equity of 10.9 percent, based on a capital structure consisting of approximately 55 percent equity and 45 percent debt. On an annualized basis, the requested rate increase would generate approximately $2.7 million in additional revenue. Hearings are expected to be scheduled in late 2016. The Company anticipates new rates will take effect during the first quarter of 2017. We cannot predict the level of rates that may be approved by the PSCW.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104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industries. Approximately 41 percent of our regulated utility kWh sales in the nine months ended September 30, 2016 (44 percent in the nine months ended September 30, 2015) were made to our industrial customers in these industries.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72 percent of capacity during the first nine months of 2016 compared to 73 percent in the first nine months of 2015. Many steel producers reduced production in 2015, citing higher levels of imports and lower prices. Some Minnesota taconite and iron concentrate producers reduced production in 2015 in response to declining U.S. steel production. The World Steel Association, an association of over 150 steel producers, national and regional steel industry associations, and steel research institutes representing approximately 85 percent of world steel production, projected U.S. steel consumption in 2016 will be consistent with 2015. There is a natural lag between U.S. steel consumption and Minnesota taconite production. The high level of imports and lower prices in 2015 continue to impact Minnesota taconite production in 2016. In 2015, petitions regarding unfairly traded cold-rolled, hot-rolled and corrosion-resistant steel products were filed by domestic steel producers with the U.S. Department of Commerce and U.S. International Trade Commission resulting in countervailing duty and antidumping investigations. The U.S. Department of Commerce has since made final affirmative determinations in these investigations. The U.S. International Trade Commission has also made affirmative rulings concluding the investigations. As a result of the affirmative determinations, cash deposits are collected on these products when imported from certain countries. According to the U.S. Census Bureau, August 2016 year-to-date imports for consumption of steel products are down approximately 22 percent compared to August 2015 year-to-date imports.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$0.03, net of expected power marketing sales at current prices. Changes in wholesale electric prices or customer contractual demand nominations could impact this estimate. Long-term reductions in taconite production or a permanent shut down of a taconite customer may lead Minnesota Power to file a rate case to recover lost revenue.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Power’s Large Power taconite customers, subject to demand nomination requirements, nominate demand levels for their energy needs each December, March, and August for four-month periods. Based on nominations received on July 29, 2016, Minnesota Power’s Large Power taconite customers nominated at approximately 90 percent of full demand levels for September through December of 2016.</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proactively sells power that is temporarily not required by industrial customers in the wholesale power markets to optimize the value of its generating facilities. Minnesota Power has remarketed a significant portion of the power not expected to be taken by the idled taconite facilities and is well positioned to serve the power needs for those facilities in the event they resume production sooner than currently indicated.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color w:val="auto"/>
        </w:rPr>
        <w:t>. In the second quarter of 2015, USS Corporation temporarily idled its Minnesota Ore Operations - Keetac plant in Keewatin,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and a portion of its Minnesota Ore Operations - Minntac plant in Mountain Iron, Minnesota. These actions were due to high inventory levels and ongoing adjustment of its steel producing operations throughout North America. Global influences in the market, including a higher level of imports, unfairly traded products and reduced steel prices, were cited as having an impact. In the third quarter of 2015, USS Corporation returned its Minntac plant to full production. USS Corporation’s Keetac plant remains idled. Both facilities are Large Power Customers of Minnesota Power. USS Corporation has the capability to produce approximately 5 million tons and 15 million tons of taconite annually at its Keetac and Minntac plants, respectively. On September 30, 2016, Minnesota Power extended its electric service agreement with USS Corporation through 2021 at USS Corporation’s Minntac and Keetac plants, subject to regulatory approval.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20"/>
          </w:cols>
          <w:pgMar w:left="240" w:top="104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Magnetation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May 2015, Magnetation announced that it had filed voluntary petitions for reorganization under Chapter 11 of the Bankruptcy Code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Bankruptcy Court for the District of Minnesota, citing the significant decrease in global iron ore prices and its existing capital structure. On October 6, 2016, the bankruptcy court approved plans to idle Magnetation’s Plant 4 facility near Grand Rapids, Minnesota, and its pellet plant in Reynolds, Indiana, as well as terminate Magnetation’s pellet purchase agreement with A.K. Steel Corporation. The company subsequently idled the facilities and stated it is preserving the plants and their value for a potential buyer. Although, we cannot predict whether the facilities will be purchased and restarted, Minnesota Power would serve a buyer of the facilities by entering into a new electric service agreement or through the buyer assuming the existing electric service agreement with Magnetation.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United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In August 2016, Cliffs restarted operations at its United Taconite plant in Eveleth, Minnesota, following the announcements of Cliffs’ 10-year supply agreement with a major steel customer and additional business contracted with another customer in June 2016. Cliffs also held a groundbreaking ceremony at United Taconite in August 2016 to commence construction on its approximately $65 million project to produce a fully fluxed taconite pellet. The new pellet will replace a flux pellet made at Cliffs’ indefinitely idled Empire operation in Michigan. United Taconite has the capability to produce approximately 5 million tons of taconite annually. On May 23, 2016, Minnesota Power extended its electric service agreements with Cliffs for 10 years at Cliffs' United Taconite and Babbitt facilities.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Silver Bay Power</w:t>
      </w:r>
      <w:r>
        <w:rPr>
          <w:rFonts w:ascii="Arial" w:cs="Arial" w:eastAsia="Arial" w:hAnsi="Arial"/>
          <w:sz w:val="18"/>
          <w:szCs w:val="18"/>
          <w:i w:val="1"/>
          <w:iCs w:val="1"/>
          <w:color w:val="auto"/>
        </w:rPr>
        <w:t xml:space="preserve">. </w:t>
      </w:r>
      <w:r>
        <w:rPr>
          <w:rFonts w:ascii="Arial" w:cs="Arial" w:eastAsia="Arial" w:hAnsi="Arial"/>
          <w:sz w:val="18"/>
          <w:szCs w:val="18"/>
          <w:color w:val="auto"/>
        </w:rPr>
        <w:t>On May 23, 2016, Minnesota Power entered into multiple agreements with Cliffs and its subsidiaries. Under one of the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paid $31.0 million in cash as part of a long-term power sales agreement through 2031 between Minnesota Power and Silver Bay Power. Silver Bay Power provides the majority of the electric service requirements for Northshore Mining, which has the capability to produce approximately 6 million tons of taconite annually. (See Note 13. Commitments, Guarantees and Contingencies.)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Nashwauk Public Utilities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8, 2016, Minnesota Governor Dayton instructed the Minnesota Department of Natural Resources to</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Essar’s mineral lease agreements with the state. Minnesota Governor Dayton stated that Essar failed to pay full amounts owed to Minnesota contractors, fulfill its obligations under the mineral lease agreements, and demonstrate the ability to carry its current construction project through to completion, or provide reliable assurances that it will be able to do so in the foreseeable future.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Essar filed for bankruptcy protection on July 8, 2016, under Chapter 11 of the Bankruptcy Code in the United States Bankruptcy Court for the District of Delaware. In its filings Essar stated that it has arranged funding sources and intends to continue its project in Minnesota post-bankruptcy. Essar is a retail customer of the Nashwauk Public Utilities Commission, and Minnesota Power has a wholesale electric sales agreement with the Nashwauk Public Utilities Commission for electric service through at least June 2028. Essar also makes ongoing payments to Minnesota Power for electric transmission infrastructure costs. Essar’s pre-petition debt to Minnesota Power is not material.</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Essar reached an agreement after its bankruptcy filing that continued Essar’s obligation under its agreements with the Nashwauk Public Utilities Commission and Minnesota Power. On September 8, 2016, the bankruptcy court approved the agreement, which allowed the existing agreement between Minnesota Power and Essar to remain in place through at least March 31, 2017, and allowed Minnesota Power to draw down Essar’s cash deposit account to satisfy monthly take or pay commitments in full through December 2016, and in partial through March 31, 2017, at which point Essar will propose to reject, assume or modify the agreements with the Nashwauk Public Utilities Commission and Minnesota Power.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104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PolyMet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has a long-term contract with PolyMet, which is planning to start a new copper-nickel and precious metal (non-ferrous) mining</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in northeastern Minnesota. In November 2015, PolyMet announced the completion of the final EIS by state and federal agencies, which was subsequently published in the Federal Register and Minnesota Environmental Quality Board Monitor. The Minnesota Department of Natural Resources (DNR) issued its Record of Decision on March 3, 2016, finding the final EIS adequate. The 30-day period allowed by law to challenge the Record of Decision passed without any legal challenges being filed. On July 11, 2016, PolyMet submitted applications for water-related permits with the State of Minnesota, and on August 24, 2016, an application for an air quality permit was submitted to the Minnesota Pollution Control Agency. On November 3, 2016, PolyMet submitted a state permit to mine application to the DNR detailing its operational plans for the mine. The remaining state permit applications are expected to be submitted in 2016. The final EIS also requires Records of Decision by the federal agencies, which are expected in 2016, before final action can be taken on the required federal permits to construct and operate the mining operation. Minnesota Power could supply between 45 MW and 50 MW of load under a ten-year power supply contract that would begin upon start-up of the mining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Enbridge</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contract with Enbridge that extends through December 31, 2020. Enbridge owns and operates a crude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liquids transportation system in North America including in our service territories. Enbridge recently completed an expansion at two pumping stations located in Minnesota Power’s service territory in Deer River and Floodwood, Minnesota resulting in load growth of approximately 15 MW. On September 1, 2016, Enbridge announced it was withdrawing regulatory applications for its Sandpiper pipeline project which would have connected its Beaver Lodge Station, near Tioga, North Dakota, to an existing terminal in Superior, Wisconsin.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2013, Minnesota Power announced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improving environmental performance. The plan includes completed and planned investments in wind and hydroelectric power, the addition of natural gas as a generation fuel source, and the installation of emissions control technology. Significant elements of the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include:</w:t>
      </w:r>
    </w:p>
    <w:p>
      <w:pPr>
        <w:spacing w:after="0" w:line="166"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The Bison Wind Energy Center added 205 MW of capacity in 2014, bringing total capacity to 497 MW.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installation of emissions control technology at Boswell Unit 4 completed in December 2015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which was completed in June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Retirement of Taconite Harbor Unit 3, one of three coal-fired units at Taconite Harbor, which was retired in May 2015.</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July 2015, Minnesota Power announced the next steps in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plan, which will reduce carbon emissions, increase the use of renewable resources and add natural gas to meet customer electric service needs in a balanced, reliable and cost-effective way. Significant additional elements of the plan include:</w:t>
      </w:r>
    </w:p>
    <w:p>
      <w:pPr>
        <w:spacing w:after="0" w:line="181" w:lineRule="exact"/>
        <w:rPr>
          <w:sz w:val="20"/>
          <w:szCs w:val="20"/>
          <w:color w:val="auto"/>
        </w:rPr>
      </w:pPr>
    </w:p>
    <w:p>
      <w:pPr>
        <w:ind w:left="660" w:right="2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idling of Taconite Harbor Units 1 and 2 which was completed there in September 2016 and the ceasing of coal-fired operations there in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Adding between 200 MW and 300 MW of cleaner and flexible natural gas-fired generation to Minnesota Power’s portfolio within the next decade.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Building both large and small scale solar generation.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the potential for additional energy efficiency savings.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104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Integrated Resource Plan (IRP). </w:t>
      </w:r>
      <w:r>
        <w:rPr>
          <w:rFonts w:ascii="Arial" w:cs="Arial" w:eastAsia="Arial" w:hAnsi="Arial"/>
          <w:sz w:val="16"/>
          <w:szCs w:val="16"/>
          <w:color w:val="auto"/>
        </w:rPr>
        <w:t>In a November 2013 order, the MPUC approved Minnesota Power’s 2013 IRP which detailed elements of its</w:t>
      </w:r>
      <w:r>
        <w:rPr>
          <w:rFonts w:ascii="Arial" w:cs="Arial" w:eastAsia="Arial" w:hAnsi="Arial"/>
          <w:sz w:val="16"/>
          <w:szCs w:val="16"/>
          <w:i w:val="1"/>
          <w:iCs w:val="1"/>
          <w:color w:val="auto"/>
        </w:rPr>
        <w:t xml:space="preserve"> EnergyForward </w:t>
      </w:r>
      <w:r>
        <w:rPr>
          <w:rFonts w:ascii="Arial" w:cs="Arial" w:eastAsia="Arial" w:hAnsi="Arial"/>
          <w:sz w:val="16"/>
          <w:szCs w:val="16"/>
          <w:color w:val="auto"/>
        </w:rPr>
        <w:t xml:space="preserve">strategic plan, announced in January 2013. In September 2015, Minnesota Power filed its 2015 IRP with the MPUC which contained the next steps in its </w:t>
      </w:r>
      <w:r>
        <w:rPr>
          <w:rFonts w:ascii="Arial" w:cs="Arial" w:eastAsia="Arial" w:hAnsi="Arial"/>
          <w:sz w:val="16"/>
          <w:szCs w:val="16"/>
          <w:i w:val="1"/>
          <w:iCs w:val="1"/>
          <w:color w:val="auto"/>
        </w:rPr>
        <w:t xml:space="preserve">EnergyForward </w:t>
      </w:r>
      <w:r>
        <w:rPr>
          <w:rFonts w:ascii="Arial" w:cs="Arial" w:eastAsia="Arial" w:hAnsi="Arial"/>
          <w:sz w:val="16"/>
          <w:szCs w:val="16"/>
          <w:color w:val="auto"/>
        </w:rPr>
        <w:t>strategic plan, and included an analysis of a variety of existing and future energy resource alternatives and a projection of customer cost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impact by class. In an order dated July 18, 2016, the MPUC approved Minnesota Power’s 2015 IRP with modifications. The order accepts Minnesota Power’s plans for Taconite Harbor, directs Minnesota Power to retire Boswell Units 1 and 2 no later than 2022, requires an analysis of generation and demand response alternatives to be filed with a natural gas resource proposal and requires Minnesota Power to conduct request for proposals for additional wind, solar and demand response resource additions subject to further MPUC approvals. On October 19, 2016, Minnesota Power announced that Boswell Units 1 and 2 will be retired in 2018 as the latest step in its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strategic plan. Minnesota Power’s next IRP must be filed by February 1, 2018.</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In February 2007, Minnesota enacted a law requiring 25 percent of electric utilities’ applicable retail and municipal energy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Minnesota to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Power’s 2015 IRP, which was filed with the MPUC in September 2015 and approved with modifications by the MPUC in an order dated July 18, 2016, includes an update on its plans and progress in meeting the Minnesota renewable energy milestones through 2025. (See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it meets the identified state mandate at the lowest cost for customers. Minnesota Power has exceeded the interim milestone requirements to date and expects approximately 30 percent of its applicable retail and municipal energy sales will be supplied by renewable energy sources in 2016.</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u w:val="single" w:color="auto"/>
          <w:color w:val="auto"/>
        </w:rPr>
        <w:t>Minnesota Solar Energy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In 2013, legislation was enacted by the state of Minnesota requiring at least 1.5 percent of total retail electric sales,</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sales to certain customers, to be generated by solar energy by the end of 2020. At least 10 percent of the 1.5 percent mandate must be met by solar energy generated by or procured from solar photovoltaic devices with a nameplate capacity of 20 kW or less. Minnesota Power has two solar projects under development. In August 2015, Minnesota Power filed for MPUC approval of a 10 MW utility scale solar project at Camp Ripley, a Minnesota Army National Guard base and training facility near Little Falls, Minnesota. In an order dated February 24, 2016, the MPUC approved the Camp Ripley solar project as eligible to meet the solar energy standard and for current cost recovery, subject to certain compliance requirements. In September 2015, Minnesota Power filed for MPUC approval of a community solar garden project in Duluth, Minnesota, which is comprised of a 1 MW solar array to be owned and operated by a third party with the output purchased by Minnesota Power and a 40 kW solar array that will be owned and operated by Minnesota Power. In an order dated July 27, 2016, the MPUC approved the community solar garden project and cost recovery, subject to certain compliance requirements. Minnesota Power believes these projects will meet approximately one-third of the overall mandate. Additionally, on June 1, 2016, Minnesota Power filed a proposal with the MPUC to increase the amount of solar rebates available for customer-sited solar installations and recover costs of the program through Minnesota Power’s renewable cost recovery rider. If approved, the Minnesota Power projects would meet part of the mandate related to solar photovoltaic devices with a nameplate capacity of 20 kW or less.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the 497 MW Bison Wind Energy Center located in North Dakota, and the 25 MW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Ridge Energy Center located in northeastern Minnesota. Minnesota Power also has two long-term wind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generation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Updated customer billing rates for the renewable cost recovery rider, which includes investments and expenditures related to the Bison Wind Energy Center, were approved by the MPUC in an order dated March 9, 2016, allowing Minnesota Power to charge retail customers on a current basis for the costs of constructing certain renewable investments plus a return on the capital invested. While approving the updated customer billing rates for the renewable cost recovery rider, the MPUC also allowed Minnesota Power additional time to submit support for its position on its utilization of North Dakota investment tax credits.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40" w:top="104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Energy (Continued)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Minnesota Power accounts for North Dakota investment tax credits based on long-standing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has recorded a regulatory liability for North Dakota investment tax credits generated by its jurisdictional activity and expected to be realized in the future. North Dakota investment tax credits attributable to ALLETE’s apportionment and income of ALLETE’s other subsidiaries are included in the ALLETE consolidated group. The Minnesota Department of Commerce (Department) has inquired about our use of the North Dakota investment tax credits, taking the position that all North Dakota investment tax credits realized from the Bison Wind Energy Center should be credited to Minnesota Power regulated retail customers. The MPUC did not come to a decision on this issue in its order dated March 9, 2016, but requested that Minnesota Power provide further support on its position which was submitted on April 8, 2016.</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18, 2016, the MPUC held a hearing in which it decided Minnesota Power should attribute all North Dakota investment tax credits realized from the Bison Wind Energy Center to Minnesota Power regulated retail customers. As a result of the adverse regulatory outcome, Minnesota Power has created a regulatory liability, and recorded a reduction in operating revenue for $15.0 million. The North Dakota investment tax credits previously recognized as income tax credits in Corporate and Other were reversed in the third quarter of 2016 resulting in an $8.8 million charge to net income. Minnesota Power will seek reconsideration with the MPUC, and if not successful, will consider all available avenues of appeal.</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2011, Minnesota Power and Manitoba Hydro signed a third PPA. This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In September 2015, Manitoba Hydro submitted the final preferred route and EIS for the additional transmission capacity in Canada to Manitoba Conservation and Water Stewardship for regulatory approval. Construction of Manitoba Hydro’s hydroelectric generation facility commenced in 2014.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2014, Minnesota Power and Manitoba Hydro signed a fourth PPA that provides for Minnesota Power to purchase up to 133 MW of energy from Manitoba Hydro for 20 years beginning in 2020. The pricing under this PPA is based on forward market prices. The PPA was approved by the MPUC in an order dated January 30, 2015, and is subject to the construction of the GNTL. (See </w:t>
      </w:r>
      <w:r>
        <w:rPr>
          <w:rFonts w:ascii="Arial" w:cs="Arial" w:eastAsia="Arial" w:hAnsi="Arial"/>
          <w:sz w:val="18"/>
          <w:szCs w:val="18"/>
          <w:i w:val="1"/>
          <w:iCs w:val="1"/>
          <w:color w:val="auto"/>
        </w:rPr>
        <w:t>Great Northern Transmission Line</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October 2015, Minnesota Power and Manitoba Hydro signed a fifth PPA that provides for Minnesota Power to purchase 50 MW of capacity at fixed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PPA begins in June 2017 and expires in May 2020.</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Environmental Improvement Rider. </w:t>
      </w:r>
      <w:r>
        <w:rPr>
          <w:rFonts w:ascii="Arial" w:cs="Arial" w:eastAsia="Arial" w:hAnsi="Arial"/>
          <w:sz w:val="18"/>
          <w:szCs w:val="18"/>
          <w:color w:val="auto"/>
        </w:rPr>
        <w:t>Minnesota Power has an approved environmental improvement rider in place for investments and expenditures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implementation of the Boswell Unit 4 mercury emissions reduction plan completed in 2015. Customer billing rates for the environmental improvement rider were approved by the MPUC in August 2015. In September 2015, Minnesota Power filed an updated environmental improvement factor filing which included updated costs associated with Boswell Unit 4. Upon approval of the filing, Minnesota Power will be authorized to include updated billing rates on customer bills.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104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(See Note 6. Regulatory Matters.) In a December 2015 order, the FERC approved our request to recover on construction work in progress related to the GNTL from Minnesota Power’s wholesale customers. In April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Manitoba Hydro must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 Upon receipt of all applicable permits and approvals, construction of the GNTL is expected to begin by 2017 and to be completed in 2020. Total project cost in the U.S., including substation work, is estimated to be between $560 million and $710 million. Minnesota Power is expected to have majority ownership of the transmission line.</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Investment in ATC. </w:t>
      </w:r>
      <w:r>
        <w:rPr>
          <w:rFonts w:ascii="Arial" w:cs="Arial" w:eastAsia="Arial" w:hAnsi="Arial"/>
          <w:sz w:val="16"/>
          <w:szCs w:val="16"/>
          <w:color w:val="auto"/>
        </w:rPr>
        <w:t>Our wholly-owned subsidiary, ALLETE Transmission Holdings, owns approximately 8 percent of ATC, a Wisconsin-based utility that</w:t>
      </w:r>
      <w:r>
        <w:rPr>
          <w:rFonts w:ascii="Arial" w:cs="Arial" w:eastAsia="Arial" w:hAnsi="Arial"/>
          <w:sz w:val="16"/>
          <w:szCs w:val="16"/>
          <w:i w:val="1"/>
          <w:iCs w:val="1"/>
          <w:color w:val="auto"/>
        </w:rPr>
        <w:t xml:space="preserve"> </w:t>
      </w:r>
      <w:r>
        <w:rPr>
          <w:rFonts w:ascii="Arial" w:cs="Arial" w:eastAsia="Arial" w:hAnsi="Arial"/>
          <w:sz w:val="16"/>
          <w:szCs w:val="16"/>
          <w:color w:val="auto"/>
        </w:rPr>
        <w:t>owns and maintains electric transmission assets in parts of Wisconsin, Michigan, Minnesota and Illinois. As of September 30, 2016, our equity investment in ATC was $133.8 million ($124.5 million as of December 31, 2015). In the first nine months of 2016, we invested $3.5 million in ATC, and on October 28, 2016, we invested an additional $1.9 million. We do not expect to make any additional investments in 2016. (See Note 7. Investment in ATC.)</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28, 2016, the FERC issued an order reducing ATC’s authorized return on equity to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30, 2016, a federal administrative law judge ruled on an additional complaint proposing a further reduction in the base return on equity to 9.70 percent, subject to approval or adjustment by the FERC. A final decision from the FERC on the administrative law judge’s recommendation is expected in 2017. (See Note 6. Regulatory Matters.) We own approximately 8 percent of ATC and estimate that for every 50 basis point reduction in ATC’s allowed return on equity our equity earnings in ATC would be impacted annually by approximately $0.5 million after-tax ($0.9 million pre-tax).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focuses on developing, acquiring and operating clean and renewable energy projects. ALLETE Clean Energy currently owns and operates, in four states, approximately 535 MW of nameplate capacity wind energy generation that are under long-term power sales agreements. In addition, ALLETE Clean Energy constructed a 107 MW wind energy facility for sale to Montana-Dakota Utilities; construction and sale were completed in the fourth quarter of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 believes the market for renewable energy in North America is robust, driven by several factors including environmental regulation, tax incentives, societal expectations and continual technology advances. The recent Clean Power Plan is an example of an environmental regulation that we believe will drive renewable energy development.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20"/>
          </w:cols>
          <w:pgMar w:left="240" w:top="104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Energy’s strategy includes the safe, reliable, optimal and profitable operation of its existing facilities. This includes a strong safety culture, the continuous pursuit of operational efficiencies at existing facilities, and cost controls. While ALLETE Clean Energy generally acquires facilities in liquid power markets, ALLETE Clean Energy’s strategy also includes the exploration of power sales agreement extensions upon expiration of existing contracts.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will pursue steady growth through acquisitions or project development for others. ALLETE Clean Energy is targeting acquisitions of existing facilities with a purchase price in the $50 million to $100 million range, and which have long-term power sales agreements in place for the facility’s output. At this time, ALLETE Clean Energy expects acquisitions will be primarily wind or solar facilities in North America.</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ALLETE Clean Energy will manage risk by having a diverse portfolio of assets, which will include power sales contract expiration and geographic diversity.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mix of power sales agreement expiration and geographic location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88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Location</w:t>
            </w:r>
          </w:p>
        </w:tc>
        <w:tc>
          <w:tcPr>
            <w:tcW w:w="1780" w:type="dxa"/>
            <w:vAlign w:val="bottom"/>
          </w:tcPr>
          <w:p>
            <w:pPr>
              <w:ind w:left="360"/>
              <w:spacing w:after="0"/>
              <w:rPr>
                <w:sz w:val="20"/>
                <w:szCs w:val="20"/>
                <w:color w:val="auto"/>
              </w:rPr>
            </w:pPr>
            <w:r>
              <w:rPr>
                <w:rFonts w:ascii="Arial" w:cs="Arial" w:eastAsia="Arial" w:hAnsi="Arial"/>
                <w:sz w:val="18"/>
                <w:szCs w:val="18"/>
                <w:b w:val="1"/>
                <w:bCs w:val="1"/>
                <w:color w:val="auto"/>
              </w:rPr>
              <w:t>Capacity MW</w:t>
            </w:r>
          </w:p>
        </w:tc>
        <w:tc>
          <w:tcPr>
            <w:tcW w:w="1640" w:type="dxa"/>
            <w:vAlign w:val="bottom"/>
          </w:tcPr>
          <w:p>
            <w:pPr>
              <w:ind w:left="340"/>
              <w:spacing w:after="0"/>
              <w:rPr>
                <w:sz w:val="20"/>
                <w:szCs w:val="20"/>
                <w:color w:val="auto"/>
              </w:rPr>
            </w:pPr>
            <w:r>
              <w:rPr>
                <w:rFonts w:ascii="Arial" w:cs="Arial" w:eastAsia="Arial" w:hAnsi="Arial"/>
                <w:sz w:val="18"/>
                <w:szCs w:val="18"/>
                <w:b w:val="1"/>
                <w:bCs w:val="1"/>
                <w:color w:val="auto"/>
              </w:rPr>
              <w:t>PPA MW %</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PPA Expiration</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89"/>
              </w:rPr>
              <w:t>Pennsylvania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PPA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February 2023</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88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2022</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Lake Benton</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December 2028</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2019</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II</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2019</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PPA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April 2032</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10, 2015, ALLETE acquired U.S. Water Services. Headquartered in St. Michael, Minnesota, U.S. Water Services provides integrated water management for industry by combining chemical, equipment, engineering and service for customized solutions to reduce water and energy usage and improve efficiency. U.S. Water Services is located in 49 states and Canada and has an established base of approximately 4,600 customers. U.S. Water Services differentiates itself from the competition by developing synergies between established solutions in engineering, equipment, and chemical water treatment and helping customers achieve efficient and sustainable use of their water and energy systems. U.S. Water Services is a leading provider to the biofuels industry, and also serves the food and beverage, industrial, power generation, and midstream oil and gas industries. U.S. Water Services principally relies upon recurring revenues from a diverse mix of industrial customers. U.S. Water Services’ sells certain products which are seasonal in nature, with higher demand typically realized in warmer months. The results for 2015 reflect operations from the date of acquisition, February 10, 2015, through September 30, 2015, and therefore, do not reflect a full nine months.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North American presence by adding customers, products,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a purchase price in the $10 million to $50 million range. Priority will be given to acquisitions which expand its geographic reach, add new technology, or deepen its capabilities to serve its expanding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and Other is comprised of BNI Energy, our coal mining operations in North Dakota, ALLETE Properties, our legacy Florida real estate investment, other business development and corporate expenditures, unallocated interest expense, a small amount of non-rate base generation, approximately 5,000 acres of land in Minnesota, and earnings on cash and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4.3 million tons of coal in 2016 (4.3 million tons were sold in 2015) and has sold 3.3 million tons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(3.3 million tons were sold through September 30, 2015). BNI Energy operates under cost-plus fixed fee agreements extending through December 31, 2037.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20"/>
          </w:cols>
          <w:pgMar w:left="240" w:top="1040"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legacy Florida real estate investment. Market conditions can impact land sales and could result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inability to cover our cost basis, operating expenses or fixed carrying costs such as community development district assessments and property taxes. ALLETE Properties’ major projects are Town Center at Palm Coast and Palm Coast Park. In addition to these two projects, ALLETE Properties has approximately 1,100 acres of other land available-for-sale.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22, 2016, ALLETE Properties sold its Ormond Crossings project and Lake Swamp wetland mitigation bank for consideration of approximately $21 million. The consideration included a down payment in the form of 0.1 million shares of ALLETE common stock with a value of $8.0 million, with the remaining purchase price to be paid under the terms of a finance receivable due over a five-year period which bears interest at market rates. The finance receivable is collateralized by the property sold.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ALLETE’s aggregate federal and multi-state statutory tax rate is approximately 41 percent for 2016. On an ongoing basis, ALLETE has tax credits and other tax adjustments that reduce the combined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before non-controlling interest and income taxes, state and federal tax law changes that become effective during the year, business combinations, tax planning initiatives and resolution of prior years’ tax matters. We expect our effective tax rate to be approximately 13 percent for 2016 primarily due to federal production tax credits as a result of wind energy generation. We also expect that our effective tax rate will be lower than the combined statutory rate over the next nine years due to production tax credits attributable to our wind energy generation.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September 30, 2016,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$107.2 million, $397.8 million in available consolidated lines of credit and a debt-to-capital ratio of 45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27"/>
        </w:trPr>
        <w:tc>
          <w:tcPr>
            <w:tcW w:w="5800" w:type="dxa"/>
            <w:vAlign w:val="bottom"/>
          </w:tcPr>
          <w:p>
            <w:pPr>
              <w:spacing w:after="0"/>
              <w:rPr>
                <w:sz w:val="24"/>
                <w:szCs w:val="24"/>
                <w:color w:val="auto"/>
              </w:rPr>
            </w:pPr>
          </w:p>
        </w:tc>
        <w:tc>
          <w:tcPr>
            <w:tcW w:w="2360" w:type="dxa"/>
            <w:vAlign w:val="bottom"/>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r>
      <w:tr>
        <w:trPr>
          <w:trHeight w:val="234"/>
        </w:trPr>
        <w:tc>
          <w:tcPr>
            <w:tcW w:w="5800" w:type="dxa"/>
            <w:vAlign w:val="bottom"/>
          </w:tcPr>
          <w:p>
            <w:pPr>
              <w:spacing w:after="0"/>
              <w:rPr>
                <w:sz w:val="20"/>
                <w:szCs w:val="20"/>
                <w:color w:val="auto"/>
              </w:rPr>
            </w:pPr>
          </w:p>
        </w:tc>
        <w:tc>
          <w:tcPr>
            <w:tcW w:w="23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8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$1,873.0</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$1,820.2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3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2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1,556.9</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1,605.0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23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$3,429.9</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$3,429.0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80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6"/>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2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8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$97.0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237.8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254.6</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200" w:type="dxa"/>
            <w:vAlign w:val="bottom"/>
          </w:tcPr>
          <w:p>
            <w:pPr>
              <w:jc w:val="right"/>
              <w:ind w:right="370"/>
              <w:spacing w:after="0"/>
              <w:rPr>
                <w:sz w:val="20"/>
                <w:szCs w:val="20"/>
                <w:color w:val="auto"/>
              </w:rPr>
            </w:pPr>
            <w:r>
              <w:rPr>
                <w:rFonts w:ascii="Arial" w:cs="Arial" w:eastAsia="Arial" w:hAnsi="Arial"/>
                <w:sz w:val="18"/>
                <w:szCs w:val="18"/>
                <w:color w:val="auto"/>
              </w:rPr>
              <w:t>(120.7)</w:t>
            </w:r>
          </w:p>
        </w:tc>
        <w:tc>
          <w:tcPr>
            <w:tcW w:w="1060" w:type="dxa"/>
            <w:vAlign w:val="bottom"/>
          </w:tcPr>
          <w:p>
            <w:pPr>
              <w:jc w:val="right"/>
              <w:spacing w:after="0"/>
              <w:rPr>
                <w:sz w:val="20"/>
                <w:szCs w:val="20"/>
                <w:color w:val="auto"/>
              </w:rPr>
            </w:pPr>
            <w:r>
              <w:rPr>
                <w:rFonts w:ascii="Arial" w:cs="Arial" w:eastAsia="Arial" w:hAnsi="Arial"/>
                <w:sz w:val="18"/>
                <w:szCs w:val="18"/>
                <w:color w:val="auto"/>
              </w:rPr>
              <w:t>(534.3)</w:t>
            </w:r>
          </w:p>
        </w:tc>
      </w:tr>
      <w:tr>
        <w:trPr>
          <w:trHeight w:val="27"/>
        </w:trPr>
        <w:tc>
          <w:tcPr>
            <w:tcW w:w="8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2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(106.9)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236.9</w:t>
            </w:r>
          </w:p>
        </w:tc>
      </w:tr>
      <w:tr>
        <w:trPr>
          <w:trHeight w:val="237"/>
        </w:trPr>
        <w:tc>
          <w:tcPr>
            <w:tcW w:w="8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22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10.2</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7"/>
        </w:trPr>
        <w:tc>
          <w:tcPr>
            <w:tcW w:w="8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2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$107.2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0"/>
        </w:trPr>
        <w:tc>
          <w:tcPr>
            <w:tcW w:w="81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20"/>
          </w:cols>
          <w:pgMar w:left="240" w:top="1040"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from operating activities was $237.8 million for the nine months ended September 30, 2016 ($254.6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2015). Cash from operating activities was lower in 2016 primarily due to a payment of $31.0 million made as part of a long-term power sales agreement between Minnesota Power and Silver Bay Power, cash contributions to our defined benefit pension plan, and non-cash items (primarily depreciation expense), partially offset by lower fuel inventory purchases and higher recoveries under cost recovery riders.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$120.7 million for the nine months ended September 30, 2016 ($534.3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2015). The decrease in cash used for investing activities was primarily due to $324.8 million used in 2015, net of cash acquired, for the acquisition of U.S. Water Services in February 2015 and acquisitions at ALLETE Clean Energy in April and July of 2015, as well as $88.7 million of fewer capital expenditures in 2016.</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used for financing activities was $106.9 million for the nine months ended September 30, 2016 ($236.9 million from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for the nine months ended September 30, 2015). The decrease in cash from financing activities was primarily due to $128.2 million in lower proceeds from the issuance of common stock and $206.7 million in lower proceeds from the issuance of long-term debt net of payments made.</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Working Capital. </w:t>
      </w:r>
      <w:r>
        <w:rPr>
          <w:rFonts w:ascii="Arial" w:cs="Arial" w:eastAsia="Arial" w:hAnsi="Arial"/>
          <w:sz w:val="16"/>
          <w:szCs w:val="16"/>
          <w:color w:val="auto"/>
        </w:rPr>
        <w:t>Additional working capital, if and when needed, generally is provided by consolidated bank lines of credit, the sale of securities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commercial paper. As of September 30, 2016, we had consolidated bank lines of credit aggregating $408.4 million ($408.4 million as of December 31, 2015), the majority of which expire in November 2018. We had $10.6 million outstanding in standby letters of credit and no outstanding draws under our lines of credit as of September 30, 2016 ($12.4 million in standby letters of credit and $1.6 million outstanding in draws as of December 31, 2015). In addition, as of September 30, 2016, we had 3.5 million original issue shares of our common stock available for issuance through Invest Direct, our direct stock purchase and dividend reinvestment plan, and 3.9 million original issue shares of common stock available for issuance through a distribution agreement with Lampert Capital Markets, Inc. (See </w:t>
      </w:r>
      <w:r>
        <w:rPr>
          <w:rFonts w:ascii="Arial" w:cs="Arial" w:eastAsia="Arial" w:hAnsi="Arial"/>
          <w:sz w:val="16"/>
          <w:szCs w:val="16"/>
          <w:i w:val="1"/>
          <w:iCs w:val="1"/>
          <w:color w:val="auto"/>
        </w:rPr>
        <w:t>Securities.</w:t>
      </w:r>
      <w:r>
        <w:rPr>
          <w:rFonts w:ascii="Arial" w:cs="Arial" w:eastAsia="Arial" w:hAnsi="Arial"/>
          <w:sz w:val="16"/>
          <w:szCs w:val="16"/>
          <w:color w:val="auto"/>
        </w:rPr>
        <w:t>) The amount and timing of future sales of our securities will depend upon market conditions and our specific needs.</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entered into a distribution agreement with Lampert Capital Markets, Inc., in 2008, as amended most recently in August 2016,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and sale of up to an aggregate of 13.6 million shares of our common stock, without par value, of which 3.9 million remain available for issuance. For the nine months ended September 30, 2016, 0.1 million shares of common stock were issued under this agreement, resulting in net proceeds of $7.6 million (1.3 million shares were issued for the nine months ended September 30, 2015, resulting in net proceeds of $69.9 million). The shares issued in 2015 were offered and sold pursuant to Registration Statement No. 333-190335. On August 1, 2016, we filed Registration Statement No. 333-212794, pursuant to which the remaining shares will continue to be offered for sale, from time to time.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2016, we issued 0.4 million shares of common stock through Invest Direct, the Employee Stock Purchase Plan, and the Retirement Savings and Stock Ownership Plan, resulting in net proceeds of $19.6 million (0.3 million shares were issued for the nine months ended September 30, 2015, resulting in net proceeds of $19.9 million). These shares of common stock were registered under Registration Statement Nos. 333-211075, 333-188315, 333-183051 and 333-162890.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During the nine months ended September 30, 2016, we contributed $6.3 million in cash to our defined benefit pension plan. We do not expect to make additional contributions to our defined benefit pension plan in 2016 and we do not expect to make any contributions to our other postretirement benefit plan in 2016. (See Note 12. Pension and Other Postretirement 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2015 Form 10-K, with additional disclosure in Note 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2016 are expected to be approximately $175 million. For the nine months ended September 30, 2016,</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totaled $101.6 million ($184.9 million for the nine months ended September 30, 2015). The expenditures were primarily made in the Regulated Operations segment.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20"/>
          </w:cols>
          <w:pgMar w:left="240" w:top="104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We anticipate that although many of the state and federal environmental regulations have been finalized, or will be finalized in the near future, potential expenditures for future environmental matters may be material and may require significant capital investments. We are unable to predict the outcome of the issues discussed in Note 13. Commitments, Guarantees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2016, ALLETE had 1,965 employees, of which 1,903 were full-time.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and SWL&amp;P have an aggregate of 549 employees who are members of the International Brotherhood of Electrical Workers (IBEW) Local 31. The current labor agreements with IBEW Local 31 expire on January 31,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176 employees, of which 130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September 30, 2016,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 (See Note 2.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20"/>
          </w:cols>
          <w:pgMar w:left="240" w:top="104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September 30, 2016, an increase of 100 basis points in interest rates would impact the amount of pre-tax interest expense by $1.7 million. This amount was determined by considering the impact of a hypothetical 100 basis point increase to the average variable interest rate on the variable rate debt outstanding as of September 30, 2016.</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September 30, 2016, evaluations were performed, under the supervision and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5. Regulatory Matters and Note 12. Commitments, Guarantees and Contingencies to our Consolidated Financial Statements in our 2015 Form 10-K and Note 6. Regulatory Matters and Note 13.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2015 Form 10-K.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104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purchases made by ALLETE of its common stock during the quarter ended September 30, 2016,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840" w:type="dxa"/>
            <w:vAlign w:val="bottom"/>
          </w:tcPr>
          <w:p>
            <w:pPr>
              <w:jc w:val="center"/>
              <w:ind w:left="271"/>
              <w:spacing w:after="0"/>
              <w:rPr>
                <w:sz w:val="20"/>
                <w:szCs w:val="20"/>
                <w:color w:val="auto"/>
              </w:rPr>
            </w:pPr>
            <w:r>
              <w:rPr>
                <w:rFonts w:ascii="Arial" w:cs="Arial" w:eastAsia="Arial" w:hAnsi="Arial"/>
                <w:sz w:val="18"/>
                <w:szCs w:val="18"/>
                <w:b w:val="1"/>
                <w:bCs w:val="1"/>
                <w:color w:val="auto"/>
                <w:w w:val="92"/>
              </w:rPr>
              <w:t>Total Number of</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Number of Shares</w:t>
            </w:r>
          </w:p>
        </w:tc>
      </w:tr>
      <w:tr>
        <w:trPr>
          <w:trHeight w:val="216"/>
        </w:trPr>
        <w:tc>
          <w:tcPr>
            <w:tcW w:w="3420" w:type="dxa"/>
            <w:vAlign w:val="bottom"/>
          </w:tcPr>
          <w:p>
            <w:pPr>
              <w:spacing w:after="0"/>
              <w:rPr>
                <w:sz w:val="18"/>
                <w:szCs w:val="18"/>
                <w:color w:val="auto"/>
              </w:rPr>
            </w:pPr>
          </w:p>
        </w:tc>
        <w:tc>
          <w:tcPr>
            <w:tcW w:w="1840" w:type="dxa"/>
            <w:vAlign w:val="bottom"/>
          </w:tcPr>
          <w:p>
            <w:pPr>
              <w:jc w:val="center"/>
              <w:ind w:left="271"/>
              <w:spacing w:after="0"/>
              <w:rPr>
                <w:sz w:val="20"/>
                <w:szCs w:val="20"/>
                <w:color w:val="auto"/>
              </w:rPr>
            </w:pPr>
            <w:r>
              <w:rPr>
                <w:rFonts w:ascii="Arial" w:cs="Arial" w:eastAsia="Arial" w:hAnsi="Arial"/>
                <w:sz w:val="18"/>
                <w:szCs w:val="18"/>
                <w:b w:val="1"/>
                <w:bCs w:val="1"/>
                <w:color w:val="auto"/>
                <w:w w:val="86"/>
              </w:rPr>
              <w:t>Shares Purchased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Paid per</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 Publicly</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that May Yet Be Purchased</w:t>
            </w:r>
          </w:p>
        </w:tc>
      </w:tr>
      <w:tr>
        <w:trPr>
          <w:trHeight w:val="234"/>
        </w:trPr>
        <w:tc>
          <w:tcPr>
            <w:tcW w:w="3420" w:type="dxa"/>
            <w:vAlign w:val="bottom"/>
          </w:tcPr>
          <w:p>
            <w:pPr>
              <w:ind w:left="1640"/>
              <w:spacing w:after="0"/>
              <w:rPr>
                <w:sz w:val="20"/>
                <w:szCs w:val="20"/>
                <w:color w:val="auto"/>
              </w:rPr>
            </w:pPr>
            <w:r>
              <w:rPr>
                <w:rFonts w:ascii="Arial" w:cs="Arial" w:eastAsia="Arial" w:hAnsi="Arial"/>
                <w:sz w:val="18"/>
                <w:szCs w:val="18"/>
                <w:b w:val="1"/>
                <w:bCs w:val="1"/>
                <w:color w:val="auto"/>
              </w:rPr>
              <w:t>Period</w:t>
            </w:r>
          </w:p>
        </w:tc>
        <w:tc>
          <w:tcPr>
            <w:tcW w:w="1840" w:type="dxa"/>
            <w:vAlign w:val="bottom"/>
          </w:tcPr>
          <w:p>
            <w:pPr>
              <w:jc w:val="center"/>
              <w:ind w:left="271"/>
              <w:spacing w:after="0"/>
              <w:rPr>
                <w:sz w:val="20"/>
                <w:szCs w:val="20"/>
                <w:color w:val="auto"/>
              </w:rPr>
            </w:pPr>
            <w:r>
              <w:rPr>
                <w:rFonts w:ascii="Arial" w:cs="Arial" w:eastAsia="Arial" w:hAnsi="Arial"/>
                <w:sz w:val="16"/>
                <w:szCs w:val="16"/>
                <w:i w:val="1"/>
                <w:iCs w:val="1"/>
                <w:color w:val="auto"/>
              </w:rPr>
              <w:t>(a)</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 Programs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Under the Plans or Programs</w:t>
            </w:r>
          </w:p>
        </w:tc>
      </w:tr>
      <w:tr>
        <w:trPr>
          <w:trHeight w:val="27"/>
        </w:trPr>
        <w:tc>
          <w:tcPr>
            <w:tcW w:w="3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2016 – July 31, 2016</w:t>
            </w:r>
          </w:p>
        </w:tc>
        <w:tc>
          <w:tcPr>
            <w:tcW w:w="1840" w:type="dxa"/>
            <w:vAlign w:val="bottom"/>
            <w:tcBorders>
              <w:bottom w:val="single" w:sz="8" w:color="CCEEFF"/>
            </w:tcBorders>
            <w:shd w:val="clear" w:color="auto" w:fill="CCEEFF"/>
          </w:tcPr>
          <w:p>
            <w:pPr>
              <w:jc w:val="center"/>
              <w:ind w:left="2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August 1, 2016 – August 31, 2016</w:t>
            </w:r>
          </w:p>
        </w:tc>
        <w:tc>
          <w:tcPr>
            <w:tcW w:w="1840" w:type="dxa"/>
            <w:vAlign w:val="bottom"/>
          </w:tcPr>
          <w:p>
            <w:pPr>
              <w:jc w:val="center"/>
              <w:ind w:left="2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5"/>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September 1, 2016 – September 30, 2016</w:t>
            </w:r>
          </w:p>
        </w:tc>
        <w:tc>
          <w:tcPr>
            <w:tcW w:w="184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8"/>
                <w:szCs w:val="18"/>
                <w:color w:val="auto"/>
                <w:w w:val="92"/>
              </w:rPr>
              <w:t>129,722</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$62.19</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center"/>
              <w:ind w:left="271"/>
              <w:spacing w:after="0"/>
              <w:rPr>
                <w:sz w:val="20"/>
                <w:szCs w:val="20"/>
                <w:color w:val="auto"/>
              </w:rPr>
            </w:pPr>
            <w:r>
              <w:rPr>
                <w:rFonts w:ascii="Arial" w:cs="Arial" w:eastAsia="Arial" w:hAnsi="Arial"/>
                <w:sz w:val="18"/>
                <w:szCs w:val="18"/>
                <w:color w:val="auto"/>
                <w:w w:val="92"/>
              </w:rPr>
              <w:t>129,722</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$62.19</w:t>
            </w: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Shares of common stock acquired as a down payment of the consideration in connection with ALLETE Properties’ sale of its Ormond Crossings project and Lake Swamp wetland mitigation bank. (See Note 2. Investments.)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104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31(a)</w:t>
            </w:r>
          </w:p>
        </w:tc>
        <w:tc>
          <w:tcPr>
            <w:tcW w:w="2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Rule 13a-14(a)/15d-14(a)</w:t>
            </w:r>
          </w:p>
        </w:tc>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by the Chief Executive Officer Pursuant to Section 302 of the Sarbanes-Oxley Act of 2002.</w:t>
            </w:r>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color w:val="auto"/>
              </w:rPr>
              <w:t>31(b)</w:t>
            </w:r>
          </w:p>
        </w:tc>
        <w:tc>
          <w:tcPr>
            <w:tcW w:w="2300" w:type="dxa"/>
            <w:vAlign w:val="bottom"/>
          </w:tcPr>
          <w:p>
            <w:pPr>
              <w:ind w:left="440"/>
              <w:spacing w:after="0"/>
              <w:rPr>
                <w:sz w:val="20"/>
                <w:szCs w:val="20"/>
                <w:color w:val="auto"/>
              </w:rPr>
            </w:pPr>
            <w:r>
              <w:rPr>
                <w:rFonts w:ascii="Arial" w:cs="Arial" w:eastAsia="Arial" w:hAnsi="Arial"/>
                <w:sz w:val="18"/>
                <w:szCs w:val="18"/>
                <w:color w:val="auto"/>
                <w:w w:val="90"/>
              </w:rPr>
              <w:t>Rule 13a-14(a)/15d-14(a)</w:t>
            </w:r>
          </w:p>
        </w:tc>
        <w:tc>
          <w:tcPr>
            <w:tcW w:w="8260" w:type="dxa"/>
            <w:vAlign w:val="bottom"/>
          </w:tcPr>
          <w:p>
            <w:pPr>
              <w:ind w:left="20"/>
              <w:spacing w:after="0"/>
              <w:rPr>
                <w:sz w:val="20"/>
                <w:szCs w:val="20"/>
                <w:color w:val="auto"/>
              </w:rPr>
            </w:pPr>
            <w:r>
              <w:rPr>
                <w:rFonts w:ascii="Arial" w:cs="Arial" w:eastAsia="Arial" w:hAnsi="Arial"/>
                <w:sz w:val="18"/>
                <w:szCs w:val="18"/>
                <w:color w:val="auto"/>
              </w:rPr>
              <w:t>Certification by the Chief Financial Officer Pursuant to Section 302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p>
    <w:p>
      <w:pPr>
        <w:ind w:left="1300" w:right="20" w:hanging="1265"/>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55" w:lineRule="exact"/>
        <w:rPr>
          <w:sz w:val="20"/>
          <w:szCs w:val="20"/>
          <w:color w:val="auto"/>
        </w:rPr>
      </w:pPr>
    </w:p>
    <w:p>
      <w:pPr>
        <w:jc w:val="both"/>
        <w:ind w:left="1300" w:right="40" w:hanging="1265"/>
        <w:spacing w:after="0" w:line="307"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ALLETE News Release dated November 4, 2016, announcing 2016 third quarter earnings. </w:t>
      </w:r>
      <w:r>
        <w:rPr>
          <w:rFonts w:ascii="Arial" w:cs="Arial" w:eastAsia="Arial" w:hAnsi="Arial"/>
          <w:sz w:val="16"/>
          <w:szCs w:val="16"/>
          <w:b w:val="1"/>
          <w:bCs w:val="1"/>
          <w:color w:val="auto"/>
        </w:rPr>
        <w:t>(This exhibit has been furnished and shall not</w:t>
      </w:r>
      <w:r>
        <w:rPr>
          <w:rFonts w:ascii="Arial" w:cs="Arial" w:eastAsia="Arial" w:hAnsi="Arial"/>
          <w:sz w:val="16"/>
          <w:szCs w:val="16"/>
          <w:color w:val="auto"/>
        </w:rPr>
        <w:t xml:space="preserve"> </w:t>
      </w:r>
      <w:r>
        <w:rPr>
          <w:rFonts w:ascii="Arial" w:cs="Arial" w:eastAsia="Arial" w:hAnsi="Arial"/>
          <w:sz w:val="16"/>
          <w:szCs w:val="16"/>
          <w:b w:val="1"/>
          <w:bCs w:val="1"/>
          <w:color w:val="auto"/>
        </w:rPr>
        <w:t>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230"/>
        </w:trPr>
        <w:tc>
          <w:tcPr>
            <w:tcW w:w="1000" w:type="dxa"/>
            <w:vAlign w:val="bottom"/>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Instance</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Schema</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Calculation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Definition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Label</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43"/>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Presentation</w:t>
            </w:r>
          </w:p>
        </w:tc>
      </w:tr>
      <w:tr>
        <w:trPr>
          <w:trHeight w:val="27"/>
        </w:trPr>
        <w:tc>
          <w:tcPr>
            <w:tcW w:w="1000" w:type="dxa"/>
            <w:vAlign w:val="bottom"/>
            <w:shd w:val="clear" w:color="auto" w:fill="CCEEFF"/>
          </w:tcPr>
          <w:p>
            <w:pPr>
              <w:spacing w:after="0"/>
              <w:rPr>
                <w:sz w:val="2"/>
                <w:szCs w:val="2"/>
                <w:color w:val="auto"/>
              </w:rPr>
            </w:pPr>
          </w:p>
        </w:tc>
        <w:tc>
          <w:tcPr>
            <w:tcW w:w="10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104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November 4, 2016</w:t>
            </w:r>
          </w:p>
        </w:tc>
        <w:tc>
          <w:tcPr>
            <w:tcW w:w="5800" w:type="dxa"/>
            <w:vAlign w:val="bottom"/>
          </w:tcPr>
          <w:p>
            <w:pPr>
              <w:jc w:val="center"/>
              <w:spacing w:after="0"/>
              <w:rPr>
                <w:sz w:val="20"/>
                <w:szCs w:val="20"/>
                <w:color w:val="auto"/>
              </w:rPr>
            </w:pPr>
            <w:r>
              <w:rPr>
                <w:rFonts w:ascii="Arial" w:cs="Arial" w:eastAsia="Arial" w:hAnsi="Arial"/>
                <w:sz w:val="18"/>
                <w:szCs w:val="18"/>
                <w:color w:val="auto"/>
                <w:w w:val="90"/>
              </w:rPr>
              <w:t>/s/ Steven Q. DeVinck</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Q. DeVinck</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November 4, 2016</w:t>
            </w: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7"/>
        </w:trPr>
        <w:tc>
          <w:tcPr>
            <w:tcW w:w="2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r>
      <w:tr>
        <w:trPr>
          <w:trHeight w:val="270"/>
        </w:trPr>
        <w:tc>
          <w:tcPr>
            <w:tcW w:w="2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4"/>
              </w:rPr>
              <w:t>Controller</w:t>
            </w:r>
          </w:p>
        </w:tc>
      </w:tr>
      <w:tr>
        <w:trPr>
          <w:trHeight w:val="588"/>
        </w:trPr>
        <w:tc>
          <w:tcPr>
            <w:tcW w:w="2840" w:type="dxa"/>
            <w:vAlign w:val="bottom"/>
          </w:tcPr>
          <w:p>
            <w:pPr>
              <w:spacing w:after="0"/>
              <w:rPr>
                <w:sz w:val="24"/>
                <w:szCs w:val="24"/>
                <w:color w:val="auto"/>
              </w:rPr>
            </w:pPr>
          </w:p>
        </w:tc>
        <w:tc>
          <w:tcPr>
            <w:tcW w:w="8540" w:type="dxa"/>
            <w:vAlign w:val="bottom"/>
            <w:gridSpan w:val="2"/>
          </w:tcPr>
          <w:p>
            <w:pPr>
              <w:ind w:left="1500"/>
              <w:spacing w:after="0"/>
              <w:rPr>
                <w:sz w:val="20"/>
                <w:szCs w:val="20"/>
                <w:color w:val="auto"/>
              </w:rPr>
            </w:pPr>
            <w:r>
              <w:rPr>
                <w:rFonts w:ascii="Arial" w:cs="Arial" w:eastAsia="Arial" w:hAnsi="Arial"/>
                <w:sz w:val="14"/>
                <w:szCs w:val="14"/>
                <w:color w:val="auto"/>
              </w:rPr>
              <w:t>ALLETE, Inc. Third Quarter 2016 Form 10-Q</w:t>
            </w:r>
          </w:p>
        </w:tc>
      </w:tr>
    </w:tbl>
    <w:p>
      <w:pPr>
        <w:jc w:val="right"/>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104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2016,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Steven Q. DeVinck, of ALLETE, Inc. (ALLETE),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2016,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2016,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4, 2016</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4, 2016</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64" w:name="page65"/>
    <w:bookmarkEnd w:id="64"/>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nine months ended September 30, 2016, BNI Energy, owner of Center Mine, received no significant and substantial (S&amp;S) citations under Section 104(a) of the Mine Safety Act. In 2013, BNI Energy had a S&amp;S citation under Section 104(a) of the Mine and Safety Act for which the Mine Safety and Health Administration proposed a penalty of $52,500; a hearing case has been filed in relation to this penalty. For the nine months ended September 30, 2016,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65" w:name="page66"/>
    <w:bookmarkEnd w:id="65"/>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20"/>
          </w:cols>
          <w:pgMar w:left="240" w:top="845" w:right="23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-26670</wp:posOffset>
            </wp:positionV>
            <wp:extent cx="1655445" cy="754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5445"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November 4, 2016</w:t>
      </w:r>
    </w:p>
    <w:p>
      <w:pPr>
        <w:spacing w:after="0" w:line="96" w:lineRule="exact"/>
        <w:rPr>
          <w:sz w:val="20"/>
          <w:szCs w:val="20"/>
          <w:color w:val="auto"/>
        </w:rPr>
      </w:pPr>
    </w:p>
    <w:p>
      <w:pPr>
        <w:sectPr>
          <w:pgSz w:w="11900" w:h="16838" w:orient="portrait"/>
          <w:cols w:equalWidth="0" w:num="2">
            <w:col w:w="7940" w:space="720"/>
            <w:col w:w="2760"/>
          </w:cols>
          <w:pgMar w:left="240" w:top="845" w:right="23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Vince Meyer</w:t>
      </w:r>
    </w:p>
    <w:p>
      <w:pPr>
        <w:spacing w:after="0" w:line="98" w:lineRule="exact"/>
        <w:rPr>
          <w:sz w:val="20"/>
          <w:szCs w:val="20"/>
          <w:color w:val="auto"/>
        </w:rPr>
      </w:pPr>
    </w:p>
    <w:p>
      <w:pPr>
        <w:sectPr>
          <w:pgSz w:w="11900" w:h="16838" w:orient="portrait"/>
          <w:cols w:equalWidth="0" w:num="2">
            <w:col w:w="8000" w:space="660"/>
            <w:col w:w="2760"/>
          </w:cols>
          <w:pgMar w:left="240" w:top="845" w:right="23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vmeyer@allete.com</w:t>
      </w:r>
    </w:p>
    <w:p>
      <w:pPr>
        <w:sectPr>
          <w:pgSz w:w="11900" w:h="16838" w:orient="portrait"/>
          <w:cols w:equalWidth="0" w:num="1">
            <w:col w:w="11420"/>
          </w:cols>
          <w:pgMar w:left="240" w:top="84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third quarter 2016 earnings</w:t>
      </w:r>
    </w:p>
    <w:p>
      <w:pPr>
        <w:spacing w:after="0" w:line="200" w:lineRule="exact"/>
        <w:rPr>
          <w:sz w:val="20"/>
          <w:szCs w:val="20"/>
          <w:color w:val="auto"/>
        </w:rPr>
      </w:pP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DULUTH, Minn. - ALLETE, Inc. (NYSE: ALE) today reported third quarter 2016 earnings of 81 cents per share on net income of $40.3 million and operating revenue of $349.6 million. Last year’s results were $1.23 per share on net income of $60.4 million and operating revenue of $462.5 million. Results for the third quarter of 2016 include an $8.8 million after-tax, or 18 cents per share, adverse impact for the regulatory outcome of an October 18, 2016, Minnesota Public Utilities Commission (MPUC) hearing on the allocation of North Dakota investment tax credits. Results for the third quarter of 2015 included profit recognition of $12.3 million after-tax, or 25 cents per share, and $135.9 million of operating revenue related to the construction of a wind energy facility which was sold to Montana-Dakota Utilities in the fourth quarter of 2015. Net income in 2015 also included acquisition costs of $0.9 million, or 2 cents per share.</w:t>
      </w:r>
    </w:p>
    <w:p>
      <w:pPr>
        <w:spacing w:after="0" w:line="189" w:lineRule="exact"/>
        <w:rPr>
          <w:sz w:val="20"/>
          <w:szCs w:val="20"/>
          <w:color w:val="auto"/>
        </w:rPr>
      </w:pPr>
    </w:p>
    <w:p>
      <w:pPr>
        <w:ind w:right="60"/>
        <w:spacing w:after="0" w:line="224" w:lineRule="exact"/>
        <w:rPr>
          <w:sz w:val="20"/>
          <w:szCs w:val="20"/>
          <w:color w:val="auto"/>
        </w:rPr>
      </w:pPr>
      <w:r>
        <w:rPr>
          <w:rFonts w:ascii="Arial" w:cs="Arial" w:eastAsia="Arial" w:hAnsi="Arial"/>
          <w:sz w:val="17"/>
          <w:szCs w:val="17"/>
          <w:color w:val="auto"/>
        </w:rPr>
        <w:t>“We continue to be pleased with the improvement on Minnesota Power’s industrial customer front,” said ALLETE Chairman, President and CEO Al Hodnik, “including Cliff’s United Taconite mine restarting in August, and our recently announced five</w:t>
      </w:r>
      <w:r>
        <w:rPr>
          <w:rFonts w:ascii="MS PGothic" w:cs="MS PGothic" w:eastAsia="MS PGothic" w:hAnsi="MS PGothic"/>
          <w:sz w:val="17"/>
          <w:szCs w:val="17"/>
          <w:color w:val="auto"/>
        </w:rPr>
        <w:t>‑</w:t>
      </w:r>
      <w:r>
        <w:rPr>
          <w:rFonts w:ascii="Arial" w:cs="Arial" w:eastAsia="Arial" w:hAnsi="Arial"/>
          <w:sz w:val="17"/>
          <w:szCs w:val="17"/>
          <w:color w:val="auto"/>
        </w:rPr>
        <w:t>year agreement to supply electricity to U.S. Steel.”</w:t>
      </w:r>
    </w:p>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and the Company’s investment in the American Transmission Co. (ATC), recorded net income of $45.0 million, an increase of $1.2 million over 2015 third quarter net income. At Minnesota Power, higher cost recovery revenue and production tax credits were partially offset by higher depreciation expense. Our equity earnings in ATC increased $0.6 million after-tax primarily due to additional investment in ATC.</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2, 2016, Minnesota Power filed a retail rate increase request with the MPUC seeking an interim rate increase of approximately $55 million in additional revenue, with a final rate increase request of approximately $60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ALLETE’s Energy Infrastructure and Related Services businesses, which include ALLETE Clean Energy and U.S. Water Services, recorded net income of</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$1.0 million and $1.5 million, respectively. Earnings at ALLETE Clean Energy decreased $12.2 million primarily due to 2015 results including the previously mentioned profit recognition of $12.3 million after-tax for the construction and sale of a wind energy facility to Montana-Dakota Utilities in 2015. Net income at ALLETE Clean Energy in 2016 also included a $0.9 million after-tax expense related to the prepayment of long-term debt. Earnings at U.S. Water Services increased $0.5 million reflecting lower amortization expense related to purchase accounting adjustments from the 2015 acquisition. 2016 also reflects increased investments in back office systems and support at U.S. Water Services as we create a platform for future growth.</w:t>
      </w:r>
    </w:p>
    <w:p>
      <w:pPr>
        <w:spacing w:after="0" w:line="1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Corporate and Other segment, which includes BNI Energy and ALLETE Properties, posted a net loss of $7.2 million for the quarter, compared to net income of $2.4 million in 2015. The decrease was due to the previously mentioned adverse impact of the October 18, 2016, MPUC hearing on the allocation of North Dakota investment tax credits. The decrease was partially offset by higher net income at ALLETE Properties resulting from the sale of its Ormond Crossings project and a wetland mitigation bank.</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and earnings guidance. Interested parties may listen live by calling (877) 303-5852, or by accessing the webcast at www.allete.com. A replay of the call will be available through November 8, 2016 by calling (855) 859-2056, pass code 93459795. The webcast will be accessible for one year at </w:t>
      </w:r>
      <w:r>
        <w:rPr>
          <w:rFonts w:ascii="Arial" w:cs="Arial" w:eastAsia="Arial" w:hAnsi="Arial"/>
          <w:sz w:val="17"/>
          <w:szCs w:val="17"/>
          <w:u w:val="single" w:color="auto"/>
          <w:color w:val="0000FF"/>
        </w:rPr>
        <w:t>www.allete.com</w:t>
      </w:r>
      <w:r>
        <w:rPr>
          <w:rFonts w:ascii="Arial" w:cs="Arial" w:eastAsia="Arial" w:hAnsi="Arial"/>
          <w:sz w:val="17"/>
          <w:szCs w:val="17"/>
          <w:color w:val="auto"/>
        </w:rPr>
        <w:t>.</w:t>
      </w:r>
    </w:p>
    <w:p>
      <w:pPr>
        <w:sectPr>
          <w:pgSz w:w="11900" w:h="16838" w:orient="portrait"/>
          <w:cols w:equalWidth="0" w:num="1">
            <w:col w:w="11420"/>
          </w:cols>
          <w:pgMar w:left="240" w:top="845" w:right="239" w:bottom="1440" w:gutter="0" w:footer="0" w:header="0"/>
          <w:type w:val="continuous"/>
        </w:sectPr>
      </w:pPr>
    </w:p>
    <w:bookmarkStart w:id="66" w:name="page67"/>
    <w:bookmarkEnd w:id="66"/>
    <w:p>
      <w:pPr>
        <w:ind w:right="280"/>
        <w:spacing w:after="0" w:line="288"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ALLETE Clean Energy, based in Duluth, U.S. Water Services headquartered in St. Michael, Minn., BNI Energy in Center, N.D.,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i w:val="1"/>
          <w:iCs w:val="1"/>
          <w:color w:val="auto"/>
        </w:rPr>
        <w:t>ALE-CORP</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665" w:right="2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4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900" w:type="dxa"/>
            <w:vAlign w:val="bottom"/>
          </w:tcPr>
          <w:p>
            <w:pPr>
              <w:spacing w:after="0"/>
              <w:rPr>
                <w:sz w:val="23"/>
                <w:szCs w:val="23"/>
                <w:color w:val="auto"/>
              </w:rPr>
            </w:pPr>
          </w:p>
        </w:tc>
        <w:tc>
          <w:tcPr>
            <w:tcW w:w="342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1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900" w:type="dxa"/>
            <w:vAlign w:val="bottom"/>
          </w:tcPr>
          <w:p>
            <w:pPr>
              <w:spacing w:after="0"/>
              <w:rPr>
                <w:sz w:val="23"/>
                <w:szCs w:val="23"/>
                <w:color w:val="auto"/>
              </w:rPr>
            </w:pPr>
          </w:p>
        </w:tc>
        <w:tc>
          <w:tcPr>
            <w:tcW w:w="2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$349.6</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$462.5</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$998.2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$1,105.8</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91.0</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76.8</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246.0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242.9</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16.6</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13.9</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49.5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46.4</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149.8</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113.1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80.8</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81.3</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240.9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246.4</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48.9</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43.2</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145.7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12.5</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12.3</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40.6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296.2</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377.3</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835.8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924.7</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53.4</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85.2</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162.4</w:t>
            </w:r>
          </w:p>
        </w:tc>
        <w:tc>
          <w:tcPr>
            <w:tcW w:w="960" w:type="dxa"/>
            <w:vAlign w:val="bottom"/>
          </w:tcPr>
          <w:p>
            <w:pPr>
              <w:jc w:val="right"/>
              <w:spacing w:after="0"/>
              <w:rPr>
                <w:sz w:val="20"/>
                <w:szCs w:val="20"/>
                <w:color w:val="auto"/>
              </w:rPr>
            </w:pPr>
            <w:r>
              <w:rPr>
                <w:rFonts w:ascii="Arial" w:cs="Arial" w:eastAsia="Arial" w:hAnsi="Arial"/>
                <w:sz w:val="18"/>
                <w:szCs w:val="18"/>
                <w:color w:val="auto"/>
              </w:rPr>
              <w:t>181.1</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300" w:type="dxa"/>
            <w:vAlign w:val="bottom"/>
          </w:tcPr>
          <w:p>
            <w:pPr>
              <w:jc w:val="right"/>
              <w:ind w:right="150"/>
              <w:spacing w:after="0"/>
              <w:rPr>
                <w:sz w:val="20"/>
                <w:szCs w:val="20"/>
                <w:color w:val="auto"/>
              </w:rPr>
            </w:pPr>
            <w:r>
              <w:rPr>
                <w:rFonts w:ascii="Arial" w:cs="Arial" w:eastAsia="Arial" w:hAnsi="Arial"/>
                <w:sz w:val="18"/>
                <w:szCs w:val="18"/>
                <w:color w:val="auto"/>
              </w:rPr>
              <w:t>(18.7)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(17.7)</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(53.0)</w:t>
            </w: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(11.4)</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42.0</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74.7</w:t>
            </w: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127.2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40.3</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60.3</w:t>
            </w: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111.5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$40.3</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$60.4</w:t>
            </w: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$111.0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Basic</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49.4</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48.8</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49.3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49.5</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48.9</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49.4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$0.82</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$1.24</w:t>
            </w: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$2.25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$0.81</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$1.23</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$0.52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$0.505</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$1.56</w:t>
            </w:r>
          </w:p>
        </w:tc>
        <w:tc>
          <w:tcPr>
            <w:tcW w:w="960" w:type="dxa"/>
            <w:vAlign w:val="bottom"/>
          </w:tcPr>
          <w:p>
            <w:pPr>
              <w:jc w:val="right"/>
              <w:spacing w:after="0"/>
              <w:rPr>
                <w:sz w:val="20"/>
                <w:szCs w:val="20"/>
                <w:color w:val="auto"/>
              </w:rPr>
            </w:pPr>
            <w:r>
              <w:rPr>
                <w:rFonts w:ascii="Arial" w:cs="Arial" w:eastAsia="Arial" w:hAnsi="Arial"/>
                <w:sz w:val="18"/>
                <w:szCs w:val="18"/>
                <w:color w:val="auto"/>
              </w:rPr>
              <w:t>$1.515</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2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3820" w:type="dxa"/>
            <w:vAlign w:val="bottom"/>
          </w:tcPr>
          <w:p>
            <w:pPr>
              <w:spacing w:after="0"/>
              <w:rPr>
                <w:sz w:val="23"/>
                <w:szCs w:val="23"/>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$107.2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382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$404.3</w:t>
            </w:r>
          </w:p>
        </w:tc>
        <w:tc>
          <w:tcPr>
            <w:tcW w:w="840" w:type="dxa"/>
            <w:vAlign w:val="bottom"/>
          </w:tcPr>
          <w:p>
            <w:pPr>
              <w:jc w:val="right"/>
              <w:spacing w:after="0"/>
              <w:rPr>
                <w:sz w:val="20"/>
                <w:szCs w:val="20"/>
                <w:color w:val="auto"/>
              </w:rPr>
            </w:pPr>
            <w:r>
              <w:rPr>
                <w:rFonts w:ascii="Arial" w:cs="Arial" w:eastAsia="Arial" w:hAnsi="Arial"/>
                <w:sz w:val="18"/>
                <w:szCs w:val="18"/>
                <w:color w:val="auto"/>
              </w:rPr>
              <w:t>$274.8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1,556.7</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3,644.5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3,669.1</w:t>
            </w:r>
          </w:p>
        </w:tc>
        <w:tc>
          <w:tcPr>
            <w:tcW w:w="382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jc w:val="right"/>
              <w:spacing w:after="0"/>
              <w:rPr>
                <w:sz w:val="20"/>
                <w:szCs w:val="20"/>
                <w:color w:val="auto"/>
              </w:rPr>
            </w:pPr>
            <w:r>
              <w:rPr>
                <w:rFonts w:ascii="Arial" w:cs="Arial" w:eastAsia="Arial" w:hAnsi="Arial"/>
                <w:sz w:val="18"/>
                <w:szCs w:val="18"/>
                <w:color w:val="auto"/>
              </w:rPr>
              <w:t>582.1</w:t>
            </w:r>
          </w:p>
        </w:tc>
        <w:tc>
          <w:tcPr>
            <w:tcW w:w="840" w:type="dxa"/>
            <w:vAlign w:val="bottom"/>
          </w:tcPr>
          <w:p>
            <w:pPr>
              <w:jc w:val="right"/>
              <w:spacing w:after="0"/>
              <w:rPr>
                <w:sz w:val="20"/>
                <w:szCs w:val="20"/>
                <w:color w:val="auto"/>
              </w:rPr>
            </w:pPr>
            <w:r>
              <w:rPr>
                <w:rFonts w:ascii="Arial" w:cs="Arial" w:eastAsia="Arial" w:hAnsi="Arial"/>
                <w:sz w:val="18"/>
                <w:szCs w:val="18"/>
                <w:color w:val="auto"/>
              </w:rPr>
              <w:t>579.8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133.8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124.5</w:t>
            </w:r>
          </w:p>
        </w:tc>
        <w:tc>
          <w:tcPr>
            <w:tcW w:w="382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400" w:type="dxa"/>
            <w:vAlign w:val="bottom"/>
          </w:tcPr>
          <w:p>
            <w:pPr>
              <w:jc w:val="right"/>
              <w:spacing w:after="0"/>
              <w:rPr>
                <w:sz w:val="20"/>
                <w:szCs w:val="20"/>
                <w:color w:val="auto"/>
              </w:rPr>
            </w:pPr>
            <w:r>
              <w:rPr>
                <w:rFonts w:ascii="Arial" w:cs="Arial" w:eastAsia="Arial" w:hAnsi="Arial"/>
                <w:sz w:val="18"/>
                <w:szCs w:val="18"/>
                <w:color w:val="auto"/>
              </w:rPr>
              <w:t>197.7</w:t>
            </w:r>
          </w:p>
        </w:tc>
        <w:tc>
          <w:tcPr>
            <w:tcW w:w="840" w:type="dxa"/>
            <w:vAlign w:val="bottom"/>
          </w:tcPr>
          <w:p>
            <w:pPr>
              <w:jc w:val="right"/>
              <w:spacing w:after="0"/>
              <w:rPr>
                <w:sz w:val="20"/>
                <w:szCs w:val="20"/>
                <w:color w:val="auto"/>
              </w:rPr>
            </w:pPr>
            <w:r>
              <w:rPr>
                <w:rFonts w:ascii="Arial" w:cs="Arial" w:eastAsia="Arial" w:hAnsi="Arial"/>
                <w:sz w:val="18"/>
                <w:szCs w:val="18"/>
                <w:color w:val="auto"/>
              </w:rPr>
              <w:t>206.8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215.2</w:t>
            </w:r>
          </w:p>
        </w:tc>
        <w:tc>
          <w:tcPr>
            <w:tcW w:w="382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1,873.0</w:t>
            </w:r>
          </w:p>
        </w:tc>
        <w:tc>
          <w:tcPr>
            <w:tcW w:w="840" w:type="dxa"/>
            <w:vAlign w:val="bottom"/>
          </w:tcPr>
          <w:p>
            <w:pPr>
              <w:jc w:val="right"/>
              <w:spacing w:after="0"/>
              <w:rPr>
                <w:sz w:val="20"/>
                <w:szCs w:val="20"/>
                <w:color w:val="auto"/>
              </w:rPr>
            </w:pPr>
            <w:r>
              <w:rPr>
                <w:rFonts w:ascii="Arial" w:cs="Arial" w:eastAsia="Arial" w:hAnsi="Arial"/>
                <w:sz w:val="18"/>
                <w:szCs w:val="18"/>
                <w:color w:val="auto"/>
              </w:rPr>
              <w:t>1,822.4</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3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$4,874.8</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$4,894.5</w:t>
            </w:r>
          </w:p>
        </w:tc>
        <w:tc>
          <w:tcPr>
            <w:tcW w:w="38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$4,874.8</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$4,894.5</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360" w:type="dxa"/>
            <w:vAlign w:val="bottom"/>
          </w:tcPr>
          <w:p>
            <w:pPr>
              <w:spacing w:after="0"/>
              <w:rPr>
                <w:sz w:val="20"/>
                <w:szCs w:val="20"/>
                <w:color w:val="auto"/>
              </w:rPr>
            </w:pPr>
          </w:p>
        </w:tc>
        <w:tc>
          <w:tcPr>
            <w:tcW w:w="312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3"/>
                <w:szCs w:val="23"/>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480" w:type="dxa"/>
            <w:vAlign w:val="bottom"/>
          </w:tcPr>
          <w:p>
            <w:pPr>
              <w:jc w:val="right"/>
              <w:ind w:right="1130"/>
              <w:spacing w:after="0"/>
              <w:rPr>
                <w:sz w:val="20"/>
                <w:szCs w:val="20"/>
                <w:color w:val="auto"/>
              </w:rPr>
            </w:pPr>
            <w:r>
              <w:rPr>
                <w:rFonts w:ascii="Arial" w:cs="Arial" w:eastAsia="Arial" w:hAnsi="Arial"/>
                <w:sz w:val="18"/>
                <w:szCs w:val="18"/>
                <w:b w:val="1"/>
                <w:bCs w:val="1"/>
                <w:color w:val="auto"/>
              </w:rPr>
              <w:t>2016</w:t>
            </w:r>
          </w:p>
        </w:tc>
        <w:tc>
          <w:tcPr>
            <w:tcW w:w="1360" w:type="dxa"/>
            <w:vAlign w:val="bottom"/>
          </w:tcPr>
          <w:p>
            <w:pPr>
              <w:jc w:val="right"/>
              <w:ind w:right="870"/>
              <w:spacing w:after="0"/>
              <w:rPr>
                <w:sz w:val="20"/>
                <w:szCs w:val="20"/>
                <w:color w:val="auto"/>
              </w:rPr>
            </w:pPr>
            <w:r>
              <w:rPr>
                <w:rFonts w:ascii="Arial" w:cs="Arial" w:eastAsia="Arial" w:hAnsi="Arial"/>
                <w:sz w:val="18"/>
                <w:szCs w:val="18"/>
                <w:b w:val="1"/>
                <w:bCs w:val="1"/>
                <w:color w:val="auto"/>
                <w:w w:val="94"/>
              </w:rPr>
              <w:t>2015</w:t>
            </w:r>
          </w:p>
        </w:tc>
        <w:tc>
          <w:tcPr>
            <w:tcW w:w="2000" w:type="dxa"/>
            <w:vAlign w:val="bottom"/>
          </w:tcPr>
          <w:p>
            <w:pPr>
              <w:jc w:val="right"/>
              <w:ind w:right="123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61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4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$45.0</w:t>
            </w:r>
          </w:p>
        </w:tc>
        <w:tc>
          <w:tcPr>
            <w:tcW w:w="13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$43.8</w:t>
            </w:r>
          </w:p>
        </w:tc>
        <w:tc>
          <w:tcPr>
            <w:tcW w:w="2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$110.0</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$108.1</w:t>
            </w:r>
          </w:p>
        </w:tc>
      </w:tr>
      <w:tr>
        <w:trPr>
          <w:trHeight w:val="216"/>
        </w:trPr>
        <w:tc>
          <w:tcPr>
            <w:tcW w:w="4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2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2480" w:type="dxa"/>
            <w:vAlign w:val="bottom"/>
          </w:tcPr>
          <w:p>
            <w:pPr>
              <w:jc w:val="right"/>
              <w:ind w:right="770"/>
              <w:spacing w:after="0"/>
              <w:rPr>
                <w:sz w:val="20"/>
                <w:szCs w:val="20"/>
                <w:color w:val="auto"/>
              </w:rPr>
            </w:pPr>
            <w:r>
              <w:rPr>
                <w:rFonts w:ascii="Arial" w:cs="Arial" w:eastAsia="Arial" w:hAnsi="Arial"/>
                <w:sz w:val="18"/>
                <w:szCs w:val="18"/>
                <w:color w:val="auto"/>
              </w:rPr>
              <w:t>1.0</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13.2</w:t>
            </w:r>
          </w:p>
        </w:tc>
        <w:tc>
          <w:tcPr>
            <w:tcW w:w="2000" w:type="dxa"/>
            <w:vAlign w:val="bottom"/>
          </w:tcPr>
          <w:p>
            <w:pPr>
              <w:jc w:val="right"/>
              <w:ind w:right="870"/>
              <w:spacing w:after="0"/>
              <w:rPr>
                <w:sz w:val="20"/>
                <w:szCs w:val="20"/>
                <w:color w:val="auto"/>
              </w:rPr>
            </w:pPr>
            <w:r>
              <w:rPr>
                <w:rFonts w:ascii="Arial" w:cs="Arial" w:eastAsia="Arial" w:hAnsi="Arial"/>
                <w:sz w:val="18"/>
                <w:szCs w:val="18"/>
                <w:color w:val="auto"/>
              </w:rPr>
              <w:t>9.7</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18.7</w:t>
            </w: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24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1.5</w:t>
            </w: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w:t>
            </w:r>
          </w:p>
        </w:tc>
        <w:tc>
          <w:tcPr>
            <w:tcW w:w="200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w:t>
            </w:r>
          </w:p>
        </w:tc>
      </w:tr>
      <w:tr>
        <w:trPr>
          <w:trHeight w:val="216"/>
        </w:trPr>
        <w:tc>
          <w:tcPr>
            <w:tcW w:w="4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5"/>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4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(7.2)</w:t>
            </w: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2.4</w:t>
            </w:r>
          </w:p>
        </w:tc>
        <w:tc>
          <w:tcPr>
            <w:tcW w:w="2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(10.7)</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r>
      <w:tr>
        <w:trPr>
          <w:trHeight w:val="237"/>
        </w:trPr>
        <w:tc>
          <w:tcPr>
            <w:tcW w:w="44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248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$40.3</w:t>
            </w:r>
          </w:p>
        </w:tc>
        <w:tc>
          <w:tcPr>
            <w:tcW w:w="13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$60.4</w:t>
            </w:r>
          </w:p>
        </w:tc>
        <w:tc>
          <w:tcPr>
            <w:tcW w:w="2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$111.0</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$122.8</w:t>
            </w:r>
          </w:p>
        </w:tc>
      </w:tr>
      <w:tr>
        <w:trPr>
          <w:trHeight w:val="27"/>
        </w:trPr>
        <w:tc>
          <w:tcPr>
            <w:tcW w:w="4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4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$0.81</w:t>
            </w:r>
          </w:p>
        </w:tc>
        <w:tc>
          <w:tcPr>
            <w:tcW w:w="13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$1.23</w:t>
            </w:r>
          </w:p>
        </w:tc>
        <w:tc>
          <w:tcPr>
            <w:tcW w:w="2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$2.25</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$2.55</w:t>
            </w:r>
          </w:p>
        </w:tc>
      </w:tr>
      <w:tr>
        <w:trPr>
          <w:trHeight w:val="588"/>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24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High</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$65.41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$52.49</w:t>
            </w:r>
          </w:p>
        </w:tc>
        <w:tc>
          <w:tcPr>
            <w:tcW w:w="2000" w:type="dxa"/>
            <w:vAlign w:val="bottom"/>
          </w:tcPr>
          <w:p>
            <w:pPr>
              <w:jc w:val="right"/>
              <w:ind w:right="650"/>
              <w:spacing w:after="0"/>
              <w:rPr>
                <w:sz w:val="20"/>
                <w:szCs w:val="20"/>
                <w:color w:val="auto"/>
              </w:rPr>
            </w:pPr>
            <w:r>
              <w:rPr>
                <w:rFonts w:ascii="Arial" w:cs="Arial" w:eastAsia="Arial" w:hAnsi="Arial"/>
                <w:sz w:val="18"/>
                <w:szCs w:val="18"/>
                <w:color w:val="auto"/>
              </w:rPr>
              <w:t>$65.41</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$59.73</w:t>
            </w: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$58.20</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$45.29</w:t>
            </w:r>
          </w:p>
        </w:tc>
        <w:tc>
          <w:tcPr>
            <w:tcW w:w="20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$48.26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$45.29</w:t>
            </w: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Close</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$59.62</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$50.49</w:t>
            </w:r>
          </w:p>
        </w:tc>
        <w:tc>
          <w:tcPr>
            <w:tcW w:w="2000" w:type="dxa"/>
            <w:vAlign w:val="bottom"/>
          </w:tcPr>
          <w:p>
            <w:pPr>
              <w:jc w:val="right"/>
              <w:ind w:right="650"/>
              <w:spacing w:after="0"/>
              <w:rPr>
                <w:sz w:val="20"/>
                <w:szCs w:val="20"/>
                <w:color w:val="auto"/>
              </w:rPr>
            </w:pPr>
            <w:r>
              <w:rPr>
                <w:rFonts w:ascii="Arial" w:cs="Arial" w:eastAsia="Arial" w:hAnsi="Arial"/>
                <w:sz w:val="18"/>
                <w:szCs w:val="18"/>
                <w:color w:val="auto"/>
              </w:rPr>
              <w:t>$59.62</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$50.49</w:t>
            </w: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$37.87</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$37.20</w:t>
            </w:r>
          </w:p>
        </w:tc>
        <w:tc>
          <w:tcPr>
            <w:tcW w:w="20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$37.87</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$37.20</w:t>
            </w:r>
          </w:p>
        </w:tc>
      </w:tr>
      <w:tr>
        <w:trPr>
          <w:trHeight w:val="594"/>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250</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250</w:t>
            </w:r>
          </w:p>
        </w:tc>
        <w:tc>
          <w:tcPr>
            <w:tcW w:w="20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816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833</w:t>
            </w:r>
          </w:p>
        </w:tc>
      </w:tr>
      <w:tr>
        <w:trPr>
          <w:trHeight w:val="243"/>
        </w:trPr>
        <w:tc>
          <w:tcPr>
            <w:tcW w:w="44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383</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391</w:t>
            </w:r>
          </w:p>
        </w:tc>
        <w:tc>
          <w:tcPr>
            <w:tcW w:w="2000" w:type="dxa"/>
            <w:vAlign w:val="bottom"/>
          </w:tcPr>
          <w:p>
            <w:pPr>
              <w:jc w:val="right"/>
              <w:ind w:right="650"/>
              <w:spacing w:after="0"/>
              <w:rPr>
                <w:sz w:val="20"/>
                <w:szCs w:val="20"/>
                <w:color w:val="auto"/>
              </w:rPr>
            </w:pPr>
            <w:r>
              <w:rPr>
                <w:rFonts w:ascii="Arial" w:cs="Arial" w:eastAsia="Arial" w:hAnsi="Arial"/>
                <w:sz w:val="18"/>
                <w:szCs w:val="18"/>
                <w:color w:val="auto"/>
              </w:rPr>
              <w:t>1,090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1,106</w:t>
            </w: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2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205</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209</w:t>
            </w:r>
          </w:p>
        </w:tc>
        <w:tc>
          <w:tcPr>
            <w:tcW w:w="20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611</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629</w:t>
            </w:r>
          </w:p>
        </w:tc>
      </w:tr>
      <w:tr>
        <w:trPr>
          <w:trHeight w:val="243"/>
        </w:trPr>
        <w:tc>
          <w:tcPr>
            <w:tcW w:w="44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1,633</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1,538</w:t>
            </w:r>
          </w:p>
        </w:tc>
        <w:tc>
          <w:tcPr>
            <w:tcW w:w="2000" w:type="dxa"/>
            <w:vAlign w:val="bottom"/>
          </w:tcPr>
          <w:p>
            <w:pPr>
              <w:jc w:val="right"/>
              <w:ind w:right="650"/>
              <w:spacing w:after="0"/>
              <w:rPr>
                <w:sz w:val="20"/>
                <w:szCs w:val="20"/>
                <w:color w:val="auto"/>
              </w:rPr>
            </w:pPr>
            <w:r>
              <w:rPr>
                <w:rFonts w:ascii="Arial" w:cs="Arial" w:eastAsia="Arial" w:hAnsi="Arial"/>
                <w:sz w:val="18"/>
                <w:szCs w:val="18"/>
                <w:color w:val="auto"/>
              </w:rPr>
              <w:t>4,740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5,063</w:t>
            </w:r>
          </w:p>
        </w:tc>
      </w:tr>
      <w:tr>
        <w:trPr>
          <w:trHeight w:val="27"/>
        </w:trPr>
        <w:tc>
          <w:tcPr>
            <w:tcW w:w="4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2,471</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2,388</w:t>
            </w:r>
          </w:p>
        </w:tc>
        <w:tc>
          <w:tcPr>
            <w:tcW w:w="20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7,257</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7,631</w:t>
            </w: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1,141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1,052</w:t>
            </w:r>
          </w:p>
        </w:tc>
        <w:tc>
          <w:tcPr>
            <w:tcW w:w="2000" w:type="dxa"/>
            <w:vAlign w:val="bottom"/>
          </w:tcPr>
          <w:p>
            <w:pPr>
              <w:jc w:val="right"/>
              <w:ind w:right="650"/>
              <w:spacing w:after="0"/>
              <w:rPr>
                <w:sz w:val="20"/>
                <w:szCs w:val="20"/>
                <w:color w:val="auto"/>
              </w:rPr>
            </w:pPr>
            <w:r>
              <w:rPr>
                <w:rFonts w:ascii="Arial" w:cs="Arial" w:eastAsia="Arial" w:hAnsi="Arial"/>
                <w:sz w:val="18"/>
                <w:szCs w:val="18"/>
                <w:color w:val="auto"/>
              </w:rPr>
              <w:t>3,456</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3,056</w:t>
            </w:r>
          </w:p>
        </w:tc>
      </w:tr>
      <w:tr>
        <w:trPr>
          <w:trHeight w:val="27"/>
        </w:trPr>
        <w:tc>
          <w:tcPr>
            <w:tcW w:w="4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2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3,612</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3,440</w:t>
            </w:r>
          </w:p>
        </w:tc>
        <w:tc>
          <w:tcPr>
            <w:tcW w:w="20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10,713</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10,687</w:t>
            </w:r>
          </w:p>
        </w:tc>
      </w:tr>
      <w:tr>
        <w:trPr>
          <w:trHeight w:val="588"/>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4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$27.4</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$27.2</w:t>
            </w:r>
          </w:p>
        </w:tc>
        <w:tc>
          <w:tcPr>
            <w:tcW w:w="20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$85.2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$86.3</w:t>
            </w:r>
          </w:p>
        </w:tc>
      </w:tr>
      <w:tr>
        <w:trPr>
          <w:trHeight w:val="243"/>
        </w:trPr>
        <w:tc>
          <w:tcPr>
            <w:tcW w:w="44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36.1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34.7</w:t>
            </w:r>
          </w:p>
        </w:tc>
        <w:tc>
          <w:tcPr>
            <w:tcW w:w="2000" w:type="dxa"/>
            <w:vAlign w:val="bottom"/>
          </w:tcPr>
          <w:p>
            <w:pPr>
              <w:jc w:val="right"/>
              <w:ind w:right="650"/>
              <w:spacing w:after="0"/>
              <w:rPr>
                <w:sz w:val="20"/>
                <w:szCs w:val="20"/>
                <w:color w:val="auto"/>
              </w:rPr>
            </w:pPr>
            <w:r>
              <w:rPr>
                <w:rFonts w:ascii="Arial" w:cs="Arial" w:eastAsia="Arial" w:hAnsi="Arial"/>
                <w:sz w:val="18"/>
                <w:szCs w:val="18"/>
                <w:color w:val="auto"/>
              </w:rPr>
              <w:t>100.1</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99.8</w:t>
            </w: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2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19.2</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16.4</w:t>
            </w:r>
          </w:p>
        </w:tc>
        <w:tc>
          <w:tcPr>
            <w:tcW w:w="20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50.4</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46.9</w:t>
            </w:r>
          </w:p>
        </w:tc>
      </w:tr>
      <w:tr>
        <w:trPr>
          <w:trHeight w:val="243"/>
        </w:trPr>
        <w:tc>
          <w:tcPr>
            <w:tcW w:w="44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106.0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101.8</w:t>
            </w:r>
          </w:p>
        </w:tc>
        <w:tc>
          <w:tcPr>
            <w:tcW w:w="2000" w:type="dxa"/>
            <w:vAlign w:val="bottom"/>
          </w:tcPr>
          <w:p>
            <w:pPr>
              <w:jc w:val="right"/>
              <w:ind w:right="650"/>
              <w:spacing w:after="0"/>
              <w:rPr>
                <w:sz w:val="20"/>
                <w:szCs w:val="20"/>
                <w:color w:val="auto"/>
              </w:rPr>
            </w:pPr>
            <w:r>
              <w:rPr>
                <w:rFonts w:ascii="Arial" w:cs="Arial" w:eastAsia="Arial" w:hAnsi="Arial"/>
                <w:sz w:val="18"/>
                <w:szCs w:val="18"/>
                <w:color w:val="auto"/>
              </w:rPr>
              <w:t>302.5</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320.7</w:t>
            </w:r>
          </w:p>
        </w:tc>
      </w:tr>
      <w:tr>
        <w:trPr>
          <w:trHeight w:val="27"/>
        </w:trPr>
        <w:tc>
          <w:tcPr>
            <w:tcW w:w="4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188.7</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180.1</w:t>
            </w:r>
          </w:p>
        </w:tc>
        <w:tc>
          <w:tcPr>
            <w:tcW w:w="20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538.2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553.7</w:t>
            </w:r>
          </w:p>
        </w:tc>
      </w:tr>
      <w:tr>
        <w:trPr>
          <w:trHeight w:val="243"/>
        </w:trPr>
        <w:tc>
          <w:tcPr>
            <w:tcW w:w="44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46.8</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39.5</w:t>
            </w:r>
          </w:p>
        </w:tc>
        <w:tc>
          <w:tcPr>
            <w:tcW w:w="2000" w:type="dxa"/>
            <w:vAlign w:val="bottom"/>
          </w:tcPr>
          <w:p>
            <w:pPr>
              <w:jc w:val="right"/>
              <w:ind w:right="650"/>
              <w:spacing w:after="0"/>
              <w:rPr>
                <w:sz w:val="20"/>
                <w:szCs w:val="20"/>
                <w:color w:val="auto"/>
              </w:rPr>
            </w:pPr>
            <w:r>
              <w:rPr>
                <w:rFonts w:ascii="Arial" w:cs="Arial" w:eastAsia="Arial" w:hAnsi="Arial"/>
                <w:sz w:val="18"/>
                <w:szCs w:val="18"/>
                <w:color w:val="auto"/>
              </w:rPr>
              <w:t>133.2</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110.8</w:t>
            </w:r>
          </w:p>
        </w:tc>
      </w:tr>
      <w:tr>
        <w:trPr>
          <w:trHeight w:val="27"/>
        </w:trPr>
        <w:tc>
          <w:tcPr>
            <w:tcW w:w="4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17.8</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30.6</w:t>
            </w:r>
          </w:p>
        </w:tc>
        <w:tc>
          <w:tcPr>
            <w:tcW w:w="20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69.1</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78.5</w:t>
            </w:r>
          </w:p>
        </w:tc>
      </w:tr>
      <w:tr>
        <w:trPr>
          <w:trHeight w:val="237"/>
        </w:trPr>
        <w:tc>
          <w:tcPr>
            <w:tcW w:w="4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4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$253.3</w:t>
            </w:r>
          </w:p>
        </w:tc>
        <w:tc>
          <w:tcPr>
            <w:tcW w:w="13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$250.2</w:t>
            </w:r>
          </w:p>
        </w:tc>
        <w:tc>
          <w:tcPr>
            <w:tcW w:w="200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$740.5</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$743.0</w:t>
            </w:r>
          </w:p>
        </w:tc>
      </w:tr>
      <w:tr>
        <w:trPr>
          <w:trHeight w:val="27"/>
        </w:trPr>
        <w:tc>
          <w:tcPr>
            <w:tcW w:w="4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decimal"/>
      <w:start w:val="2"/>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32"/>
    </w:lvl>
  </w:abstractNum>
  <w:abstractNum w:abstractNumId="23">
    <w:nsid w:val="4353D0CD"/>
    <w:multiLevelType w:val="hybridMultilevel"/>
    <w:lvl w:ilvl="0">
      <w:lvlJc w:val="left"/>
      <w:lvlText w:val="%1"/>
      <w:numFmt w:val="decimal"/>
      <w:start w:val="99"/>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2019-12-29T08:46:32Z</dcterms:created>
  <dcterms:modified xsi:type="dcterms:W3CDTF">2019-12-29T08:46:32Z</dcterms:modified>
</cp:coreProperties>
</file>