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720" w:right="4300" w:hanging="685"/>
        <w:spacing w:after="0" w:line="34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March 31, 2016</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387" w:lineRule="exact"/>
        <w:rPr>
          <w:sz w:val="24"/>
          <w:szCs w:val="24"/>
          <w:color w:val="auto"/>
        </w:rPr>
      </w:pPr>
    </w:p>
    <w:p>
      <w:pPr>
        <w:ind w:left="720" w:right="4260" w:hanging="685"/>
        <w:spacing w:after="0" w:line="340"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769" w:right="239" w:bottom="1440" w:gutter="0" w:footer="0" w:header="0"/>
        </w:sectPr>
      </w:pPr>
    </w:p>
    <w:p>
      <w:pPr>
        <w:spacing w:after="0" w:line="390"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41-0418150</w:t>
      </w:r>
    </w:p>
    <w:p>
      <w:pPr>
        <w:spacing w:after="0" w:line="90" w:lineRule="exact"/>
        <w:rPr>
          <w:sz w:val="24"/>
          <w:szCs w:val="24"/>
          <w:color w:val="auto"/>
        </w:rPr>
      </w:pPr>
    </w:p>
    <w:p>
      <w:pPr>
        <w:sectPr>
          <w:pgSz w:w="11900" w:h="16838" w:orient="portrait"/>
          <w:cols w:equalWidth="0" w:num="2">
            <w:col w:w="7460" w:space="720"/>
            <w:col w:w="3240"/>
          </w:cols>
          <w:pgMar w:left="240" w:top="769"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769"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769" w:right="2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769" w:right="239" w:bottom="1440" w:gutter="0" w:footer="0" w:header="0"/>
          <w:type w:val="continuous"/>
        </w:sectPr>
      </w:pPr>
    </w:p>
    <w:p>
      <w:pPr>
        <w:spacing w:after="0" w:line="309"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7060" w:space="720"/>
            <w:col w:w="3640"/>
          </w:cols>
          <w:pgMar w:left="240" w:top="769" w:right="239" w:bottom="1440" w:gutter="0" w:footer="0" w:header="0"/>
          <w:type w:val="continuous"/>
        </w:sectPr>
      </w:pPr>
    </w:p>
    <w:p>
      <w:pPr>
        <w:ind w:left="2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240" w:space="720"/>
            <w:col w:w="4460"/>
          </w:cols>
          <w:pgMar w:left="240" w:top="769" w:right="239" w:bottom="1440" w:gutter="0" w:footer="0" w:header="0"/>
          <w:type w:val="continuous"/>
        </w:sectPr>
      </w:pPr>
    </w:p>
    <w:p>
      <w:pPr>
        <w:spacing w:after="0" w:line="6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w:t>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49,256,265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March 31, 2016</w:t>
      </w:r>
    </w:p>
    <w:p>
      <w:pPr>
        <w:sectPr>
          <w:pgSz w:w="11900" w:h="16838" w:orient="portrait"/>
          <w:cols w:equalWidth="0" w:num="1">
            <w:col w:w="11420"/>
          </w:cols>
          <w:pgMar w:left="240" w:top="76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80" w:type="dxa"/>
            <w:vAlign w:val="bottom"/>
            <w:gridSpan w:val="3"/>
          </w:tcPr>
          <w:p>
            <w:pPr>
              <w:ind w:left="560"/>
              <w:spacing w:after="0"/>
              <w:rPr>
                <w:sz w:val="20"/>
                <w:szCs w:val="20"/>
                <w:color w:val="auto"/>
              </w:rPr>
            </w:pPr>
            <w:r>
              <w:rPr>
                <w:rFonts w:ascii="Arial" w:cs="Arial" w:eastAsia="Arial" w:hAnsi="Arial"/>
                <w:sz w:val="18"/>
                <w:szCs w:val="18"/>
                <w:b w:val="1"/>
                <w:bCs w:val="1"/>
                <w:color w:val="auto"/>
              </w:rPr>
              <w:t>Index</w:t>
            </w:r>
          </w:p>
        </w:tc>
      </w:tr>
      <w:tr>
        <w:trPr>
          <w:trHeight w:val="378"/>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r>
      <w:tr>
        <w:trPr>
          <w:trHeight w:val="297"/>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840" w:type="dxa"/>
            <w:vAlign w:val="bottom"/>
            <w:gridSpan w:val="3"/>
            <w:shd w:val="clear" w:color="auto" w:fill="CCEEFF"/>
          </w:tcPr>
          <w:p>
            <w:pPr>
              <w:ind w:left="40"/>
              <w:spacing w:after="0" w:line="202"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Definitions</w:t>
              </w:r>
            </w:hyperlink>
          </w:p>
        </w:tc>
        <w:tc>
          <w:tcPr>
            <w:tcW w:w="5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4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gridSpan w:val="2"/>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636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94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64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780" w:type="dxa"/>
            <w:vAlign w:val="bottom"/>
            <w:tcBorders>
              <w:top w:val="single" w:sz="8" w:color="0000EE"/>
            </w:tcBorders>
            <w:gridSpan w:val="2"/>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636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40" w:type="dxa"/>
            <w:vAlign w:val="bottom"/>
            <w:gridSpan w:val="3"/>
            <w:shd w:val="clear" w:color="auto" w:fill="CCEEFF"/>
          </w:tcPr>
          <w:p>
            <w:pPr>
              <w:ind w:lef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Part I.</w:t>
              </w:r>
            </w:hyperlink>
          </w:p>
        </w:tc>
        <w:tc>
          <w:tcPr>
            <w:tcW w:w="4100" w:type="dxa"/>
            <w:vAlign w:val="bottom"/>
            <w:gridSpan w:val="6"/>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Financial Information</w:t>
              </w:r>
            </w:hyperlink>
          </w:p>
        </w:tc>
        <w:tc>
          <w:tcPr>
            <w:tcW w:w="6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63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Item 1.</w:t>
              </w:r>
            </w:hyperlink>
          </w:p>
        </w:tc>
        <w:tc>
          <w:tcPr>
            <w:tcW w:w="3060" w:type="dxa"/>
            <w:vAlign w:val="bottom"/>
            <w:gridSpan w:val="4"/>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Financial Statements</w:t>
              </w:r>
            </w:hyperlink>
          </w:p>
        </w:tc>
        <w:tc>
          <w:tcPr>
            <w:tcW w:w="6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96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ind w:left="8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Balance Sheet -</w:t>
        </w:r>
      </w:hyperlink>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17"/>
          </w:tcPr>
          <w:p>
            <w:pPr>
              <w:spacing w:after="0"/>
              <w:rPr>
                <w:sz w:val="20"/>
                <w:szCs w:val="20"/>
                <w:color w:val="auto"/>
              </w:rPr>
            </w:pPr>
            <w:r>
              <w:rPr>
                <w:rFonts w:ascii="Arial" w:cs="Arial" w:eastAsia="Arial" w:hAnsi="Arial"/>
                <w:sz w:val="18"/>
                <w:szCs w:val="18"/>
                <w:color w:val="auto"/>
              </w:rPr>
              <w:t>March 31, 2016 and December 31, 2015</w:t>
            </w:r>
          </w:p>
        </w:tc>
        <w:tc>
          <w:tcPr>
            <w:tcW w:w="200" w:type="dxa"/>
            <w:vAlign w:val="bottom"/>
            <w:gridSpan w:val="3"/>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80" w:type="dxa"/>
            <w:vAlign w:val="bottom"/>
            <w:gridSpan w:val="20"/>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 of Income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340" w:type="dxa"/>
            <w:vAlign w:val="bottom"/>
            <w:gridSpan w:val="17"/>
            <w:shd w:val="clear" w:color="auto" w:fill="CCEEFF"/>
          </w:tcPr>
          <w:p>
            <w:pPr>
              <w:spacing w:after="0" w:line="202" w:lineRule="exact"/>
              <w:rPr>
                <w:sz w:val="20"/>
                <w:szCs w:val="20"/>
                <w:color w:val="auto"/>
              </w:rPr>
            </w:pPr>
            <w:r>
              <w:rPr>
                <w:rFonts w:ascii="Arial" w:cs="Arial" w:eastAsia="Arial" w:hAnsi="Arial"/>
                <w:sz w:val="18"/>
                <w:szCs w:val="18"/>
                <w:color w:val="auto"/>
              </w:rPr>
              <w:t>Three Months Ended March 31, 2016 and 2015</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2"/>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8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0000EE"/>
            </w:tcBorders>
            <w:gridSpan w:val="16"/>
            <w:shd w:val="clear" w:color="auto" w:fill="CCEEFF"/>
          </w:tcPr>
          <w:p>
            <w:pPr>
              <w:spacing w:after="0" w:line="202"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Consolidated Statement of Comprehensive Income -</w:t>
              </w:r>
            </w:hyperlink>
          </w:p>
        </w:tc>
        <w:tc>
          <w:tcPr>
            <w:tcW w:w="6600" w:type="dxa"/>
            <w:vAlign w:val="bottom"/>
            <w:tcBorders>
              <w:bottom w:val="single" w:sz="8" w:color="CCEEFF"/>
            </w:tcBorders>
            <w:gridSpan w:val="4"/>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17"/>
          </w:tcPr>
          <w:p>
            <w:pPr>
              <w:spacing w:after="0" w:line="202" w:lineRule="exact"/>
              <w:rPr>
                <w:sz w:val="20"/>
                <w:szCs w:val="20"/>
                <w:color w:val="auto"/>
              </w:rPr>
            </w:pPr>
            <w:r>
              <w:rPr>
                <w:rFonts w:ascii="Arial" w:cs="Arial" w:eastAsia="Arial" w:hAnsi="Arial"/>
                <w:sz w:val="18"/>
                <w:szCs w:val="18"/>
                <w:color w:val="auto"/>
              </w:rPr>
              <w:t>Three Months Ended March 31, 2016 and 2015</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80" w:type="dxa"/>
            <w:vAlign w:val="bottom"/>
            <w:gridSpan w:val="20"/>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Consolidated Statement of Cash Flows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340" w:type="dxa"/>
            <w:vAlign w:val="bottom"/>
            <w:gridSpan w:val="17"/>
            <w:shd w:val="clear" w:color="auto" w:fill="CCEEFF"/>
          </w:tcPr>
          <w:p>
            <w:pPr>
              <w:spacing w:after="0" w:line="202" w:lineRule="exact"/>
              <w:rPr>
                <w:sz w:val="20"/>
                <w:szCs w:val="20"/>
                <w:color w:val="auto"/>
              </w:rPr>
            </w:pPr>
            <w:r>
              <w:rPr>
                <w:rFonts w:ascii="Arial" w:cs="Arial" w:eastAsia="Arial" w:hAnsi="Arial"/>
                <w:sz w:val="18"/>
                <w:szCs w:val="18"/>
                <w:color w:val="auto"/>
              </w:rPr>
              <w:t>Three Months Ended March 31, 2016 and 2015</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2"/>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80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380" w:type="dxa"/>
            <w:vAlign w:val="bottom"/>
            <w:gridSpan w:val="20"/>
            <w:shd w:val="clear" w:color="auto" w:fill="CCEEFF"/>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Consolidated Statement of Shareholders' Equity -</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8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17"/>
          </w:tcPr>
          <w:p>
            <w:pPr>
              <w:spacing w:after="0" w:line="202" w:lineRule="exact"/>
              <w:rPr>
                <w:sz w:val="20"/>
                <w:szCs w:val="20"/>
                <w:color w:val="auto"/>
              </w:rPr>
            </w:pPr>
            <w:r>
              <w:rPr>
                <w:rFonts w:ascii="Arial" w:cs="Arial" w:eastAsia="Arial" w:hAnsi="Arial"/>
                <w:sz w:val="18"/>
                <w:szCs w:val="18"/>
                <w:color w:val="auto"/>
              </w:rPr>
              <w:t>Three Months Ended March 31, 2016</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30"/>
        </w:trPr>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80" w:type="dxa"/>
            <w:vAlign w:val="bottom"/>
            <w:gridSpan w:val="20"/>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Notes to Consolidated Financial Statements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12</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2.</w:t>
              </w:r>
            </w:hyperlink>
          </w:p>
        </w:tc>
        <w:tc>
          <w:tcPr>
            <w:tcW w:w="520" w:type="dxa"/>
            <w:vAlign w:val="bottom"/>
            <w:gridSpan w:val="2"/>
          </w:tcPr>
          <w:p>
            <w:pPr>
              <w:spacing w:after="0"/>
              <w:rPr>
                <w:sz w:val="17"/>
                <w:szCs w:val="17"/>
                <w:color w:val="auto"/>
              </w:rPr>
            </w:pPr>
          </w:p>
        </w:tc>
        <w:tc>
          <w:tcPr>
            <w:tcW w:w="9340" w:type="dxa"/>
            <w:vAlign w:val="bottom"/>
            <w:gridSpan w:val="17"/>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5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and Results of Operations</w:t>
              </w:r>
            </w:hyperlink>
          </w:p>
        </w:tc>
        <w:tc>
          <w:tcPr>
            <w:tcW w:w="4800" w:type="dxa"/>
            <w:vAlign w:val="bottom"/>
          </w:tcPr>
          <w:p>
            <w:pPr>
              <w:spacing w:after="0"/>
              <w:rPr>
                <w:sz w:val="17"/>
                <w:szCs w:val="17"/>
                <w:color w:val="auto"/>
              </w:rPr>
            </w:pPr>
          </w:p>
        </w:tc>
        <w:tc>
          <w:tcPr>
            <w:tcW w:w="200" w:type="dxa"/>
            <w:vAlign w:val="bottom"/>
            <w:gridSpan w:val="3"/>
          </w:tcPr>
          <w:p>
            <w:pPr>
              <w:jc w:val="right"/>
              <w:ind w:right="20"/>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36</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3.</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5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4.</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Controls and Procedures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840" w:type="dxa"/>
            <w:vAlign w:val="bottom"/>
            <w:gridSpan w:val="4"/>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Part II.</w:t>
              </w:r>
            </w:hyperlink>
          </w:p>
        </w:tc>
        <w:tc>
          <w:tcPr>
            <w:tcW w:w="10380" w:type="dxa"/>
            <w:vAlign w:val="bottom"/>
            <w:gridSpan w:val="20"/>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1.</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1A.</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2.</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Unregistered Sales of Equity Securities and Use of Proceeds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5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3.</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Defaults Upon Senior Securities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4.</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5.</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6.</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840" w:type="dxa"/>
            <w:vAlign w:val="bottom"/>
            <w:gridSpan w:val="4"/>
          </w:tcPr>
          <w:p>
            <w:pPr>
              <w:ind w:left="40"/>
              <w:spacing w:after="0" w:line="202"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Signatures</w:t>
              </w:r>
            </w:hyperlink>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446"/>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20" w:type="dxa"/>
            <w:vAlign w:val="bottom"/>
            <w:gridSpan w:val="5"/>
          </w:tcPr>
          <w:p>
            <w:pPr>
              <w:spacing w:after="0"/>
              <w:rPr>
                <w:sz w:val="20"/>
                <w:szCs w:val="20"/>
                <w:color w:val="auto"/>
              </w:rPr>
            </w:pPr>
            <w:r>
              <w:rPr>
                <w:rFonts w:ascii="Arial" w:cs="Arial" w:eastAsia="Arial" w:hAnsi="Arial"/>
                <w:sz w:val="14"/>
                <w:szCs w:val="14"/>
                <w:color w:val="auto"/>
              </w:rPr>
              <w:t>ALLETE, Inc. First Quarter 2016 Form 10-Q</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20"/>
          </w:cols>
          <w:pgMar w:left="240" w:top="661" w:right="239" w:bottom="1083" w:gutter="0" w:footer="0" w:header="0"/>
        </w:sectPr>
      </w:pPr>
    </w:p>
    <w:p>
      <w:pPr>
        <w:ind w:left="11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661" w:right="239" w:bottom="1083"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29"/>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AFUDC</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Allowance for Funds Used During Construction – the cost of both debt and equity funds used to finance utility</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plant additions during construction periods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Clean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 Properties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Transmission Holdings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Transmission Holdings,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ATC</w:t>
            </w:r>
          </w:p>
        </w:tc>
        <w:tc>
          <w:tcPr>
            <w:tcW w:w="8180" w:type="dxa"/>
            <w:vAlign w:val="bottom"/>
            <w:gridSpan w:val="2"/>
          </w:tcPr>
          <w:p>
            <w:pPr>
              <w:spacing w:after="0"/>
              <w:rPr>
                <w:sz w:val="20"/>
                <w:szCs w:val="20"/>
                <w:color w:val="auto"/>
              </w:rPr>
            </w:pPr>
            <w:r>
              <w:rPr>
                <w:rFonts w:ascii="Arial" w:cs="Arial" w:eastAsia="Arial" w:hAnsi="Arial"/>
                <w:sz w:val="18"/>
                <w:szCs w:val="18"/>
                <w:color w:val="auto"/>
              </w:rPr>
              <w:t>American Transmission Company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Bison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Bison Wind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BNI Energy</w:t>
            </w:r>
          </w:p>
        </w:tc>
        <w:tc>
          <w:tcPr>
            <w:tcW w:w="8180" w:type="dxa"/>
            <w:vAlign w:val="bottom"/>
            <w:gridSpan w:val="2"/>
          </w:tcPr>
          <w:p>
            <w:pPr>
              <w:spacing w:after="0"/>
              <w:rPr>
                <w:sz w:val="20"/>
                <w:szCs w:val="20"/>
                <w:color w:val="auto"/>
              </w:rPr>
            </w:pPr>
            <w:r>
              <w:rPr>
                <w:rFonts w:ascii="Arial" w:cs="Arial" w:eastAsia="Arial" w:hAnsi="Arial"/>
                <w:sz w:val="18"/>
                <w:szCs w:val="18"/>
                <w:color w:val="auto"/>
              </w:rPr>
              <w:t>BNI Coal, Ltd. d/b/a BNI Energy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Boswell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Boswell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Carbon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CSAPR</w:t>
            </w:r>
          </w:p>
        </w:tc>
        <w:tc>
          <w:tcPr>
            <w:tcW w:w="8180" w:type="dxa"/>
            <w:vAlign w:val="bottom"/>
            <w:gridSpan w:val="2"/>
          </w:tcPr>
          <w:p>
            <w:pPr>
              <w:spacing w:after="0"/>
              <w:rPr>
                <w:sz w:val="20"/>
                <w:szCs w:val="20"/>
                <w:color w:val="auto"/>
              </w:rPr>
            </w:pPr>
            <w:r>
              <w:rPr>
                <w:rFonts w:ascii="Arial" w:cs="Arial" w:eastAsia="Arial" w:hAnsi="Arial"/>
                <w:sz w:val="18"/>
                <w:szCs w:val="18"/>
                <w:color w:val="auto"/>
              </w:rPr>
              <w:t>Cross-State Air Pollution Rule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 Current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EIS</w:t>
            </w:r>
          </w:p>
        </w:tc>
        <w:tc>
          <w:tcPr>
            <w:tcW w:w="8180" w:type="dxa"/>
            <w:vAlign w:val="bottom"/>
            <w:gridSpan w:val="2"/>
          </w:tcPr>
          <w:p>
            <w:pPr>
              <w:spacing w:after="0"/>
              <w:rPr>
                <w:sz w:val="20"/>
                <w:szCs w:val="20"/>
                <w:color w:val="auto"/>
              </w:rPr>
            </w:pPr>
            <w:r>
              <w:rPr>
                <w:rFonts w:ascii="Arial" w:cs="Arial" w:eastAsia="Arial" w:hAnsi="Arial"/>
                <w:sz w:val="18"/>
                <w:szCs w:val="18"/>
                <w:color w:val="auto"/>
              </w:rPr>
              <w:t>Environmental Impact Statement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EPA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Environmental Protection Agency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ESOP</w:t>
            </w:r>
          </w:p>
        </w:tc>
        <w:tc>
          <w:tcPr>
            <w:tcW w:w="8180" w:type="dxa"/>
            <w:vAlign w:val="bottom"/>
            <w:gridSpan w:val="2"/>
          </w:tcPr>
          <w:p>
            <w:pPr>
              <w:spacing w:after="0"/>
              <w:rPr>
                <w:sz w:val="20"/>
                <w:szCs w:val="20"/>
                <w:color w:val="auto"/>
              </w:rPr>
            </w:pPr>
            <w:r>
              <w:rPr>
                <w:rFonts w:ascii="Arial" w:cs="Arial" w:eastAsia="Arial" w:hAnsi="Arial"/>
                <w:sz w:val="18"/>
                <w:szCs w:val="18"/>
                <w:color w:val="auto"/>
              </w:rPr>
              <w:t>Employee Stock Ownership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FASB</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Financial Accounting Standards Board</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FERC</w:t>
            </w:r>
          </w:p>
        </w:tc>
        <w:tc>
          <w:tcPr>
            <w:tcW w:w="8180" w:type="dxa"/>
            <w:vAlign w:val="bottom"/>
            <w:gridSpan w:val="2"/>
          </w:tcPr>
          <w:p>
            <w:pPr>
              <w:spacing w:after="0"/>
              <w:rPr>
                <w:sz w:val="20"/>
                <w:szCs w:val="20"/>
                <w:color w:val="auto"/>
              </w:rPr>
            </w:pPr>
            <w:r>
              <w:rPr>
                <w:rFonts w:ascii="Arial" w:cs="Arial" w:eastAsia="Arial" w:hAnsi="Arial"/>
                <w:sz w:val="18"/>
                <w:szCs w:val="18"/>
                <w:color w:val="auto"/>
              </w:rPr>
              <w:t>Federal Energy Regulatory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10-K</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Annual Report on Form 10-K</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Form 10-Q</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Quarterly Report on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GAAP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GHG</w:t>
            </w:r>
          </w:p>
        </w:tc>
        <w:tc>
          <w:tcPr>
            <w:tcW w:w="8180" w:type="dxa"/>
            <w:vAlign w:val="bottom"/>
            <w:gridSpan w:val="2"/>
          </w:tcPr>
          <w:p>
            <w:pPr>
              <w:spacing w:after="0"/>
              <w:rPr>
                <w:sz w:val="20"/>
                <w:szCs w:val="20"/>
                <w:color w:val="auto"/>
              </w:rPr>
            </w:pPr>
            <w:r>
              <w:rPr>
                <w:rFonts w:ascii="Arial" w:cs="Arial" w:eastAsia="Arial" w:hAnsi="Arial"/>
                <w:sz w:val="18"/>
                <w:szCs w:val="18"/>
                <w:color w:val="auto"/>
              </w:rPr>
              <w:t>Greenhouse Gases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GNTL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Great Northern Transmission Line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IBEW</w:t>
            </w:r>
          </w:p>
        </w:tc>
        <w:tc>
          <w:tcPr>
            <w:tcW w:w="8180" w:type="dxa"/>
            <w:vAlign w:val="bottom"/>
            <w:gridSpan w:val="2"/>
          </w:tcPr>
          <w:p>
            <w:pPr>
              <w:spacing w:after="0"/>
              <w:rPr>
                <w:sz w:val="20"/>
                <w:szCs w:val="20"/>
                <w:color w:val="auto"/>
              </w:rPr>
            </w:pPr>
            <w:r>
              <w:rPr>
                <w:rFonts w:ascii="Arial" w:cs="Arial" w:eastAsia="Arial" w:hAnsi="Arial"/>
                <w:sz w:val="18"/>
                <w:szCs w:val="18"/>
                <w:color w:val="auto"/>
              </w:rPr>
              <w:t>International Brotherhood of Electrical Workers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IRP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Integrated Resource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Invest Direct</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Item ___</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___ of this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kV</w:t>
            </w:r>
          </w:p>
        </w:tc>
        <w:tc>
          <w:tcPr>
            <w:tcW w:w="8180" w:type="dxa"/>
            <w:vAlign w:val="bottom"/>
            <w:gridSpan w:val="2"/>
          </w:tcPr>
          <w:p>
            <w:pPr>
              <w:spacing w:after="0"/>
              <w:rPr>
                <w:sz w:val="20"/>
                <w:szCs w:val="20"/>
                <w:color w:val="auto"/>
              </w:rPr>
            </w:pPr>
            <w:r>
              <w:rPr>
                <w:rFonts w:ascii="Arial" w:cs="Arial" w:eastAsia="Arial" w:hAnsi="Arial"/>
                <w:sz w:val="18"/>
                <w:szCs w:val="18"/>
                <w:color w:val="auto"/>
              </w:rPr>
              <w:t>Kilovolt(s)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43"/>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kWh</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Kilowatt-hour(s)</w:t>
            </w:r>
          </w:p>
        </w:tc>
      </w:tr>
      <w:tr>
        <w:trPr>
          <w:trHeight w:val="203"/>
        </w:trPr>
        <w:tc>
          <w:tcPr>
            <w:tcW w:w="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780" w:type="dxa"/>
            <w:vAlign w:val="bottom"/>
            <w:shd w:val="clear" w:color="auto" w:fill="CCEEFF"/>
          </w:tcPr>
          <w:p>
            <w:pPr>
              <w:spacing w:after="0"/>
              <w:rPr>
                <w:sz w:val="17"/>
                <w:szCs w:val="17"/>
                <w:color w:val="auto"/>
              </w:rPr>
            </w:pP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Laskin</w:t>
            </w:r>
          </w:p>
        </w:tc>
        <w:tc>
          <w:tcPr>
            <w:tcW w:w="8180" w:type="dxa"/>
            <w:vAlign w:val="bottom"/>
            <w:gridSpan w:val="2"/>
          </w:tcPr>
          <w:p>
            <w:pPr>
              <w:spacing w:after="0"/>
              <w:rPr>
                <w:sz w:val="20"/>
                <w:szCs w:val="20"/>
                <w:color w:val="auto"/>
              </w:rPr>
            </w:pPr>
            <w:r>
              <w:rPr>
                <w:rFonts w:ascii="Arial" w:cs="Arial" w:eastAsia="Arial" w:hAnsi="Arial"/>
                <w:sz w:val="18"/>
                <w:szCs w:val="18"/>
                <w:color w:val="auto"/>
              </w:rPr>
              <w:t>Laskin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Maximum Achievable Control Technology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Magnetation</w:t>
            </w:r>
          </w:p>
        </w:tc>
        <w:tc>
          <w:tcPr>
            <w:tcW w:w="8180" w:type="dxa"/>
            <w:vAlign w:val="bottom"/>
            <w:gridSpan w:val="2"/>
          </w:tcPr>
          <w:p>
            <w:pPr>
              <w:spacing w:after="0"/>
              <w:rPr>
                <w:sz w:val="20"/>
                <w:szCs w:val="20"/>
                <w:color w:val="auto"/>
              </w:rPr>
            </w:pPr>
            <w:r>
              <w:rPr>
                <w:rFonts w:ascii="Arial" w:cs="Arial" w:eastAsia="Arial" w:hAnsi="Arial"/>
                <w:sz w:val="18"/>
                <w:szCs w:val="18"/>
                <w:color w:val="auto"/>
              </w:rPr>
              <w:t>Magnetation,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Manitoba Hydro</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Manitoba Hydro-Electric Board</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MATS</w:t>
            </w:r>
          </w:p>
        </w:tc>
        <w:tc>
          <w:tcPr>
            <w:tcW w:w="8180" w:type="dxa"/>
            <w:vAlign w:val="bottom"/>
            <w:gridSpan w:val="2"/>
          </w:tcPr>
          <w:p>
            <w:pPr>
              <w:spacing w:after="0"/>
              <w:rPr>
                <w:sz w:val="20"/>
                <w:szCs w:val="20"/>
                <w:color w:val="auto"/>
              </w:rPr>
            </w:pPr>
            <w:r>
              <w:rPr>
                <w:rFonts w:ascii="Arial" w:cs="Arial" w:eastAsia="Arial" w:hAnsi="Arial"/>
                <w:sz w:val="18"/>
                <w:szCs w:val="18"/>
                <w:color w:val="auto"/>
              </w:rPr>
              <w:t>Mercury and Air Toxics Standards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Minnesota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Minnkota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MISO</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Montana-Dakota Utilities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Montana-Dakota Utilities Co., a division of MDU Resources Group,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MPCA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Pollution Control Agency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MPUC</w:t>
            </w:r>
          </w:p>
        </w:tc>
        <w:tc>
          <w:tcPr>
            <w:tcW w:w="8180" w:type="dxa"/>
            <w:vAlign w:val="bottom"/>
            <w:gridSpan w:val="2"/>
          </w:tcPr>
          <w:p>
            <w:pPr>
              <w:spacing w:after="0"/>
              <w:rPr>
                <w:sz w:val="20"/>
                <w:szCs w:val="20"/>
                <w:color w:val="auto"/>
              </w:rPr>
            </w:pPr>
            <w:r>
              <w:rPr>
                <w:rFonts w:ascii="Arial" w:cs="Arial" w:eastAsia="Arial" w:hAnsi="Arial"/>
                <w:sz w:val="18"/>
                <w:szCs w:val="18"/>
                <w:color w:val="auto"/>
              </w:rPr>
              <w:t>Minnesota Public Utilities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MW / MWh</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Megawatt(s) / Megawatt-hour(s)</w:t>
            </w:r>
          </w:p>
        </w:tc>
      </w:tr>
      <w:tr>
        <w:trPr>
          <w:trHeight w:val="39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760"/>
              <w:spacing w:after="0"/>
              <w:rPr>
                <w:sz w:val="20"/>
                <w:szCs w:val="20"/>
                <w:color w:val="auto"/>
              </w:rPr>
            </w:pPr>
            <w:r>
              <w:rPr>
                <w:rFonts w:ascii="Arial" w:cs="Arial" w:eastAsia="Arial" w:hAnsi="Arial"/>
                <w:sz w:val="14"/>
                <w:szCs w:val="14"/>
                <w:color w:val="auto"/>
              </w:rPr>
              <w:t>ALLETE, Inc. First Quarter 2016 Form 10-Q</w:t>
            </w:r>
          </w:p>
        </w:tc>
      </w:tr>
    </w:tbl>
    <w:p>
      <w:pPr>
        <w:spacing w:after="0" w:line="1" w:lineRule="exact"/>
        <w:rPr>
          <w:sz w:val="20"/>
          <w:szCs w:val="20"/>
          <w:color w:val="auto"/>
        </w:rPr>
      </w:pPr>
    </w:p>
    <w:p>
      <w:pPr>
        <w:sectPr>
          <w:pgSz w:w="11900" w:h="16838" w:orient="portrait"/>
          <w:cols w:equalWidth="0" w:num="1">
            <w:col w:w="11420"/>
          </w:cols>
          <w:pgMar w:left="240" w:top="661" w:right="239" w:bottom="1440" w:gutter="0" w:footer="0" w:header="0"/>
        </w:sectPr>
      </w:pPr>
    </w:p>
    <w:p>
      <w:pPr>
        <w:ind w:left="113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661"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20"/>
        </w:trPr>
        <w:tc>
          <w:tcPr>
            <w:tcW w:w="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NAAQS</w:t>
            </w:r>
          </w:p>
        </w:tc>
        <w:tc>
          <w:tcPr>
            <w:tcW w:w="1220" w:type="dxa"/>
            <w:vAlign w:val="bottom"/>
          </w:tcPr>
          <w:p>
            <w:pPr>
              <w:spacing w:after="0"/>
              <w:rPr>
                <w:sz w:val="24"/>
                <w:szCs w:val="24"/>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National Ambient Air Quality Standards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NDPSC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Dakota Public Service Commission</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NOL</w:t>
            </w:r>
          </w:p>
        </w:tc>
        <w:tc>
          <w:tcPr>
            <w:tcW w:w="8180" w:type="dxa"/>
            <w:vAlign w:val="bottom"/>
            <w:gridSpan w:val="2"/>
          </w:tcPr>
          <w:p>
            <w:pPr>
              <w:spacing w:after="0"/>
              <w:rPr>
                <w:sz w:val="20"/>
                <w:szCs w:val="20"/>
                <w:color w:val="auto"/>
              </w:rPr>
            </w:pPr>
            <w:r>
              <w:rPr>
                <w:rFonts w:ascii="Arial" w:cs="Arial" w:eastAsia="Arial" w:hAnsi="Arial"/>
                <w:sz w:val="18"/>
                <w:szCs w:val="18"/>
                <w:color w:val="auto"/>
              </w:rPr>
              <w:t>Net Operating Loss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Nitrogen Dioxide</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180" w:type="dxa"/>
            <w:vAlign w:val="bottom"/>
            <w:gridSpan w:val="2"/>
          </w:tcPr>
          <w:p>
            <w:pPr>
              <w:spacing w:after="0"/>
              <w:rPr>
                <w:sz w:val="20"/>
                <w:szCs w:val="20"/>
                <w:color w:val="auto"/>
              </w:rPr>
            </w:pPr>
            <w:r>
              <w:rPr>
                <w:rFonts w:ascii="Arial" w:cs="Arial" w:eastAsia="Arial" w:hAnsi="Arial"/>
                <w:sz w:val="18"/>
                <w:szCs w:val="18"/>
                <w:color w:val="auto"/>
              </w:rPr>
              <w:t>Nitrogen Oxides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 ___</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NPDES</w:t>
            </w:r>
          </w:p>
        </w:tc>
        <w:tc>
          <w:tcPr>
            <w:tcW w:w="8180" w:type="dxa"/>
            <w:vAlign w:val="bottom"/>
            <w:gridSpan w:val="2"/>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 Energy Center</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Oliver Wind II</w:t>
            </w:r>
          </w:p>
        </w:tc>
        <w:tc>
          <w:tcPr>
            <w:tcW w:w="8180" w:type="dxa"/>
            <w:vAlign w:val="bottom"/>
            <w:gridSpan w:val="2"/>
          </w:tcPr>
          <w:p>
            <w:pPr>
              <w:spacing w:after="0"/>
              <w:rPr>
                <w:sz w:val="20"/>
                <w:szCs w:val="20"/>
                <w:color w:val="auto"/>
              </w:rPr>
            </w:pPr>
            <w:r>
              <w:rPr>
                <w:rFonts w:ascii="Arial" w:cs="Arial" w:eastAsia="Arial" w:hAnsi="Arial"/>
                <w:sz w:val="18"/>
                <w:szCs w:val="18"/>
                <w:color w:val="auto"/>
              </w:rPr>
              <w:t>Oliver Wind II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Palm Coast Park</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Palm Coast Park development project in Florida</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Palm Coast Park District</w:t>
            </w:r>
          </w:p>
        </w:tc>
        <w:tc>
          <w:tcPr>
            <w:tcW w:w="8180" w:type="dxa"/>
            <w:vAlign w:val="bottom"/>
            <w:gridSpan w:val="2"/>
          </w:tcPr>
          <w:p>
            <w:pPr>
              <w:spacing w:after="0"/>
              <w:rPr>
                <w:sz w:val="20"/>
                <w:szCs w:val="20"/>
                <w:color w:val="auto"/>
              </w:rPr>
            </w:pPr>
            <w:r>
              <w:rPr>
                <w:rFonts w:ascii="Arial" w:cs="Arial" w:eastAsia="Arial" w:hAnsi="Arial"/>
                <w:sz w:val="18"/>
                <w:szCs w:val="18"/>
                <w:color w:val="auto"/>
              </w:rPr>
              <w:t>Palm Coast Park Community Development District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PolyMet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PolyMet Mining Corp.</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PPA</w:t>
            </w:r>
          </w:p>
        </w:tc>
        <w:tc>
          <w:tcPr>
            <w:tcW w:w="8180" w:type="dxa"/>
            <w:vAlign w:val="bottom"/>
            <w:gridSpan w:val="2"/>
          </w:tcPr>
          <w:p>
            <w:pPr>
              <w:spacing w:after="0"/>
              <w:rPr>
                <w:sz w:val="20"/>
                <w:szCs w:val="20"/>
                <w:color w:val="auto"/>
              </w:rPr>
            </w:pPr>
            <w:r>
              <w:rPr>
                <w:rFonts w:ascii="Arial" w:cs="Arial" w:eastAsia="Arial" w:hAnsi="Arial"/>
                <w:sz w:val="18"/>
                <w:szCs w:val="18"/>
                <w:color w:val="auto"/>
              </w:rPr>
              <w:t>Power Purchase Agreement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PPACA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PSCW</w:t>
            </w:r>
          </w:p>
        </w:tc>
        <w:tc>
          <w:tcPr>
            <w:tcW w:w="8180" w:type="dxa"/>
            <w:vAlign w:val="bottom"/>
            <w:gridSpan w:val="2"/>
          </w:tcPr>
          <w:p>
            <w:pPr>
              <w:spacing w:after="0"/>
              <w:rPr>
                <w:sz w:val="20"/>
                <w:szCs w:val="20"/>
                <w:color w:val="auto"/>
              </w:rPr>
            </w:pPr>
            <w:r>
              <w:rPr>
                <w:rFonts w:ascii="Arial" w:cs="Arial" w:eastAsia="Arial" w:hAnsi="Arial"/>
                <w:sz w:val="18"/>
                <w:szCs w:val="18"/>
                <w:color w:val="auto"/>
              </w:rPr>
              <w:t>Public Service Commission of Wisconsin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SIP</w:t>
            </w:r>
          </w:p>
        </w:tc>
        <w:tc>
          <w:tcPr>
            <w:tcW w:w="8180" w:type="dxa"/>
            <w:vAlign w:val="bottom"/>
            <w:gridSpan w:val="2"/>
          </w:tcPr>
          <w:p>
            <w:pPr>
              <w:spacing w:after="0"/>
              <w:rPr>
                <w:sz w:val="20"/>
                <w:szCs w:val="20"/>
                <w:color w:val="auto"/>
              </w:rPr>
            </w:pPr>
            <w:r>
              <w:rPr>
                <w:rFonts w:ascii="Arial" w:cs="Arial" w:eastAsia="Arial" w:hAnsi="Arial"/>
                <w:sz w:val="18"/>
                <w:szCs w:val="18"/>
                <w:color w:val="auto"/>
              </w:rPr>
              <w:t>State Implementation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Sulfur Dioxide</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Square Butte</w:t>
            </w:r>
          </w:p>
        </w:tc>
        <w:tc>
          <w:tcPr>
            <w:tcW w:w="8180" w:type="dxa"/>
            <w:vAlign w:val="bottom"/>
            <w:gridSpan w:val="2"/>
          </w:tcPr>
          <w:p>
            <w:pPr>
              <w:spacing w:after="0"/>
              <w:rPr>
                <w:sz w:val="20"/>
                <w:szCs w:val="20"/>
                <w:color w:val="auto"/>
              </w:rPr>
            </w:pPr>
            <w:r>
              <w:rPr>
                <w:rFonts w:ascii="Arial" w:cs="Arial" w:eastAsia="Arial" w:hAnsi="Arial"/>
                <w:sz w:val="18"/>
                <w:szCs w:val="18"/>
                <w:color w:val="auto"/>
              </w:rPr>
              <w:t>Square Butte Electric Cooperative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SWL&amp;P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Superior Water, Light and Power Company</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Taconite Harbor</w:t>
            </w:r>
          </w:p>
        </w:tc>
        <w:tc>
          <w:tcPr>
            <w:tcW w:w="8180" w:type="dxa"/>
            <w:vAlign w:val="bottom"/>
            <w:gridSpan w:val="2"/>
          </w:tcPr>
          <w:p>
            <w:pPr>
              <w:spacing w:after="0"/>
              <w:rPr>
                <w:sz w:val="20"/>
                <w:szCs w:val="20"/>
                <w:color w:val="auto"/>
              </w:rPr>
            </w:pPr>
            <w:r>
              <w:rPr>
                <w:rFonts w:ascii="Arial" w:cs="Arial" w:eastAsia="Arial" w:hAnsi="Arial"/>
                <w:sz w:val="18"/>
                <w:szCs w:val="18"/>
                <w:color w:val="auto"/>
              </w:rPr>
              <w:t>Taconite Harbor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Thomson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Thomson Energy Center</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Town Center</w:t>
            </w:r>
          </w:p>
        </w:tc>
        <w:tc>
          <w:tcPr>
            <w:tcW w:w="8180" w:type="dxa"/>
            <w:vAlign w:val="bottom"/>
            <w:gridSpan w:val="2"/>
          </w:tcPr>
          <w:p>
            <w:pPr>
              <w:spacing w:after="0"/>
              <w:rPr>
                <w:sz w:val="20"/>
                <w:szCs w:val="20"/>
                <w:color w:val="auto"/>
              </w:rPr>
            </w:pPr>
            <w:r>
              <w:rPr>
                <w:rFonts w:ascii="Arial" w:cs="Arial" w:eastAsia="Arial" w:hAnsi="Arial"/>
                <w:sz w:val="18"/>
                <w:szCs w:val="18"/>
                <w:color w:val="auto"/>
              </w:rPr>
              <w:t>Town Center at Palm Coast development project in Florida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District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at Palm Coast Community Development District</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U.S.</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Water Services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Water Services Holding Company and its subsidiaries</w:t>
            </w:r>
          </w:p>
        </w:tc>
      </w:tr>
      <w:tr>
        <w:trPr>
          <w:trHeight w:val="243"/>
        </w:trPr>
        <w:tc>
          <w:tcPr>
            <w:tcW w:w="40" w:type="dxa"/>
            <w:vAlign w:val="bottom"/>
          </w:tcPr>
          <w:p>
            <w:pPr>
              <w:spacing w:after="0"/>
              <w:rPr>
                <w:sz w:val="21"/>
                <w:szCs w:val="21"/>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USS Corporation</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States Steel Corporation</w:t>
            </w:r>
          </w:p>
        </w:tc>
      </w:tr>
      <w:tr>
        <w:trPr>
          <w:trHeight w:val="85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760"/>
              <w:spacing w:after="0"/>
              <w:rPr>
                <w:sz w:val="20"/>
                <w:szCs w:val="20"/>
                <w:color w:val="auto"/>
              </w:rPr>
            </w:pPr>
            <w:r>
              <w:rPr>
                <w:rFonts w:ascii="Arial" w:cs="Arial" w:eastAsia="Arial" w:hAnsi="Arial"/>
                <w:sz w:val="14"/>
                <w:szCs w:val="14"/>
                <w:color w:val="auto"/>
              </w:rPr>
              <w:t>ALLETE, Inc. First Quarter 2016 Form 10-Q</w:t>
            </w:r>
          </w:p>
        </w:tc>
      </w:tr>
    </w:tbl>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81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 in regulated rates or sales price increases at our Energy Infrastructure and Related Services businesses;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right="2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Regulated Operations segment of climate change and future regulation to restrict the emissions of greenhouse gases;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not improve;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success of efforts to realize value from, invest in, and develop new opportunities in, our Energy Infrastructure and Related Services businesses; and</w:t>
      </w:r>
    </w:p>
    <w:p>
      <w:pPr>
        <w:spacing w:after="0" w:line="32"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affecting Energy Infrastructure and Related Services businesses, including fluctuations in the volume of customer orders, unanticipated cost increases, changes in legislation and regulations impacting the industries in which the customers served operate, the effects of weather, creditworthiness of customers, ability to obtain materials required to perform services, and changing market conditions.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661"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Forward Looking Statements (Continued)</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 disclosures regarding factors that could cause our results or performance to differ from those anticipated by this report are discussed in Part 1, Item 1A, under the heading “Risk Factors” beginning on page 25 of the Form 10-K for the year ended December 31, 2015.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66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80" w:type="dxa"/>
            <w:vAlign w:val="bottom"/>
          </w:tcPr>
          <w:p>
            <w:pPr>
              <w:spacing w:after="0"/>
              <w:rPr>
                <w:sz w:val="18"/>
                <w:szCs w:val="18"/>
                <w:color w:val="auto"/>
              </w:rPr>
            </w:pPr>
          </w:p>
        </w:tc>
        <w:tc>
          <w:tcPr>
            <w:tcW w:w="1540" w:type="dxa"/>
            <w:vAlign w:val="bottom"/>
          </w:tcPr>
          <w:p>
            <w:pPr>
              <w:jc w:val="right"/>
              <w:ind w:right="430"/>
              <w:spacing w:after="0"/>
              <w:rPr>
                <w:sz w:val="20"/>
                <w:szCs w:val="20"/>
                <w:color w:val="auto"/>
              </w:rPr>
            </w:pPr>
            <w:r>
              <w:rPr>
                <w:rFonts w:ascii="Arial" w:cs="Arial" w:eastAsia="Arial" w:hAnsi="Arial"/>
                <w:sz w:val="18"/>
                <w:szCs w:val="18"/>
                <w:b w:val="1"/>
                <w:bCs w:val="1"/>
                <w:color w:val="auto"/>
              </w:rPr>
              <w:t>March 31,</w:t>
            </w: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280" w:type="dxa"/>
            <w:vAlign w:val="bottom"/>
          </w:tcPr>
          <w:p>
            <w:pPr>
              <w:spacing w:after="0"/>
              <w:rPr>
                <w:sz w:val="20"/>
                <w:szCs w:val="20"/>
                <w:color w:val="auto"/>
              </w:rPr>
            </w:pPr>
          </w:p>
        </w:tc>
        <w:tc>
          <w:tcPr>
            <w:tcW w:w="15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$97.0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$97.0</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Accounts Receivable (Less Allowance of $1.2 and $1.0)</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124.8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121.2</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116.0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117.1</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41.5</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35.7</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379.3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371.0</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3,642.3</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3,669.1</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367.1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372.0</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Investment in ATC</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128.6</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124.5</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72.9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Goodwill and Intangible Assets – Net</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213.9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215.2</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68.6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68.1</w:t>
            </w:r>
          </w:p>
        </w:tc>
      </w:tr>
      <w:tr>
        <w:trPr>
          <w:trHeight w:val="237"/>
        </w:trPr>
        <w:tc>
          <w:tcPr>
            <w:tcW w:w="8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5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$4,872.7</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$4,894.5</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5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$58.8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$88.8</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52.2</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14.9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18.6</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Notes Payable</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0.7</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82.8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w:t>
            </w:r>
          </w:p>
        </w:tc>
      </w:tr>
      <w:tr>
        <w:trPr>
          <w:trHeight w:val="237"/>
        </w:trPr>
        <w:tc>
          <w:tcPr>
            <w:tcW w:w="82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Liabilities</w:t>
            </w:r>
          </w:p>
        </w:tc>
        <w:tc>
          <w:tcPr>
            <w:tcW w:w="15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224.2</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274.8</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1,551.3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1,556.7</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589.7</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579.8</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Liabilities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102.2</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205.7</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206.8</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347.1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349.0</w:t>
            </w:r>
          </w:p>
        </w:tc>
      </w:tr>
      <w:tr>
        <w:trPr>
          <w:trHeight w:val="237"/>
        </w:trPr>
        <w:tc>
          <w:tcPr>
            <w:tcW w:w="82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15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3,020.2</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3,072.1</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Guarantees and Contingencies (Note 13)</w:t>
            </w:r>
          </w:p>
        </w:tc>
        <w:tc>
          <w:tcPr>
            <w:tcW w:w="15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37"/>
        </w:trPr>
        <w:tc>
          <w:tcPr>
            <w:tcW w:w="8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w:t>
            </w:r>
          </w:p>
        </w:tc>
        <w:tc>
          <w:tcPr>
            <w:tcW w:w="15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ALLETE’s Equity</w:t>
            </w: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Common Stock Without Par Value, 80.0 Shares Authorized, 49.3 and 49.1 Shares Outstanding</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1,281.0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1,271.4</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(24.7)</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593.5</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573.3</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ALLETE Equity</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1,849.8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1,820.2</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2.7</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1,852.5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1,822.4</w:t>
            </w:r>
          </w:p>
        </w:tc>
      </w:tr>
      <w:tr>
        <w:trPr>
          <w:trHeight w:val="237"/>
        </w:trPr>
        <w:tc>
          <w:tcPr>
            <w:tcW w:w="8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5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$4,872.7</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$4,894.5</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80" w:type="dxa"/>
            <w:vAlign w:val="bottom"/>
          </w:tcPr>
          <w:p>
            <w:pPr>
              <w:ind w:left="3380"/>
              <w:spacing w:after="0"/>
              <w:rPr>
                <w:sz w:val="20"/>
                <w:szCs w:val="20"/>
                <w:color w:val="auto"/>
              </w:rPr>
            </w:pPr>
            <w:r>
              <w:rPr>
                <w:rFonts w:ascii="Arial" w:cs="Arial" w:eastAsia="Arial" w:hAnsi="Arial"/>
                <w:sz w:val="18"/>
                <w:szCs w:val="18"/>
                <w:color w:val="auto"/>
                <w:w w:val="93"/>
              </w:rPr>
              <w:t>The accompanying notes are an integral part of these statements.</w:t>
            </w:r>
          </w:p>
        </w:tc>
        <w:tc>
          <w:tcPr>
            <w:tcW w:w="1540" w:type="dxa"/>
            <w:vAlign w:val="bottom"/>
          </w:tcPr>
          <w:p>
            <w:pPr>
              <w:spacing w:after="0"/>
              <w:rPr>
                <w:sz w:val="22"/>
                <w:szCs w:val="22"/>
                <w:color w:val="auto"/>
              </w:rPr>
            </w:pPr>
          </w:p>
        </w:tc>
        <w:tc>
          <w:tcPr>
            <w:tcW w:w="154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ectPr>
          <w:pgSz w:w="11900" w:h="16838" w:orient="portrait"/>
          <w:cols w:equalWidth="0" w:num="1">
            <w:col w:w="11420"/>
          </w:cols>
          <w:pgMar w:left="240" w:top="661" w:right="239" w:bottom="1440"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661"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 –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sz w:val="20"/>
                <w:szCs w:val="20"/>
                <w:color w:val="auto"/>
              </w:rPr>
            </w:pPr>
          </w:p>
        </w:tc>
        <w:tc>
          <w:tcPr>
            <w:tcW w:w="26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760" w:type="dxa"/>
            <w:vAlign w:val="bottom"/>
          </w:tcPr>
          <w:p>
            <w:pPr>
              <w:spacing w:after="0"/>
              <w:rPr>
                <w:sz w:val="23"/>
                <w:szCs w:val="23"/>
                <w:color w:val="auto"/>
              </w:rPr>
            </w:pPr>
          </w:p>
        </w:tc>
        <w:tc>
          <w:tcPr>
            <w:tcW w:w="266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760" w:type="dxa"/>
            <w:vAlign w:val="bottom"/>
          </w:tcPr>
          <w:p>
            <w:pPr>
              <w:spacing w:after="0"/>
              <w:rPr>
                <w:sz w:val="23"/>
                <w:szCs w:val="23"/>
                <w:color w:val="auto"/>
              </w:rPr>
            </w:pPr>
          </w:p>
        </w:tc>
        <w:tc>
          <w:tcPr>
            <w:tcW w:w="17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7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5"/>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$333.8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$320.0</w:t>
            </w:r>
          </w:p>
        </w:tc>
      </w:tr>
      <w:tr>
        <w:trPr>
          <w:trHeight w:val="237"/>
        </w:trPr>
        <w:tc>
          <w:tcPr>
            <w:tcW w:w="8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7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and Purchased Power</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76.9</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Transmission Services</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16.8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14.9</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33.3</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78.1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79.7</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48.1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13.8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267.0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263.6</w:t>
            </w: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66.8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56.4</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(16.9)</w:t>
            </w: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Other</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1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7"/>
        </w:trPr>
        <w:tc>
          <w:tcPr>
            <w:tcW w:w="8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55.7</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46.3</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9.3</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37"/>
        </w:trPr>
        <w:tc>
          <w:tcPr>
            <w:tcW w:w="8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46.4</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37"/>
        </w:trPr>
        <w:tc>
          <w:tcPr>
            <w:tcW w:w="8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$45.9</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$39.9</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1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Basic</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49.2</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46.9</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r>
      <w:tr>
        <w:trPr>
          <w:trHeight w:val="237"/>
        </w:trPr>
        <w:tc>
          <w:tcPr>
            <w:tcW w:w="8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$0.93</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$0.85</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$0.93</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$0.85</w:t>
            </w: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$0.52</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$0.505</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760" w:type="dxa"/>
            <w:vAlign w:val="bottom"/>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70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6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800" w:type="dxa"/>
            <w:vAlign w:val="bottom"/>
          </w:tcPr>
          <w:p>
            <w:pPr>
              <w:spacing w:after="0"/>
              <w:rPr>
                <w:sz w:val="23"/>
                <w:szCs w:val="23"/>
                <w:color w:val="auto"/>
              </w:rPr>
            </w:pPr>
          </w:p>
        </w:tc>
        <w:tc>
          <w:tcPr>
            <w:tcW w:w="262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800" w:type="dxa"/>
            <w:vAlign w:val="bottom"/>
          </w:tcPr>
          <w:p>
            <w:pPr>
              <w:spacing w:after="0"/>
              <w:rPr>
                <w:sz w:val="23"/>
                <w:szCs w:val="23"/>
                <w:color w:val="auto"/>
              </w:rPr>
            </w:pPr>
          </w:p>
        </w:tc>
        <w:tc>
          <w:tcPr>
            <w:tcW w:w="17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r>
      <w:tr>
        <w:trPr>
          <w:trHeight w:val="27"/>
        </w:trPr>
        <w:tc>
          <w:tcPr>
            <w:tcW w:w="88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8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7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$46.4</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7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Securities</w:t>
            </w:r>
          </w:p>
        </w:tc>
        <w:tc>
          <w:tcPr>
            <w:tcW w:w="17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Net of Income Taxes of $(0.3) and $0.1</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(0.4)</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8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Derivatives</w:t>
            </w:r>
          </w:p>
        </w:tc>
        <w:tc>
          <w:tcPr>
            <w:tcW w:w="17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Net of Income Taxes of $– and $–</w:t>
            </w:r>
          </w:p>
        </w:tc>
        <w:tc>
          <w:tcPr>
            <w:tcW w:w="1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8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17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40"/>
              <w:spacing w:after="0"/>
              <w:rPr>
                <w:sz w:val="20"/>
                <w:szCs w:val="20"/>
                <w:color w:val="auto"/>
              </w:rPr>
            </w:pPr>
            <w:r>
              <w:rPr>
                <w:rFonts w:ascii="Arial" w:cs="Arial" w:eastAsia="Arial" w:hAnsi="Arial"/>
                <w:sz w:val="18"/>
                <w:szCs w:val="18"/>
                <w:color w:val="auto"/>
              </w:rPr>
              <w:t>Net of Income Taxes of $0.1 and $0.2</w:t>
            </w:r>
          </w:p>
        </w:tc>
        <w:tc>
          <w:tcPr>
            <w:tcW w:w="1700" w:type="dxa"/>
            <w:vAlign w:val="bottom"/>
          </w:tcPr>
          <w:p>
            <w:pPr>
              <w:jc w:val="right"/>
              <w:ind w:right="210"/>
              <w:spacing w:after="0"/>
              <w:rPr>
                <w:sz w:val="20"/>
                <w:szCs w:val="20"/>
                <w:color w:val="auto"/>
              </w:rPr>
            </w:pPr>
            <w:r>
              <w:rPr>
                <w:rFonts w:ascii="Arial" w:cs="Arial" w:eastAsia="Arial" w:hAnsi="Arial"/>
                <w:sz w:val="18"/>
                <w:szCs w:val="18"/>
                <w:color w:val="auto"/>
              </w:rPr>
              <w:t>0.2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88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 (Loss)</w:t>
            </w:r>
          </w:p>
        </w:tc>
        <w:tc>
          <w:tcPr>
            <w:tcW w:w="1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17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46.2</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40.6</w:t>
            </w:r>
          </w:p>
        </w:tc>
      </w:tr>
      <w:tr>
        <w:trPr>
          <w:trHeight w:val="27"/>
        </w:trPr>
        <w:tc>
          <w:tcPr>
            <w:tcW w:w="8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17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Attributable to ALLETE</w:t>
            </w:r>
          </w:p>
        </w:tc>
        <w:tc>
          <w:tcPr>
            <w:tcW w:w="17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$45.7</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$40.4</w:t>
            </w:r>
          </w:p>
        </w:tc>
      </w:tr>
      <w:tr>
        <w:trPr>
          <w:trHeight w:val="27"/>
        </w:trPr>
        <w:tc>
          <w:tcPr>
            <w:tcW w:w="88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800" w:type="dxa"/>
            <w:vAlign w:val="bottom"/>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700" w:type="dxa"/>
            <w:vAlign w:val="bottom"/>
          </w:tcPr>
          <w:p>
            <w:pPr>
              <w:spacing w:after="0"/>
              <w:rPr>
                <w:sz w:val="22"/>
                <w:szCs w:val="22"/>
                <w:color w:val="auto"/>
              </w:rPr>
            </w:pPr>
          </w:p>
        </w:tc>
        <w:tc>
          <w:tcPr>
            <w:tcW w:w="920" w:type="dxa"/>
            <w:vAlign w:val="bottom"/>
          </w:tcPr>
          <w:p>
            <w:pPr>
              <w:spacing w:after="0"/>
              <w:rPr>
                <w:sz w:val="22"/>
                <w:szCs w:val="2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66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0" w:type="dxa"/>
            <w:vAlign w:val="bottom"/>
          </w:tcPr>
          <w:p>
            <w:pPr>
              <w:spacing w:after="0"/>
              <w:rPr>
                <w:sz w:val="19"/>
                <w:szCs w:val="19"/>
                <w:color w:val="auto"/>
              </w:rPr>
            </w:pPr>
          </w:p>
        </w:tc>
        <w:tc>
          <w:tcPr>
            <w:tcW w:w="2620" w:type="dxa"/>
            <w:vAlign w:val="bottom"/>
            <w:gridSpan w:val="2"/>
          </w:tcPr>
          <w:p>
            <w:pPr>
              <w:jc w:val="right"/>
              <w:ind w:right="195"/>
              <w:spacing w:after="0"/>
              <w:rPr>
                <w:sz w:val="20"/>
                <w:szCs w:val="20"/>
                <w:color w:val="auto"/>
              </w:rPr>
            </w:pPr>
            <w:r>
              <w:rPr>
                <w:rFonts w:ascii="Arial" w:cs="Arial" w:eastAsia="Arial" w:hAnsi="Arial"/>
                <w:sz w:val="17"/>
                <w:szCs w:val="17"/>
                <w:b w:val="1"/>
                <w:bCs w:val="1"/>
                <w:color w:val="auto"/>
              </w:rPr>
              <w:t>Three Months Ended</w:t>
            </w:r>
          </w:p>
        </w:tc>
      </w:tr>
      <w:tr>
        <w:trPr>
          <w:trHeight w:val="270"/>
        </w:trPr>
        <w:tc>
          <w:tcPr>
            <w:tcW w:w="880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7"/>
                <w:szCs w:val="17"/>
                <w:b w:val="1"/>
                <w:bCs w:val="1"/>
                <w:color w:val="auto"/>
              </w:rPr>
              <w:t>March 31,</w:t>
            </w:r>
          </w:p>
        </w:tc>
        <w:tc>
          <w:tcPr>
            <w:tcW w:w="680" w:type="dxa"/>
            <w:vAlign w:val="bottom"/>
          </w:tcPr>
          <w:p>
            <w:pPr>
              <w:spacing w:after="0"/>
              <w:rPr>
                <w:sz w:val="23"/>
                <w:szCs w:val="23"/>
                <w:color w:val="auto"/>
              </w:rPr>
            </w:pPr>
          </w:p>
        </w:tc>
      </w:tr>
      <w:tr>
        <w:trPr>
          <w:trHeight w:val="270"/>
        </w:trPr>
        <w:tc>
          <w:tcPr>
            <w:tcW w:w="8800" w:type="dxa"/>
            <w:vAlign w:val="bottom"/>
          </w:tcPr>
          <w:p>
            <w:pPr>
              <w:spacing w:after="0"/>
              <w:rPr>
                <w:sz w:val="23"/>
                <w:szCs w:val="23"/>
                <w:color w:val="auto"/>
              </w:rPr>
            </w:pPr>
          </w:p>
        </w:tc>
        <w:tc>
          <w:tcPr>
            <w:tcW w:w="1940" w:type="dxa"/>
            <w:vAlign w:val="bottom"/>
          </w:tcPr>
          <w:p>
            <w:pPr>
              <w:jc w:val="right"/>
              <w:ind w:right="695"/>
              <w:spacing w:after="0"/>
              <w:rPr>
                <w:sz w:val="20"/>
                <w:szCs w:val="20"/>
                <w:color w:val="auto"/>
              </w:rPr>
            </w:pPr>
            <w:r>
              <w:rPr>
                <w:rFonts w:ascii="Arial" w:cs="Arial" w:eastAsia="Arial" w:hAnsi="Arial"/>
                <w:sz w:val="17"/>
                <w:szCs w:val="17"/>
                <w:b w:val="1"/>
                <w:bCs w:val="1"/>
                <w:color w:val="auto"/>
              </w:rPr>
              <w:t>2016</w:t>
            </w:r>
          </w:p>
        </w:tc>
        <w:tc>
          <w:tcPr>
            <w:tcW w:w="680" w:type="dxa"/>
            <w:vAlign w:val="bottom"/>
          </w:tcPr>
          <w:p>
            <w:pPr>
              <w:jc w:val="right"/>
              <w:ind w:right="255"/>
              <w:spacing w:after="0"/>
              <w:rPr>
                <w:sz w:val="20"/>
                <w:szCs w:val="20"/>
                <w:color w:val="auto"/>
              </w:rPr>
            </w:pPr>
            <w:r>
              <w:rPr>
                <w:rFonts w:ascii="Arial" w:cs="Arial" w:eastAsia="Arial" w:hAnsi="Arial"/>
                <w:sz w:val="17"/>
                <w:szCs w:val="17"/>
                <w:b w:val="1"/>
                <w:bCs w:val="1"/>
                <w:color w:val="auto"/>
                <w:w w:val="84"/>
              </w:rPr>
              <w:t>2015</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15"/>
        </w:trPr>
        <w:tc>
          <w:tcPr>
            <w:tcW w:w="88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1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$46.4</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$40.1</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Allowance for Funds Used During Construction – Equity</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(0.9)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Income from Equity Investments – Net of Dividends</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(2.9)</w:t>
            </w:r>
          </w:p>
        </w:tc>
        <w:tc>
          <w:tcPr>
            <w:tcW w:w="680" w:type="dxa"/>
            <w:vAlign w:val="bottom"/>
          </w:tcPr>
          <w:p>
            <w:pPr>
              <w:jc w:val="right"/>
              <w:spacing w:after="0"/>
              <w:rPr>
                <w:sz w:val="20"/>
                <w:szCs w:val="20"/>
                <w:color w:val="auto"/>
              </w:rPr>
            </w:pPr>
            <w:r>
              <w:rPr>
                <w:rFonts w:ascii="Arial" w:cs="Arial" w:eastAsia="Arial" w:hAnsi="Arial"/>
                <w:sz w:val="17"/>
                <w:szCs w:val="17"/>
                <w:color w:val="auto"/>
              </w:rPr>
              <w:t>(0.8)</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Depreciation Expense</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46.8</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38.4</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Amortization of Power Purchase Agreements</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(5.6)</w:t>
            </w:r>
          </w:p>
        </w:tc>
        <w:tc>
          <w:tcPr>
            <w:tcW w:w="68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Other Intangible Assets and Other Assets</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2.3</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0.8</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Deferred Income Tax Expense</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9.2</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6.1</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Share-Based Compensation Expense</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0.6</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0.6</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ESOP Compensation Expense</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2.4</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Defined Benefit Pension and Postretirement Benefit Expense</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1.3</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Bad Debt Expense</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0.6</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0.2</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1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9"/>
        </w:trPr>
        <w:tc>
          <w:tcPr>
            <w:tcW w:w="8800" w:type="dxa"/>
            <w:vAlign w:val="bottom"/>
          </w:tcPr>
          <w:p>
            <w:pPr>
              <w:ind w:left="500"/>
              <w:spacing w:after="0"/>
              <w:rPr>
                <w:sz w:val="20"/>
                <w:szCs w:val="20"/>
                <w:color w:val="auto"/>
              </w:rPr>
            </w:pPr>
            <w:r>
              <w:rPr>
                <w:rFonts w:ascii="Arial" w:cs="Arial" w:eastAsia="Arial" w:hAnsi="Arial"/>
                <w:sz w:val="17"/>
                <w:szCs w:val="17"/>
                <w:color w:val="auto"/>
              </w:rPr>
              <w:t>Accounts Receivable</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(4.2)</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7.8</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Inventories</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1.1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w:t>
            </w:r>
          </w:p>
        </w:tc>
      </w:tr>
      <w:tr>
        <w:trPr>
          <w:trHeight w:val="239"/>
        </w:trPr>
        <w:tc>
          <w:tcPr>
            <w:tcW w:w="8800" w:type="dxa"/>
            <w:vAlign w:val="bottom"/>
          </w:tcPr>
          <w:p>
            <w:pPr>
              <w:ind w:left="500"/>
              <w:spacing w:after="0"/>
              <w:rPr>
                <w:sz w:val="20"/>
                <w:szCs w:val="20"/>
                <w:color w:val="auto"/>
              </w:rPr>
            </w:pPr>
            <w:r>
              <w:rPr>
                <w:rFonts w:ascii="Arial" w:cs="Arial" w:eastAsia="Arial" w:hAnsi="Arial"/>
                <w:sz w:val="17"/>
                <w:szCs w:val="17"/>
                <w:color w:val="auto"/>
              </w:rPr>
              <w:t>Prepayments and Other</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0.1</w:t>
            </w:r>
          </w:p>
        </w:tc>
        <w:tc>
          <w:tcPr>
            <w:tcW w:w="68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Accounts Payable</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(4.2)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(14.0)</w:t>
            </w:r>
          </w:p>
        </w:tc>
      </w:tr>
      <w:tr>
        <w:trPr>
          <w:trHeight w:val="239"/>
        </w:trPr>
        <w:tc>
          <w:tcPr>
            <w:tcW w:w="8800" w:type="dxa"/>
            <w:vAlign w:val="bottom"/>
          </w:tcPr>
          <w:p>
            <w:pPr>
              <w:ind w:left="500"/>
              <w:spacing w:after="0"/>
              <w:rPr>
                <w:sz w:val="20"/>
                <w:szCs w:val="20"/>
                <w:color w:val="auto"/>
              </w:rPr>
            </w:pPr>
            <w:r>
              <w:rPr>
                <w:rFonts w:ascii="Arial" w:cs="Arial" w:eastAsia="Arial" w:hAnsi="Arial"/>
                <w:sz w:val="17"/>
                <w:szCs w:val="17"/>
                <w:color w:val="auto"/>
              </w:rPr>
              <w:t>Other Current Liabilities</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0.9</w:t>
            </w:r>
          </w:p>
        </w:tc>
        <w:tc>
          <w:tcPr>
            <w:tcW w:w="6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Regulatory and Other Non-Current Assets</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2.8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Changes in Regulatory and Other Non-Current Liabilities</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(1.1)</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7.5</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from Operating Activities</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93.2</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71.8</w:t>
            </w:r>
          </w:p>
        </w:tc>
      </w:tr>
      <w:tr>
        <w:trPr>
          <w:trHeight w:val="233"/>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19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Sale of Available-for-sale Securities</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1.1</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0.2</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Payments for Purchase of Available-for-sale Securities</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(0.3)</w:t>
            </w:r>
          </w:p>
        </w:tc>
        <w:tc>
          <w:tcPr>
            <w:tcW w:w="68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Acquisitions of Subsidiaries – Net of Cash Acquired</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(166.9)</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Investment in ATC</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(1.2)</w:t>
            </w:r>
          </w:p>
        </w:tc>
        <w:tc>
          <w:tcPr>
            <w:tcW w:w="68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to Other Investments</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0.2</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Additions to Property, Plant and Equipment</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(42.4)</w:t>
            </w:r>
          </w:p>
        </w:tc>
        <w:tc>
          <w:tcPr>
            <w:tcW w:w="680" w:type="dxa"/>
            <w:vAlign w:val="bottom"/>
          </w:tcPr>
          <w:p>
            <w:pPr>
              <w:jc w:val="right"/>
              <w:spacing w:after="0"/>
              <w:rPr>
                <w:sz w:val="20"/>
                <w:szCs w:val="20"/>
                <w:color w:val="auto"/>
              </w:rPr>
            </w:pPr>
            <w:r>
              <w:rPr>
                <w:rFonts w:ascii="Arial" w:cs="Arial" w:eastAsia="Arial" w:hAnsi="Arial"/>
                <w:sz w:val="17"/>
                <w:szCs w:val="17"/>
                <w:color w:val="auto"/>
              </w:rPr>
              <w:t>(88.2)</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Construction Costs for Development Project</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33"/>
        </w:trPr>
        <w:tc>
          <w:tcPr>
            <w:tcW w:w="880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for Investing Activities</w:t>
            </w:r>
          </w:p>
        </w:tc>
        <w:tc>
          <w:tcPr>
            <w:tcW w:w="194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color w:val="auto"/>
              </w:rPr>
              <w:t>(42.6)</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(255.9)</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1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Proceeds from Issuance of Common Stock</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9.0</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141.5</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Restricted Cash</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(5.8)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Changes in Notes Payable</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(0.9)</w:t>
            </w:r>
          </w:p>
        </w:tc>
        <w:tc>
          <w:tcPr>
            <w:tcW w:w="68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Repayments of Long-Term Debt</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(26.6)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Acquisition-Related Contingent Consideration Payments</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(0.6)</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Dividends on Common Stock</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(25.7)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(24.9)</w:t>
            </w:r>
          </w:p>
        </w:tc>
      </w:tr>
      <w:tr>
        <w:trPr>
          <w:trHeight w:val="233"/>
        </w:trPr>
        <w:tc>
          <w:tcPr>
            <w:tcW w:w="880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from (for) Financing Activities</w:t>
            </w:r>
          </w:p>
        </w:tc>
        <w:tc>
          <w:tcPr>
            <w:tcW w:w="194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color w:val="auto"/>
              </w:rPr>
              <w:t>(50.6)</w:t>
            </w:r>
          </w:p>
        </w:tc>
        <w:tc>
          <w:tcPr>
            <w:tcW w:w="6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110.4</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Change in Cash and Cash Equivalents</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(73.7)</w:t>
            </w:r>
          </w:p>
        </w:tc>
      </w:tr>
      <w:tr>
        <w:trPr>
          <w:trHeight w:val="239"/>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97.0</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145.8</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at End of Period</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$97.0</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$72.1</w:t>
            </w:r>
          </w:p>
        </w:tc>
      </w:tr>
      <w:tr>
        <w:trPr>
          <w:trHeight w:val="224"/>
        </w:trPr>
        <w:tc>
          <w:tcPr>
            <w:tcW w:w="8800" w:type="dxa"/>
            <w:vAlign w:val="bottom"/>
            <w:tcBorders>
              <w:top w:val="single" w:sz="8" w:color="auto"/>
            </w:tcBorders>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9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ectPr>
          <w:pgSz w:w="11900" w:h="16838" w:orient="portrait"/>
          <w:cols w:equalWidth="0" w:num="1">
            <w:col w:w="11420"/>
          </w:cols>
          <w:pgMar w:left="240" w:top="661"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20"/>
          </w:cols>
          <w:pgMar w:left="240" w:top="661"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40" w:type="dxa"/>
            <w:vAlign w:val="bottom"/>
          </w:tcPr>
          <w:p>
            <w:pPr>
              <w:jc w:val="center"/>
              <w:ind w:right="194"/>
              <w:spacing w:after="0"/>
              <w:rPr>
                <w:sz w:val="20"/>
                <w:szCs w:val="20"/>
                <w:color w:val="auto"/>
              </w:rPr>
            </w:pPr>
            <w:r>
              <w:rPr>
                <w:rFonts w:ascii="Arial" w:cs="Arial" w:eastAsia="Arial" w:hAnsi="Arial"/>
                <w:sz w:val="16"/>
                <w:szCs w:val="16"/>
                <w:b w:val="1"/>
                <w:bCs w:val="1"/>
                <w:color w:val="auto"/>
                <w:w w:val="91"/>
              </w:rPr>
              <w:t>Accumulated</w:t>
            </w:r>
          </w:p>
        </w:tc>
        <w:tc>
          <w:tcPr>
            <w:tcW w:w="118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c>
          <w:tcPr>
            <w:tcW w:w="1480" w:type="dxa"/>
            <w:vAlign w:val="bottom"/>
          </w:tcPr>
          <w:p>
            <w:pPr>
              <w:spacing w:after="0"/>
              <w:rPr>
                <w:sz w:val="17"/>
                <w:szCs w:val="17"/>
                <w:color w:val="auto"/>
              </w:rPr>
            </w:pPr>
          </w:p>
        </w:tc>
        <w:tc>
          <w:tcPr>
            <w:tcW w:w="1640" w:type="dxa"/>
            <w:vAlign w:val="bottom"/>
          </w:tcPr>
          <w:p>
            <w:pPr>
              <w:jc w:val="center"/>
              <w:ind w:right="194"/>
              <w:spacing w:after="0"/>
              <w:rPr>
                <w:sz w:val="20"/>
                <w:szCs w:val="20"/>
                <w:color w:val="auto"/>
              </w:rPr>
            </w:pPr>
            <w:r>
              <w:rPr>
                <w:rFonts w:ascii="Arial" w:cs="Arial" w:eastAsia="Arial" w:hAnsi="Arial"/>
                <w:sz w:val="16"/>
                <w:szCs w:val="16"/>
                <w:b w:val="1"/>
                <w:bCs w:val="1"/>
                <w:color w:val="auto"/>
                <w:w w:val="93"/>
              </w:rPr>
              <w:t>Other</w:t>
            </w:r>
          </w:p>
        </w:tc>
        <w:tc>
          <w:tcPr>
            <w:tcW w:w="118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9"/>
              </w:rPr>
              <w:t>Shareholders’</w:t>
            </w:r>
          </w:p>
        </w:tc>
        <w:tc>
          <w:tcPr>
            <w:tcW w:w="1480" w:type="dxa"/>
            <w:vAlign w:val="bottom"/>
          </w:tcPr>
          <w:p>
            <w:pPr>
              <w:jc w:val="right"/>
              <w:ind w:right="393"/>
              <w:spacing w:after="0"/>
              <w:rPr>
                <w:sz w:val="20"/>
                <w:szCs w:val="20"/>
                <w:color w:val="auto"/>
              </w:rPr>
            </w:pPr>
            <w:r>
              <w:rPr>
                <w:rFonts w:ascii="Arial" w:cs="Arial" w:eastAsia="Arial" w:hAnsi="Arial"/>
                <w:sz w:val="16"/>
                <w:szCs w:val="16"/>
                <w:b w:val="1"/>
                <w:bCs w:val="1"/>
                <w:color w:val="auto"/>
              </w:rPr>
              <w:t>Retained</w:t>
            </w:r>
          </w:p>
        </w:tc>
        <w:tc>
          <w:tcPr>
            <w:tcW w:w="1640" w:type="dxa"/>
            <w:vAlign w:val="bottom"/>
          </w:tcPr>
          <w:p>
            <w:pPr>
              <w:jc w:val="center"/>
              <w:ind w:right="194"/>
              <w:spacing w:after="0"/>
              <w:rPr>
                <w:sz w:val="20"/>
                <w:szCs w:val="20"/>
                <w:color w:val="auto"/>
              </w:rPr>
            </w:pPr>
            <w:r>
              <w:rPr>
                <w:rFonts w:ascii="Arial" w:cs="Arial" w:eastAsia="Arial" w:hAnsi="Arial"/>
                <w:sz w:val="16"/>
                <w:szCs w:val="16"/>
                <w:b w:val="1"/>
                <w:bCs w:val="1"/>
                <w:color w:val="auto"/>
                <w:w w:val="89"/>
              </w:rPr>
              <w:t>Comprehensive</w:t>
            </w:r>
          </w:p>
        </w:tc>
        <w:tc>
          <w:tcPr>
            <w:tcW w:w="1180" w:type="dxa"/>
            <w:vAlign w:val="bottom"/>
          </w:tcPr>
          <w:p>
            <w:pPr>
              <w:jc w:val="right"/>
              <w:ind w:right="274"/>
              <w:spacing w:after="0"/>
              <w:rPr>
                <w:sz w:val="20"/>
                <w:szCs w:val="20"/>
                <w:color w:val="auto"/>
              </w:rPr>
            </w:pPr>
            <w:r>
              <w:rPr>
                <w:rFonts w:ascii="Arial" w:cs="Arial" w:eastAsia="Arial" w:hAnsi="Arial"/>
                <w:sz w:val="16"/>
                <w:szCs w:val="16"/>
                <w:b w:val="1"/>
                <w:bCs w:val="1"/>
                <w:color w:val="auto"/>
              </w:rPr>
              <w:t>Common</w:t>
            </w:r>
          </w:p>
        </w:tc>
      </w:tr>
      <w:tr>
        <w:trPr>
          <w:trHeight w:val="210"/>
        </w:trPr>
        <w:tc>
          <w:tcPr>
            <w:tcW w:w="56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8"/>
              </w:rPr>
              <w:t>Equity</w:t>
            </w:r>
          </w:p>
        </w:tc>
        <w:tc>
          <w:tcPr>
            <w:tcW w:w="1480" w:type="dxa"/>
            <w:vAlign w:val="bottom"/>
          </w:tcPr>
          <w:p>
            <w:pPr>
              <w:jc w:val="right"/>
              <w:ind w:right="393"/>
              <w:spacing w:after="0"/>
              <w:rPr>
                <w:sz w:val="20"/>
                <w:szCs w:val="20"/>
                <w:color w:val="auto"/>
              </w:rPr>
            </w:pPr>
            <w:r>
              <w:rPr>
                <w:rFonts w:ascii="Arial" w:cs="Arial" w:eastAsia="Arial" w:hAnsi="Arial"/>
                <w:sz w:val="16"/>
                <w:szCs w:val="16"/>
                <w:b w:val="1"/>
                <w:bCs w:val="1"/>
                <w:color w:val="auto"/>
              </w:rPr>
              <w:t>Earnings</w:t>
            </w:r>
          </w:p>
        </w:tc>
        <w:tc>
          <w:tcPr>
            <w:tcW w:w="1640" w:type="dxa"/>
            <w:vAlign w:val="bottom"/>
          </w:tcPr>
          <w:p>
            <w:pPr>
              <w:jc w:val="center"/>
              <w:ind w:right="194"/>
              <w:spacing w:after="0"/>
              <w:rPr>
                <w:sz w:val="20"/>
                <w:szCs w:val="20"/>
                <w:color w:val="auto"/>
              </w:rPr>
            </w:pPr>
            <w:r>
              <w:rPr>
                <w:rFonts w:ascii="Arial" w:cs="Arial" w:eastAsia="Arial" w:hAnsi="Arial"/>
                <w:sz w:val="16"/>
                <w:szCs w:val="16"/>
                <w:b w:val="1"/>
                <w:bCs w:val="1"/>
                <w:color w:val="auto"/>
                <w:w w:val="88"/>
              </w:rPr>
              <w:t>Income (Loss)</w:t>
            </w:r>
          </w:p>
        </w:tc>
        <w:tc>
          <w:tcPr>
            <w:tcW w:w="1180" w:type="dxa"/>
            <w:vAlign w:val="bottom"/>
          </w:tcPr>
          <w:p>
            <w:pPr>
              <w:jc w:val="right"/>
              <w:ind w:right="394"/>
              <w:spacing w:after="0"/>
              <w:rPr>
                <w:sz w:val="20"/>
                <w:szCs w:val="20"/>
                <w:color w:val="auto"/>
              </w:rPr>
            </w:pPr>
            <w:r>
              <w:rPr>
                <w:rFonts w:ascii="Arial" w:cs="Arial" w:eastAsia="Arial" w:hAnsi="Arial"/>
                <w:sz w:val="16"/>
                <w:szCs w:val="16"/>
                <w:b w:val="1"/>
                <w:bCs w:val="1"/>
                <w:color w:val="auto"/>
              </w:rPr>
              <w:t>Stock</w:t>
            </w:r>
          </w:p>
        </w:tc>
      </w:tr>
      <w:tr>
        <w:trPr>
          <w:trHeight w:val="33"/>
        </w:trPr>
        <w:tc>
          <w:tcPr>
            <w:tcW w:w="5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 as of December 31, 2015</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$1,820.2</w:t>
            </w:r>
          </w:p>
        </w:tc>
        <w:tc>
          <w:tcPr>
            <w:tcW w:w="1480" w:type="dxa"/>
            <w:vAlign w:val="bottom"/>
          </w:tcPr>
          <w:p>
            <w:pPr>
              <w:jc w:val="right"/>
              <w:ind w:right="133"/>
              <w:spacing w:after="0"/>
              <w:rPr>
                <w:sz w:val="20"/>
                <w:szCs w:val="20"/>
                <w:color w:val="auto"/>
              </w:rPr>
            </w:pPr>
            <w:r>
              <w:rPr>
                <w:rFonts w:ascii="Arial" w:cs="Arial" w:eastAsia="Arial" w:hAnsi="Arial"/>
                <w:sz w:val="18"/>
                <w:szCs w:val="18"/>
                <w:color w:val="auto"/>
              </w:rPr>
              <w:t>$573.3</w:t>
            </w:r>
          </w:p>
        </w:tc>
        <w:tc>
          <w:tcPr>
            <w:tcW w:w="1640" w:type="dxa"/>
            <w:vAlign w:val="bottom"/>
          </w:tcPr>
          <w:p>
            <w:pPr>
              <w:jc w:val="right"/>
              <w:ind w:right="114"/>
              <w:spacing w:after="0"/>
              <w:rPr>
                <w:sz w:val="20"/>
                <w:szCs w:val="20"/>
                <w:color w:val="auto"/>
              </w:rPr>
            </w:pPr>
            <w:r>
              <w:rPr>
                <w:rFonts w:ascii="Arial" w:cs="Arial" w:eastAsia="Arial" w:hAnsi="Arial"/>
                <w:sz w:val="18"/>
                <w:szCs w:val="18"/>
                <w:color w:val="auto"/>
              </w:rPr>
              <w:t>$(24.5)</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$1,271.4</w:t>
            </w:r>
          </w:p>
        </w:tc>
      </w:tr>
      <w:tr>
        <w:trPr>
          <w:trHeight w:val="27"/>
        </w:trPr>
        <w:tc>
          <w:tcPr>
            <w:tcW w:w="5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46.4</w:t>
            </w:r>
          </w:p>
        </w:tc>
        <w:tc>
          <w:tcPr>
            <w:tcW w:w="1480" w:type="dxa"/>
            <w:vAlign w:val="bottom"/>
          </w:tcPr>
          <w:p>
            <w:pPr>
              <w:jc w:val="right"/>
              <w:ind w:right="133"/>
              <w:spacing w:after="0"/>
              <w:rPr>
                <w:sz w:val="20"/>
                <w:szCs w:val="20"/>
                <w:color w:val="auto"/>
              </w:rPr>
            </w:pPr>
            <w:r>
              <w:rPr>
                <w:rFonts w:ascii="Arial" w:cs="Arial" w:eastAsia="Arial" w:hAnsi="Arial"/>
                <w:sz w:val="18"/>
                <w:szCs w:val="18"/>
                <w:color w:val="auto"/>
              </w:rPr>
              <w:t>46.4</w:t>
            </w:r>
          </w:p>
        </w:tc>
        <w:tc>
          <w:tcPr>
            <w:tcW w:w="16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 Net of Tax</w:t>
            </w:r>
          </w:p>
        </w:tc>
        <w:tc>
          <w:tcPr>
            <w:tcW w:w="1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Unrealized Loss on Securities – Net</w:t>
            </w:r>
          </w:p>
        </w:tc>
        <w:tc>
          <w:tcPr>
            <w:tcW w:w="1500" w:type="dxa"/>
            <w:vAlign w:val="bottom"/>
          </w:tcPr>
          <w:p>
            <w:pPr>
              <w:jc w:val="right"/>
              <w:spacing w:after="0"/>
              <w:rPr>
                <w:sz w:val="20"/>
                <w:szCs w:val="20"/>
                <w:color w:val="auto"/>
              </w:rPr>
            </w:pPr>
            <w:r>
              <w:rPr>
                <w:rFonts w:ascii="Arial" w:cs="Arial" w:eastAsia="Arial" w:hAnsi="Arial"/>
                <w:sz w:val="18"/>
                <w:szCs w:val="18"/>
                <w:color w:val="auto"/>
              </w:rPr>
              <w:t>(0.4)</w:t>
            </w:r>
          </w:p>
        </w:tc>
        <w:tc>
          <w:tcPr>
            <w:tcW w:w="1480" w:type="dxa"/>
            <w:vAlign w:val="bottom"/>
          </w:tcPr>
          <w:p>
            <w:pPr>
              <w:spacing w:after="0"/>
              <w:rPr>
                <w:sz w:val="21"/>
                <w:szCs w:val="21"/>
                <w:color w:val="auto"/>
              </w:rPr>
            </w:pPr>
          </w:p>
        </w:tc>
        <w:tc>
          <w:tcPr>
            <w:tcW w:w="1640" w:type="dxa"/>
            <w:vAlign w:val="bottom"/>
          </w:tcPr>
          <w:p>
            <w:pPr>
              <w:jc w:val="right"/>
              <w:ind w:right="134"/>
              <w:spacing w:after="0"/>
              <w:rPr>
                <w:sz w:val="20"/>
                <w:szCs w:val="20"/>
                <w:color w:val="auto"/>
              </w:rPr>
            </w:pPr>
            <w:r>
              <w:rPr>
                <w:rFonts w:ascii="Arial" w:cs="Arial" w:eastAsia="Arial" w:hAnsi="Arial"/>
                <w:sz w:val="18"/>
                <w:szCs w:val="18"/>
                <w:color w:val="auto"/>
              </w:rPr>
              <w:t>(0.4)</w:t>
            </w: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Defined Benefit Pension and Other Postretirement Plans – Net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4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0.2</w:t>
            </w:r>
          </w:p>
        </w:tc>
        <w:tc>
          <w:tcPr>
            <w:tcW w:w="118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Pr>
          <w:p>
            <w:pPr>
              <w:ind w:left="500"/>
              <w:spacing w:after="0"/>
              <w:rPr>
                <w:sz w:val="20"/>
                <w:szCs w:val="20"/>
                <w:color w:val="auto"/>
              </w:rPr>
            </w:pPr>
            <w:r>
              <w:rPr>
                <w:rFonts w:ascii="Arial" w:cs="Arial" w:eastAsia="Arial" w:hAnsi="Arial"/>
                <w:sz w:val="18"/>
                <w:szCs w:val="18"/>
                <w:color w:val="auto"/>
              </w:rPr>
              <w:t>Total Comprehensive Income</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46.2</w:t>
            </w:r>
          </w:p>
        </w:tc>
        <w:tc>
          <w:tcPr>
            <w:tcW w:w="14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 in Subsidiaries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(0.5)</w:t>
            </w:r>
          </w:p>
        </w:tc>
        <w:tc>
          <w:tcPr>
            <w:tcW w:w="16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Comprehensive Income Attributable to ALLETE</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45.7</w:t>
            </w:r>
          </w:p>
        </w:tc>
        <w:tc>
          <w:tcPr>
            <w:tcW w:w="14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 – Net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4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1500" w:type="dxa"/>
            <w:vAlign w:val="bottom"/>
          </w:tcPr>
          <w:p>
            <w:pPr>
              <w:jc w:val="right"/>
              <w:spacing w:after="0"/>
              <w:rPr>
                <w:sz w:val="20"/>
                <w:szCs w:val="20"/>
                <w:color w:val="auto"/>
              </w:rPr>
            </w:pPr>
            <w:r>
              <w:rPr>
                <w:rFonts w:ascii="Arial" w:cs="Arial" w:eastAsia="Arial" w:hAnsi="Arial"/>
                <w:sz w:val="18"/>
                <w:szCs w:val="18"/>
                <w:color w:val="auto"/>
              </w:rPr>
              <w:t>(25.7)</w:t>
            </w: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(25.7)</w:t>
            </w:r>
          </w:p>
        </w:tc>
        <w:tc>
          <w:tcPr>
            <w:tcW w:w="16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2016</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$1,849.8</w:t>
            </w:r>
          </w:p>
        </w:tc>
        <w:tc>
          <w:tcPr>
            <w:tcW w:w="14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$593.5</w:t>
            </w:r>
          </w:p>
        </w:tc>
        <w:tc>
          <w:tcPr>
            <w:tcW w:w="16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$(24.7)</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$1,281.0</w:t>
            </w:r>
          </w:p>
        </w:tc>
      </w:tr>
      <w:tr>
        <w:trPr>
          <w:trHeight w:val="224"/>
        </w:trPr>
        <w:tc>
          <w:tcPr>
            <w:tcW w:w="8600" w:type="dxa"/>
            <w:vAlign w:val="bottom"/>
            <w:tcBorders>
              <w:top w:val="single" w:sz="8" w:color="auto"/>
            </w:tcBorders>
            <w:gridSpan w:val="3"/>
          </w:tcPr>
          <w:p>
            <w:pPr>
              <w:ind w:left="3380"/>
              <w:spacing w:after="0"/>
              <w:rPr>
                <w:sz w:val="20"/>
                <w:szCs w:val="20"/>
                <w:color w:val="auto"/>
              </w:rPr>
            </w:pPr>
            <w:r>
              <w:rPr>
                <w:rFonts w:ascii="Arial" w:cs="Arial" w:eastAsia="Arial" w:hAnsi="Arial"/>
                <w:sz w:val="18"/>
                <w:szCs w:val="18"/>
                <w:color w:val="auto"/>
                <w:w w:val="99"/>
              </w:rPr>
              <w:t>The accompanying notes are an integral part of these statements.</w:t>
            </w:r>
          </w:p>
        </w:tc>
        <w:tc>
          <w:tcPr>
            <w:tcW w:w="16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66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2015, Consolidated Balance Sheet was derived from audited financial statements, but does not include all disclosures required by GAAP. In management’s opinion, these unaudited financial statements include all adjustments necessary for a fair statement of financial results. All adjustments are of a normal, recurring nature, except as otherwise disclosed. Operating results for the three months ended March 31, 2016, are not necessarily indicative of results that may be expected for any other interim period or for the year ending December 31, 2016. For further information, refer to the Consolidated Financial Statements and notes included in our 2015 Form 10-K.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Inventories in our Regulated Operations and ALLETE Clean Energy segments are carried at</w:t>
      </w:r>
      <w:r>
        <w:rPr>
          <w:rFonts w:ascii="Arial" w:cs="Arial" w:eastAsia="Arial" w:hAnsi="Arial"/>
          <w:sz w:val="18"/>
          <w:szCs w:val="18"/>
          <w:b w:val="1"/>
          <w:bCs w:val="1"/>
          <w:color w:val="auto"/>
        </w:rPr>
        <w:t xml:space="preserve"> </w:t>
      </w:r>
      <w:r>
        <w:rPr>
          <w:rFonts w:ascii="Arial" w:cs="Arial" w:eastAsia="Arial" w:hAnsi="Arial"/>
          <w:sz w:val="18"/>
          <w:szCs w:val="18"/>
          <w:color w:val="auto"/>
        </w:rPr>
        <w:t>an average cost basis. Inventories in our U.S. Water Services and Corporate and Other segments are carried at an average cost, first-in, first-out or specific identification basis.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338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Inventories</w:t>
            </w:r>
          </w:p>
        </w:tc>
        <w:tc>
          <w:tcPr>
            <w:tcW w:w="33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20" w:type="dxa"/>
            <w:vAlign w:val="bottom"/>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3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3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$56.5</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r>
      <w:tr>
        <w:trPr>
          <w:trHeight w:val="243"/>
        </w:trPr>
        <w:tc>
          <w:tcPr>
            <w:tcW w:w="2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3380" w:type="dxa"/>
            <w:vAlign w:val="bottom"/>
          </w:tcPr>
          <w:p>
            <w:pPr>
              <w:jc w:val="right"/>
              <w:ind w:right="170"/>
              <w:spacing w:after="0"/>
              <w:rPr>
                <w:sz w:val="20"/>
                <w:szCs w:val="20"/>
                <w:color w:val="auto"/>
              </w:rPr>
            </w:pPr>
            <w:r>
              <w:rPr>
                <w:rFonts w:ascii="Arial" w:cs="Arial" w:eastAsia="Arial" w:hAnsi="Arial"/>
                <w:sz w:val="18"/>
                <w:szCs w:val="18"/>
                <w:color w:val="auto"/>
              </w:rPr>
              <w:t>49.0</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49.1</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2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3380" w:type="dxa"/>
            <w:vAlign w:val="bottom"/>
          </w:tcPr>
          <w:p>
            <w:pPr>
              <w:jc w:val="right"/>
              <w:ind w:right="170"/>
              <w:spacing w:after="0"/>
              <w:rPr>
                <w:sz w:val="20"/>
                <w:szCs w:val="20"/>
                <w:color w:val="auto"/>
              </w:rPr>
            </w:pPr>
            <w:r>
              <w:rPr>
                <w:rFonts w:ascii="Arial" w:cs="Arial" w:eastAsia="Arial" w:hAnsi="Arial"/>
                <w:sz w:val="18"/>
                <w:szCs w:val="18"/>
                <w:color w:val="auto"/>
              </w:rPr>
              <w:t>0.8</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7.4</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2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Reserve for Obsolescence</w:t>
            </w:r>
          </w:p>
        </w:tc>
        <w:tc>
          <w:tcPr>
            <w:tcW w:w="3380" w:type="dxa"/>
            <w:vAlign w:val="bottom"/>
          </w:tcPr>
          <w:p>
            <w:pPr>
              <w:jc w:val="right"/>
              <w:ind w:right="110"/>
              <w:spacing w:after="0"/>
              <w:rPr>
                <w:sz w:val="20"/>
                <w:szCs w:val="20"/>
                <w:color w:val="auto"/>
              </w:rPr>
            </w:pPr>
            <w:r>
              <w:rPr>
                <w:rFonts w:ascii="Arial" w:cs="Arial" w:eastAsia="Arial" w:hAnsi="Arial"/>
                <w:sz w:val="18"/>
                <w:szCs w:val="18"/>
                <w:color w:val="auto"/>
              </w:rPr>
              <w:t>(0.3)</w:t>
            </w: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20" w:type="dxa"/>
            <w:vAlign w:val="bottom"/>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3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$116.0</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w:t>
            </w:r>
          </w:p>
        </w:tc>
      </w:tr>
      <w:tr>
        <w:trPr>
          <w:trHeight w:val="200"/>
        </w:trPr>
        <w:tc>
          <w:tcPr>
            <w:tcW w:w="20" w:type="dxa"/>
            <w:vAlign w:val="bottom"/>
          </w:tcPr>
          <w:p>
            <w:pPr>
              <w:spacing w:after="0"/>
              <w:rPr>
                <w:sz w:val="17"/>
                <w:szCs w:val="17"/>
                <w:color w:val="auto"/>
              </w:rPr>
            </w:pPr>
          </w:p>
        </w:tc>
        <w:tc>
          <w:tcPr>
            <w:tcW w:w="660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Fuel consists primarily of coal inventory at Minnesota Power.</w:t>
            </w:r>
          </w:p>
        </w:tc>
        <w:tc>
          <w:tcPr>
            <w:tcW w:w="33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390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Prepayments and Other Current Assets</w:t>
            </w:r>
          </w:p>
        </w:tc>
        <w:tc>
          <w:tcPr>
            <w:tcW w:w="39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60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9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Fuel Adjustment Clause</w:t>
            </w:r>
          </w:p>
        </w:tc>
        <w:tc>
          <w:tcPr>
            <w:tcW w:w="3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$12.4</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6"/>
                <w:szCs w:val="16"/>
                <w:i w:val="1"/>
                <w:iCs w:val="1"/>
                <w:color w:val="auto"/>
              </w:rPr>
              <w:t>(a)</w:t>
            </w:r>
          </w:p>
        </w:tc>
        <w:tc>
          <w:tcPr>
            <w:tcW w:w="3900" w:type="dxa"/>
            <w:vAlign w:val="bottom"/>
          </w:tcPr>
          <w:p>
            <w:pPr>
              <w:jc w:val="right"/>
              <w:ind w:right="150"/>
              <w:spacing w:after="0"/>
              <w:rPr>
                <w:sz w:val="20"/>
                <w:szCs w:val="20"/>
                <w:color w:val="auto"/>
              </w:rPr>
            </w:pPr>
            <w:r>
              <w:rPr>
                <w:rFonts w:ascii="Arial" w:cs="Arial" w:eastAsia="Arial" w:hAnsi="Arial"/>
                <w:sz w:val="18"/>
                <w:szCs w:val="18"/>
                <w:color w:val="auto"/>
              </w:rPr>
              <w:t>11.5</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60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17.6</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37"/>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Prepayments and Other Current Assets</w:t>
            </w:r>
          </w:p>
        </w:tc>
        <w:tc>
          <w:tcPr>
            <w:tcW w:w="39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$41.5</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75"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Restricted Cash includes collateral deposits required under ALLETE Clean Energy’s loan agreements and cash pledged as collateral for U.S. Water Services’ standby letters of credit.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Assets.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Included in Other Non-Current Assets on the Consolidated Balance Sheet was restricted cash of $8.1 million as of March 31, 2016, and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related to collateral deposits required under ALLETE Clean Energy’s loan agreements.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440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56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44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5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4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4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$14.0</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Power Purchase Agreements</w:t>
            </w:r>
          </w:p>
        </w:tc>
        <w:tc>
          <w:tcPr>
            <w:tcW w:w="4400" w:type="dxa"/>
            <w:vAlign w:val="bottom"/>
          </w:tcPr>
          <w:p>
            <w:pPr>
              <w:jc w:val="right"/>
              <w:ind w:right="150"/>
              <w:spacing w:after="0"/>
              <w:rPr>
                <w:sz w:val="20"/>
                <w:szCs w:val="20"/>
                <w:color w:val="auto"/>
              </w:rPr>
            </w:pPr>
            <w:r>
              <w:rPr>
                <w:rFonts w:ascii="Arial" w:cs="Arial" w:eastAsia="Arial" w:hAnsi="Arial"/>
                <w:sz w:val="18"/>
                <w:szCs w:val="18"/>
                <w:color w:val="auto"/>
              </w:rPr>
              <w:t>23.6</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23.3</w:t>
            </w:r>
          </w:p>
        </w:tc>
      </w:tr>
      <w:tr>
        <w:trPr>
          <w:trHeight w:val="27"/>
        </w:trPr>
        <w:tc>
          <w:tcPr>
            <w:tcW w:w="55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45.2</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r>
      <w:tr>
        <w:trPr>
          <w:trHeight w:val="237"/>
        </w:trPr>
        <w:tc>
          <w:tcPr>
            <w:tcW w:w="5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Current Liabilities</w:t>
            </w:r>
          </w:p>
        </w:tc>
        <w:tc>
          <w:tcPr>
            <w:tcW w:w="4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$82.8</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$86.1</w:t>
            </w:r>
          </w:p>
        </w:tc>
      </w:tr>
      <w:tr>
        <w:trPr>
          <w:trHeight w:val="27"/>
        </w:trPr>
        <w:tc>
          <w:tcPr>
            <w:tcW w:w="55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ectPr>
          <w:pgSz w:w="11900" w:h="16838" w:orient="portrait"/>
          <w:cols w:equalWidth="0" w:num="1">
            <w:col w:w="11420"/>
          </w:cols>
          <w:pgMar w:left="240" w:top="661"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20"/>
          </w:cols>
          <w:pgMar w:left="240" w:top="661"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27"/>
        </w:trPr>
        <w:tc>
          <w:tcPr>
            <w:tcW w:w="7860" w:type="dxa"/>
            <w:vAlign w:val="bottom"/>
          </w:tcPr>
          <w:p>
            <w:pPr>
              <w:spacing w:after="0"/>
              <w:rPr>
                <w:sz w:val="24"/>
                <w:szCs w:val="24"/>
                <w:color w:val="auto"/>
              </w:rPr>
            </w:pPr>
          </w:p>
        </w:tc>
        <w:tc>
          <w:tcPr>
            <w:tcW w:w="210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21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78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2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$136.2</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Power Purchase Agreements</w:t>
            </w:r>
          </w:p>
        </w:tc>
        <w:tc>
          <w:tcPr>
            <w:tcW w:w="2100" w:type="dxa"/>
            <w:vAlign w:val="bottom"/>
          </w:tcPr>
          <w:p>
            <w:pPr>
              <w:jc w:val="right"/>
              <w:ind w:right="150"/>
              <w:spacing w:after="0"/>
              <w:rPr>
                <w:sz w:val="20"/>
                <w:szCs w:val="20"/>
                <w:color w:val="auto"/>
              </w:rPr>
            </w:pPr>
            <w:r>
              <w:rPr>
                <w:rFonts w:ascii="Arial" w:cs="Arial" w:eastAsia="Arial" w:hAnsi="Arial"/>
                <w:sz w:val="18"/>
                <w:szCs w:val="18"/>
                <w:color w:val="auto"/>
              </w:rPr>
              <w:t>131.9</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138.1</w:t>
            </w:r>
          </w:p>
        </w:tc>
      </w:tr>
      <w:tr>
        <w:trPr>
          <w:trHeight w:val="27"/>
        </w:trPr>
        <w:tc>
          <w:tcPr>
            <w:tcW w:w="78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6"/>
                <w:szCs w:val="16"/>
                <w:i w:val="1"/>
                <w:iCs w:val="1"/>
                <w:color w:val="auto"/>
              </w:rPr>
              <w:t>(a)</w:t>
            </w:r>
          </w:p>
        </w:tc>
        <w:tc>
          <w:tcPr>
            <w:tcW w:w="2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36.7</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Other</w:t>
            </w:r>
          </w:p>
        </w:tc>
        <w:tc>
          <w:tcPr>
            <w:tcW w:w="2100" w:type="dxa"/>
            <w:vAlign w:val="bottom"/>
          </w:tcPr>
          <w:p>
            <w:pPr>
              <w:jc w:val="right"/>
              <w:ind w:right="150"/>
              <w:spacing w:after="0"/>
              <w:rPr>
                <w:sz w:val="20"/>
                <w:szCs w:val="20"/>
                <w:color w:val="auto"/>
              </w:rPr>
            </w:pPr>
            <w:r>
              <w:rPr>
                <w:rFonts w:ascii="Arial" w:cs="Arial" w:eastAsia="Arial" w:hAnsi="Arial"/>
                <w:sz w:val="18"/>
                <w:szCs w:val="18"/>
                <w:color w:val="auto"/>
              </w:rPr>
              <w:t>42.3</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42.9</w:t>
            </w:r>
          </w:p>
        </w:tc>
      </w:tr>
      <w:tr>
        <w:trPr>
          <w:trHeight w:val="27"/>
        </w:trPr>
        <w:tc>
          <w:tcPr>
            <w:tcW w:w="78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2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$347.1</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$349.0</w:t>
            </w:r>
          </w:p>
        </w:tc>
      </w:tr>
      <w:tr>
        <w:trPr>
          <w:trHeight w:val="20"/>
        </w:trPr>
        <w:tc>
          <w:tcPr>
            <w:tcW w:w="786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ind w:left="340" w:right="20" w:hanging="332"/>
        <w:spacing w:after="0" w:line="263"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Contingent Consideration relates to the estimated fair value of the earnings-based payment resulting from the U.S. Water Services acquisition. (See Note 3. Acquisitions and Note 5. Fair Value.)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80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$19.6</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Cash Paid During the Period for Income Taxes</w:t>
            </w:r>
          </w:p>
        </w:tc>
        <w:tc>
          <w:tcPr>
            <w:tcW w:w="2460" w:type="dxa"/>
            <w:vAlign w:val="bottom"/>
          </w:tcPr>
          <w:p>
            <w:pPr>
              <w:jc w:val="right"/>
              <w:ind w:right="370"/>
              <w:spacing w:after="0"/>
              <w:rPr>
                <w:sz w:val="20"/>
                <w:szCs w:val="20"/>
                <w:color w:val="auto"/>
              </w:rPr>
            </w:pPr>
            <w:r>
              <w:rPr>
                <w:rFonts w:ascii="Arial" w:cs="Arial" w:eastAsia="Arial" w:hAnsi="Arial"/>
                <w:sz w:val="18"/>
                <w:szCs w:val="18"/>
                <w:color w:val="auto"/>
              </w:rPr>
              <w:t>$0.1</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Decrease in Accounts Payable for Capital Additions to Property, Plant and Equipment</w:t>
            </w:r>
          </w:p>
        </w:tc>
        <w:tc>
          <w:tcPr>
            <w:tcW w:w="2460" w:type="dxa"/>
            <w:vAlign w:val="bottom"/>
          </w:tcPr>
          <w:p>
            <w:pPr>
              <w:jc w:val="right"/>
              <w:ind w:right="270"/>
              <w:spacing w:after="0"/>
              <w:rPr>
                <w:sz w:val="20"/>
                <w:szCs w:val="20"/>
                <w:color w:val="auto"/>
              </w:rPr>
            </w:pPr>
            <w:r>
              <w:rPr>
                <w:rFonts w:ascii="Arial" w:cs="Arial" w:eastAsia="Arial" w:hAnsi="Arial"/>
                <w:sz w:val="18"/>
                <w:szCs w:val="18"/>
                <w:color w:val="auto"/>
              </w:rPr>
              <w:t>$(25.6)</w:t>
            </w:r>
          </w:p>
        </w:tc>
        <w:tc>
          <w:tcPr>
            <w:tcW w:w="90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Asset Retirement Costs</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$3.5</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AFUDC–Equity</w:t>
            </w:r>
          </w:p>
        </w:tc>
        <w:tc>
          <w:tcPr>
            <w:tcW w:w="2460" w:type="dxa"/>
            <w:vAlign w:val="bottom"/>
          </w:tcPr>
          <w:p>
            <w:pPr>
              <w:jc w:val="right"/>
              <w:ind w:right="370"/>
              <w:spacing w:after="0"/>
              <w:rPr>
                <w:sz w:val="20"/>
                <w:szCs w:val="20"/>
                <w:color w:val="auto"/>
              </w:rPr>
            </w:pPr>
            <w:r>
              <w:rPr>
                <w:rFonts w:ascii="Arial" w:cs="Arial" w:eastAsia="Arial" w:hAnsi="Arial"/>
                <w:sz w:val="18"/>
                <w:szCs w:val="18"/>
                <w:color w:val="auto"/>
              </w:rPr>
              <w:t>$0.9</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Contingent Consideration</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r>
      <w:tr>
        <w:trPr>
          <w:trHeight w:val="20"/>
        </w:trPr>
        <w:tc>
          <w:tcPr>
            <w:tcW w:w="806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Amendments to the Consolidation Analysis. </w:t>
      </w:r>
      <w:r>
        <w:rPr>
          <w:rFonts w:ascii="Arial" w:cs="Arial" w:eastAsia="Arial" w:hAnsi="Arial"/>
          <w:sz w:val="16"/>
          <w:szCs w:val="16"/>
          <w:color w:val="auto"/>
        </w:rPr>
        <w:t>In February 2015, the FASB issued revised guidance which changes the analysis that a reporting entity must</w:t>
      </w:r>
      <w:r>
        <w:rPr>
          <w:rFonts w:ascii="Arial" w:cs="Arial" w:eastAsia="Arial" w:hAnsi="Arial"/>
          <w:sz w:val="16"/>
          <w:szCs w:val="16"/>
          <w:i w:val="1"/>
          <w:iCs w:val="1"/>
          <w:color w:val="auto"/>
        </w:rPr>
        <w:t xml:space="preserve"> </w:t>
      </w:r>
      <w:r>
        <w:rPr>
          <w:rFonts w:ascii="Arial" w:cs="Arial" w:eastAsia="Arial" w:hAnsi="Arial"/>
          <w:sz w:val="16"/>
          <w:szCs w:val="16"/>
          <w:color w:val="auto"/>
        </w:rPr>
        <w:t>perform to determine whether it should consolidate certain types of legal entities. The new standard affects (1) limited partnerships and similar legal entities,</w:t>
      </w:r>
    </w:p>
    <w:p>
      <w:pPr>
        <w:jc w:val="both"/>
        <w:ind w:firstLine="8"/>
        <w:spacing w:after="0" w:line="255" w:lineRule="auto"/>
        <w:tabs>
          <w:tab w:leader="none" w:pos="286"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evaluating fees paid to a decision maker or a service provider as a variable interest, (3) the effect of fee arrangements on the primary beneficiary determination, (4) the effect of related parties on the primary beneficiary determination, and (5) certain investment funds. This guidance was adopted in the first quarter of 2016 and did not have a material impact on our Consolidated Financial Statements.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Disclosures for Investments in Certain Entities That Calculate Net Asset Value per Share (or Its Equivalent). </w:t>
      </w:r>
      <w:r>
        <w:rPr>
          <w:rFonts w:ascii="Arial" w:cs="Arial" w:eastAsia="Arial" w:hAnsi="Arial"/>
          <w:sz w:val="18"/>
          <w:szCs w:val="18"/>
          <w:color w:val="auto"/>
        </w:rPr>
        <w:t>In May 2015, the FASB issued an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update which removes the requirement to categorize within the fair value hierarchy all investments for which fair value is measured using the net asset value per share (or its equivalent) practical expedient. The guidance applies to investments for which there is not a readily determinable fair value (market quote) or the investment is in a mutual fund without a publicly available net asset value. This guidance was adopted in the first quarter of 2016 and did not have a material impact on our Consolidated Financial Statements.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Presentation of Debt Issuance Costs. </w:t>
      </w:r>
      <w:r>
        <w:rPr>
          <w:rFonts w:ascii="Arial" w:cs="Arial" w:eastAsia="Arial" w:hAnsi="Arial"/>
          <w:sz w:val="18"/>
          <w:szCs w:val="18"/>
          <w:color w:val="auto"/>
        </w:rPr>
        <w:t>In April 2015, the FASB issued revised guidance addressing the presentation requirements for debt issuance costs.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revised guidance, all costs incurred to issue debt are to be presented on the Consolidated Balance Sheet as a direct deduction from the carrying amount of that debt liability. This guidance was adopted in the first quarter of 2016 resulting in the reclassification of unamortized debt issuance costs from Other Non-Current Assets to Long-Term Debt on the Consolidated Balance Sheet. The effect of the adoption decreased Total Assets and Total Liabilities on ALLETE's Consolidated Balance Sheet by $12.6 million as of December 31, 2015.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66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an accounting standard update which revises the existing guidance for leases. Under the revised guidance, lessees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required to recognize a “right-of-use” asset and a lease liability for all leases with a term greater than 12 months. The new standard also requires additional quantitative and qualitative disclosures by lessees and lessors to enable users of the financial statements to assess the amount, timing and uncertainty of cash flows arising from leases. The accounting for leases by lessors and the recognition, measurement and presentation of expenses and cash flows from leases are not expected to significantly change as a result of the updated guidance. The revised guidance is effective for the Company beginning in the first quarter of 2019 with early adoption permitted. The Company is evaluating the impact of the amended lease guidance on the Company’s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As of March 31, 2016, the investment portfolio included the legacy real estate assets of ALLETE Properties, debt and equity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primarily of securities held in other postretirement plans to fund employee benefits, the cash equivalents within these plans, and other assets consisting primarily of land in Minnesota.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438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Other Investments</w:t>
            </w:r>
          </w:p>
        </w:tc>
        <w:tc>
          <w:tcPr>
            <w:tcW w:w="43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54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$49.1</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16"/>
                <w:szCs w:val="16"/>
                <w:i w:val="1"/>
                <w:iCs w:val="1"/>
                <w:color w:val="auto"/>
              </w:rPr>
              <w:t>(a)</w:t>
            </w:r>
          </w:p>
        </w:tc>
        <w:tc>
          <w:tcPr>
            <w:tcW w:w="4380" w:type="dxa"/>
            <w:vAlign w:val="bottom"/>
          </w:tcPr>
          <w:p>
            <w:pPr>
              <w:jc w:val="right"/>
              <w:ind w:right="210"/>
              <w:spacing w:after="0"/>
              <w:rPr>
                <w:sz w:val="20"/>
                <w:szCs w:val="20"/>
                <w:color w:val="auto"/>
              </w:rPr>
            </w:pPr>
            <w:r>
              <w:rPr>
                <w:rFonts w:ascii="Arial" w:cs="Arial" w:eastAsia="Arial" w:hAnsi="Arial"/>
                <w:sz w:val="18"/>
                <w:szCs w:val="18"/>
                <w:color w:val="auto"/>
              </w:rPr>
              <w:t>17.4</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
        </w:trPr>
        <w:tc>
          <w:tcPr>
            <w:tcW w:w="55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4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2.5</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Other</w:t>
            </w:r>
          </w:p>
        </w:tc>
        <w:tc>
          <w:tcPr>
            <w:tcW w:w="4380" w:type="dxa"/>
            <w:vAlign w:val="bottom"/>
          </w:tcPr>
          <w:p>
            <w:pPr>
              <w:jc w:val="right"/>
              <w:ind w:right="210"/>
              <w:spacing w:after="0"/>
              <w:rPr>
                <w:sz w:val="20"/>
                <w:szCs w:val="20"/>
                <w:color w:val="auto"/>
              </w:rPr>
            </w:pPr>
            <w:r>
              <w:rPr>
                <w:rFonts w:ascii="Arial" w:cs="Arial" w:eastAsia="Arial" w:hAnsi="Arial"/>
                <w:sz w:val="18"/>
                <w:szCs w:val="18"/>
                <w:color w:val="auto"/>
              </w:rPr>
              <w:t>3.9</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554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Investments</w:t>
            </w:r>
          </w:p>
        </w:tc>
        <w:tc>
          <w:tcPr>
            <w:tcW w:w="4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$72.9</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r>
      <w:tr>
        <w:trPr>
          <w:trHeight w:val="20"/>
        </w:trPr>
        <w:tc>
          <w:tcPr>
            <w:tcW w:w="5540" w:type="dxa"/>
            <w:vAlign w:val="bottom"/>
            <w:shd w:val="clear" w:color="auto" w:fill="000000"/>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ind w:left="340" w:hanging="332"/>
        <w:spacing w:after="0" w:line="263"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As of March 31, 2016, the aggregate amount of available-for-sale corporate debt securities maturing in one year or less was zero, in one year to less than three years was $1.6 million, in three years to less than five years was $4.1 million, and in five or more years was $4.7 million.</w:t>
      </w:r>
    </w:p>
    <w:p>
      <w:pPr>
        <w:spacing w:after="0" w:line="17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Land Inventory. </w:t>
      </w:r>
      <w:r>
        <w:rPr>
          <w:rFonts w:ascii="Arial" w:cs="Arial" w:eastAsia="Arial" w:hAnsi="Arial"/>
          <w:sz w:val="16"/>
          <w:szCs w:val="16"/>
          <w:color w:val="auto"/>
        </w:rPr>
        <w:t>Land inventory is accounted for as held for use and is recorded at cost, unless the carrying value is determined not to be recoverable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accounting standards for property, plant and equipment, in which case the land inventory is written down to estimated fair value. Land values are reviewed for indicators of impairment on a quarterly basis and no impairments were recorded for the three months ended March 31, 2016.</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acquisitions below are consistent with ALLETE’s stated strategy of investing in energy infrastructure and related services businesses to complement its core regulated utility, balance exposure to business cycles and changing demand, and provide potential long-term earnings growth. The pro forma impact of the following acquisitions was not significant, either individually or in the aggregate, to the results of the Company for the three months ended March 31, 2016 and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U.S. Water Services. </w:t>
      </w:r>
      <w:r>
        <w:rPr>
          <w:rFonts w:ascii="Arial" w:cs="Arial" w:eastAsia="Arial" w:hAnsi="Arial"/>
          <w:sz w:val="18"/>
          <w:szCs w:val="18"/>
          <w:color w:val="auto"/>
        </w:rPr>
        <w:t>In February 2015, ALLETE acquired U.S. Water Services. Total consideration for the transaction was $202.3 million, which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$166.6 million in cash and an estimated fair value of earnings-based contingent consideration of $35.7 million, as estimated at the date of acquisition, to be paid through 2019. The contingent consideration is presented within Other Non-Current Liabilities on the Consolidated Balance Sheet. The Consolidated Statement of Income reflects 100 percent of the results of operations for U.S. Water Services since the acquisition date as the Company has acquired 100 percent of U.S. Water Services.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2015, is reflected in the following table. Fair value measurements were valued primarily using the discounted cash flow method.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66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6"/>
                <w:szCs w:val="16"/>
                <w:i w:val="1"/>
                <w:iCs w:val="1"/>
                <w:color w:val="auto"/>
              </w:rPr>
              <w:t>(a)</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6"/>
                <w:szCs w:val="16"/>
                <w:i w:val="1"/>
                <w:iCs w:val="1"/>
                <w:color w:val="auto"/>
              </w:rPr>
              <w:t>(b)</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6"/>
                <w:szCs w:val="16"/>
                <w:i w:val="1"/>
                <w:iCs w:val="1"/>
                <w:color w:val="auto"/>
              </w:rPr>
              <w:t>(c)</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(d)</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122.9</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37"/>
        </w:trPr>
        <w:tc>
          <w:tcPr>
            <w:tcW w:w="690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4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$253.1</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5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$19.2</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r>
      <w:tr>
        <w:trPr>
          <w:trHeight w:val="237"/>
        </w:trPr>
        <w:tc>
          <w:tcPr>
            <w:tcW w:w="690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4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$202.3</w:t>
            </w:r>
          </w:p>
        </w:tc>
      </w:tr>
      <w:tr>
        <w:trPr>
          <w:trHeight w:val="20"/>
        </w:trPr>
        <w:tc>
          <w:tcPr>
            <w:tcW w:w="690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Inventories was $2.7 million of fair value adjustments relating to work in progress and finished goods inventories which were recognized as Cost of Sales within one year from the acquisition date.</w:t>
      </w:r>
    </w:p>
    <w:p>
      <w:pPr>
        <w:ind w:left="340" w:hanging="332"/>
        <w:spacing w:after="0" w:line="263" w:lineRule="auto"/>
        <w:tabs>
          <w:tab w:leader="none" w:pos="340"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Included in Other Current Assets was $1.6 million relating to the fair value of sales backlog. Sales backlog was recognized as Cost of Sales within one year from the acquisition date. Also included in Other Current Assets was restricted cash of $2.1 million relating to cash pledged as collateral for standby letters of credit.</w:t>
      </w:r>
    </w:p>
    <w:p>
      <w:pPr>
        <w:ind w:left="340" w:hanging="332"/>
        <w:spacing w:after="0"/>
        <w:tabs>
          <w:tab w:leader="none" w:pos="340"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Intangible Assets include customer relationships, patents, non-compete agreements, and trademarks and trade names. (See Note 4. Goodwill and Intangible Assets.)</w:t>
      </w:r>
    </w:p>
    <w:p>
      <w:pPr>
        <w:spacing w:after="0" w:line="16" w:lineRule="exact"/>
        <w:rPr>
          <w:rFonts w:ascii="Arial" w:cs="Arial" w:eastAsia="Arial" w:hAnsi="Arial"/>
          <w:sz w:val="15"/>
          <w:szCs w:val="15"/>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For tax purposes, the purchase price allocation resulted in $2.9 million of deductible goodwill.</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of $3.0 million after-tax were expensed as incurred during the first quarter of 2015 and recorded in Operating and Maintenance on the Consolidated Statement of Income.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Chanarambie/Viking. </w:t>
      </w:r>
      <w:r>
        <w:rPr>
          <w:rFonts w:ascii="Arial" w:cs="Arial" w:eastAsia="Arial" w:hAnsi="Arial"/>
          <w:sz w:val="18"/>
          <w:szCs w:val="18"/>
          <w:color w:val="auto"/>
        </w:rPr>
        <w:t>In April 2015, ALLETE Clean Energy acquired 100 percent of wind energy facilities in southern Minnesota (Chanarambie/Viking)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EDF Renewable Energy, Inc. for $48.0 million.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facilities have 97.5 MW of generating capability and are located near ALLETE Clean Energy’s Lake Benton facility. The wind energy facilities began commercial operations in 2003 and have PPAs in place for their entire output, which expire in 2018 (12 MW) and 2023 (85.5 MW).</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2015, is reflected in the following table. Fair value measurements were valued primarily using the discounted cash flow method.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66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6"/>
                <w:szCs w:val="16"/>
                <w:i w:val="1"/>
                <w:iCs w:val="1"/>
                <w:color w:val="auto"/>
              </w:rPr>
              <w:t>(a)</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520" w:type="dxa"/>
            <w:vAlign w:val="bottom"/>
            <w:tcBorders>
              <w:top w:val="single" w:sz="8" w:color="auto"/>
            </w:tcBorders>
          </w:tcPr>
          <w:p>
            <w:pPr>
              <w:spacing w:after="0"/>
              <w:rPr>
                <w:sz w:val="20"/>
                <w:szCs w:val="20"/>
                <w:color w:val="auto"/>
              </w:rPr>
            </w:pP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16"/>
                <w:szCs w:val="16"/>
                <w:i w:val="1"/>
                <w:iCs w:val="1"/>
                <w:color w:val="auto"/>
              </w:rPr>
              <w:t>(b)</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Power Purchase Agreements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37"/>
        </w:trPr>
        <w:tc>
          <w:tcPr>
            <w:tcW w:w="690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4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0"/>
        </w:trPr>
        <w:tc>
          <w:tcPr>
            <w:tcW w:w="690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was $0.3 million of goodwill. For tax purposes, the purchase price allocation resulted in no allocation to goodwill.</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Current Liabilities included $5.9 million related to the current portion of Power Purchase Agreements.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of $0.2 million after-tax were expensed as incurred during the second quarter of 2015 and recorded in Operating and Maintenance on the Consolidated Statement of Income.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Armenia Mountain. </w:t>
      </w:r>
      <w:r>
        <w:rPr>
          <w:rFonts w:ascii="Arial" w:cs="Arial" w:eastAsia="Arial" w:hAnsi="Arial"/>
          <w:sz w:val="18"/>
          <w:szCs w:val="18"/>
          <w:color w:val="auto"/>
        </w:rPr>
        <w:t>In July 2015, ALLETE Clean Energy acquired 100 percent of a wind energy facility located near Troy, Pennsylvania (Armenia Mountain)</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AES Corporation (AES) and a minority shareholder for $111.1 million, plus the assumption of existing debt.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facility has 100.5 MW of generating capability, began commercial operations in 2009, and has PPAs in place for its entire output, which expire in 2024.</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2015, is reflected in the following table.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115570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Current Assets </w:t>
            </w:r>
            <w:r>
              <w:rPr>
                <w:rFonts w:ascii="Arial" w:cs="Arial" w:eastAsia="Arial" w:hAnsi="Arial"/>
                <w:sz w:val="16"/>
                <w:szCs w:val="16"/>
                <w:i w:val="1"/>
                <w:iCs w:val="1"/>
                <w:color w:val="auto"/>
              </w:rPr>
              <w:t>(a)</w:t>
            </w:r>
          </w:p>
        </w:tc>
        <w:tc>
          <w:tcPr>
            <w:tcW w:w="45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686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156.2</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6"/>
                <w:szCs w:val="16"/>
                <w:i w:val="1"/>
                <w:iCs w:val="1"/>
                <w:color w:val="auto"/>
              </w:rPr>
              <w:t>(b)</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14.4</w:t>
            </w:r>
          </w:p>
        </w:tc>
      </w:tr>
      <w:tr>
        <w:trPr>
          <w:trHeight w:val="27"/>
        </w:trPr>
        <w:tc>
          <w:tcPr>
            <w:tcW w:w="68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Assets Acquired</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$179.6</w:t>
            </w:r>
          </w:p>
        </w:tc>
      </w:tr>
      <w:tr>
        <w:trPr>
          <w:trHeight w:val="237"/>
        </w:trPr>
        <w:tc>
          <w:tcPr>
            <w:tcW w:w="68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4500" w:type="dxa"/>
            <w:vAlign w:val="bottom"/>
            <w:tcBorders>
              <w:top w:val="single" w:sz="8" w:color="auto"/>
            </w:tcBorders>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Long-Term Debt Due Within One Year</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7"/>
        </w:trPr>
        <w:tc>
          <w:tcPr>
            <w:tcW w:w="686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4.7</w:t>
            </w:r>
          </w:p>
        </w:tc>
      </w:tr>
      <w:tr>
        <w:trPr>
          <w:trHeight w:val="27"/>
        </w:trPr>
        <w:tc>
          <w:tcPr>
            <w:tcW w:w="68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Liabilities Assumed</w:t>
            </w:r>
          </w:p>
        </w:tc>
        <w:tc>
          <w:tcPr>
            <w:tcW w:w="4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37"/>
        </w:trPr>
        <w:tc>
          <w:tcPr>
            <w:tcW w:w="686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Net Identifiable Assets Acquired</w:t>
            </w:r>
          </w:p>
        </w:tc>
        <w:tc>
          <w:tcPr>
            <w:tcW w:w="4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55"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Current Assets was $1.0 million related to the current portion of Power Purchase Agreements and $6.0 million of restricted cash related to collateral deposits required under its loan agreement.</w:t>
      </w:r>
    </w:p>
    <w:p>
      <w:pPr>
        <w:spacing w:after="0" w:line="1"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was $8.2 million related to the non-current portion of Power Purchase Agreements, $6.1 million of restricted cash related to collateral deposits required under its loan agreements, and an immaterial amount of goodwill. For tax purposes, the purchase price allocation resulted in no allocation to goodwill.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66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 (Continued)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of $1.6 million after-tax were expensed as incurred throughout the second and third quarters of 2015, and recorded in Operating and Maintenance on the Consolidated Statement of Income.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A and W Technologies. </w:t>
      </w:r>
      <w:r>
        <w:rPr>
          <w:rFonts w:ascii="Arial" w:cs="Arial" w:eastAsia="Arial" w:hAnsi="Arial"/>
          <w:sz w:val="16"/>
          <w:szCs w:val="16"/>
          <w:color w:val="auto"/>
        </w:rPr>
        <w:t>In November 2015, U.S. Water Services acquired 100 percent of A and W Technologies, Inc. (AWT). Total consideration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was $9.3 million, which included payment of $8.3 million in cash and a $1.0 million payment due in April 2017. AWT, similar to U.S. Water Services, is an integrated water management company and was acquired to expand U.S. Water Services’ regional footprint in the Southeastern United States.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2015, is reflected in the following table.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115570</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4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6"/>
                <w:szCs w:val="16"/>
                <w:i w:val="1"/>
                <w:iCs w:val="1"/>
                <w:color w:val="auto"/>
              </w:rPr>
              <w:t>(a)</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3.9</w:t>
            </w: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(b)</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r>
      <w:tr>
        <w:trPr>
          <w:trHeight w:val="237"/>
        </w:trPr>
        <w:tc>
          <w:tcPr>
            <w:tcW w:w="696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Total Assets Acquired</w:t>
            </w:r>
          </w:p>
        </w:tc>
        <w:tc>
          <w:tcPr>
            <w:tcW w:w="4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w:t>
            </w:r>
          </w:p>
        </w:tc>
      </w:tr>
      <w:tr>
        <w:trPr>
          <w:trHeight w:val="27"/>
        </w:trPr>
        <w:tc>
          <w:tcPr>
            <w:tcW w:w="6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440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6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Liabilities Assumed</w:t>
            </w:r>
          </w:p>
        </w:tc>
        <w:tc>
          <w:tcPr>
            <w:tcW w:w="4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96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Net Identifiable Assets Acquired</w:t>
            </w:r>
          </w:p>
        </w:tc>
        <w:tc>
          <w:tcPr>
            <w:tcW w:w="4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Intangible Assets include customer relationships and non-compete agreements. (See Note 4. Goodwill and Intangible Assets.)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For tax purposes, the purchase price allocation resulted in $4.4 million of deductible goodwill.</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Acquisition-related costs were immaterial, expensed as incurred during the fourth quarter of 2015 and recorded in Operating and Maintenance on the Consolidated Statement of Income.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INTANGIBLE ASSETS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aggregate carrying amount of goodwill was $130.6 million as of March 31, 2016, and December 31, 2015. There have been no changes to goodwill by reportable segment for the three months ended March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Balances of intangible assets, net, excluding goodwill as of March 31, 2016,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460" w:type="dxa"/>
            <w:vAlign w:val="bottom"/>
          </w:tcPr>
          <w:p>
            <w:pPr>
              <w:jc w:val="right"/>
              <w:ind w:right="330"/>
              <w:spacing w:after="0"/>
              <w:rPr>
                <w:sz w:val="20"/>
                <w:szCs w:val="20"/>
                <w:color w:val="auto"/>
              </w:rPr>
            </w:pPr>
            <w:r>
              <w:rPr>
                <w:rFonts w:ascii="Arial" w:cs="Arial" w:eastAsia="Arial" w:hAnsi="Arial"/>
                <w:sz w:val="18"/>
                <w:szCs w:val="18"/>
                <w:b w:val="1"/>
                <w:bCs w:val="1"/>
                <w:color w:val="auto"/>
              </w:rPr>
              <w:t>December 31,</w:t>
            </w:r>
          </w:p>
        </w:tc>
        <w:tc>
          <w:tcPr>
            <w:tcW w:w="170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4940" w:type="dxa"/>
            <w:vAlign w:val="bottom"/>
          </w:tcPr>
          <w:p>
            <w:pPr>
              <w:spacing w:after="0"/>
              <w:rPr>
                <w:sz w:val="20"/>
                <w:szCs w:val="20"/>
                <w:color w:val="auto"/>
              </w:rPr>
            </w:pPr>
          </w:p>
        </w:tc>
        <w:tc>
          <w:tcPr>
            <w:tcW w:w="34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700" w:type="dxa"/>
            <w:vAlign w:val="bottom"/>
          </w:tcPr>
          <w:p>
            <w:pPr>
              <w:jc w:val="right"/>
              <w:ind w:right="310"/>
              <w:spacing w:after="0"/>
              <w:rPr>
                <w:sz w:val="20"/>
                <w:szCs w:val="20"/>
                <w:color w:val="auto"/>
              </w:rPr>
            </w:pPr>
            <w:r>
              <w:rPr>
                <w:rFonts w:ascii="Arial" w:cs="Arial" w:eastAsia="Arial" w:hAnsi="Arial"/>
                <w:sz w:val="18"/>
                <w:szCs w:val="18"/>
                <w:b w:val="1"/>
                <w:bCs w:val="1"/>
                <w:color w:val="auto"/>
              </w:rPr>
              <w:t>Amortization</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49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Definite-Lived Intangible Assets</w:t>
            </w:r>
          </w:p>
        </w:tc>
        <w:tc>
          <w:tcPr>
            <w:tcW w:w="3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3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$60.8</w:t>
            </w:r>
          </w:p>
        </w:tc>
        <w:tc>
          <w:tcPr>
            <w:tcW w:w="1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$(1.1)</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w:t>
            </w: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 xml:space="preserve">Developed Technology and Other </w:t>
            </w:r>
            <w:r>
              <w:rPr>
                <w:rFonts w:ascii="Arial" w:cs="Arial" w:eastAsia="Arial" w:hAnsi="Arial"/>
                <w:sz w:val="16"/>
                <w:szCs w:val="16"/>
                <w:i w:val="1"/>
                <w:iCs w:val="1"/>
                <w:color w:val="auto"/>
              </w:rPr>
              <w:t>(a)</w:t>
            </w:r>
          </w:p>
        </w:tc>
        <w:tc>
          <w:tcPr>
            <w:tcW w:w="3460" w:type="dxa"/>
            <w:vAlign w:val="bottom"/>
          </w:tcPr>
          <w:p>
            <w:pPr>
              <w:jc w:val="right"/>
              <w:ind w:right="190"/>
              <w:spacing w:after="0"/>
              <w:rPr>
                <w:sz w:val="20"/>
                <w:szCs w:val="20"/>
                <w:color w:val="auto"/>
              </w:rPr>
            </w:pPr>
            <w:r>
              <w:rPr>
                <w:rFonts w:ascii="Arial" w:cs="Arial" w:eastAsia="Arial" w:hAnsi="Arial"/>
                <w:sz w:val="18"/>
                <w:szCs w:val="18"/>
                <w:color w:val="auto"/>
              </w:rPr>
              <w:t>7.2</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(0.2)</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49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Definite-Lived Intangible Assets</w:t>
            </w:r>
          </w:p>
        </w:tc>
        <w:tc>
          <w:tcPr>
            <w:tcW w:w="3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68.0</w:t>
            </w:r>
          </w:p>
        </w:tc>
        <w:tc>
          <w:tcPr>
            <w:tcW w:w="1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Indefinite-Lived Intangible Assets</w:t>
            </w:r>
          </w:p>
        </w:tc>
        <w:tc>
          <w:tcPr>
            <w:tcW w:w="3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3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16.6</w:t>
            </w:r>
          </w:p>
        </w:tc>
        <w:tc>
          <w:tcPr>
            <w:tcW w:w="1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n/a</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37"/>
        </w:trPr>
        <w:tc>
          <w:tcPr>
            <w:tcW w:w="4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Intangible Assets</w:t>
            </w:r>
          </w:p>
        </w:tc>
        <w:tc>
          <w:tcPr>
            <w:tcW w:w="34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$84.6</w:t>
            </w:r>
          </w:p>
        </w:tc>
        <w:tc>
          <w:tcPr>
            <w:tcW w:w="17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$(1.3)</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Developed Technology and Other includes patents, non-compete agreements, and land easements.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66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4. GOODWILL AND INTANGIBLE ASSETS (Continued)</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relationships have a remaining useful life of approximately 22 years and developed technology and other have remaining useful lives ranging from approximately 3 years to approximately 13 years (weighted average of approximately 9 years). The weighted average remaining useful life of all definite-lived intangible assets as of March 31, 2016, is approximately 20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of intangible assets for the three months ended March 31, 2016, was $1.3 million. Accumulated amortization was $5.4 million as of March 31, 2016 ($4.1 million as of December 31, 2015). The estimated amortization expense for definite-lived intangible assets for the remainder of 2016 is $3.8 million. Estimated annual amortization expense for definite-lived intangible assets is $5.0 million in 2017, $4.7 million in 2018, $4.4 million in 2019, $4.2 million in 2020 and $44.6 million thereafter.</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10. Fair Value to the Consolidated Financial Statements in our 2015 Form 10-K.</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March 31, 2016, and December 31, 2015.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6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2"/>
              </w:rPr>
              <w:t>Fair Value as of March 31, 2016</w:t>
            </w:r>
          </w:p>
        </w:tc>
        <w:tc>
          <w:tcPr>
            <w:tcW w:w="780" w:type="dxa"/>
            <w:vAlign w:val="bottom"/>
          </w:tcPr>
          <w:p>
            <w:pPr>
              <w:spacing w:after="0"/>
              <w:rPr>
                <w:sz w:val="20"/>
                <w:szCs w:val="20"/>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54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8"/>
                <w:szCs w:val="18"/>
                <w:i w:val="1"/>
                <w:iCs w:val="1"/>
                <w:color w:val="auto"/>
              </w:rPr>
              <w:t>(a)</w:t>
            </w:r>
          </w:p>
        </w:tc>
        <w:tc>
          <w:tcPr>
            <w:tcW w:w="24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10.4</w:t>
            </w:r>
          </w:p>
        </w:tc>
      </w:tr>
      <w:tr>
        <w:trPr>
          <w:trHeight w:val="27"/>
        </w:trPr>
        <w:tc>
          <w:tcPr>
            <w:tcW w:w="5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$10.4</w:t>
            </w:r>
          </w:p>
        </w:tc>
        <w:tc>
          <w:tcPr>
            <w:tcW w:w="12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$19.9</w:t>
            </w:r>
          </w:p>
        </w:tc>
      </w:tr>
      <w:tr>
        <w:trPr>
          <w:trHeight w:val="27"/>
        </w:trPr>
        <w:tc>
          <w:tcPr>
            <w:tcW w:w="54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54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8"/>
                <w:szCs w:val="18"/>
                <w:i w:val="1"/>
                <w:iCs w:val="1"/>
                <w:color w:val="auto"/>
              </w:rPr>
              <w:t>(b)</w:t>
            </w:r>
          </w:p>
        </w:tc>
        <w:tc>
          <w:tcPr>
            <w:tcW w:w="24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$14.9</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U.S. Water Services Contingent Consideration</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$36.7</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36.7</w:t>
            </w:r>
          </w:p>
        </w:tc>
      </w:tr>
      <w:tr>
        <w:trPr>
          <w:trHeight w:val="27"/>
        </w:trPr>
        <w:tc>
          <w:tcPr>
            <w:tcW w:w="54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$14.9</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$36.7</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$(4.5)</w:t>
            </w:r>
          </w:p>
        </w:tc>
        <w:tc>
          <w:tcPr>
            <w:tcW w:w="12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$(36.7)</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661"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Arial" w:cs="Arial" w:eastAsia="Arial" w:hAnsi="Arial"/>
                <w:sz w:val="18"/>
                <w:szCs w:val="18"/>
                <w:b w:val="1"/>
                <w:bCs w:val="1"/>
                <w:color w:val="auto"/>
              </w:rPr>
              <w:t>NOTE 5. FAIR VALUE (Continued)</w:t>
            </w:r>
          </w:p>
        </w:tc>
        <w:tc>
          <w:tcPr>
            <w:tcW w:w="2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46"/>
        </w:trPr>
        <w:tc>
          <w:tcPr>
            <w:tcW w:w="5480" w:type="dxa"/>
            <w:vAlign w:val="bottom"/>
          </w:tcPr>
          <w:p>
            <w:pPr>
              <w:spacing w:after="0"/>
              <w:rPr>
                <w:sz w:val="24"/>
                <w:szCs w:val="24"/>
                <w:color w:val="auto"/>
              </w:rPr>
            </w:pPr>
          </w:p>
        </w:tc>
        <w:tc>
          <w:tcPr>
            <w:tcW w:w="52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Fair Value as of December 31, 2015</w:t>
            </w:r>
          </w:p>
        </w:tc>
        <w:tc>
          <w:tcPr>
            <w:tcW w:w="700" w:type="dxa"/>
            <w:vAlign w:val="bottom"/>
          </w:tcPr>
          <w:p>
            <w:pPr>
              <w:spacing w:after="0"/>
              <w:rPr>
                <w:sz w:val="24"/>
                <w:szCs w:val="24"/>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72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Level 3</w:t>
            </w: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7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$7.6</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2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$10.9</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10.9</w:t>
            </w: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7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$9.6</w:t>
            </w:r>
          </w:p>
        </w:tc>
        <w:tc>
          <w:tcPr>
            <w:tcW w:w="11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$10.9</w:t>
            </w:r>
          </w:p>
        </w:tc>
        <w:tc>
          <w:tcPr>
            <w:tcW w:w="13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77"/>
        </w:trPr>
        <w:tc>
          <w:tcPr>
            <w:tcW w:w="548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6"/>
                <w:szCs w:val="16"/>
                <w:i w:val="1"/>
                <w:iCs w:val="1"/>
                <w:color w:val="auto"/>
              </w:rPr>
              <w:t>(b)</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$16.1</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U.S. Water Services Contingent Consideration</w:t>
            </w:r>
          </w:p>
        </w:tc>
        <w:tc>
          <w:tcPr>
            <w:tcW w:w="2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$36.6</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36.6</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$16.1</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$36.6</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7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$9.6</w:t>
            </w: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$(5.2)</w:t>
            </w:r>
          </w:p>
        </w:tc>
        <w:tc>
          <w:tcPr>
            <w:tcW w:w="13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$(36.6)</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Level 3 activity in the preceding tables is the result of the February 2015 acquisition of U.S. Water Services. Changes in the fair value of U.S. Water Services’ Contingent Consideration for the three months ended March 31, 2016, are primarily due to accretion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2016, and the year ended December 31, 2015, there were no transfers in or out of Levels 1, 2 or 3.</w:t>
      </w:r>
    </w:p>
    <w:p>
      <w:pPr>
        <w:spacing w:after="0" w:line="221"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With the exception of the item listed in the table below, the estimated fair value of all financial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approximates the carrying amount. The fair value for the item listed below was based on quoted market prices for the same or similar instruments (Level 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4100" w:type="dxa"/>
            <w:vAlign w:val="bottom"/>
          </w:tcPr>
          <w:p>
            <w:pPr>
              <w:jc w:val="right"/>
              <w:ind w:right="370"/>
              <w:spacing w:after="0"/>
              <w:rPr>
                <w:sz w:val="20"/>
                <w:szCs w:val="20"/>
                <w:color w:val="auto"/>
              </w:rPr>
            </w:pPr>
            <w:r>
              <w:rPr>
                <w:rFonts w:ascii="Arial" w:cs="Arial" w:eastAsia="Arial" w:hAnsi="Arial"/>
                <w:sz w:val="18"/>
                <w:szCs w:val="18"/>
                <w:b w:val="1"/>
                <w:bCs w:val="1"/>
                <w:color w:val="auto"/>
              </w:rPr>
              <w:t>Carrying Amount</w:t>
            </w: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4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March 31, 2016</w:t>
            </w:r>
          </w:p>
        </w:tc>
        <w:tc>
          <w:tcPr>
            <w:tcW w:w="4100" w:type="dxa"/>
            <w:vAlign w:val="bottom"/>
          </w:tcPr>
          <w:p>
            <w:pPr>
              <w:jc w:val="right"/>
              <w:ind w:right="470"/>
              <w:spacing w:after="0"/>
              <w:rPr>
                <w:sz w:val="20"/>
                <w:szCs w:val="20"/>
                <w:color w:val="auto"/>
              </w:rPr>
            </w:pPr>
            <w:r>
              <w:rPr>
                <w:rFonts w:ascii="Arial" w:cs="Arial" w:eastAsia="Arial" w:hAnsi="Arial"/>
                <w:sz w:val="18"/>
                <w:szCs w:val="18"/>
                <w:color w:val="auto"/>
              </w:rPr>
              <w:t>$1,578.4</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$1,708.0</w:t>
            </w: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2015</w:t>
            </w:r>
          </w:p>
        </w:tc>
        <w:tc>
          <w:tcPr>
            <w:tcW w:w="4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$1,605.0</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$1,676.0</w:t>
            </w:r>
          </w:p>
        </w:tc>
      </w:tr>
      <w:tr>
        <w:trPr>
          <w:trHeight w:val="20"/>
        </w:trPr>
        <w:tc>
          <w:tcPr>
            <w:tcW w:w="544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goodwill,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property, plant and equipment are measured at fair value when there is an indicator of impairment and recorded at fair value only when an impairment is recognized. For the three months ended March 31, 2016, and the year ended December 31, 2015, there were no indicators of impairment for these non-financial assets.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REGULATORY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Regulatory matters are summarized in Note 5. Regulatory Matters to our Consolidated Financial Statements in our 2015 Form 10-K, with additional disclosure provided in the following paragraphs.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2010 Minnesota Rate Case. </w:t>
      </w:r>
      <w:r>
        <w:rPr>
          <w:rFonts w:ascii="Arial" w:cs="Arial" w:eastAsia="Arial" w:hAnsi="Arial"/>
          <w:sz w:val="18"/>
          <w:szCs w:val="18"/>
          <w:color w:val="auto"/>
        </w:rPr>
        <w:t>Minnesota Power’s current retail rates are based on a 2011 MPUC retail rate order, effective June 1, 2011, that allows for a 10.38</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percent return on common equity and a 54.29 percent equity ratio. Subsequent to this order, and as authorized by the MPUC, Minnesota Power also recognizes revenue under cost recovery riders for environmental, renewable and transmission investments. (See </w:t>
      </w:r>
      <w:r>
        <w:rPr>
          <w:rFonts w:ascii="Arial" w:cs="Arial" w:eastAsia="Arial" w:hAnsi="Arial"/>
          <w:sz w:val="18"/>
          <w:szCs w:val="18"/>
          <w:i w:val="1"/>
          <w:iCs w:val="1"/>
          <w:color w:val="auto"/>
        </w:rPr>
        <w:t>Transmission Cost Recovery Rider,</w:t>
      </w:r>
      <w:r>
        <w:rPr>
          <w:rFonts w:ascii="Arial" w:cs="Arial" w:eastAsia="Arial" w:hAnsi="Arial"/>
          <w:sz w:val="18"/>
          <w:szCs w:val="18"/>
          <w:color w:val="auto"/>
        </w:rPr>
        <w:t xml:space="preserve"> </w:t>
      </w:r>
      <w:r>
        <w:rPr>
          <w:rFonts w:ascii="Arial" w:cs="Arial" w:eastAsia="Arial" w:hAnsi="Arial"/>
          <w:sz w:val="18"/>
          <w:szCs w:val="18"/>
          <w:i w:val="1"/>
          <w:iCs w:val="1"/>
          <w:color w:val="auto"/>
        </w:rPr>
        <w:t>Renewable Cost Recovery Rider and Boswell Mercury Emissions Reduction Plan</w:t>
      </w:r>
      <w:r>
        <w:rPr>
          <w:rFonts w:ascii="Arial" w:cs="Arial" w:eastAsia="Arial" w:hAnsi="Arial"/>
          <w:sz w:val="18"/>
          <w:szCs w:val="18"/>
          <w:color w:val="auto"/>
        </w:rPr>
        <w:t>.) Revenue from cost recovery riders was $25.4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2016 ($20.7 million for the three months ended March 31,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ectPr>
          <w:pgSz w:w="11900" w:h="16838" w:orient="portrait"/>
          <w:cols w:equalWidth="0" w:num="1">
            <w:col w:w="11420"/>
          </w:cols>
          <w:pgMar w:left="240" w:top="661"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20"/>
          </w:cols>
          <w:pgMar w:left="240" w:top="661"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Energy-Intensive Trade-Exposed (EITE) Customer Rates. </w:t>
      </w:r>
      <w:r>
        <w:rPr>
          <w:rFonts w:ascii="Arial" w:cs="Arial" w:eastAsia="Arial" w:hAnsi="Arial"/>
          <w:sz w:val="17"/>
          <w:szCs w:val="17"/>
          <w:color w:val="auto"/>
        </w:rPr>
        <w:t>The state of Minnesota enacted an EITE customer ratemaking law in June 2015. The law</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established that it is the energy policy of the state to have competitive rates for certain industries such as mining and forest products. In November 2015, Minnesota Power filed a rate schedule petition for EITE customers and a corresponding rider for EITE cost recovery with the MPUC. The rate proposal was revenue and cash flow neutral. In an order dated March 23, 2016, the MPUC dismissed the petition without prejudice, providing Minnesota Power the option to refile the petition with additional information or file a new petition. Minnesota Power is evaluating the MPUC’s decision.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FERC-Approved Wholesale Rates. </w:t>
      </w:r>
      <w:r>
        <w:rPr>
          <w:rFonts w:ascii="Arial" w:cs="Arial" w:eastAsia="Arial" w:hAnsi="Arial"/>
          <w:sz w:val="18"/>
          <w:szCs w:val="18"/>
          <w:color w:val="auto"/>
        </w:rPr>
        <w:t>Minnesota Power has 16 non-affiliated municipal customers in Minnesota. SWL&amp;P is a Wisconsin utility and a wholesale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of Minnesota Power.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2015, Minnesota Power amended its formula-based wholesale electric sales contract with the Nashwauk Public Utilities Commission, extending the term through June 30, 2028. The electric service agreements with SWL&amp;P and one other municipal customer are effective through June 30, 2019. The rates included in these three contracts are set each July 1 based on a cost-based formula methodology, using estimated costs and a rate of return that is equal to Minnesota Power’s authorized rate of return for Minnesota retail customers (currently 10.38 percent). The formula-based rate methodology also provides for a yearly true-up calculation for actual costs incurred.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2015, Minnesota Power amended its wholesale electric contracts with 14 municipal customers, extending the contract terms through December 31, 2024. These contracts include fixed capacity charges through 2018; beginning in 2019, the capacity charge will not increase by more than two percent or decrease by more than one percent from the previous year’s capacity charge and will be determined using a cost-based formula methodology. The base energy charge for each year of the contract term will be set each January 1, subject to monthly adjustment, and will also be determined using a cost-based formula methodology.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the wholesale contracts include a termination clause requiring a three-year notice to terminate. In January 2016, one of Minnesota Power’s municipal customers provided notice of its intent to terminate its contract effective June 30, 2019. Minnesota Power currently provides approximately 29 MW of average monthly demand to this customer. Under the Nashwauk Public Utilities Commission agreement, no termination notice may be given prior to June 30, 2025. Under the agreement with SWL&amp;P, no termination notice may be given prior to June 30, 2016. The remaining 14 municipal customers may not give termination notices prior to December 31, 2021.</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2012 Wisconsin Rate Case. </w:t>
      </w:r>
      <w:r>
        <w:rPr>
          <w:rFonts w:ascii="Arial" w:cs="Arial" w:eastAsia="Arial" w:hAnsi="Arial"/>
          <w:sz w:val="18"/>
          <w:szCs w:val="18"/>
          <w:color w:val="auto"/>
        </w:rPr>
        <w:t>SWL&amp;P’s current retail rates are based on a 2012 PSCW retail rate order, effective January 1, 2013, that allows for a 10.9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return on common equity.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Transmission Cost Recovery Rider. </w:t>
      </w:r>
      <w:r>
        <w:rPr>
          <w:rFonts w:ascii="Arial" w:cs="Arial" w:eastAsia="Arial" w:hAnsi="Arial"/>
          <w:sz w:val="18"/>
          <w:szCs w:val="18"/>
          <w:color w:val="auto"/>
        </w:rPr>
        <w:t>Minnesota Power has an approved cost recovery rider in place for certain transmission investments and expenditures.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an order dated February 3, 2016, the MPUC approved Minnesota Power’s updated billing factor which allows Minnesota Power to charge retail customers on a current basis for the costs of constructing certain transmission facilities plus a return on the capital invested. As a result of the MPUC approval of the certificate of need for the GNTL in June 2015, the project is eligible for cost recovery under the existing transmission cost recovery rider. Minnesota Power anticipates including its portion of the investments and expenditures for the GNTL in future transmission factor filings to include updated billing rates on customer bills.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Renewable Cost Recovery Rider. </w:t>
      </w:r>
      <w:r>
        <w:rPr>
          <w:rFonts w:ascii="Arial" w:cs="Arial" w:eastAsia="Arial" w:hAnsi="Arial"/>
          <w:sz w:val="18"/>
          <w:szCs w:val="18"/>
          <w:color w:val="auto"/>
        </w:rPr>
        <w:t>Minnesota Power has an approved cost recovery rider in place for investments and expenditures related to the 497 MW</w:t>
      </w:r>
      <w:r>
        <w:rPr>
          <w:rFonts w:ascii="Arial" w:cs="Arial" w:eastAsia="Arial" w:hAnsi="Arial"/>
          <w:sz w:val="18"/>
          <w:szCs w:val="18"/>
          <w:i w:val="1"/>
          <w:iCs w:val="1"/>
          <w:color w:val="auto"/>
        </w:rPr>
        <w:t xml:space="preserve"> </w:t>
      </w:r>
      <w:r>
        <w:rPr>
          <w:rFonts w:ascii="Arial" w:cs="Arial" w:eastAsia="Arial" w:hAnsi="Arial"/>
          <w:sz w:val="18"/>
          <w:szCs w:val="18"/>
          <w:color w:val="auto"/>
        </w:rPr>
        <w:t>Bison Wind Energy Center in North Dakota and the restoration and repair of Thomson. Updated customer billing rates for the renewable cost recovery rider were approved by the MPUC in an order dated March 9, 2016, allowing Minnesota Power to charge retail customers on a current basis for the costs of constructing certain renewable investments plus a return on the capital invested. While approving the updated customer billing rates for the renewable cost recovery rider, the MPUC also allowed Minnesota Power additional time to submit support for its position on its utilization of North Dakota investment tax credits.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66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Minnesota Power accounts for North Dakota investment tax credits based on long-standing regulatory precedents of stand-alone allocation methodology of accounting for income taxes. The stand-alone method provides that income taxes (and credits) are calculated as if Minnesota Power was the only entity included in ALLETE’s consolidated federal and unitary state income tax returns. Minnesota Power has recorded a regulatory liability for North Dakota investment tax credits generated by its jurisdictional activity and expected to be realized in the future. North Dakota investment tax credits attributable to ALLETE’s apportionment and income of ALLETE’s other subsidiaries are included in the ALLETE consolidated group. The Minnesota Department of Commerce (Department) has inquired about our use of the North Dakota investment tax credits, taking the position that all North Dakota investment tax credits generated from the Bison Wind Energy Center should be credited to Minnesota Power ratepayers. The MPUC did not come to a decision on this issue in its order dated March 9, 2016, but requested that Minnesota Power provide further support on its position which was submitted on April 8, 2016.</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amount of North Dakota investment tax credits recognized by ALLETE as of March 31, 2016, total approximately $8 million, which represents the amount of North Dakota investment tax credits that the Department believes should be refunded to ratepayers. Minnesota Power will appropriately consider all avenues of appeal should an adverse decision be issued by the MPUC.</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Annual Automatic Adjustment (AAA) of Charges. </w:t>
      </w:r>
      <w:r>
        <w:rPr>
          <w:rFonts w:ascii="Arial" w:cs="Arial" w:eastAsia="Arial" w:hAnsi="Arial"/>
          <w:sz w:val="18"/>
          <w:szCs w:val="18"/>
          <w:color w:val="auto"/>
        </w:rPr>
        <w:t>On April 14, 2016, the MPUC approved Minnesota Power’s AAA filings made in 2012 and 2013, and</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action for approximately 90 days on the AAA filing made in 2014 pending review and confirmation of coal transportation costs and terms of service. Minnesota Power’s AAA filings made in 2014 and 2015 are pending MPUC approval, and represent approximately $350 million in retail fuel cost recovery collected, but subject to refund. Minnesota Power currently expects full recovery of amounts represented by each AAA filing, although we cannot predict the outcome of the pending filings at the MPUC.</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Integrated Resource Plan (IRP). </w:t>
      </w:r>
      <w:r>
        <w:rPr>
          <w:rFonts w:ascii="Arial" w:cs="Arial" w:eastAsia="Arial" w:hAnsi="Arial"/>
          <w:sz w:val="17"/>
          <w:szCs w:val="17"/>
          <w:color w:val="auto"/>
        </w:rPr>
        <w:t>In a November 2013 order, the MPUC approved Minnesota Power’s 2013 IRP which detailed its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EnergyForward</w:t>
      </w:r>
      <w:r>
        <w:rPr>
          <w:rFonts w:ascii="Arial" w:cs="Arial" w:eastAsia="Arial" w:hAnsi="Arial"/>
          <w:sz w:val="17"/>
          <w:szCs w:val="17"/>
          <w:b w:val="1"/>
          <w:bCs w:val="1"/>
          <w:color w:val="auto"/>
        </w:rPr>
        <w:t xml:space="preserve"> </w:t>
      </w:r>
      <w:r>
        <w:rPr>
          <w:rFonts w:ascii="Arial" w:cs="Arial" w:eastAsia="Arial" w:hAnsi="Arial"/>
          <w:sz w:val="17"/>
          <w:szCs w:val="17"/>
          <w:color w:val="auto"/>
        </w:rPr>
        <w:t>strategic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plan, announced in January 2013. Significant elements of the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plan include major wind investments in North Dakota completed in the fourth quarter of 2014, the installation of emissions control technology at Boswell Unit 4 completed in December 2015, planning for the proposed GNTL, the conversion of Laskin from coal to natural gas completed in June 2015 and the retirement of Taconite Harbor Unit 3 completed in May 2015. In September 2015, Minnesota Power filed its 2015 IRP with the MPUC which includes an analysis of a variety of existing and future energy resource alternatives and a projection of customer cost impact by class. The 2015 IRP also contains the next steps in Minnesota Power’s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plan including the economic idling of Taconite Harbor Units 1 and 2 in the fall of 2016, the ceasing of coal-fired operations at Taconite Harbor in 2020, and the addition of between 200 MW and 300 MW of natural gas-fired generation in the next decade.</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Boswell Mercury Emissions Reduction Plan. </w:t>
      </w:r>
      <w:r>
        <w:rPr>
          <w:rFonts w:ascii="Arial" w:cs="Arial" w:eastAsia="Arial" w:hAnsi="Arial"/>
          <w:sz w:val="18"/>
          <w:szCs w:val="18"/>
          <w:color w:val="auto"/>
        </w:rPr>
        <w:t>Minnesota Power has an approved environmental improvement rider in place for investments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related to the implementation of the Boswell Unit 4 mercury emissions reduction plan completed in 2015. Customer billing rates for the environmental improvement rider were approved by the MPUC in August 2015. In September 2015, Minnesota Power filed an updated environmental improvement factor filing which included updated costs associated with Boswell Unit 4. Upon approval of the filing, Minnesota Power will be authorized to include updated billing rates on customer bills.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Boswell Remaining Life Petition. </w:t>
      </w:r>
      <w:r>
        <w:rPr>
          <w:rFonts w:ascii="Arial" w:cs="Arial" w:eastAsia="Arial" w:hAnsi="Arial"/>
          <w:sz w:val="18"/>
          <w:szCs w:val="18"/>
          <w:color w:val="auto"/>
        </w:rPr>
        <w:t>In November 2015, Minnesota Power filed a petition with the MPUC for approval to extend Boswell’s remaining life to</w:t>
      </w:r>
      <w:r>
        <w:rPr>
          <w:rFonts w:ascii="Arial" w:cs="Arial" w:eastAsia="Arial" w:hAnsi="Arial"/>
          <w:sz w:val="18"/>
          <w:szCs w:val="18"/>
          <w:i w:val="1"/>
          <w:iCs w:val="1"/>
          <w:color w:val="auto"/>
        </w:rPr>
        <w:t xml:space="preserve"> </w:t>
      </w:r>
      <w:r>
        <w:rPr>
          <w:rFonts w:ascii="Arial" w:cs="Arial" w:eastAsia="Arial" w:hAnsi="Arial"/>
          <w:sz w:val="18"/>
          <w:szCs w:val="18"/>
          <w:color w:val="auto"/>
        </w:rPr>
        <w:t>2050 for all units and utilize the existing environmental improvement rider to credit a portion of the depreciation expense savings to customers. The extension request is based on the significant multi-emissions retrofit work done at Boswell Unit 3 and Boswell Unit 4.</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66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Great Northern Transmission Line (GNTL)</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Minnesota Power and Manitoba Hydro have proposed construction of the GNTL, an approximately 220-mile</w:t>
      </w:r>
      <w:r>
        <w:rPr>
          <w:rFonts w:ascii="Arial" w:cs="Arial" w:eastAsia="Arial" w:hAnsi="Arial"/>
          <w:sz w:val="16"/>
          <w:szCs w:val="16"/>
          <w:b w:val="1"/>
          <w:bCs w:val="1"/>
          <w:color w:val="auto"/>
        </w:rPr>
        <w:t xml:space="preserve"> </w:t>
      </w:r>
      <w:r>
        <w:rPr>
          <w:rFonts w:ascii="Arial" w:cs="Arial" w:eastAsia="Arial" w:hAnsi="Arial"/>
          <w:sz w:val="16"/>
          <w:szCs w:val="16"/>
          <w:color w:val="auto"/>
        </w:rPr>
        <w:t>500 kV transmission line between Manitoba and Minnesota’s Iron Range. The GNTL is subject to various federal and state regulatory approvals. In October 2013, a certificate of need application was filed with the MPUC which was approved in a June 2015 order. Based on this order, Minnesota Power’s portion of the investments and expenditures for the project are eligible for cost recovery under its existing transmission cost recovery rider and are anticipated to be included in future transmission factor filings. In a December 2015 order, the FERC approved our request to recover on construction work in progress related to the GNTL from Minnesota Power’s wholesale customers. In April 2014, Minnesota Power filed a route permit application with the MPUC and a request for a presidential permit to cross the U.S.-Canadian border with the U.S. Department of Energy. In an order dated April 11, 2016, the MPUC approved the route permit which largely follows Minnesota Power’s preferred route, including the international border crossing. A final decision on the presidential permit by the U.S. Department of Energy is expected in the second quarter of 2016. Manitoba Hydro must also obtain regulatory and governmental approvals related to a new transmission line in Canada. In September 2015, Manitoba Hydro submitted the final preferred route and EIS for the transmission line in Canada to the Manitoba Conservation and Water Stewardship for regulatory approval. Construction of Manitoba Hydro’s hydroelectric generation facility commenced in 2014. Upon receipt of all applicable permits and approvals, construction of the GNTL is expected to begin by 2017 and to be completed in 2020.</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MISO Return on Equity Complaints. </w:t>
      </w:r>
      <w:r>
        <w:rPr>
          <w:rFonts w:ascii="Arial" w:cs="Arial" w:eastAsia="Arial" w:hAnsi="Arial"/>
          <w:sz w:val="18"/>
          <w:szCs w:val="18"/>
          <w:color w:val="auto"/>
        </w:rPr>
        <w:t>In November 2013, several customer groups located within the MISO service area filed complaints with the FERC</w:t>
      </w:r>
      <w:r>
        <w:rPr>
          <w:rFonts w:ascii="Arial" w:cs="Arial" w:eastAsia="Arial" w:hAnsi="Arial"/>
          <w:sz w:val="18"/>
          <w:szCs w:val="18"/>
          <w:b w:val="1"/>
          <w:bCs w:val="1"/>
          <w:color w:val="auto"/>
        </w:rPr>
        <w:t xml:space="preserve"> </w:t>
      </w:r>
      <w:r>
        <w:rPr>
          <w:rFonts w:ascii="Arial" w:cs="Arial" w:eastAsia="Arial" w:hAnsi="Arial"/>
          <w:sz w:val="18"/>
          <w:szCs w:val="18"/>
          <w:color w:val="auto"/>
        </w:rPr>
        <w:t>requesting, among other things, a reduction in the base return on equity used by MISO transmission owners, including ALLETE, to 9.15 percent. In February 2015, an additional complaint was filed with the FERC seeking an order to further reduce the base return on equity to 8.67 percent. In December 2015, a federal administrative law judge ruled that the MISO transmission users have been charged an unreasonable base return on equity and proposed a reduction to 10.32 percent, subject to approval or adjustment by the FERC. A final decision from the FERC on the administrative law judge’s recommendation is expected in 2016.</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Minnesota Solar Energy Standard. </w:t>
      </w:r>
      <w:r>
        <w:rPr>
          <w:rFonts w:ascii="Arial" w:cs="Arial" w:eastAsia="Arial" w:hAnsi="Arial"/>
          <w:sz w:val="16"/>
          <w:szCs w:val="16"/>
          <w:color w:val="auto"/>
        </w:rPr>
        <w:t>In May 2013, legislation was enacted by the state of Minnesota requiring at least 1.5 percent of total retail electric sales,</w:t>
      </w:r>
      <w:r>
        <w:rPr>
          <w:rFonts w:ascii="Arial" w:cs="Arial" w:eastAsia="Arial" w:hAnsi="Arial"/>
          <w:sz w:val="16"/>
          <w:szCs w:val="16"/>
          <w:b w:val="1"/>
          <w:bCs w:val="1"/>
          <w:color w:val="auto"/>
        </w:rPr>
        <w:t xml:space="preserve"> </w:t>
      </w:r>
      <w:r>
        <w:rPr>
          <w:rFonts w:ascii="Arial" w:cs="Arial" w:eastAsia="Arial" w:hAnsi="Arial"/>
          <w:sz w:val="16"/>
          <w:szCs w:val="16"/>
          <w:color w:val="auto"/>
        </w:rPr>
        <w:t>excluding sales to certain industrial customers, to be generated by solar energy by the end of 2020. At least 10 percent of the 1.5 percent mandate must be met by solar energy generated by or procured from solar photovoltaic devices with a nameplate capacity of 20 kilowatts or less. Minnesota Power has two solar projects under development. In August 2015, Minnesota Power filed for MPUC approval of a 10 MW utility scale solar project at Camp Ripley, a Minnesota Army National Guard base and training facility near Little Falls, Minnesota. In an order dated February 24, 2016, the MPUC approved the Camp Ripley solar project as eligible to meet the solar energy standard and for current cost recovery, subject to certain compliance requirements. In September 2015, Minnesota Power filed for MPUC approval of a 1 MW community solar garden project in Saint Louis County, Minnesota, to be owned and operated by a third party with the output purchased by Minnesota Power. If the community solar garden project is also approved, Minnesota Power believes these projects will meet approximately one-third of the overall mandate and approximately one-fourth of the mandate related to solar photovoltaic devices with a nameplate capacity of 20 kilowatts or less. Costs associated with these projects are expected to be recovered from customers.</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Regulatory Assets and Liabilities. </w:t>
      </w:r>
      <w:r>
        <w:rPr>
          <w:rFonts w:ascii="Arial" w:cs="Arial" w:eastAsia="Arial" w:hAnsi="Arial"/>
          <w:sz w:val="17"/>
          <w:szCs w:val="17"/>
          <w:color w:val="auto"/>
        </w:rPr>
        <w:t>Our regulated utility operations are subject to accounting guidance for the effect of certain types of regulation.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No regulatory assets or liabilities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20"/>
          </w:cols>
          <w:pgMar w:left="240" w:top="66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Arial" w:cs="Arial" w:eastAsia="Arial" w:hAnsi="Arial"/>
                <w:sz w:val="18"/>
                <w:szCs w:val="18"/>
                <w:b w:val="1"/>
                <w:bCs w:val="1"/>
                <w:color w:val="auto"/>
              </w:rPr>
              <w:t>NOTE 6. REGULATORY MATTERS (Continued)</w:t>
            </w:r>
          </w:p>
        </w:tc>
        <w:tc>
          <w:tcPr>
            <w:tcW w:w="29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27"/>
        </w:trPr>
        <w:tc>
          <w:tcPr>
            <w:tcW w:w="6900" w:type="dxa"/>
            <w:vAlign w:val="bottom"/>
          </w:tcPr>
          <w:p>
            <w:pPr>
              <w:spacing w:after="0"/>
              <w:rPr>
                <w:sz w:val="24"/>
                <w:szCs w:val="24"/>
                <w:color w:val="auto"/>
              </w:rPr>
            </w:pPr>
          </w:p>
        </w:tc>
        <w:tc>
          <w:tcPr>
            <w:tcW w:w="296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2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69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9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6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6"/>
                <w:szCs w:val="16"/>
                <w:i w:val="1"/>
                <w:iCs w:val="1"/>
                <w:color w:val="auto"/>
              </w:rPr>
              <w:t>(a)</w:t>
            </w:r>
          </w:p>
        </w:tc>
        <w:tc>
          <w:tcPr>
            <w:tcW w:w="29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Deferred Fuel Adjustment Clause</w:t>
            </w:r>
          </w:p>
        </w:tc>
        <w:tc>
          <w:tcPr>
            <w:tcW w:w="2960" w:type="dxa"/>
            <w:vAlign w:val="bottom"/>
          </w:tcPr>
          <w:p>
            <w:pPr>
              <w:jc w:val="right"/>
              <w:ind w:right="270"/>
              <w:spacing w:after="0"/>
              <w:rPr>
                <w:sz w:val="20"/>
                <w:szCs w:val="20"/>
                <w:color w:val="auto"/>
              </w:rPr>
            </w:pPr>
            <w:r>
              <w:rPr>
                <w:rFonts w:ascii="Arial" w:cs="Arial" w:eastAsia="Arial" w:hAnsi="Arial"/>
                <w:sz w:val="18"/>
                <w:szCs w:val="18"/>
                <w:color w:val="auto"/>
              </w:rPr>
              <w:t>$12.4</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69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Regulatory Assets</w:t>
            </w:r>
          </w:p>
        </w:tc>
        <w:tc>
          <w:tcPr>
            <w:tcW w:w="2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12.4</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29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7"/>
        </w:trPr>
        <w:tc>
          <w:tcPr>
            <w:tcW w:w="6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6"/>
                <w:szCs w:val="16"/>
                <w:i w:val="1"/>
                <w:iCs w:val="1"/>
                <w:color w:val="auto"/>
              </w:rPr>
              <w:t>(b)</w:t>
            </w:r>
          </w:p>
        </w:tc>
        <w:tc>
          <w:tcPr>
            <w:tcW w:w="2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217.0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219.3</w:t>
            </w: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6"/>
                <w:szCs w:val="16"/>
                <w:i w:val="1"/>
                <w:iCs w:val="1"/>
                <w:color w:val="auto"/>
              </w:rPr>
              <w:t>(c)</w:t>
            </w:r>
          </w:p>
        </w:tc>
        <w:tc>
          <w:tcPr>
            <w:tcW w:w="2960" w:type="dxa"/>
            <w:vAlign w:val="bottom"/>
          </w:tcPr>
          <w:p>
            <w:pPr>
              <w:jc w:val="right"/>
              <w:ind w:right="270"/>
              <w:spacing w:after="0"/>
              <w:rPr>
                <w:sz w:val="20"/>
                <w:szCs w:val="20"/>
                <w:color w:val="auto"/>
              </w:rPr>
            </w:pPr>
            <w:r>
              <w:rPr>
                <w:rFonts w:ascii="Arial" w:cs="Arial" w:eastAsia="Arial" w:hAnsi="Arial"/>
                <w:sz w:val="18"/>
                <w:szCs w:val="18"/>
                <w:color w:val="auto"/>
              </w:rPr>
              <w:t>64.4</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64.2</w:t>
            </w:r>
          </w:p>
        </w:tc>
      </w:tr>
      <w:tr>
        <w:trPr>
          <w:trHeight w:val="27"/>
        </w:trPr>
        <w:tc>
          <w:tcPr>
            <w:tcW w:w="6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6"/>
                <w:szCs w:val="16"/>
                <w:i w:val="1"/>
                <w:iCs w:val="1"/>
                <w:color w:val="auto"/>
              </w:rPr>
              <w:t>(d)</w:t>
            </w:r>
          </w:p>
        </w:tc>
        <w:tc>
          <w:tcPr>
            <w:tcW w:w="2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54.3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 xml:space="preserve">Asset Retirement Obligations </w:t>
            </w:r>
            <w:r>
              <w:rPr>
                <w:rFonts w:ascii="Arial" w:cs="Arial" w:eastAsia="Arial" w:hAnsi="Arial"/>
                <w:sz w:val="16"/>
                <w:szCs w:val="16"/>
                <w:i w:val="1"/>
                <w:iCs w:val="1"/>
                <w:color w:val="auto"/>
              </w:rPr>
              <w:t>(e)</w:t>
            </w:r>
          </w:p>
        </w:tc>
        <w:tc>
          <w:tcPr>
            <w:tcW w:w="2960" w:type="dxa"/>
            <w:vAlign w:val="bottom"/>
          </w:tcPr>
          <w:p>
            <w:pPr>
              <w:jc w:val="right"/>
              <w:ind w:right="270"/>
              <w:spacing w:after="0"/>
              <w:rPr>
                <w:sz w:val="20"/>
                <w:szCs w:val="20"/>
                <w:color w:val="auto"/>
              </w:rPr>
            </w:pPr>
            <w:r>
              <w:rPr>
                <w:rFonts w:ascii="Arial" w:cs="Arial" w:eastAsia="Arial" w:hAnsi="Arial"/>
                <w:sz w:val="18"/>
                <w:szCs w:val="18"/>
                <w:color w:val="auto"/>
              </w:rPr>
              <w:t>22.5</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21.6</w:t>
            </w:r>
          </w:p>
        </w:tc>
      </w:tr>
      <w:tr>
        <w:trPr>
          <w:trHeight w:val="27"/>
        </w:trPr>
        <w:tc>
          <w:tcPr>
            <w:tcW w:w="6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PPACA Income Tax Deferral</w:t>
            </w:r>
          </w:p>
        </w:tc>
        <w:tc>
          <w:tcPr>
            <w:tcW w:w="2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Other</w:t>
            </w:r>
          </w:p>
        </w:tc>
        <w:tc>
          <w:tcPr>
            <w:tcW w:w="2960" w:type="dxa"/>
            <w:vAlign w:val="bottom"/>
          </w:tcPr>
          <w:p>
            <w:pPr>
              <w:jc w:val="right"/>
              <w:ind w:right="270"/>
              <w:spacing w:after="0"/>
              <w:rPr>
                <w:sz w:val="20"/>
                <w:szCs w:val="20"/>
                <w:color w:val="auto"/>
              </w:rPr>
            </w:pPr>
            <w:r>
              <w:rPr>
                <w:rFonts w:ascii="Arial" w:cs="Arial" w:eastAsia="Arial" w:hAnsi="Arial"/>
                <w:sz w:val="18"/>
                <w:szCs w:val="18"/>
                <w:color w:val="auto"/>
              </w:rPr>
              <w:t>3.9</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69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Assets</w:t>
            </w:r>
          </w:p>
        </w:tc>
        <w:tc>
          <w:tcPr>
            <w:tcW w:w="2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367.1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372.0</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Regulatory Assets</w:t>
            </w:r>
          </w:p>
        </w:tc>
        <w:tc>
          <w:tcPr>
            <w:tcW w:w="29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$379.5</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$382.6</w:t>
            </w:r>
          </w:p>
        </w:tc>
      </w:tr>
      <w:tr>
        <w:trPr>
          <w:trHeight w:val="27"/>
        </w:trPr>
        <w:tc>
          <w:tcPr>
            <w:tcW w:w="69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6900" w:type="dxa"/>
            <w:vAlign w:val="bottom"/>
            <w:shd w:val="clear" w:color="auto" w:fill="CCEEFF"/>
          </w:tcPr>
          <w:p>
            <w:pPr>
              <w:spacing w:after="0"/>
              <w:rPr>
                <w:sz w:val="22"/>
                <w:szCs w:val="22"/>
                <w:color w:val="auto"/>
              </w:rPr>
            </w:pPr>
          </w:p>
        </w:tc>
        <w:tc>
          <w:tcPr>
            <w:tcW w:w="29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29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Wholesale and Retail Contra AFUDC </w:t>
            </w:r>
            <w:r>
              <w:rPr>
                <w:rFonts w:ascii="Arial" w:cs="Arial" w:eastAsia="Arial" w:hAnsi="Arial"/>
                <w:sz w:val="16"/>
                <w:szCs w:val="16"/>
                <w:i w:val="1"/>
                <w:iCs w:val="1"/>
                <w:color w:val="auto"/>
              </w:rPr>
              <w:t>(f)</w:t>
            </w:r>
          </w:p>
        </w:tc>
        <w:tc>
          <w:tcPr>
            <w:tcW w:w="2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$57.1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Plant Removal Obligations</w:t>
            </w:r>
          </w:p>
        </w:tc>
        <w:tc>
          <w:tcPr>
            <w:tcW w:w="2960" w:type="dxa"/>
            <w:vAlign w:val="bottom"/>
          </w:tcPr>
          <w:p>
            <w:pPr>
              <w:jc w:val="right"/>
              <w:ind w:right="270"/>
              <w:spacing w:after="0"/>
              <w:rPr>
                <w:sz w:val="20"/>
                <w:szCs w:val="20"/>
                <w:color w:val="auto"/>
              </w:rPr>
            </w:pPr>
            <w:r>
              <w:rPr>
                <w:rFonts w:ascii="Arial" w:cs="Arial" w:eastAsia="Arial" w:hAnsi="Arial"/>
                <w:sz w:val="18"/>
                <w:szCs w:val="18"/>
                <w:color w:val="auto"/>
              </w:rPr>
              <w:t>20.6</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6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6"/>
                <w:szCs w:val="16"/>
                <w:i w:val="1"/>
                <w:iCs w:val="1"/>
                <w:color w:val="auto"/>
              </w:rPr>
              <w:t>(c)</w:t>
            </w:r>
          </w:p>
        </w:tc>
        <w:tc>
          <w:tcPr>
            <w:tcW w:w="2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5.7</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6"/>
                <w:szCs w:val="16"/>
                <w:i w:val="1"/>
                <w:iCs w:val="1"/>
                <w:color w:val="auto"/>
              </w:rPr>
              <w:t>(b)</w:t>
            </w:r>
          </w:p>
        </w:tc>
        <w:tc>
          <w:tcPr>
            <w:tcW w:w="2960" w:type="dxa"/>
            <w:vAlign w:val="bottom"/>
          </w:tcPr>
          <w:p>
            <w:pPr>
              <w:jc w:val="right"/>
              <w:ind w:right="270"/>
              <w:spacing w:after="0"/>
              <w:rPr>
                <w:sz w:val="20"/>
                <w:szCs w:val="20"/>
                <w:color w:val="auto"/>
              </w:rPr>
            </w:pPr>
            <w:r>
              <w:rPr>
                <w:rFonts w:ascii="Arial" w:cs="Arial" w:eastAsia="Arial" w:hAnsi="Arial"/>
                <w:sz w:val="18"/>
                <w:szCs w:val="18"/>
                <w:color w:val="auto"/>
              </w:rPr>
              <w:t>0.4</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6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18.4</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37"/>
        </w:trPr>
        <w:tc>
          <w:tcPr>
            <w:tcW w:w="69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Non-Current Regulatory Liabilities</w:t>
            </w:r>
          </w:p>
        </w:tc>
        <w:tc>
          <w:tcPr>
            <w:tcW w:w="29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$102.2</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included in Prepayments and Other on the Consolidated Balance Sheet.</w:t>
      </w:r>
    </w:p>
    <w:p>
      <w:pPr>
        <w:spacing w:after="0" w:line="19"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included in our Regulated Operations, which are otherwise required to be recognized in accumulated other comprehensive income as actuarial gains and losses as well as prior service costs and credits, are recognized as regulatory assets or regulatory liabilities on the Consolidated Balance Sheet. The asset or liability will decrease as the deferred items are amortized and recognized as components of net periodic benefit cost. (See Note 12. Pension and Other Postretirement Benefit Plans.)</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These assets and liabilities are offsets to deferred income taxes recognized on certain regulatory temporary differences, which will reverse over the remaining lives of those temporary differences.</w:t>
      </w:r>
    </w:p>
    <w:p>
      <w:pPr>
        <w:jc w:val="both"/>
        <w:ind w:left="340" w:hanging="332"/>
        <w:spacing w:after="0" w:line="246" w:lineRule="auto"/>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The cost recovery rider regulatory assets are revenues not yet collected from our customers primarily due to capital expenditures related to the Bison Wind Energy Center, investment in CapX2020 projects, and the Boswell Unit 4 environmental upgrade and are recognized in accordance with the accounting standards for alternative revenue programs. The cost recovery rider regulatory assets as of March 31, 2016, will be recovered over the next two years.</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Asset retirement obligations will accrete and be amortized over the lives of the related property with asset retirement obligations.</w:t>
      </w:r>
    </w:p>
    <w:p>
      <w:pPr>
        <w:spacing w:after="0" w:line="5"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Wholesale and Retail Contra AFUDC represents the regulatory offset to AFUDC Equity and Debt recorded during the construction period of our cost recovery rider projects prior to placing the projects in service. The regulatory liability will decrease over the remaining depreciable life of the related asset.</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 IN ATC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wholly-owned subsidiary, ALLETE Transmission Holdings, owns approximately 8 percent of ATC, a Wisconsin-based utility that owns and maintains electric transmission assets in parts of Wisconsin, Michigan, Minnesota and Illinois. We account for our investment in ATC under the equity method of accounting. As of March 31, 2016, our equity investment in ATC was $128.6 million ($124.5 million at December 31, 2015). In the first three months of 2016, we invested $1.2 million in ATC, and on April 29, 2016, we invested an additional $0.4 million. We expect to make additional investments of approximately $4.6 million in 2016.</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2015</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41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4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3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March 31, 2016</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$128.6</w:t>
            </w:r>
          </w:p>
        </w:tc>
      </w:tr>
      <w:tr>
        <w:trPr>
          <w:trHeight w:val="20"/>
        </w:trPr>
        <w:tc>
          <w:tcPr>
            <w:tcW w:w="732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ectPr>
          <w:pgSz w:w="11900" w:h="16838" w:orient="portrait"/>
          <w:cols w:equalWidth="0" w:num="1">
            <w:col w:w="11420"/>
          </w:cols>
          <w:pgMar w:left="240" w:top="661"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20"/>
          </w:cols>
          <w:pgMar w:left="240" w:top="661" w:right="2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NOTE 8. SHORT-TERM AND LONG-TERM DEBT</w:t>
            </w:r>
          </w:p>
        </w:tc>
        <w:tc>
          <w:tcPr>
            <w:tcW w:w="1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27"/>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March 31, 2016</w:t>
            </w:r>
          </w:p>
        </w:tc>
        <w:tc>
          <w:tcPr>
            <w:tcW w:w="196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Short-Term Debt </w:t>
            </w:r>
            <w:r>
              <w:rPr>
                <w:rFonts w:ascii="Arial" w:cs="Arial" w:eastAsia="Arial" w:hAnsi="Arial"/>
                <w:sz w:val="16"/>
                <w:szCs w:val="16"/>
                <w:i w:val="1"/>
                <w:iCs w:val="1"/>
                <w:color w:val="auto"/>
              </w:rPr>
              <w:t>(a)</w:t>
            </w:r>
          </w:p>
        </w:tc>
        <w:tc>
          <w:tcPr>
            <w:tcW w:w="1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$16.1</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$(0.6)</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r>
      <w:tr>
        <w:trPr>
          <w:trHeight w:val="243"/>
        </w:trPr>
        <w:tc>
          <w:tcPr>
            <w:tcW w:w="20" w:type="dxa"/>
            <w:vAlign w:val="bottom"/>
          </w:tcPr>
          <w:p>
            <w:pPr>
              <w:spacing w:after="0"/>
              <w:rPr>
                <w:sz w:val="21"/>
                <w:szCs w:val="21"/>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960" w:type="dxa"/>
            <w:vAlign w:val="bottom"/>
          </w:tcPr>
          <w:p>
            <w:pPr>
              <w:jc w:val="right"/>
              <w:ind w:right="270"/>
              <w:spacing w:after="0"/>
              <w:rPr>
                <w:sz w:val="20"/>
                <w:szCs w:val="20"/>
                <w:color w:val="auto"/>
              </w:rPr>
            </w:pPr>
            <w:r>
              <w:rPr>
                <w:rFonts w:ascii="Arial" w:cs="Arial" w:eastAsia="Arial" w:hAnsi="Arial"/>
                <w:sz w:val="18"/>
                <w:szCs w:val="18"/>
                <w:color w:val="auto"/>
              </w:rPr>
              <w:t>1,563.0</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(11.7)</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1,551.3</w:t>
            </w:r>
          </w:p>
        </w:tc>
      </w:tr>
      <w:tr>
        <w:trPr>
          <w:trHeight w:val="27"/>
        </w:trPr>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$1,579.1</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$(12.3)</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$1,566.8</w:t>
            </w:r>
          </w:p>
        </w:tc>
      </w:tr>
      <w:tr>
        <w:trPr>
          <w:trHeight w:val="200"/>
        </w:trPr>
        <w:tc>
          <w:tcPr>
            <w:tcW w:w="20" w:type="dxa"/>
            <w:vAlign w:val="bottom"/>
          </w:tcPr>
          <w:p>
            <w:pPr>
              <w:spacing w:after="0"/>
              <w:rPr>
                <w:sz w:val="17"/>
                <w:szCs w:val="17"/>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Consisted of long-term debt due within one year and notes payable.</w:t>
            </w:r>
          </w:p>
        </w:tc>
        <w:tc>
          <w:tcPr>
            <w:tcW w:w="196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December 31, 2015</w:t>
            </w:r>
          </w:p>
        </w:tc>
        <w:tc>
          <w:tcPr>
            <w:tcW w:w="196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Short-Term Debt </w:t>
            </w:r>
            <w:r>
              <w:rPr>
                <w:rFonts w:ascii="Arial" w:cs="Arial" w:eastAsia="Arial" w:hAnsi="Arial"/>
                <w:sz w:val="16"/>
                <w:szCs w:val="16"/>
                <w:i w:val="1"/>
                <w:iCs w:val="1"/>
                <w:color w:val="auto"/>
              </w:rPr>
              <w:t>(a)</w:t>
            </w:r>
          </w:p>
        </w:tc>
        <w:tc>
          <w:tcPr>
            <w:tcW w:w="1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$37.9</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$(0.6)</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r>
      <w:tr>
        <w:trPr>
          <w:trHeight w:val="243"/>
        </w:trPr>
        <w:tc>
          <w:tcPr>
            <w:tcW w:w="20" w:type="dxa"/>
            <w:vAlign w:val="bottom"/>
          </w:tcPr>
          <w:p>
            <w:pPr>
              <w:spacing w:after="0"/>
              <w:rPr>
                <w:sz w:val="21"/>
                <w:szCs w:val="21"/>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960" w:type="dxa"/>
            <w:vAlign w:val="bottom"/>
          </w:tcPr>
          <w:p>
            <w:pPr>
              <w:jc w:val="right"/>
              <w:ind w:right="270"/>
              <w:spacing w:after="0"/>
              <w:rPr>
                <w:sz w:val="20"/>
                <w:szCs w:val="20"/>
                <w:color w:val="auto"/>
              </w:rPr>
            </w:pPr>
            <w:r>
              <w:rPr>
                <w:rFonts w:ascii="Arial" w:cs="Arial" w:eastAsia="Arial" w:hAnsi="Arial"/>
                <w:sz w:val="18"/>
                <w:szCs w:val="18"/>
                <w:color w:val="auto"/>
              </w:rPr>
              <w:t>1,568.7</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(12.0)</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1,556.7</w:t>
            </w:r>
          </w:p>
        </w:tc>
      </w:tr>
      <w:tr>
        <w:trPr>
          <w:trHeight w:val="27"/>
        </w:trPr>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$1,606.6</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$(12.6)</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$1,594.0</w:t>
            </w:r>
          </w:p>
        </w:tc>
      </w:tr>
      <w:tr>
        <w:trPr>
          <w:trHeight w:val="200"/>
        </w:trPr>
        <w:tc>
          <w:tcPr>
            <w:tcW w:w="20" w:type="dxa"/>
            <w:vAlign w:val="bottom"/>
          </w:tcPr>
          <w:p>
            <w:pPr>
              <w:spacing w:after="0"/>
              <w:rPr>
                <w:sz w:val="17"/>
                <w:szCs w:val="17"/>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Consisted of long-term debt due within one year and notes payable.</w:t>
            </w:r>
          </w:p>
        </w:tc>
        <w:tc>
          <w:tcPr>
            <w:tcW w:w="196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 long-term debt was issued in the first three months of 2016.</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March 31, 2016, our ratio was approximately 0.46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March 31, 2016, ALLETE was in compliance with its financial covenants.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NOTE 9. INCOME TAX EXPENSE</w:t>
            </w:r>
          </w:p>
        </w:tc>
        <w:tc>
          <w:tcPr>
            <w:tcW w:w="45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6"/>
        </w:trPr>
        <w:tc>
          <w:tcPr>
            <w:tcW w:w="6080" w:type="dxa"/>
            <w:vAlign w:val="bottom"/>
          </w:tcPr>
          <w:p>
            <w:pPr>
              <w:spacing w:after="0"/>
              <w:rPr>
                <w:sz w:val="24"/>
                <w:szCs w:val="24"/>
                <w:color w:val="auto"/>
              </w:rPr>
            </w:pPr>
          </w:p>
        </w:tc>
        <w:tc>
          <w:tcPr>
            <w:tcW w:w="53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080" w:type="dxa"/>
            <w:vAlign w:val="bottom"/>
          </w:tcPr>
          <w:p>
            <w:pPr>
              <w:spacing w:after="0"/>
              <w:rPr>
                <w:sz w:val="23"/>
                <w:szCs w:val="23"/>
                <w:color w:val="auto"/>
              </w:rPr>
            </w:pPr>
          </w:p>
        </w:tc>
        <w:tc>
          <w:tcPr>
            <w:tcW w:w="450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Pr>
          <w:p>
            <w:pPr>
              <w:spacing w:after="0"/>
              <w:rPr>
                <w:sz w:val="23"/>
                <w:szCs w:val="23"/>
                <w:color w:val="auto"/>
              </w:rPr>
            </w:pPr>
          </w:p>
        </w:tc>
      </w:tr>
      <w:tr>
        <w:trPr>
          <w:trHeight w:val="270"/>
        </w:trPr>
        <w:tc>
          <w:tcPr>
            <w:tcW w:w="6080" w:type="dxa"/>
            <w:vAlign w:val="bottom"/>
          </w:tcPr>
          <w:p>
            <w:pPr>
              <w:spacing w:after="0"/>
              <w:rPr>
                <w:sz w:val="23"/>
                <w:szCs w:val="23"/>
                <w:color w:val="auto"/>
              </w:rPr>
            </w:pPr>
          </w:p>
        </w:tc>
        <w:tc>
          <w:tcPr>
            <w:tcW w:w="4500" w:type="dxa"/>
            <w:vAlign w:val="bottom"/>
          </w:tcPr>
          <w:p>
            <w:pPr>
              <w:jc w:val="right"/>
              <w:ind w:right="870"/>
              <w:spacing w:after="0"/>
              <w:rPr>
                <w:sz w:val="20"/>
                <w:szCs w:val="20"/>
                <w:color w:val="auto"/>
              </w:rPr>
            </w:pPr>
            <w:r>
              <w:rPr>
                <w:rFonts w:ascii="Arial" w:cs="Arial" w:eastAsia="Arial" w:hAnsi="Arial"/>
                <w:sz w:val="18"/>
                <w:szCs w:val="18"/>
                <w:b w:val="1"/>
                <w:bCs w:val="1"/>
                <w:color w:val="auto"/>
              </w:rPr>
              <w:t>2016</w:t>
            </w: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2015</w:t>
            </w:r>
          </w:p>
        </w:tc>
      </w:tr>
      <w:tr>
        <w:trPr>
          <w:trHeight w:val="27"/>
        </w:trPr>
        <w:tc>
          <w:tcPr>
            <w:tcW w:w="608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Tax Expense </w:t>
            </w:r>
            <w:r>
              <w:rPr>
                <w:rFonts w:ascii="Arial" w:cs="Arial" w:eastAsia="Arial" w:hAnsi="Arial"/>
                <w:sz w:val="16"/>
                <w:szCs w:val="16"/>
                <w:i w:val="1"/>
                <w:iCs w:val="1"/>
                <w:color w:val="auto"/>
              </w:rPr>
              <w:t>(a)</w:t>
            </w:r>
          </w:p>
        </w:tc>
        <w:tc>
          <w:tcPr>
            <w:tcW w:w="4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Federal</w:t>
            </w:r>
          </w:p>
        </w:tc>
        <w:tc>
          <w:tcPr>
            <w:tcW w:w="450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45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$0.1</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r>
      <w:tr>
        <w:trPr>
          <w:trHeight w:val="237"/>
        </w:trPr>
        <w:tc>
          <w:tcPr>
            <w:tcW w:w="60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Tax Expense</w:t>
            </w:r>
          </w:p>
        </w:tc>
        <w:tc>
          <w:tcPr>
            <w:tcW w:w="450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rPr>
              <w:t>$0.1</w:t>
            </w: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$0.1</w:t>
            </w:r>
          </w:p>
        </w:tc>
      </w:tr>
      <w:tr>
        <w:trPr>
          <w:trHeight w:val="27"/>
        </w:trPr>
        <w:tc>
          <w:tcPr>
            <w:tcW w:w="608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 (Benefit)</w:t>
            </w:r>
          </w:p>
        </w:tc>
        <w:tc>
          <w:tcPr>
            <w:tcW w:w="4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Federal</w:t>
            </w:r>
          </w:p>
        </w:tc>
        <w:tc>
          <w:tcPr>
            <w:tcW w:w="4500" w:type="dxa"/>
            <w:vAlign w:val="bottom"/>
          </w:tcPr>
          <w:p>
            <w:pPr>
              <w:jc w:val="right"/>
              <w:ind w:right="590"/>
              <w:spacing w:after="0"/>
              <w:rPr>
                <w:sz w:val="20"/>
                <w:szCs w:val="20"/>
                <w:color w:val="auto"/>
              </w:rPr>
            </w:pPr>
            <w:r>
              <w:rPr>
                <w:rFonts w:ascii="Arial" w:cs="Arial" w:eastAsia="Arial" w:hAnsi="Arial"/>
                <w:sz w:val="18"/>
                <w:szCs w:val="18"/>
                <w:color w:val="auto"/>
              </w:rPr>
              <w:t>$4.6</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$4.8</w:t>
            </w:r>
          </w:p>
        </w:tc>
      </w:tr>
      <w:tr>
        <w:trPr>
          <w:trHeight w:val="27"/>
        </w:trPr>
        <w:tc>
          <w:tcPr>
            <w:tcW w:w="60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45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4.8</w:t>
            </w: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4500" w:type="dxa"/>
            <w:vAlign w:val="bottom"/>
          </w:tcPr>
          <w:p>
            <w:pPr>
              <w:jc w:val="right"/>
              <w:ind w:right="590"/>
              <w:spacing w:after="0"/>
              <w:rPr>
                <w:sz w:val="20"/>
                <w:szCs w:val="20"/>
                <w:color w:val="auto"/>
              </w:rPr>
            </w:pPr>
            <w:r>
              <w:rPr>
                <w:rFonts w:ascii="Arial" w:cs="Arial" w:eastAsia="Arial" w:hAnsi="Arial"/>
                <w:sz w:val="18"/>
                <w:szCs w:val="18"/>
                <w:color w:val="auto"/>
              </w:rPr>
              <w:t>(0.2)</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(0.2)</w:t>
            </w:r>
          </w:p>
        </w:tc>
      </w:tr>
      <w:tr>
        <w:trPr>
          <w:trHeight w:val="27"/>
        </w:trPr>
        <w:tc>
          <w:tcPr>
            <w:tcW w:w="608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Expense</w:t>
            </w:r>
          </w:p>
        </w:tc>
        <w:tc>
          <w:tcPr>
            <w:tcW w:w="45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$9.2</w:t>
            </w: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r>
      <w:tr>
        <w:trPr>
          <w:trHeight w:val="237"/>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w:t>
            </w:r>
          </w:p>
        </w:tc>
        <w:tc>
          <w:tcPr>
            <w:tcW w:w="45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$9.3</w:t>
            </w:r>
          </w:p>
        </w:tc>
        <w:tc>
          <w:tcPr>
            <w:tcW w:w="8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310" w:lineRule="auto"/>
        <w:tabs>
          <w:tab w:leader="none" w:pos="340" w:val="left"/>
        </w:tabs>
        <w:numPr>
          <w:ilvl w:val="0"/>
          <w:numId w:val="15"/>
        </w:numPr>
        <w:rPr>
          <w:rFonts w:ascii="Arial" w:cs="Arial" w:eastAsia="Arial" w:hAnsi="Arial"/>
          <w:sz w:val="15"/>
          <w:szCs w:val="15"/>
          <w:i w:val="1"/>
          <w:iCs w:val="1"/>
          <w:color w:val="auto"/>
        </w:rPr>
      </w:pPr>
      <w:r>
        <w:rPr>
          <w:rFonts w:ascii="Arial" w:cs="Arial" w:eastAsia="Arial" w:hAnsi="Arial"/>
          <w:sz w:val="15"/>
          <w:szCs w:val="15"/>
          <w:i w:val="1"/>
          <w:iCs w:val="1"/>
          <w:color w:val="auto"/>
        </w:rPr>
        <w:t>For the three months ended March 31, 2016 and 2015, the federal and state current tax expense was minimal due to NOLs which resulted from the bonus depreciation provisions of the Protecting Americans from Tax Hikes Act of 2015, the Tax Increase Prevention Act of 2014 and the American Taxpayer Relief Act of 2012.</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ectPr>
          <w:pgSz w:w="11900" w:h="16838" w:orient="portrait"/>
          <w:cols w:equalWidth="0" w:num="1">
            <w:col w:w="11420"/>
          </w:cols>
          <w:pgMar w:left="240" w:top="661"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20"/>
          </w:cols>
          <w:pgMar w:left="240" w:top="661" w:right="2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rPr>
              <w:t>NOTE 9. INCOME TAX EXPENSE (Continued)</w:t>
            </w:r>
          </w:p>
        </w:tc>
        <w:tc>
          <w:tcPr>
            <w:tcW w:w="3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6"/>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3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Rate to Total Income Tax Expense</w:t>
            </w:r>
          </w:p>
        </w:tc>
        <w:tc>
          <w:tcPr>
            <w:tcW w:w="3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34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r>
      <w:tr>
        <w:trPr>
          <w:trHeight w:val="27"/>
        </w:trPr>
        <w:tc>
          <w:tcPr>
            <w:tcW w:w="69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69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Non-Controlling Interest and Income Taxes</w:t>
            </w:r>
          </w:p>
        </w:tc>
        <w:tc>
          <w:tcPr>
            <w:tcW w:w="34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$55.7</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$46.3</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Statutory Federal Income Tax Rate</w:t>
            </w:r>
          </w:p>
        </w:tc>
        <w:tc>
          <w:tcPr>
            <w:tcW w:w="3440" w:type="dxa"/>
            <w:vAlign w:val="bottom"/>
          </w:tcPr>
          <w:p>
            <w:pPr>
              <w:jc w:val="right"/>
              <w:ind w:right="350"/>
              <w:spacing w:after="0"/>
              <w:rPr>
                <w:sz w:val="20"/>
                <w:szCs w:val="20"/>
                <w:color w:val="auto"/>
              </w:rPr>
            </w:pPr>
            <w:r>
              <w:rPr>
                <w:rFonts w:ascii="Arial" w:cs="Arial" w:eastAsia="Arial" w:hAnsi="Arial"/>
                <w:sz w:val="18"/>
                <w:szCs w:val="18"/>
                <w:color w:val="auto"/>
              </w:rPr>
              <w:t>35%</w:t>
            </w: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9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Computed at 35 percent Statutory Federal Rate</w:t>
            </w:r>
          </w:p>
        </w:tc>
        <w:tc>
          <w:tcPr>
            <w:tcW w:w="34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19.5</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16.2</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Increase (Decrease) in Tax Due to:</w:t>
            </w:r>
          </w:p>
        </w:tc>
        <w:tc>
          <w:tcPr>
            <w:tcW w:w="3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Income Taxes – Net of Federal Income Tax Benefit</w:t>
            </w:r>
          </w:p>
        </w:tc>
        <w:tc>
          <w:tcPr>
            <w:tcW w:w="34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3.2</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43"/>
        </w:trPr>
        <w:tc>
          <w:tcPr>
            <w:tcW w:w="6940" w:type="dxa"/>
            <w:vAlign w:val="bottom"/>
          </w:tcPr>
          <w:p>
            <w:pPr>
              <w:ind w:left="280"/>
              <w:spacing w:after="0"/>
              <w:rPr>
                <w:sz w:val="20"/>
                <w:szCs w:val="20"/>
                <w:color w:val="auto"/>
              </w:rPr>
            </w:pPr>
            <w:r>
              <w:rPr>
                <w:rFonts w:ascii="Arial" w:cs="Arial" w:eastAsia="Arial" w:hAnsi="Arial"/>
                <w:sz w:val="18"/>
                <w:szCs w:val="18"/>
                <w:color w:val="auto"/>
              </w:rPr>
              <w:t>Production Tax Credits</w:t>
            </w:r>
          </w:p>
        </w:tc>
        <w:tc>
          <w:tcPr>
            <w:tcW w:w="3440" w:type="dxa"/>
            <w:vAlign w:val="bottom"/>
          </w:tcPr>
          <w:p>
            <w:pPr>
              <w:jc w:val="right"/>
              <w:ind w:right="430"/>
              <w:spacing w:after="0"/>
              <w:rPr>
                <w:sz w:val="20"/>
                <w:szCs w:val="20"/>
                <w:color w:val="auto"/>
              </w:rPr>
            </w:pPr>
            <w:r>
              <w:rPr>
                <w:rFonts w:ascii="Arial" w:cs="Arial" w:eastAsia="Arial" w:hAnsi="Arial"/>
                <w:sz w:val="18"/>
                <w:szCs w:val="18"/>
                <w:color w:val="auto"/>
              </w:rPr>
              <w:t>(13.9)</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(12.8)</w:t>
            </w:r>
          </w:p>
        </w:tc>
      </w:tr>
      <w:tr>
        <w:trPr>
          <w:trHeight w:val="27"/>
        </w:trPr>
        <w:tc>
          <w:tcPr>
            <w:tcW w:w="69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Regulatory Differences for Utility Plant</w:t>
            </w:r>
          </w:p>
        </w:tc>
        <w:tc>
          <w:tcPr>
            <w:tcW w:w="3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(0.1)</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r>
      <w:tr>
        <w:trPr>
          <w:trHeight w:val="243"/>
        </w:trPr>
        <w:tc>
          <w:tcPr>
            <w:tcW w:w="6940" w:type="dxa"/>
            <w:vAlign w:val="bottom"/>
          </w:tcPr>
          <w:p>
            <w:pPr>
              <w:ind w:left="280"/>
              <w:spacing w:after="0"/>
              <w:rPr>
                <w:sz w:val="20"/>
                <w:szCs w:val="20"/>
                <w:color w:val="auto"/>
              </w:rPr>
            </w:pPr>
            <w:r>
              <w:rPr>
                <w:rFonts w:ascii="Arial" w:cs="Arial" w:eastAsia="Arial" w:hAnsi="Arial"/>
                <w:sz w:val="18"/>
                <w:szCs w:val="18"/>
                <w:color w:val="auto"/>
              </w:rPr>
              <w:t>Other</w:t>
            </w:r>
          </w:p>
        </w:tc>
        <w:tc>
          <w:tcPr>
            <w:tcW w:w="3440" w:type="dxa"/>
            <w:vAlign w:val="bottom"/>
          </w:tcPr>
          <w:p>
            <w:pPr>
              <w:jc w:val="right"/>
              <w:ind w:right="490"/>
              <w:spacing w:after="0"/>
              <w:rPr>
                <w:sz w:val="20"/>
                <w:szCs w:val="20"/>
                <w:color w:val="auto"/>
              </w:rPr>
            </w:pPr>
            <w:r>
              <w:rPr>
                <w:rFonts w:ascii="Arial" w:cs="Arial" w:eastAsia="Arial" w:hAnsi="Arial"/>
                <w:sz w:val="18"/>
                <w:szCs w:val="18"/>
                <w:color w:val="auto"/>
              </w:rPr>
              <w:t>0.6</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2.2</w:t>
            </w:r>
          </w:p>
        </w:tc>
      </w:tr>
      <w:tr>
        <w:trPr>
          <w:trHeight w:val="27"/>
        </w:trPr>
        <w:tc>
          <w:tcPr>
            <w:tcW w:w="69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34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$9.3</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$6.2</w:t>
            </w:r>
          </w:p>
        </w:tc>
      </w:tr>
      <w:tr>
        <w:trPr>
          <w:trHeight w:val="20"/>
        </w:trPr>
        <w:tc>
          <w:tcPr>
            <w:tcW w:w="694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2016, the effective tax rate was 16.7 percent (13.4 percent for the three months ended March 31, 2015).</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March 31, 2016, we had gross unrecognized tax benefits of $2.3 million ($2.4 million as of December 31, 2015). Of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gross unrecognized tax benefits, $0.6 million represents the amount of unrecognized tax benefits included in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ALLETE and its subsidiaries file a consolidated federal income tax return as well as combined and separate state income tax returns in various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ALLETE is no longer subject to federal or state examination for years before 2012.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RECLASSIFICATIONS OUT OF ACCUMULATED OTHER COMPREHENSIVE INCOME (LOSS)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Changes in Accumulated Other Comprehensive Loss. </w:t>
      </w:r>
      <w:r>
        <w:rPr>
          <w:rFonts w:ascii="Arial" w:cs="Arial" w:eastAsia="Arial" w:hAnsi="Arial"/>
          <w:sz w:val="18"/>
          <w:szCs w:val="18"/>
          <w:color w:val="auto"/>
        </w:rPr>
        <w:t>Comprehensive income (loss) is the change in shareholders’ equity during a period from</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and events from non-owner sources, including net income. The amounts recorded to accumulated other comprehensive loss include unrealized gains and losses on available-for-sale securities, defined benefit pension and other postretirement items, consisting of deferred actuarial gains or losses and prior service costs or credits, and gains and losses on derivatives accounted for as cash flow hedges.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2016 and 2015, reclassifications out of accumulated other comprehensive income for the Company were not material. See Note 12. Pension and Other Postretirement Benefit Plans regarding the reclassification of a portion of accumulated other comprehensive loss related to the Company’s benefit plans during the year. Changes in accumulated other comprehensive loss for the three months ended March 31, 2016, are presented on the Consolidated Statement of Shareholders’ Equity.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 AND COMMON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compute basic earnings per share using the weighted average number of shares of common stock outstanding during each period. The difference between basic and diluted earnings per share, if any, arises from outstanding stock options, non-vested restricted stock units, performance share awards granted under our Executive Long-Term Incentive Compensation Plan and common shares under the forward sale agreement. For the three months ended March 31, 2016 and 2015, no options to purchase shares of common stock were excluded from the computation of diluted earnings per share.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66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6600" w:type="dxa"/>
            <w:vAlign w:val="bottom"/>
            <w:gridSpan w:val="4"/>
          </w:tcPr>
          <w:p>
            <w:pPr>
              <w:spacing w:after="0"/>
              <w:rPr>
                <w:sz w:val="20"/>
                <w:szCs w:val="20"/>
                <w:color w:val="auto"/>
              </w:rPr>
            </w:pPr>
            <w:r>
              <w:rPr>
                <w:rFonts w:ascii="Arial" w:cs="Arial" w:eastAsia="Arial" w:hAnsi="Arial"/>
                <w:sz w:val="18"/>
                <w:szCs w:val="18"/>
                <w:b w:val="1"/>
                <w:bCs w:val="1"/>
                <w:color w:val="auto"/>
              </w:rPr>
              <w:t>NOTE 11. EARNINGS PER SHARE AND COMMON STOCK (Continued)</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2015</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Dilutive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0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 Per Share</w:t>
            </w: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Basic</w:t>
            </w: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540" w:type="dxa"/>
            <w:vAlign w:val="bottom"/>
            <w:gridSpan w:val="3"/>
          </w:tcPr>
          <w:p>
            <w:pPr>
              <w:ind w:left="260"/>
              <w:spacing w:after="0"/>
              <w:rPr>
                <w:sz w:val="20"/>
                <w:szCs w:val="20"/>
                <w:color w:val="auto"/>
              </w:rPr>
            </w:pPr>
            <w:r>
              <w:rPr>
                <w:rFonts w:ascii="Arial" w:cs="Arial" w:eastAsia="Arial" w:hAnsi="Arial"/>
                <w:sz w:val="18"/>
                <w:szCs w:val="18"/>
                <w:b w:val="1"/>
                <w:bCs w:val="1"/>
                <w:color w:val="auto"/>
              </w:rPr>
              <w:t>Diluted</w:t>
            </w: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w w:val="91"/>
              </w:rPr>
              <w:t>Basic</w:t>
            </w: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Securities</w:t>
            </w: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Diluted</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ALLETE</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$45.9</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$39.9</w:t>
            </w:r>
          </w:p>
        </w:tc>
        <w:tc>
          <w:tcPr>
            <w:tcW w:w="1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49.2</w:t>
            </w:r>
          </w:p>
        </w:tc>
        <w:tc>
          <w:tcPr>
            <w:tcW w:w="13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46.9</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0.2</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$0.93</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$0.85</w:t>
            </w:r>
          </w:p>
        </w:tc>
        <w:tc>
          <w:tcPr>
            <w:tcW w:w="1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6600" w:type="dxa"/>
            <w:vAlign w:val="bottom"/>
            <w:gridSpan w:val="4"/>
          </w:tcPr>
          <w:p>
            <w:pPr>
              <w:spacing w:after="0"/>
              <w:rPr>
                <w:sz w:val="20"/>
                <w:szCs w:val="20"/>
                <w:color w:val="auto"/>
              </w:rPr>
            </w:pPr>
            <w:r>
              <w:rPr>
                <w:rFonts w:ascii="Arial" w:cs="Arial" w:eastAsia="Arial" w:hAnsi="Arial"/>
                <w:sz w:val="18"/>
                <w:szCs w:val="18"/>
                <w:b w:val="1"/>
                <w:bCs w:val="1"/>
                <w:color w:val="auto"/>
              </w:rPr>
              <w:t>NOTE 12. PENSION AND OTHER POSTRETIREMENT BENEFIT PLANS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40" w:type="dxa"/>
            <w:vAlign w:val="bottom"/>
            <w:gridSpan w:val="3"/>
          </w:tcPr>
          <w:p>
            <w:pPr>
              <w:ind w:left="880"/>
              <w:spacing w:after="0"/>
              <w:rPr>
                <w:sz w:val="20"/>
                <w:szCs w:val="20"/>
                <w:color w:val="auto"/>
              </w:rPr>
            </w:pPr>
            <w:r>
              <w:rPr>
                <w:rFonts w:ascii="Arial" w:cs="Arial" w:eastAsia="Arial" w:hAnsi="Arial"/>
                <w:sz w:val="18"/>
                <w:szCs w:val="18"/>
                <w:b w:val="1"/>
                <w:bCs w:val="1"/>
                <w:color w:val="auto"/>
                <w:w w:val="91"/>
              </w:rPr>
              <w:t>Pension</w:t>
            </w:r>
          </w:p>
        </w:tc>
        <w:tc>
          <w:tcPr>
            <w:tcW w:w="900" w:type="dxa"/>
            <w:vAlign w:val="bottom"/>
          </w:tcPr>
          <w:p>
            <w:pPr>
              <w:spacing w:after="0"/>
              <w:rPr>
                <w:sz w:val="20"/>
                <w:szCs w:val="20"/>
                <w:color w:val="auto"/>
              </w:rPr>
            </w:pPr>
          </w:p>
        </w:tc>
        <w:tc>
          <w:tcPr>
            <w:tcW w:w="23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70"/>
        </w:trPr>
        <w:tc>
          <w:tcPr>
            <w:tcW w:w="430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Components of Net Periodic Benefit Expense (Income)</w:t>
            </w:r>
          </w:p>
        </w:tc>
        <w:tc>
          <w:tcPr>
            <w:tcW w:w="9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2015</w:t>
            </w: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2016</w:t>
            </w: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w:t>
            </w: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$2.5</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3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7.5</w:t>
            </w:r>
          </w:p>
        </w:tc>
        <w:tc>
          <w:tcPr>
            <w:tcW w:w="1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1.9</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(10.2)</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(2.8)</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3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Credits</w:t>
            </w: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(0.7)</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Amortization of Net Loss</w:t>
            </w: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4.5</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Periodic Benefit Expense (Income)</w:t>
            </w: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$4.3</w:t>
            </w:r>
          </w:p>
        </w:tc>
        <w:tc>
          <w:tcPr>
            <w:tcW w:w="14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$(0.6)</w:t>
            </w:r>
          </w:p>
        </w:tc>
        <w:tc>
          <w:tcPr>
            <w:tcW w:w="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7"/>
              </w:rPr>
              <w:t>$(0.5)</w:t>
            </w:r>
          </w:p>
        </w:tc>
        <w:tc>
          <w:tcPr>
            <w:tcW w:w="0" w:type="dxa"/>
            <w:vAlign w:val="bottom"/>
          </w:tcPr>
          <w:p>
            <w:pPr>
              <w:spacing w:after="0"/>
              <w:rPr>
                <w:sz w:val="1"/>
                <w:szCs w:val="1"/>
                <w:color w:val="auto"/>
              </w:rPr>
            </w:pPr>
          </w:p>
        </w:tc>
      </w:tr>
      <w:tr>
        <w:trPr>
          <w:trHeight w:val="20"/>
        </w:trPr>
        <w:tc>
          <w:tcPr>
            <w:tcW w:w="4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Employer Contributions. </w:t>
      </w:r>
      <w:r>
        <w:rPr>
          <w:rFonts w:ascii="Arial" w:cs="Arial" w:eastAsia="Arial" w:hAnsi="Arial"/>
          <w:sz w:val="16"/>
          <w:szCs w:val="16"/>
          <w:color w:val="auto"/>
        </w:rPr>
        <w:t>For the three months ended March 31, 2016 and 2015, no contributions were made to our defined benefit pension plan; we expect</w:t>
      </w:r>
      <w:r>
        <w:rPr>
          <w:rFonts w:ascii="Arial" w:cs="Arial" w:eastAsia="Arial" w:hAnsi="Arial"/>
          <w:sz w:val="16"/>
          <w:szCs w:val="16"/>
          <w:b w:val="1"/>
          <w:bCs w:val="1"/>
          <w:color w:val="auto"/>
        </w:rPr>
        <w:t xml:space="preserve"> </w:t>
      </w:r>
      <w:r>
        <w:rPr>
          <w:rFonts w:ascii="Arial" w:cs="Arial" w:eastAsia="Arial" w:hAnsi="Arial"/>
          <w:sz w:val="16"/>
          <w:szCs w:val="16"/>
          <w:color w:val="auto"/>
        </w:rPr>
        <w:t>to make $2.0 million in contributions to our defined benefit pension plan in 2016. For the three months ended March 31, 2016 and 2015, we made no contributions to our other postretirement benefit plan; we do not expect to make any contributions to our other postretirement benefit plan in 2016.</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power purchase agreements are summarized in Note 12. Commitments, Guarantees and Contingencies to our Consolidated Financial Statements in our 2015 Form 10-K, with additional disclosure provided in the following paragraphs.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Minnesota Power has a PPA with Square Butte, a North Dakota cooperative corporation, that extends through 2026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Power is obligated to pay its pro rata share of Square Butte’s costs based on its entitlement to the output of Square Butte’s 455 MW coal-fired generating unit. Minnesota Power’s output entitlement under the Agreement is 50 percent for the remainder of the Agreement, subject to the provisions of the Minnkota Power sales agreement described below. Square Butte’s costs consist primarily of debt service, operating and maintenance, depreciation and fuel expenses. As of March 31, 2016, Square Butte had total debt outstanding of $363.5 million. Fuel expenses are recoverable through Minnesota Power’s fuel adjustment clause and include the cost of coal purchased from BNI Energy under a long-term contract.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cost of power purchased from Square Butte during the three months ended March 31, 2016, was $18.5 million ($19.2 million for the three months ended March 31, 2015). This reflects Minnesota Power’s pro rata share of total Square Butte costs based on the 50 percent output entitlement. Included in this amount was Minnesota Power’s pro rata share of interest expense of $2.4 million during the three months ended March 31, 2016 ($2.5 million for the three months ended March 31, 2015). Minnesota Power’s payments to Square Butte are approved as a purchased power expense for ratemaking purposes by both the MPUC and the FERC.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ectPr>
          <w:pgSz w:w="11900" w:h="16838" w:orient="portrait"/>
          <w:cols w:equalWidth="0" w:num="1">
            <w:col w:w="11420"/>
          </w:cols>
          <w:pgMar w:left="240" w:top="661"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20"/>
          </w:cols>
          <w:pgMar w:left="240" w:top="661"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Sales Agreement. </w:t>
      </w:r>
      <w:r>
        <w:rPr>
          <w:rFonts w:ascii="Arial" w:cs="Arial" w:eastAsia="Arial" w:hAnsi="Arial"/>
          <w:sz w:val="18"/>
          <w:szCs w:val="18"/>
          <w:color w:val="auto"/>
        </w:rPr>
        <w:t>Minnesota Power has a power sales agreement with Minnkota Power, which commenced June 1, 2014. Under the power</w:t>
      </w:r>
      <w:r>
        <w:rPr>
          <w:rFonts w:ascii="Arial" w:cs="Arial" w:eastAsia="Arial" w:hAnsi="Arial"/>
          <w:sz w:val="18"/>
          <w:szCs w:val="18"/>
          <w:i w:val="1"/>
          <w:iCs w:val="1"/>
          <w:color w:val="auto"/>
        </w:rPr>
        <w:t xml:space="preserve"> </w:t>
      </w:r>
      <w:r>
        <w:rPr>
          <w:rFonts w:ascii="Arial" w:cs="Arial" w:eastAsia="Arial" w:hAnsi="Arial"/>
          <w:sz w:val="18"/>
          <w:szCs w:val="18"/>
          <w:color w:val="auto"/>
        </w:rPr>
        <w:t>sales agreement, Minnesota Power is selling a portion 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2016 and in 2015.</w:t>
      </w:r>
    </w:p>
    <w:p>
      <w:pPr>
        <w:spacing w:after="0" w:line="18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Coal, Rail and Shipping Contracts. </w:t>
      </w:r>
      <w:r>
        <w:rPr>
          <w:rFonts w:ascii="Arial" w:cs="Arial" w:eastAsia="Arial" w:hAnsi="Arial"/>
          <w:sz w:val="16"/>
          <w:szCs w:val="16"/>
          <w:color w:val="auto"/>
        </w:rPr>
        <w:t>Minnesota Power has coal supply agreements providing for the purchase of a significant portion of its coal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December 2016 and a portion of its coal requirements through December 2019. Minnesota Power also has coal transportation agreements in place for the delivery of a significant portion of its coal requirements through December 2018. The minimum annual payment obligation under these supply and transportation agreements is $24.9 million for the remainder of 2016, $26.3 million in 2017, $27.0 million in 2018 and $1.8 million in 2019. The delivered costs of fuel for Minnesota Power’s generation are recoverable from Minnesota Power’s utility customers through the fuel adjustment clause.</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Leasing Agreements. </w:t>
      </w:r>
      <w:r>
        <w:rPr>
          <w:rFonts w:ascii="Arial" w:cs="Arial" w:eastAsia="Arial" w:hAnsi="Arial"/>
          <w:sz w:val="18"/>
          <w:szCs w:val="18"/>
          <w:color w:val="auto"/>
        </w:rPr>
        <w:t>BNI Energy is obligated to make lease payments for a dragline totaling $2.8 million annually for the lease term, which expires in 2027.</w:t>
      </w:r>
      <w:r>
        <w:rPr>
          <w:rFonts w:ascii="Arial" w:cs="Arial" w:eastAsia="Arial" w:hAnsi="Arial"/>
          <w:sz w:val="18"/>
          <w:szCs w:val="18"/>
          <w:b w:val="1"/>
          <w:bCs w:val="1"/>
          <w:color w:val="auto"/>
        </w:rPr>
        <w:t xml:space="preserve"> </w:t>
      </w:r>
      <w:r>
        <w:rPr>
          <w:rFonts w:ascii="Arial" w:cs="Arial" w:eastAsia="Arial" w:hAnsi="Arial"/>
          <w:sz w:val="18"/>
          <w:szCs w:val="18"/>
          <w:color w:val="auto"/>
        </w:rPr>
        <w:t>BNI Energy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terms expiring through 2022. The aggregate amount of minimum lease payments for all operating leases is $14.0 million in 2016, $12.6 million in 2017, $11.1 million in 2018, $9.9 million in 2019, $6.9 million in 2020 and $23.2 million thereafter.</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transmission investments are summarized in Note 12. Commitments, Guarantees and Contingencies to our Consolidated Financial Statements in our 2015 Form 10-K, with additional disclosure provided in the following paragraphs.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May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and Manitoba Hydro proposed construction of the GNTL, an approximately 220-mile 500 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GNTL is subject to various federal and state regulatory approvals. In October 2013, a certificate of need application was filed with the MPUC which was approved in a June 2015 order. Based on this order, Minnesota Power’s portion of the investments and expenditures for the project are eligible for cost recovery under its existing transmission cost recovery rider and are anticipated to be included in future transmission factor filings. (See Note 6. Regulatory Matters.) In a December 2015 order, the FERC approved our request to recover on construction work in progress related to the GNTL from Minnesota Power’s wholesale customers. In April 2014, Minnesota Power filed a route permit application with the MPUC and a request for a presidential permit to cross the U.S.-Canadian border with the U.S. Department of Energy. In an order dated April 11, 2016, the MPUC approved the route permit which largely follows Minnesota Power’s preferred route, including the international border crossing. A final decision on the presidential permit by the U.S. Department of Energy is expected in the second quarter of 2016. Manitoba Hydro must also obtain regulatory and governmental approvals related to a new transmission line in Canada. In September 2015, Manitoba Hydro submitted the final preferred route and EIS for the transmission line in Canada to the Manitoba Conservation and Water Stewardship for regulatory approval. Construction of Manitoba Hydro’s hydroelectric generation facility commenced in 2014. Upon receipt of all applicable permits and approvals, construction of the GNTL is expected to begin by 2017 and to be completed in 2020. Total project cost in the U.S., including substation work, is estimated to be between $560 million and $710 million. Minnesota Power is expected to have majority ownership of the transmission line.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66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recently been promulgated by both the EPA and state authorities. Minnesota Power’s facilities are subject to additional regulation under many of these regulations. In response to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to conduct such operations have been obtained. We anticipate that with many state and federal environmental regulations finalized, or to be finalized in the near future, potential expenditures for future environmental matters may be material and may require significant capital investments. Minnesota Power has evaluated various environmental compliance scenarios using possible outcomes of environmental regulations to project power supply trends and impacts on customers.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applicable emission requirements.</w:t>
      </w:r>
    </w:p>
    <w:p>
      <w:pPr>
        <w:spacing w:after="0" w:line="18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New Source Review (NSR). </w:t>
      </w:r>
      <w:r>
        <w:rPr>
          <w:rFonts w:ascii="Arial" w:cs="Arial" w:eastAsia="Arial" w:hAnsi="Arial"/>
          <w:sz w:val="16"/>
          <w:szCs w:val="16"/>
          <w:color w:val="auto"/>
        </w:rPr>
        <w:t>In August 2008, Minnesota Power received a Notice of Violation (NOV) from the EPA asserting violations of the NSR</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the Clean Air Act at Boswell and Laskin Unit 2 between the years of 1981 and 2001. Minnesota Power received an additional NOV in April 2011 alleging that two projects undertaken at Rapids Energy Center in 2004 and 2005 should have been reviewed under the NSR requirements and that the Rapids Energy Center’s Title V permit was violated. Minnesota Power reached a settlement with the EPA regarding these NOVs and entered into a Consent Decree which was approved by the U.S. District Court for the District of Minnesota (Court) in September 2014. The Consent Decree provided for, among other requirements, more stringent emissions limits at all affected units, the option of refueling, retrofits or retirements at certain small coal units, and the addition of 200 MW of wind energy. Provisions of the Consent Decree require that, by no later than December 31, 2018, Boswell Units 1 and 2 must be retired, refueled, repowered, or emissions rerouted through existing emission control technology at Boswell. Minnesota Power estimates that if the units are not retired, capital expenditures could range between $20 million and $40 million. Minnesota Power’s 2015 IRP filed with the MPUC on September 1, 2015, outlined Minnesota Power’s preferred option to reroute emissions from Boswell Units 1 and 2 through existing emission control technology at Boswell Unit</w:t>
      </w:r>
    </w:p>
    <w:p>
      <w:pPr>
        <w:spacing w:after="0" w:line="6" w:lineRule="exact"/>
        <w:rPr>
          <w:sz w:val="20"/>
          <w:szCs w:val="20"/>
          <w:color w:val="auto"/>
        </w:rPr>
      </w:pPr>
    </w:p>
    <w:p>
      <w:pPr>
        <w:ind w:right="20" w:firstLine="8"/>
        <w:spacing w:after="0" w:line="323" w:lineRule="auto"/>
        <w:tabs>
          <w:tab w:leader="none" w:pos="188"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required to notify the EPA no later than December 31, 2016, whether we will retire, refuel, repower or reroute Boswell Units 1 and 2. We believe that future capital expenditures or costs to retire would likely be eligible for recovery in rates over time subject to regulatory approval in a rate proceeding.</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Cross-State Air Pollution Rule (CSAPR). </w:t>
      </w:r>
      <w:r>
        <w:rPr>
          <w:rFonts w:ascii="Arial" w:cs="Arial" w:eastAsia="Arial" w:hAnsi="Arial"/>
          <w:sz w:val="17"/>
          <w:szCs w:val="17"/>
          <w:color w:val="auto"/>
        </w:rPr>
        <w:t>In April 2014, the U.S. Supreme Court issued an opinion reversing an August 2012 U.S. Court of Appeals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D.C. Circuit decision that had vacated the CSAPR. The EPA filed a motion with the U.S. Court of Appeals for the D.C. Circuit in June 2014, to have the stay of CSAPR lifted and the CSAPR compliance deadlines tolled by three years. In October 2014, the U.S. Court of Appeals for the D.C. Circuit granted the EPA's motion, allowing the first compliance period, Phase I, to begin on January 1, 2015, with Phase II beginning in 2017.</w:t>
      </w:r>
    </w:p>
    <w:p>
      <w:pPr>
        <w:spacing w:after="0" w:line="17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CSAPR requires a total of 28 states in the eastern half of the United States, including Minnesota, to reduce power plant emissions that contribute to ozone or fine particulate pollution in other states. CSAPR does not require installation of controls; rather it requires that facilities have sufficient allowances to cover their emissions on an annual basis. These allowances are allocated to facilities from each state’s annual budget and can be bought and sold.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20"/>
          </w:cols>
          <w:pgMar w:left="240" w:top="66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2014, the EPA distributed the CSAPR allowances to CSAPR-subject units for the Phase I years (2015 and 2016). Phase II allowances (2017-2020) have not been distributed. Based on our initial accounting of the NO</w:t>
      </w:r>
      <w:r>
        <w:rPr>
          <w:rFonts w:ascii="Arial" w:cs="Arial" w:eastAsia="Arial" w:hAnsi="Arial"/>
          <w:sz w:val="12"/>
          <w:szCs w:val="12"/>
          <w:color w:val="auto"/>
        </w:rPr>
        <w:t>x</w:t>
      </w:r>
      <w:r>
        <w:rPr>
          <w:rFonts w:ascii="Arial" w:cs="Arial" w:eastAsia="Arial" w:hAnsi="Arial"/>
          <w:sz w:val="18"/>
          <w:szCs w:val="18"/>
          <w:color w:val="auto"/>
        </w:rPr>
        <w:t xml:space="preserve"> and SO</w:t>
      </w:r>
      <w:r>
        <w:rPr>
          <w:rFonts w:ascii="Arial" w:cs="Arial" w:eastAsia="Arial" w:hAnsi="Arial"/>
          <w:sz w:val="12"/>
          <w:szCs w:val="12"/>
          <w:color w:val="auto"/>
        </w:rPr>
        <w:t>2</w:t>
      </w:r>
      <w:r>
        <w:rPr>
          <w:rFonts w:ascii="Arial" w:cs="Arial" w:eastAsia="Arial" w:hAnsi="Arial"/>
          <w:sz w:val="18"/>
          <w:szCs w:val="18"/>
          <w:color w:val="auto"/>
        </w:rPr>
        <w:t xml:space="preserve"> Phase I allowances already issued, and our review of the projected CSAPR Phase II allowances not yet issued, we currently expect projected generation levels and emission rates will result in compliance in both Phase I and Phase II.</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Mercury and Air Toxics Standards (MATS) Rule (formerly known as the Electric Generating Unit Maximum Achievable Control Technology (MACT) Rule). </w:t>
      </w:r>
      <w:r>
        <w:rPr>
          <w:rFonts w:ascii="Arial" w:cs="Arial" w:eastAsia="Arial" w:hAnsi="Arial"/>
          <w:sz w:val="16"/>
          <w:szCs w:val="16"/>
          <w:color w:val="auto"/>
        </w:rPr>
        <w:t>Under Section 112 of the Clean Air Act, the EPA is required to set emission standards for hazardous air pollutants (HAPs) for certain source categories. The EPA published the final MATS rule in the Federal Register in February 2012, addressing such emissions from coal-fired utility units greater than 25 MW. There are currently 187 listed HAPs that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were required to be in compliance with the rule by April 2015. States had the authority to grant sources a one-year extension. The MPCA approved Minnesota Power’s request for an extension of the date of compliance for the Boswell Unit 4 environmental upgrade to April 1, 2016. Construction on the project to implement the Boswell Unit 4 mercury emissions reduction plan was completed in 2015. Boswell Unit 3 is also subject to the MATS rule; however, investments and compliance work completed at Boswell Unit 3, including the emission reduction investments completed in 2009, meet the requirements of the MATS rule. The conversion of Laskin Units 1 and 2 to natural gas in June 2015 positioned those units for MATS compliance.</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June 2015, the U.S. Supreme Court reversed and remanded an earlier U.S. Court of Appeals for the D.C. Circuit decision on the MATS rule. The U.S. Supreme Court ruled that it was unreasonable for the EPA to deem cost of compliance irrelevant in determining that regulation of emissions of hazardous air pollutants from power plants was “appropriate and necessary” under Section 112 of the Clean Air Act. The MATS rule remains in effect until the U.S. Court of Appeals for the D.C. Circuit acts on the remand. In December 2015, the U.S. Court of Appeals for the D.C. Circuit rejected a motion by utilities and states to vacate the MATS rule, instead ordering the rule to remain in effect while the EPA completes its review. On April 15, 2016, the EPA announced its determination that the MATS rule is appropriate and necessary, even after considering cost of compliance. The outcome of these proceedings is not expected to have a material impact on Minnesota Power generation due to emission reduction obligations under the Minnesota Mercury Emissions Reduction Act and the Consent Decree. (See </w:t>
      </w:r>
      <w:r>
        <w:rPr>
          <w:rFonts w:ascii="Arial" w:cs="Arial" w:eastAsia="Arial" w:hAnsi="Arial"/>
          <w:sz w:val="17"/>
          <w:szCs w:val="17"/>
          <w:i w:val="1"/>
          <w:iCs w:val="1"/>
          <w:color w:val="auto"/>
        </w:rPr>
        <w:t>New Source Review.</w:t>
      </w:r>
      <w:r>
        <w:rPr>
          <w:rFonts w:ascii="Arial" w:cs="Arial" w:eastAsia="Arial" w:hAnsi="Arial"/>
          <w:sz w:val="17"/>
          <w:szCs w:val="17"/>
          <w:color w:val="auto"/>
        </w:rPr>
        <w: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Minnesota Mercury Emissions Reduction Act/Rule. </w:t>
      </w:r>
      <w:r>
        <w:rPr>
          <w:rFonts w:ascii="Arial" w:cs="Arial" w:eastAsia="Arial" w:hAnsi="Arial"/>
          <w:sz w:val="18"/>
          <w:szCs w:val="18"/>
          <w:color w:val="auto"/>
        </w:rPr>
        <w:t>In order to comply with the 2006 Minnesota Mercury Emissions Reduction Act, which was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into rules promulgated by the MPCA in September 2014, Minnesota Power was required to implement a mercury emissions reduction project for Boswell Unit 4 by December 31, 2018. The Boswell Unit 4 environmental upgrade discussed above (see </w:t>
      </w:r>
      <w:r>
        <w:rPr>
          <w:rFonts w:ascii="Arial" w:cs="Arial" w:eastAsia="Arial" w:hAnsi="Arial"/>
          <w:sz w:val="18"/>
          <w:szCs w:val="18"/>
          <w:i w:val="1"/>
          <w:iCs w:val="1"/>
          <w:color w:val="auto"/>
        </w:rPr>
        <w:t>Mercury and Air Toxics Standards (MATS) Rule</w:t>
      </w:r>
      <w:r>
        <w:rPr>
          <w:rFonts w:ascii="Arial" w:cs="Arial" w:eastAsia="Arial" w:hAnsi="Arial"/>
          <w:sz w:val="18"/>
          <w:szCs w:val="18"/>
          <w:color w:val="auto"/>
        </w:rPr>
        <w:t>) fulfills the requirements of the Minnesota Mercury Emissions Reduction Act.</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EPA National Emission Standards for Hazardous Air Pollutants for Major Sources: Industrial, Commercial and Institutional Boilers and Process Heaters. </w:t>
      </w:r>
      <w:r>
        <w:rPr>
          <w:rFonts w:ascii="Arial" w:cs="Arial" w:eastAsia="Arial" w:hAnsi="Arial"/>
          <w:sz w:val="16"/>
          <w:szCs w:val="16"/>
          <w:color w:val="auto"/>
        </w:rPr>
        <w:t>A</w:t>
      </w:r>
      <w:r>
        <w:rPr>
          <w:rFonts w:ascii="Arial" w:cs="Arial" w:eastAsia="Arial" w:hAnsi="Arial"/>
          <w:sz w:val="16"/>
          <w:szCs w:val="16"/>
          <w:i w:val="1"/>
          <w:iCs w:val="1"/>
          <w:color w:val="auto"/>
        </w:rPr>
        <w:t xml:space="preserve"> </w:t>
      </w:r>
      <w:r>
        <w:rPr>
          <w:rFonts w:ascii="Arial" w:cs="Arial" w:eastAsia="Arial" w:hAnsi="Arial"/>
          <w:sz w:val="16"/>
          <w:szCs w:val="16"/>
          <w:color w:val="auto"/>
        </w:rPr>
        <w:t>final rule issued by the EPA for Industrial Boiler MACT became effective in December 2012. Major existing sources had until January 31, 2016, to achieve compliance with the final rule. Minnesota Power’s Hibbard Renewable Energy Center and Rapids Energy Center are subject to this rule. We expect compliance to consist largely of adjustments to our operating practices; therefore the costs for complying with the final rule are not expected to be material.</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National Ambient Air Quality Standards (NAAQS). </w:t>
      </w:r>
      <w:r>
        <w:rPr>
          <w:rFonts w:ascii="Arial" w:cs="Arial" w:eastAsia="Arial" w:hAnsi="Arial"/>
          <w:sz w:val="18"/>
          <w:szCs w:val="18"/>
          <w:color w:val="auto"/>
        </w:rPr>
        <w:t>The EPA is required to review the NAAQS every five years. If the EPA determines that a state’s 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quality is not in compliance with the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Ozone NAAQS. </w:t>
      </w:r>
      <w:r>
        <w:rPr>
          <w:rFonts w:ascii="Arial" w:cs="Arial" w:eastAsia="Arial" w:hAnsi="Arial"/>
          <w:sz w:val="17"/>
          <w:szCs w:val="17"/>
          <w:color w:val="auto"/>
        </w:rPr>
        <w:t>The EPA has proposed to more stringently control emissions that result in ground level ozone. In January 2010, the EPA proposed to revise</w:t>
      </w:r>
      <w:r>
        <w:rPr>
          <w:rFonts w:ascii="Arial" w:cs="Arial" w:eastAsia="Arial" w:hAnsi="Arial"/>
          <w:sz w:val="17"/>
          <w:szCs w:val="17"/>
          <w:i w:val="1"/>
          <w:iCs w:val="1"/>
          <w:color w:val="auto"/>
        </w:rPr>
        <w:t xml:space="preserve"> </w:t>
      </w:r>
      <w:r>
        <w:rPr>
          <w:rFonts w:ascii="Arial" w:cs="Arial" w:eastAsia="Arial" w:hAnsi="Arial"/>
          <w:sz w:val="17"/>
          <w:szCs w:val="17"/>
          <w:color w:val="auto"/>
        </w:rPr>
        <w:t>the 2008 eight-hour ozone standard of 75 parts per billion (ppb) and to adopt a secondary standard for the protection of sensitive vegetation from ozone-related damage. In October 2015, the EPA published the final rule in the Federal Register revising the eight-hour ozone standard to 70 ppb with a secondary standard also set at 70 ppb. All areas of Minnesota currently meet the new standard based on the most recent available ambient monitoring data. However, some areas in the metropolitan Twin Cities and southwest portion of the state are close to exceeding the standard, so voluntary efforts to reduce ozone continue in the state. No additional costs for compliance are anticipated at this time.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66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Particulate Matter NAAQS. </w:t>
      </w:r>
      <w:r>
        <w:rPr>
          <w:rFonts w:ascii="Arial" w:cs="Arial" w:eastAsia="Arial" w:hAnsi="Arial"/>
          <w:sz w:val="17"/>
          <w:szCs w:val="17"/>
          <w:color w:val="auto"/>
        </w:rPr>
        <w:t>The EPA finalized the Particulate Matter NAAQS in September 2006. Since then, the EPA has established more stringent 24-hour</w:t>
      </w:r>
      <w:r>
        <w:rPr>
          <w:rFonts w:ascii="Arial" w:cs="Arial" w:eastAsia="Arial" w:hAnsi="Arial"/>
          <w:sz w:val="17"/>
          <w:szCs w:val="17"/>
          <w:i w:val="1"/>
          <w:iCs w:val="1"/>
          <w:color w:val="auto"/>
        </w:rPr>
        <w:t xml:space="preserve"> </w:t>
      </w:r>
      <w:r>
        <w:rPr>
          <w:rFonts w:ascii="Arial" w:cs="Arial" w:eastAsia="Arial" w:hAnsi="Arial"/>
          <w:sz w:val="17"/>
          <w:szCs w:val="17"/>
          <w:color w:val="auto"/>
        </w:rPr>
        <w:t>and annual average fine particulate matter (PM</w:t>
      </w:r>
      <w:r>
        <w:rPr>
          <w:rFonts w:ascii="Arial" w:cs="Arial" w:eastAsia="Arial" w:hAnsi="Arial"/>
          <w:sz w:val="11"/>
          <w:szCs w:val="11"/>
          <w:color w:val="auto"/>
        </w:rPr>
        <w:t>2.5</w:t>
      </w:r>
      <w:r>
        <w:rPr>
          <w:rFonts w:ascii="Arial" w:cs="Arial" w:eastAsia="Arial" w:hAnsi="Arial"/>
          <w:sz w:val="17"/>
          <w:szCs w:val="17"/>
          <w:color w:val="auto"/>
        </w:rPr>
        <w:t>) standards; the 24-hour coarse particulate matter standard has remained unchanged. In December 2012, the EPA issued a final rule implementing a more stringent annual PM</w:t>
      </w:r>
      <w:r>
        <w:rPr>
          <w:rFonts w:ascii="Arial" w:cs="Arial" w:eastAsia="Arial" w:hAnsi="Arial"/>
          <w:sz w:val="11"/>
          <w:szCs w:val="11"/>
          <w:color w:val="auto"/>
        </w:rPr>
        <w:t>2.5</w:t>
      </w:r>
      <w:r>
        <w:rPr>
          <w:rFonts w:ascii="Arial" w:cs="Arial" w:eastAsia="Arial" w:hAnsi="Arial"/>
          <w:sz w:val="17"/>
          <w:szCs w:val="17"/>
          <w:color w:val="auto"/>
        </w:rPr>
        <w:t xml:space="preserve"> standard, while retaining the current 24-hour PM</w:t>
      </w:r>
      <w:r>
        <w:rPr>
          <w:rFonts w:ascii="Arial" w:cs="Arial" w:eastAsia="Arial" w:hAnsi="Arial"/>
          <w:sz w:val="11"/>
          <w:szCs w:val="11"/>
          <w:color w:val="auto"/>
        </w:rPr>
        <w:t>2.5</w:t>
      </w:r>
      <w:r>
        <w:rPr>
          <w:rFonts w:ascii="Arial" w:cs="Arial" w:eastAsia="Arial" w:hAnsi="Arial"/>
          <w:sz w:val="17"/>
          <w:szCs w:val="17"/>
          <w:color w:val="auto"/>
        </w:rPr>
        <w:t xml:space="preserve"> standard. To implement the new annual PM</w:t>
      </w:r>
      <w:r>
        <w:rPr>
          <w:rFonts w:ascii="Arial" w:cs="Arial" w:eastAsia="Arial" w:hAnsi="Arial"/>
          <w:sz w:val="11"/>
          <w:szCs w:val="11"/>
          <w:color w:val="auto"/>
        </w:rPr>
        <w:t>2.5</w:t>
      </w:r>
      <w:r>
        <w:rPr>
          <w:rFonts w:ascii="Arial" w:cs="Arial" w:eastAsia="Arial" w:hAnsi="Arial"/>
          <w:sz w:val="17"/>
          <w:szCs w:val="17"/>
          <w:color w:val="auto"/>
        </w:rPr>
        <w:t xml:space="preserve"> standard, the EPA is also revising aspects of relevant monitoring, designation and permitting requirements. New projects and permits must comply with the new standard, which is generally demonstrated by modeling at the facility level.</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final rule, states will be responsible for additional PM</w:t>
      </w:r>
      <w:r>
        <w:rPr>
          <w:rFonts w:ascii="Arial" w:cs="Arial" w:eastAsia="Arial" w:hAnsi="Arial"/>
          <w:sz w:val="11"/>
          <w:szCs w:val="11"/>
          <w:color w:val="auto"/>
        </w:rPr>
        <w:t>2.5</w:t>
      </w:r>
      <w:r>
        <w:rPr>
          <w:rFonts w:ascii="Arial" w:cs="Arial" w:eastAsia="Arial" w:hAnsi="Arial"/>
          <w:sz w:val="17"/>
          <w:szCs w:val="17"/>
          <w:color w:val="auto"/>
        </w:rPr>
        <w:t xml:space="preserve"> monitoring, which will likely be accomplished by relocating or repurposing existing monitors. The EPA asked states to submit attainment designations by December 2013, based on already available monitoring data, and issued designations of the 2012 revised primary annual fine particulate attainment status in December 2014. The EPA designated the entire state of Minnesota as unclassifiable/attainment; however, Minnesota sources may ultimately be required to reduce their emissions to assist with attainment in neighboring states. Accordingly, the costs for complying with the final Particulate Matter NAAQS cannot be estimated at this time.</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SO</w:t>
      </w:r>
      <w:r>
        <w:rPr>
          <w:rFonts w:ascii="Arial" w:cs="Arial" w:eastAsia="Arial" w:hAnsi="Arial"/>
          <w:sz w:val="11"/>
          <w:szCs w:val="11"/>
          <w:i w:val="1"/>
          <w:iCs w:val="1"/>
          <w:color w:val="auto"/>
        </w:rPr>
        <w:t>2</w:t>
      </w:r>
      <w:r>
        <w:rPr>
          <w:rFonts w:ascii="Arial" w:cs="Arial" w:eastAsia="Arial" w:hAnsi="Arial"/>
          <w:sz w:val="16"/>
          <w:szCs w:val="16"/>
          <w:i w:val="1"/>
          <w:iCs w:val="1"/>
          <w:color w:val="auto"/>
        </w:rPr>
        <w:t xml:space="preserve"> and NO</w:t>
      </w:r>
      <w:r>
        <w:rPr>
          <w:rFonts w:ascii="Arial" w:cs="Arial" w:eastAsia="Arial" w:hAnsi="Arial"/>
          <w:sz w:val="11"/>
          <w:szCs w:val="11"/>
          <w:i w:val="1"/>
          <w:iCs w:val="1"/>
          <w:color w:val="auto"/>
        </w:rPr>
        <w:t>2</w:t>
      </w:r>
      <w:r>
        <w:rPr>
          <w:rFonts w:ascii="Arial" w:cs="Arial" w:eastAsia="Arial" w:hAnsi="Arial"/>
          <w:sz w:val="16"/>
          <w:szCs w:val="16"/>
          <w:i w:val="1"/>
          <w:iCs w:val="1"/>
          <w:color w:val="auto"/>
        </w:rPr>
        <w:t xml:space="preserve"> NAAQS. </w:t>
      </w:r>
      <w:r>
        <w:rPr>
          <w:rFonts w:ascii="Arial" w:cs="Arial" w:eastAsia="Arial" w:hAnsi="Arial"/>
          <w:sz w:val="16"/>
          <w:szCs w:val="16"/>
          <w:color w:val="auto"/>
        </w:rPr>
        <w:t>During 2010, the EPA finalized one-hour NAAQS for SO</w:t>
      </w:r>
      <w:r>
        <w:rPr>
          <w:rFonts w:ascii="Arial" w:cs="Arial" w:eastAsia="Arial" w:hAnsi="Arial"/>
          <w:sz w:val="11"/>
          <w:szCs w:val="11"/>
          <w:color w:val="auto"/>
        </w:rPr>
        <w:t>2</w:t>
      </w:r>
      <w:r>
        <w:rPr>
          <w:rFonts w:ascii="Arial" w:cs="Arial" w:eastAsia="Arial" w:hAnsi="Arial"/>
          <w:sz w:val="16"/>
          <w:szCs w:val="16"/>
          <w:i w:val="1"/>
          <w:iCs w:val="1"/>
          <w:color w:val="auto"/>
        </w:rPr>
        <w:t xml:space="preserve"> </w:t>
      </w:r>
      <w:r>
        <w:rPr>
          <w:rFonts w:ascii="Arial" w:cs="Arial" w:eastAsia="Arial" w:hAnsi="Arial"/>
          <w:sz w:val="16"/>
          <w:szCs w:val="16"/>
          <w:color w:val="auto"/>
        </w:rPr>
        <w:t>and NO</w:t>
      </w:r>
      <w:r>
        <w:rPr>
          <w:rFonts w:ascii="Arial" w:cs="Arial" w:eastAsia="Arial" w:hAnsi="Arial"/>
          <w:sz w:val="11"/>
          <w:szCs w:val="11"/>
          <w:color w:val="auto"/>
        </w:rPr>
        <w:t>2</w:t>
      </w:r>
      <w:r>
        <w:rPr>
          <w:rFonts w:ascii="Arial" w:cs="Arial" w:eastAsia="Arial" w:hAnsi="Arial"/>
          <w:sz w:val="16"/>
          <w:szCs w:val="16"/>
          <w:color w:val="auto"/>
        </w:rPr>
        <w:t>. Ambient monitoring data indicates that Minnesota is likely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these standards; however, the one-hour SO</w:t>
      </w:r>
      <w:r>
        <w:rPr>
          <w:rFonts w:ascii="Arial" w:cs="Arial" w:eastAsia="Arial" w:hAnsi="Arial"/>
          <w:sz w:val="11"/>
          <w:szCs w:val="11"/>
          <w:color w:val="auto"/>
        </w:rPr>
        <w:t>2</w:t>
      </w:r>
      <w:r>
        <w:rPr>
          <w:rFonts w:ascii="Arial" w:cs="Arial" w:eastAsia="Arial" w:hAnsi="Arial"/>
          <w:sz w:val="16"/>
          <w:szCs w:val="16"/>
          <w:color w:val="auto"/>
        </w:rPr>
        <w:t xml:space="preserve"> NAAQS also requires the EPA to evaluate additional modeling and monitoring considerations to determine attainment. In April 2012, the MPCA notified Minnesota Power that modeling had been suspended as a result of the EPA’s announcement that the SIP submittals would not require modeling demonstrations for states, such as Minnesota, where ambient monitors indicate compliance with the standard. The EPA notified states that their infrastructure SIPs for maintaining attainment of the standard were required to be submitted to the EPA for approval by June 2013. However, the State of Minnesota delayed completing the documents pending EPA guidance to states for preparing the SIP submittal.</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2013 the EPA provided guidance to states regarding implementation of the one-hour NO</w:t>
      </w:r>
      <w:r>
        <w:rPr>
          <w:rFonts w:ascii="Arial" w:cs="Arial" w:eastAsia="Arial" w:hAnsi="Arial"/>
          <w:sz w:val="12"/>
          <w:szCs w:val="12"/>
          <w:color w:val="auto"/>
        </w:rPr>
        <w:t>2</w:t>
      </w:r>
      <w:r>
        <w:rPr>
          <w:rFonts w:ascii="Arial" w:cs="Arial" w:eastAsia="Arial" w:hAnsi="Arial"/>
          <w:sz w:val="18"/>
          <w:szCs w:val="18"/>
          <w:color w:val="auto"/>
        </w:rPr>
        <w:t xml:space="preserve"> NAAQS and in June 2014, as clarified in February 2015, the MPCA submitted a SIP revision to the EPA addressing the infrastructure requirements of Sections 110(a)(1) and 110(a)(2) of the Clean Air Act in regards to the one-hour NO</w:t>
      </w:r>
      <w:r>
        <w:rPr>
          <w:rFonts w:ascii="Arial" w:cs="Arial" w:eastAsia="Arial" w:hAnsi="Arial"/>
          <w:sz w:val="12"/>
          <w:szCs w:val="12"/>
          <w:color w:val="auto"/>
        </w:rPr>
        <w:t>2</w:t>
      </w:r>
      <w:r>
        <w:rPr>
          <w:rFonts w:ascii="Arial" w:cs="Arial" w:eastAsia="Arial" w:hAnsi="Arial"/>
          <w:sz w:val="18"/>
          <w:szCs w:val="18"/>
          <w:color w:val="auto"/>
        </w:rPr>
        <w:t xml:space="preserve"> and SO</w:t>
      </w:r>
      <w:r>
        <w:rPr>
          <w:rFonts w:ascii="Arial" w:cs="Arial" w:eastAsia="Arial" w:hAnsi="Arial"/>
          <w:sz w:val="12"/>
          <w:szCs w:val="12"/>
          <w:color w:val="auto"/>
        </w:rPr>
        <w:t>2</w:t>
      </w:r>
      <w:r>
        <w:rPr>
          <w:rFonts w:ascii="Arial" w:cs="Arial" w:eastAsia="Arial" w:hAnsi="Arial"/>
          <w:sz w:val="18"/>
          <w:szCs w:val="18"/>
          <w:color w:val="auto"/>
        </w:rPr>
        <w:t xml:space="preserve"> NAAQS, among other standards. The SIP stated that since the EPA determined in January 2012 that no area in the country is in violation of the one-hour NO</w:t>
      </w:r>
      <w:r>
        <w:rPr>
          <w:rFonts w:ascii="Arial" w:cs="Arial" w:eastAsia="Arial" w:hAnsi="Arial"/>
          <w:sz w:val="12"/>
          <w:szCs w:val="12"/>
          <w:color w:val="auto"/>
        </w:rPr>
        <w:t>2</w:t>
      </w:r>
      <w:r>
        <w:rPr>
          <w:rFonts w:ascii="Arial" w:cs="Arial" w:eastAsia="Arial" w:hAnsi="Arial"/>
          <w:sz w:val="18"/>
          <w:szCs w:val="18"/>
          <w:color w:val="auto"/>
        </w:rPr>
        <w:t xml:space="preserve"> NAAQS, there are no nonattainment areas in the country for this pollutant, and therefore Minnesota’s NO</w:t>
      </w:r>
      <w:r>
        <w:rPr>
          <w:rFonts w:ascii="Arial" w:cs="Arial" w:eastAsia="Arial" w:hAnsi="Arial"/>
          <w:sz w:val="12"/>
          <w:szCs w:val="12"/>
          <w:color w:val="auto"/>
        </w:rPr>
        <w:t>2</w:t>
      </w:r>
      <w:r>
        <w:rPr>
          <w:rFonts w:ascii="Arial" w:cs="Arial" w:eastAsia="Arial" w:hAnsi="Arial"/>
          <w:sz w:val="18"/>
          <w:szCs w:val="18"/>
          <w:color w:val="auto"/>
        </w:rPr>
        <w:t xml:space="preserve"> emissions cannot be significantly contributing to nonattainment in any other state. In October 2015, the EPA published in the Federal Register an approval and partial disapproval of the June 2014 SIP revision. According to the MPCA, the partial disapproval is regarding state delegation of a program unrelated to the one-hour NAAQS for SO</w:t>
      </w:r>
      <w:r>
        <w:rPr>
          <w:rFonts w:ascii="Arial" w:cs="Arial" w:eastAsia="Arial" w:hAnsi="Arial"/>
          <w:sz w:val="12"/>
          <w:szCs w:val="12"/>
          <w:color w:val="auto"/>
        </w:rPr>
        <w:t>2</w:t>
      </w:r>
      <w:r>
        <w:rPr>
          <w:rFonts w:ascii="Arial" w:cs="Arial" w:eastAsia="Arial" w:hAnsi="Arial"/>
          <w:sz w:val="18"/>
          <w:szCs w:val="18"/>
          <w:color w:val="auto"/>
        </w:rPr>
        <w:t xml:space="preserve"> and NO</w:t>
      </w:r>
      <w:r>
        <w:rPr>
          <w:rFonts w:ascii="Arial" w:cs="Arial" w:eastAsia="Arial" w:hAnsi="Arial"/>
          <w:sz w:val="12"/>
          <w:szCs w:val="12"/>
          <w:color w:val="auto"/>
        </w:rPr>
        <w:t>2,</w:t>
      </w:r>
      <w:r>
        <w:rPr>
          <w:rFonts w:ascii="Arial" w:cs="Arial" w:eastAsia="Arial" w:hAnsi="Arial"/>
          <w:sz w:val="18"/>
          <w:szCs w:val="18"/>
          <w:color w:val="auto"/>
        </w:rPr>
        <w:t xml:space="preserve"> and is not expected to require further action. As such, additional compliance costs for the one-hour NO</w:t>
      </w:r>
      <w:r>
        <w:rPr>
          <w:rFonts w:ascii="Arial" w:cs="Arial" w:eastAsia="Arial" w:hAnsi="Arial"/>
          <w:sz w:val="12"/>
          <w:szCs w:val="12"/>
          <w:color w:val="auto"/>
        </w:rPr>
        <w:t>2</w:t>
      </w:r>
      <w:r>
        <w:rPr>
          <w:rFonts w:ascii="Arial" w:cs="Arial" w:eastAsia="Arial" w:hAnsi="Arial"/>
          <w:sz w:val="18"/>
          <w:szCs w:val="18"/>
          <w:color w:val="auto"/>
        </w:rPr>
        <w:t xml:space="preserve"> NAAQS are not expected at this time.</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2015, the EPA finalized the SO</w:t>
      </w:r>
      <w:r>
        <w:rPr>
          <w:rFonts w:ascii="Arial" w:cs="Arial" w:eastAsia="Arial" w:hAnsi="Arial"/>
          <w:sz w:val="11"/>
          <w:szCs w:val="11"/>
          <w:color w:val="auto"/>
        </w:rPr>
        <w:t>2</w:t>
      </w:r>
      <w:r>
        <w:rPr>
          <w:rFonts w:ascii="Arial" w:cs="Arial" w:eastAsia="Arial" w:hAnsi="Arial"/>
          <w:sz w:val="16"/>
          <w:szCs w:val="16"/>
          <w:color w:val="auto"/>
        </w:rPr>
        <w:t xml:space="preserve"> data requirements rule (DRR) for the 2010 one-hour NAAQS to assist the states in implementing the standard. The rule sets emissions thresholds and exemptions for facilities that trigger modeling requirements. On January 8, 2016, the MPCA informed the EPA of the Minnesota sources subject to the rule, confirming that Boswell and Taconite Harbor are the only Minnesota Power generating facilities subject to the DRR. The MPCA is required to notify the EPA how each source will evaluate air quality by July 1, 2016. The MPCA has informed Minnesota Power that compliant SO</w:t>
      </w:r>
      <w:r>
        <w:rPr>
          <w:rFonts w:ascii="Arial" w:cs="Arial" w:eastAsia="Arial" w:hAnsi="Arial"/>
          <w:sz w:val="11"/>
          <w:szCs w:val="11"/>
          <w:color w:val="auto"/>
        </w:rPr>
        <w:t>2</w:t>
      </w:r>
      <w:r>
        <w:rPr>
          <w:rFonts w:ascii="Arial" w:cs="Arial" w:eastAsia="Arial" w:hAnsi="Arial"/>
          <w:sz w:val="16"/>
          <w:szCs w:val="16"/>
          <w:color w:val="auto"/>
        </w:rPr>
        <w:t xml:space="preserve"> modeling recently completed at these facilities should satisfy the DRR obligations, and no further modeling should be required. The MPCA is in discussion with the EPA to confirm its conclusion. As such, additional compliance costs for the one-hour SO</w:t>
      </w:r>
      <w:r>
        <w:rPr>
          <w:rFonts w:ascii="Arial" w:cs="Arial" w:eastAsia="Arial" w:hAnsi="Arial"/>
          <w:sz w:val="11"/>
          <w:szCs w:val="11"/>
          <w:color w:val="auto"/>
        </w:rPr>
        <w:t>2</w:t>
      </w:r>
      <w:r>
        <w:rPr>
          <w:rFonts w:ascii="Arial" w:cs="Arial" w:eastAsia="Arial" w:hAnsi="Arial"/>
          <w:sz w:val="16"/>
          <w:szCs w:val="16"/>
          <w:color w:val="auto"/>
        </w:rPr>
        <w:t xml:space="preserve"> NAAQS are not expected at this time.</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Class I Air Quality Petitions and Requests. </w:t>
      </w:r>
      <w:r>
        <w:rPr>
          <w:rFonts w:ascii="Arial" w:cs="Arial" w:eastAsia="Arial" w:hAnsi="Arial"/>
          <w:sz w:val="17"/>
          <w:szCs w:val="17"/>
          <w:color w:val="auto"/>
        </w:rPr>
        <w:t>In July 2014, the Fond du Lac Band of Lake Superior Chippewa (Fond du Lac Band) announced its intent to</w:t>
      </w:r>
      <w:r>
        <w:rPr>
          <w:rFonts w:ascii="Arial" w:cs="Arial" w:eastAsia="Arial" w:hAnsi="Arial"/>
          <w:sz w:val="17"/>
          <w:szCs w:val="17"/>
          <w:i w:val="1"/>
          <w:iCs w:val="1"/>
          <w:color w:val="auto"/>
        </w:rPr>
        <w:t xml:space="preserve"> </w:t>
      </w:r>
      <w:r>
        <w:rPr>
          <w:rFonts w:ascii="Arial" w:cs="Arial" w:eastAsia="Arial" w:hAnsi="Arial"/>
          <w:sz w:val="17"/>
          <w:szCs w:val="17"/>
          <w:color w:val="auto"/>
        </w:rPr>
        <w:t>petition the EPA to redesignate its reservation air shed from Class II to Class I air quality pursuant to Section 164(c) of the Clean Air Act. The Fond du Lac Band does not currently possess authority to directly regulate air quality. Class I air shed status, if granted, would allow the Fond du Lac Band to impose more stringent Clean Air Act protections within the boundaries of the Fond du Lac reservation, including the reservation air shed, near Cloquet, Minnesota. Five other reservations across the U.S. have applied for and received Class I status. A public hearing was held by the Fond du Lac Band in October 2014, and the extended public comment period on the petition expired in November 2014. After the Fond du Lac Band prepares responses to the comments, it is anticipated to make a formal submittal request to the EPA. The Company has requested additional clarification from the Fond du Lac Band and the MPCA on the final regulatory structure that may arise from a Class I redesignation.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66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2013, the Bad River Band of Lake Superior Chippewa (Bad River Band) announced its intent to petition the EPA to redesignate its reservation air shed, which is located approximately 100 miles east of Duluth, Minnesota, from Class II to Class I air quality pursuant to Section 164(c) of the Clean Air Act. The Class I analysis report was issued by the Bad River Band in January 2015 which was followed by public hearings in March 2015 and a public comment period ending in May 2015. After the Bad River Band prepares responses to the comments, it is also anticipated to make a formal submittal request to the EPA.</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no deadline for the approval, denial, or modification of these requests by the EPA. We are unable to determine the impact of potential Class I status on the Company’s operations at this time.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Expanding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Improving efficiency of our energy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generation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Evaluating and developing less carbon intensive future generating assets such as efficient and flexible natural gas generating facilities.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President Obama’s Climate Action Plan. </w:t>
      </w:r>
      <w:r>
        <w:rPr>
          <w:rFonts w:ascii="Arial" w:cs="Arial" w:eastAsia="Arial" w:hAnsi="Arial"/>
          <w:sz w:val="18"/>
          <w:szCs w:val="18"/>
          <w:color w:val="auto"/>
        </w:rPr>
        <w:t>In June 2013, President Obama announced a Climate Action Plan (CAP) that calls for implementation of measures</w:t>
      </w:r>
      <w:r>
        <w:rPr>
          <w:rFonts w:ascii="Arial" w:cs="Arial" w:eastAsia="Arial" w:hAnsi="Arial"/>
          <w:sz w:val="18"/>
          <w:szCs w:val="18"/>
          <w:i w:val="1"/>
          <w:iCs w:val="1"/>
          <w:color w:val="auto"/>
        </w:rPr>
        <w:t xml:space="preserve"> </w:t>
      </w:r>
      <w:r>
        <w:rPr>
          <w:rFonts w:ascii="Arial" w:cs="Arial" w:eastAsia="Arial" w:hAnsi="Arial"/>
          <w:sz w:val="18"/>
          <w:szCs w:val="18"/>
          <w:color w:val="auto"/>
        </w:rPr>
        <w:t>that reduce GHG emissions in the U.S., emphasizing means such as expanded deployment of renewable energy resources, energy and resource conservation, energy efficiency improvements and a shift to fuel sources that have lower emissions. Certain portions of the CAP directly address electric utility GHG emissions.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In May 2010, the EPA issued the Prevention of Significant Deterioration (PSD) and Title V Greenhouse Gas Tailoring</w:t>
      </w:r>
      <w:r>
        <w:rPr>
          <w:rFonts w:ascii="Arial" w:cs="Arial" w:eastAsia="Arial" w:hAnsi="Arial"/>
          <w:sz w:val="18"/>
          <w:szCs w:val="18"/>
          <w:i w:val="1"/>
          <w:iCs w:val="1"/>
          <w:color w:val="auto"/>
        </w:rPr>
        <w:t xml:space="preserve"> </w:t>
      </w:r>
      <w:r>
        <w:rPr>
          <w:rFonts w:ascii="Arial" w:cs="Arial" w:eastAsia="Arial" w:hAnsi="Arial"/>
          <w:sz w:val="18"/>
          <w:szCs w:val="18"/>
          <w:color w:val="auto"/>
        </w:rPr>
        <w:t>Rule (Tailoring Rule). The Tailoring Rule establishes permitting thresholds required to address GHG emissions for new facilities, existing facilities that undergo major modifications and other facilities characterized as major sources under the Clean Air Act’s Title V program. For our existing facilities, the rule does not require amending our existing Title V operating permits to include GHG requirements. However, GHG requirements are likely to be added to our existing Title V operating permits by the MPCA as these permits are renewed or amended.</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Best Available Control Technology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2014, the U.S. Supreme Court invalidated the aspect of the Tailoring Rule that established lower permitting thresholds for GHG than for other pollutants subject to PSD. However, the court also upheld the EPA’s power to require BACT for GHG from sources already subject to regulation under PSD. Minnesota Power’s coal-fired generating facilities are already subject to regulation under PSD, so we anticipate that ultimately PSD for GHG will apply to our facilities, but the timing of the promulgation of a replacement for the Tailoring Rule is uncertain. The PSD applies to existing facilities only when they undertake a major modification that increases emissions. At this time, we are unable to predict the compliance costs that we might incur.</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2012, the EPA announced a proposed rule to apply CO</w:t>
      </w:r>
      <w:r>
        <w:rPr>
          <w:rFonts w:ascii="Arial" w:cs="Arial" w:eastAsia="Arial" w:hAnsi="Arial"/>
          <w:sz w:val="12"/>
          <w:szCs w:val="12"/>
          <w:color w:val="auto"/>
        </w:rPr>
        <w:t>2</w:t>
      </w:r>
      <w:r>
        <w:rPr>
          <w:rFonts w:ascii="Arial" w:cs="Arial" w:eastAsia="Arial" w:hAnsi="Arial"/>
          <w:sz w:val="18"/>
          <w:szCs w:val="18"/>
          <w:color w:val="auto"/>
        </w:rPr>
        <w:t xml:space="preserve"> emission New Source Performance Standards (NSPS), under Section 111(b) of the Clean Air Act, to new fossil fuel-fired electric generating units. The proposed NSPS would have applied only to new or re-powered units. Based on the volume of comments received, the EPA announced its intent to re-propose the rule. In September 2013, the EPA retracted its March 2012 proposal and announced the release of a revised NSPS for new or re-powered utility CO</w:t>
      </w:r>
      <w:r>
        <w:rPr>
          <w:rFonts w:ascii="Arial" w:cs="Arial" w:eastAsia="Arial" w:hAnsi="Arial"/>
          <w:sz w:val="12"/>
          <w:szCs w:val="12"/>
          <w:color w:val="auto"/>
        </w:rPr>
        <w:t>2</w:t>
      </w:r>
      <w:r>
        <w:rPr>
          <w:rFonts w:ascii="Arial" w:cs="Arial" w:eastAsia="Arial" w:hAnsi="Arial"/>
          <w:sz w:val="18"/>
          <w:szCs w:val="18"/>
          <w:color w:val="auto"/>
        </w:rPr>
        <w:t xml:space="preserve"> emissions.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66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2014, the EPA announced a proposed rule under Section 111(d) of the Clean Air Act for existing power plants entitled “Carbon Pollution Emission Guidelines for Existing Stationary Sources: Electric Generating Units”, also referred to as the Clean Power Plan (CPP). The EPA issued the final CPP in August 2015, together with a proposed federal implementation plan and a model rule for emissions trading. Numerous petitions for review of the rule have been filed with the U.S. Court of Appeals for the District of Columbia Circuit. On February 9, 2016, the U.S. Supreme Court issued an order staying the effectiveness of the rule until after the appellate court process is complete.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CPP establishes uniform CO</w:t>
      </w:r>
      <w:r>
        <w:rPr>
          <w:rFonts w:ascii="Arial" w:cs="Arial" w:eastAsia="Arial" w:hAnsi="Arial"/>
          <w:sz w:val="11"/>
          <w:szCs w:val="11"/>
          <w:color w:val="auto"/>
        </w:rPr>
        <w:t>2</w:t>
      </w:r>
      <w:r>
        <w:rPr>
          <w:rFonts w:ascii="Arial" w:cs="Arial" w:eastAsia="Arial" w:hAnsi="Arial"/>
          <w:sz w:val="17"/>
          <w:szCs w:val="17"/>
          <w:color w:val="auto"/>
        </w:rPr>
        <w:t xml:space="preserve"> emission performance rates for existing fossil fuel-fired and natural gas-fired combined cycle generating units, setting state-specific goals for CO</w:t>
      </w:r>
      <w:r>
        <w:rPr>
          <w:rFonts w:ascii="Arial" w:cs="Arial" w:eastAsia="Arial" w:hAnsi="Arial"/>
          <w:sz w:val="11"/>
          <w:szCs w:val="11"/>
          <w:color w:val="auto"/>
        </w:rPr>
        <w:t>2</w:t>
      </w:r>
      <w:r>
        <w:rPr>
          <w:rFonts w:ascii="Arial" w:cs="Arial" w:eastAsia="Arial" w:hAnsi="Arial"/>
          <w:sz w:val="17"/>
          <w:szCs w:val="17"/>
          <w:color w:val="auto"/>
        </w:rPr>
        <w:t xml:space="preserve"> emissions from the power sector. State goals were determined based on CPP source-specific performance emission rates and each state’s mix of power plants. The EPA maintains such goals are achievable if a state undertakes a combination of measures across its power sector that constitute the EPA’s guideline for a Best System of Emission Reductions (BSER). BSER is comprised of three building blocks: 1) improved fossil fuel power plant efficiency, 2) increased reliance on low-emitting power sources by generating more electricity from existing natural gas combined cycle units, and 3) building more zero- and low-emitting power sources, including renewable energy. States may also choose to include avoided CO</w:t>
      </w:r>
      <w:r>
        <w:rPr>
          <w:rFonts w:ascii="Arial" w:cs="Arial" w:eastAsia="Arial" w:hAnsi="Arial"/>
          <w:sz w:val="11"/>
          <w:szCs w:val="11"/>
          <w:color w:val="auto"/>
        </w:rPr>
        <w:t>2</w:t>
      </w:r>
      <w:r>
        <w:rPr>
          <w:rFonts w:ascii="Arial" w:cs="Arial" w:eastAsia="Arial" w:hAnsi="Arial"/>
          <w:sz w:val="17"/>
          <w:szCs w:val="17"/>
          <w:color w:val="auto"/>
        </w:rPr>
        <w:t xml:space="preserve"> emissions from customer energy efficiency measures for credit towards meeting state goals.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State goals under the CPP are expressed as both mass-based and rate-based goals, and include interim goals to be met over the years 2022 through 2029, as well as a final goal to be met in 2030 and thereafter. Under the CPP, each state is required to develop a state implementation plan by September 6, 2016, or by September 6, 2018, if granted an extension. If the CPP is upheld at the completion of the appellate court process, all of these deadlines may be reset based on the length of time that the appeals process takes.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developing its plan, a state may choose to meet either the mass-based or the rate-based goals. Minnesota Power is currently evaluating the CPP as it relates to the State of Minnesota as well as its potential impact on the Company and is actively discussing potential compliance scenarios with regulatory agencies and in public stakeholder meetings. Minnesota has already initiated several measures consistent with those called for under the CAP and CPP. Minnesota Power is implementing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strategic plan that provides for significant emission reductions and diversifying its electricity generation mix to include more renewable and natural gas energy. (See Note 6. Regulatory Matters.)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Minnesota Power would seek recovery of any additional costs through cost recovery riders or in a general rate case.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Minnesota’s Next Generation Energy Act of 2007. </w:t>
      </w:r>
      <w:r>
        <w:rPr>
          <w:rFonts w:ascii="Arial" w:cs="Arial" w:eastAsia="Arial" w:hAnsi="Arial"/>
          <w:sz w:val="18"/>
          <w:szCs w:val="18"/>
          <w:color w:val="auto"/>
        </w:rPr>
        <w:t>In April 2014, the U.S. District Court for the District of Minnesota ruled that part of Minnesota’s Next</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Energy Act of 2007 violated the Commerce Clause of the U.S. Constitution. The portions of the law which were ruled unconstitutional prohibited the importation of power from a new CO</w:t>
      </w:r>
      <w:r>
        <w:rPr>
          <w:rFonts w:ascii="Arial" w:cs="Arial" w:eastAsia="Arial" w:hAnsi="Arial"/>
          <w:sz w:val="12"/>
          <w:szCs w:val="12"/>
          <w:color w:val="auto"/>
        </w:rPr>
        <w:t>2</w:t>
      </w:r>
      <w:r>
        <w:rPr>
          <w:rFonts w:ascii="Arial" w:cs="Arial" w:eastAsia="Arial" w:hAnsi="Arial"/>
          <w:sz w:val="18"/>
          <w:szCs w:val="18"/>
          <w:color w:val="auto"/>
        </w:rPr>
        <w:t>-producing facility outside of Minnesota and prohibited the entry into new long-term power purchase agreements that would increase CO</w:t>
      </w:r>
      <w:r>
        <w:rPr>
          <w:rFonts w:ascii="Arial" w:cs="Arial" w:eastAsia="Arial" w:hAnsi="Arial"/>
          <w:sz w:val="12"/>
          <w:szCs w:val="12"/>
          <w:color w:val="auto"/>
        </w:rPr>
        <w:t>2</w:t>
      </w:r>
      <w:r>
        <w:rPr>
          <w:rFonts w:ascii="Arial" w:cs="Arial" w:eastAsia="Arial" w:hAnsi="Arial"/>
          <w:sz w:val="18"/>
          <w:szCs w:val="18"/>
          <w:color w:val="auto"/>
        </w:rPr>
        <w:t xml:space="preserve"> emissions in Minnesota. The State of Minnesota appealed the decision to the U.S. Court of Appeals for the Eighth Circuit in May 2014.</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April 2011, the EPA announced proposed regulations under Section 316(b) of the Clean Water Act that set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impacted by the facility’s intake structure or cooling system. The Section 316(b) rule was effective in October 2014. The Section 316(b) standards will be implemented through NPDES permits issued to the covered facilities with compliance timing dependent on individual NPDES renewal schedules. No NPDES permits for Minnesota Power generating facilities have been re-issued containing Section 316(b) requirements since the final rule was published, so at this time we are unable to determine the final cost of compliance; however, our preliminary assessment suggests costs of compliance could be up to approximately $15 million. Minnesota Power would seek recovery of any additional costs through a general rate case.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20"/>
          </w:cols>
          <w:pgMar w:left="240" w:top="66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Steam Electric Power Generating Effluent Guidelines. </w:t>
      </w:r>
      <w:r>
        <w:rPr>
          <w:rFonts w:ascii="Arial" w:cs="Arial" w:eastAsia="Arial" w:hAnsi="Arial"/>
          <w:sz w:val="16"/>
          <w:szCs w:val="16"/>
          <w:color w:val="auto"/>
        </w:rPr>
        <w:t>In April 2013, the EPA announced proposed revisions to the federal effluent limit guidelines (ELG) for</w:t>
      </w:r>
      <w:r>
        <w:rPr>
          <w:rFonts w:ascii="Arial" w:cs="Arial" w:eastAsia="Arial" w:hAnsi="Arial"/>
          <w:sz w:val="16"/>
          <w:szCs w:val="16"/>
          <w:i w:val="1"/>
          <w:iCs w:val="1"/>
          <w:color w:val="auto"/>
        </w:rPr>
        <w:t xml:space="preserve"> </w:t>
      </w:r>
      <w:r>
        <w:rPr>
          <w:rFonts w:ascii="Arial" w:cs="Arial" w:eastAsia="Arial" w:hAnsi="Arial"/>
          <w:sz w:val="16"/>
          <w:szCs w:val="16"/>
          <w:color w:val="auto"/>
        </w:rPr>
        <w:t>steam electric power generating stations under the Clean Water Act. The final ELG was issued in September 2015. It sets effluent limits and prescribes BACT for several wastewater streams, including flue gas desulphurization (FGD) water and coal combustion landfill leachate. The ELG rule also prohibits the discharge of bottom and fly ash contact waters. Compliance with the final rule is required between November 1, 2018, and December 31, 2023.</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reviewing the final rule and evaluating its potential impact on Minnesota Power’s operations, primarily at Boswell. Boswell currently discharges bottom ash contact water through its NPDES permit, and also has a closed-loop FGD system that does not currently discharge, but may do so in the future. Under the final ELG rule, bottom ash discharge would not be allowed and bottom ash contact water would either need to be re-used in a closed-loop process, routed to a FGD scrubber, or the bottom ash handling system would need to be converted to a dry process. If the FGD wastewater is discharged in the future, it would require additional wastewater treatment. Efforts have been underway at Boswell for several years to reduce the amount of water discharged and evaluate potential re-use options in its plant processes. Additional efforts are underway to determine if land application of certain wastewater streams under a state disposal system may be feasible.</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this time, we cannot estimate what compliance costs we might incur related to these or other potential future water discharge regulations; however, the costs could be material, including costs associated with retrofits for bottom ash handling, pond dewatering, pond closure, and wastewater treatment and/or reuse. Minnesota Power would seek recovery of any additional costs through cost recovery riders or in a general rate case.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Coal Ash Management Facilities. </w:t>
      </w:r>
      <w:r>
        <w:rPr>
          <w:rFonts w:ascii="Arial" w:cs="Arial" w:eastAsia="Arial" w:hAnsi="Arial"/>
          <w:sz w:val="18"/>
          <w:szCs w:val="18"/>
          <w:color w:val="auto"/>
        </w:rPr>
        <w:t>Minnesota Power generates or disposes coal ash at five of its electric generating facilities. Two facilities store ash in onsite</w:t>
      </w:r>
      <w:r>
        <w:rPr>
          <w:rFonts w:ascii="Arial" w:cs="Arial" w:eastAsia="Arial" w:hAnsi="Arial"/>
          <w:sz w:val="18"/>
          <w:szCs w:val="18"/>
          <w:i w:val="1"/>
          <w:iCs w:val="1"/>
          <w:color w:val="auto"/>
        </w:rPr>
        <w:t xml:space="preserve"> </w:t>
      </w:r>
      <w:r>
        <w:rPr>
          <w:rFonts w:ascii="Arial" w:cs="Arial" w:eastAsia="Arial" w:hAnsi="Arial"/>
          <w:sz w:val="18"/>
          <w:szCs w:val="18"/>
          <w:color w:val="auto"/>
        </w:rPr>
        <w:t>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(CCR) generated by the electric utility sector. The proposal sought comments on three general regulatory schemes for coal ash under Subtitle D of Resource Conservation and Recovery Act (RCRA) (non-hazardous) or Subtitle C of RCRA (hazardous).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EPA issued the final CCR rule in December 2014 under Subtitle D (non-hazardous) of RCRA and it was published in the Federal Register in April 2015. The rule includes additional requirements for new landfill and impoundment construction as well as closure activities related to certain existing impoundments. The final rule also includes provisions that could incentivize early closure of existing impoundments within a three-year window. Costs of compliance for Boswell and Laskin are expected to occur primarily over the next 10 years and be between approximately $65 million and $100 million. Minnesota Power has not disposed ash onsite at Taconite Harbor since the effective date of the rule, and therefore, the CCR rule is not applicable to that generating facility. Minnesota Power continues to work on minimizing costs through evaluation of beneficial re-use and recycling of CCR and CCR-related waters. Minnesota Power would seek recovery of any additional costs through a general rate case.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ALLETE Clean Energy’s wind energy facilities have PPAs in place for their entire output and expire in various years between 2018</w:t>
      </w:r>
      <w:r>
        <w:rPr>
          <w:rFonts w:ascii="Arial" w:cs="Arial" w:eastAsia="Arial" w:hAnsi="Arial"/>
          <w:sz w:val="18"/>
          <w:szCs w:val="18"/>
          <w:b w:val="1"/>
          <w:bCs w:val="1"/>
          <w:color w:val="auto"/>
        </w:rPr>
        <w:t xml:space="preserve"> </w:t>
      </w:r>
      <w:r>
        <w:rPr>
          <w:rFonts w:ascii="Arial" w:cs="Arial" w:eastAsia="Arial" w:hAnsi="Arial"/>
          <w:sz w:val="18"/>
          <w:szCs w:val="18"/>
          <w:color w:val="auto"/>
        </w:rPr>
        <w:t>and 2032. As of March 31, 2016, ALLETE Clean Energy has $12.5 million outstanding in standby letters of credit.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As of March 31, 2016, U.S. Water Services has $0.8 million outstanding in standby letters of credit.</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Energy. </w:t>
      </w:r>
      <w:r>
        <w:rPr>
          <w:rFonts w:ascii="Arial" w:cs="Arial" w:eastAsia="Arial" w:hAnsi="Arial"/>
          <w:sz w:val="18"/>
          <w:szCs w:val="18"/>
          <w:color w:val="auto"/>
        </w:rPr>
        <w:t>As of March 31, 2016, BNI Energy had surety bonds outstanding of $49.9 million related to the reclamation liability for closing costs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its mine and mine facilities. Although the coal supply agreements obligate the customers to provide for the closing costs, additional assurance is required by federal and state regulations. In addition to the surety bonds, BNI Energy has secured a letter of credit for an additional $0.6 million to provide for BNI Energy’s total reclamation liability, which is currently estimated at $47.5 million. BNI Energy does not believe it is likely that any of these outstanding surety bonds or the letter of credit will be drawn upon.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20"/>
          </w:cols>
          <w:pgMar w:left="240" w:top="66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March 31, 2016, ALLETE Properties, through its subsidiaries, had surety bonds outstanding and letters of credit to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totaling $10.3 million primarily related to development and maintenance obligations for various projects. The estimated cost of the remaining development work is approximately $6.3 million. ALLETE Properties does not believe it is likely that any of these outstanding surety bonds or letters of credit will be drawn upon.</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Community Development District Obligations. </w:t>
      </w:r>
      <w:r>
        <w:rPr>
          <w:rFonts w:ascii="Arial" w:cs="Arial" w:eastAsia="Arial" w:hAnsi="Arial"/>
          <w:sz w:val="18"/>
          <w:szCs w:val="18"/>
          <w:color w:val="auto"/>
        </w:rPr>
        <w:t>At March 31, 2016, we owned 72 percent of the assessable land in the Town Center District (72 percent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2015) and 92 percent of the assessable land in the Palm Coast Park District (92 percent at December 31, 2015). At these ownership levels, our annual assessments related to capital improvement and special assessment bonds are approximately $1.4 million for Town Center and $2.1 million for Palm Coast Park. As we sell property, the obligation to pay special assessments will pass to the new landowners. In accordance with accounting guidance, these bonds are not reflected as debt on our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BUSINESS SEGMENTS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third quarter of 2015, management updated our reportable segment presentation to reflect the manner in which we operate, assess, and allocate resources after our recent acquisitions. We now present three reportable segments, Regulated Operations, ALLETE Clean Energy and U.S. Water Services. Prior period amounts have been revised to conform with the current business segment presentation.</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Regulated Operations includes three operating segments which consist of our regulated utilities, Minnesota Power and SWL&amp;P, as well as our investment in ATC, a Wisconsin-based regulated utility that owns and maintains electric transmission assets in parts of Wisconsin, Michigan, Minnesota and Illinois. ALLETE Clean Energy is our business aimed at acquiring or developing capital projects that create energy solutions by way of wind, solar, biomass, hydro, natural gas, shale resources, clean coal technology and other emerging energy innovations. U.S. Water Services is our integrated water management company which was acquired in February 2015. The ALLETE Clean Energy and U.S. Water Services reportable segments comprise our Energy Infrastructure and Related Services businesses. We also present Corporate and Other which includes two operating segments, BNI Energy, our coal mining operations in North Dakota, and ALLETE Properties, our legacy Florida real estate investment, along with other business development and corporate expenditures, unallocated interest expense, a small amount of non-rate base generation, approximately 5,000 acres of land in Minnesota, and earnings on cash and investments.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661"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Arial" w:cs="Arial" w:eastAsia="Arial" w:hAnsi="Arial"/>
                <w:sz w:val="18"/>
                <w:szCs w:val="18"/>
                <w:b w:val="1"/>
                <w:bCs w:val="1"/>
                <w:color w:val="auto"/>
              </w:rPr>
              <w:t>NOTE 14. BUSINESS SEGMENTS (Continued)</w:t>
            </w:r>
          </w:p>
        </w:tc>
        <w:tc>
          <w:tcPr>
            <w:tcW w:w="38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46"/>
        </w:trPr>
        <w:tc>
          <w:tcPr>
            <w:tcW w:w="6620" w:type="dxa"/>
            <w:vAlign w:val="bottom"/>
          </w:tcPr>
          <w:p>
            <w:pPr>
              <w:spacing w:after="0"/>
              <w:rPr>
                <w:sz w:val="24"/>
                <w:szCs w:val="24"/>
                <w:color w:val="auto"/>
              </w:rPr>
            </w:pPr>
          </w:p>
        </w:tc>
        <w:tc>
          <w:tcPr>
            <w:tcW w:w="48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620" w:type="dxa"/>
            <w:vAlign w:val="bottom"/>
          </w:tcPr>
          <w:p>
            <w:pPr>
              <w:spacing w:after="0"/>
              <w:rPr>
                <w:sz w:val="23"/>
                <w:szCs w:val="23"/>
                <w:color w:val="auto"/>
              </w:rPr>
            </w:pPr>
          </w:p>
        </w:tc>
        <w:tc>
          <w:tcPr>
            <w:tcW w:w="480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6620" w:type="dxa"/>
            <w:vAlign w:val="bottom"/>
          </w:tcPr>
          <w:p>
            <w:pPr>
              <w:spacing w:after="0"/>
              <w:rPr>
                <w:sz w:val="23"/>
                <w:szCs w:val="23"/>
                <w:color w:val="auto"/>
              </w:rPr>
            </w:pPr>
          </w:p>
        </w:tc>
        <w:tc>
          <w:tcPr>
            <w:tcW w:w="38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66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8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66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38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3860" w:type="dxa"/>
            <w:vAlign w:val="bottom"/>
          </w:tcPr>
          <w:p>
            <w:pPr>
              <w:jc w:val="right"/>
              <w:ind w:right="110"/>
              <w:spacing w:after="0"/>
              <w:rPr>
                <w:sz w:val="20"/>
                <w:szCs w:val="20"/>
                <w:color w:val="auto"/>
              </w:rPr>
            </w:pPr>
            <w:r>
              <w:rPr>
                <w:rFonts w:ascii="Arial" w:cs="Arial" w:eastAsia="Arial" w:hAnsi="Arial"/>
                <w:sz w:val="18"/>
                <w:szCs w:val="18"/>
                <w:color w:val="auto"/>
              </w:rPr>
              <w:t>$252.3</w:t>
            </w:r>
          </w:p>
        </w:tc>
        <w:tc>
          <w:tcPr>
            <w:tcW w:w="940" w:type="dxa"/>
            <w:vAlign w:val="bottom"/>
          </w:tcPr>
          <w:p>
            <w:pPr>
              <w:jc w:val="right"/>
              <w:spacing w:after="0"/>
              <w:rPr>
                <w:sz w:val="20"/>
                <w:szCs w:val="20"/>
                <w:color w:val="auto"/>
              </w:rPr>
            </w:pPr>
            <w:r>
              <w:rPr>
                <w:rFonts w:ascii="Arial" w:cs="Arial" w:eastAsia="Arial" w:hAnsi="Arial"/>
                <w:sz w:val="18"/>
                <w:szCs w:val="18"/>
                <w:color w:val="auto"/>
              </w:rPr>
              <w:t>$262.8</w:t>
            </w:r>
          </w:p>
        </w:tc>
      </w:tr>
      <w:tr>
        <w:trPr>
          <w:trHeight w:val="27"/>
        </w:trPr>
        <w:tc>
          <w:tcPr>
            <w:tcW w:w="66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620" w:type="dxa"/>
            <w:vAlign w:val="bottom"/>
            <w:shd w:val="clear" w:color="auto" w:fill="CCEEFF"/>
          </w:tcPr>
          <w:p>
            <w:pPr>
              <w:spacing w:after="0"/>
              <w:rPr>
                <w:sz w:val="23"/>
                <w:szCs w:val="23"/>
                <w:color w:val="auto"/>
              </w:rPr>
            </w:pPr>
          </w:p>
        </w:tc>
        <w:tc>
          <w:tcPr>
            <w:tcW w:w="38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8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Clean Energy</w:t>
            </w:r>
          </w:p>
        </w:tc>
        <w:tc>
          <w:tcPr>
            <w:tcW w:w="38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23.6</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3860" w:type="dxa"/>
            <w:vAlign w:val="bottom"/>
          </w:tcPr>
          <w:p>
            <w:pPr>
              <w:jc w:val="right"/>
              <w:ind w:right="190"/>
              <w:spacing w:after="0"/>
              <w:rPr>
                <w:sz w:val="20"/>
                <w:szCs w:val="20"/>
                <w:color w:val="auto"/>
              </w:rPr>
            </w:pPr>
            <w:r>
              <w:rPr>
                <w:rFonts w:ascii="Arial" w:cs="Arial" w:eastAsia="Arial" w:hAnsi="Arial"/>
                <w:sz w:val="18"/>
                <w:szCs w:val="18"/>
                <w:color w:val="auto"/>
              </w:rPr>
              <w:t>32.4</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66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620" w:type="dxa"/>
            <w:vAlign w:val="bottom"/>
            <w:shd w:val="clear" w:color="auto" w:fill="CCEEFF"/>
          </w:tcPr>
          <w:p>
            <w:pPr>
              <w:spacing w:after="0"/>
              <w:rPr>
                <w:sz w:val="23"/>
                <w:szCs w:val="23"/>
                <w:color w:val="auto"/>
              </w:rPr>
            </w:pPr>
          </w:p>
        </w:tc>
        <w:tc>
          <w:tcPr>
            <w:tcW w:w="38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3860" w:type="dxa"/>
            <w:vAlign w:val="bottom"/>
          </w:tcPr>
          <w:p>
            <w:pPr>
              <w:jc w:val="right"/>
              <w:ind w:right="190"/>
              <w:spacing w:after="0"/>
              <w:rPr>
                <w:sz w:val="20"/>
                <w:szCs w:val="20"/>
                <w:color w:val="auto"/>
              </w:rPr>
            </w:pPr>
            <w:r>
              <w:rPr>
                <w:rFonts w:ascii="Arial" w:cs="Arial" w:eastAsia="Arial" w:hAnsi="Arial"/>
                <w:sz w:val="18"/>
                <w:szCs w:val="18"/>
                <w:color w:val="auto"/>
              </w:rPr>
              <w:t>25.5</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29.3</w:t>
            </w:r>
          </w:p>
        </w:tc>
      </w:tr>
      <w:tr>
        <w:trPr>
          <w:trHeight w:val="27"/>
        </w:trPr>
        <w:tc>
          <w:tcPr>
            <w:tcW w:w="66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Operating Revenue</w:t>
            </w:r>
          </w:p>
        </w:tc>
        <w:tc>
          <w:tcPr>
            <w:tcW w:w="38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$333.8</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$320.0</w:t>
            </w:r>
          </w:p>
        </w:tc>
      </w:tr>
      <w:tr>
        <w:trPr>
          <w:trHeight w:val="237"/>
        </w:trPr>
        <w:tc>
          <w:tcPr>
            <w:tcW w:w="6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Attributable to ALLETE</w:t>
            </w:r>
          </w:p>
        </w:tc>
        <w:tc>
          <w:tcPr>
            <w:tcW w:w="38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66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Regulated Operations </w:t>
            </w:r>
            <w:r>
              <w:rPr>
                <w:rFonts w:ascii="Arial" w:cs="Arial" w:eastAsia="Arial" w:hAnsi="Arial"/>
                <w:sz w:val="16"/>
                <w:szCs w:val="16"/>
                <w:i w:val="1"/>
                <w:iCs w:val="1"/>
                <w:color w:val="auto"/>
              </w:rPr>
              <w:t>(a)</w:t>
            </w:r>
          </w:p>
        </w:tc>
        <w:tc>
          <w:tcPr>
            <w:tcW w:w="38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$42.4</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r>
      <w:tr>
        <w:trPr>
          <w:trHeight w:val="270"/>
        </w:trPr>
        <w:tc>
          <w:tcPr>
            <w:tcW w:w="662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8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ALLETE Clean Energy</w:t>
            </w:r>
          </w:p>
        </w:tc>
        <w:tc>
          <w:tcPr>
            <w:tcW w:w="3860" w:type="dxa"/>
            <w:vAlign w:val="bottom"/>
          </w:tcPr>
          <w:p>
            <w:pPr>
              <w:jc w:val="right"/>
              <w:ind w:right="190"/>
              <w:spacing w:after="0"/>
              <w:rPr>
                <w:sz w:val="20"/>
                <w:szCs w:val="20"/>
                <w:color w:val="auto"/>
              </w:rPr>
            </w:pPr>
            <w:r>
              <w:rPr>
                <w:rFonts w:ascii="Arial" w:cs="Arial" w:eastAsia="Arial" w:hAnsi="Arial"/>
                <w:sz w:val="18"/>
                <w:szCs w:val="18"/>
                <w:color w:val="auto"/>
              </w:rPr>
              <w:t>6.1</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66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Water Services</w:t>
            </w:r>
          </w:p>
        </w:tc>
        <w:tc>
          <w:tcPr>
            <w:tcW w:w="3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662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5"/>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(a)</w:t>
            </w:r>
          </w:p>
        </w:tc>
        <w:tc>
          <w:tcPr>
            <w:tcW w:w="3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662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Total Net Income Attributable to ALLETE</w:t>
            </w:r>
          </w:p>
        </w:tc>
        <w:tc>
          <w:tcPr>
            <w:tcW w:w="38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$45.9</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75" w:lineRule="auto"/>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In 2015, an intercompany loan agreement was entered into and interest expense was allocated to certain subsidiaries which is eliminated in consolidation. Prior period segment results have been revised to conform to the current presentation as if the intercompany loan existed as of January 1, 2015.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3900" w:type="dxa"/>
            <w:vAlign w:val="bottom"/>
          </w:tcPr>
          <w:p>
            <w:pPr>
              <w:jc w:val="right"/>
              <w:ind w:right="170"/>
              <w:spacing w:after="0"/>
              <w:rPr>
                <w:sz w:val="20"/>
                <w:szCs w:val="20"/>
                <w:color w:val="auto"/>
              </w:rPr>
            </w:pPr>
            <w:r>
              <w:rPr>
                <w:rFonts w:ascii="Arial" w:cs="Arial" w:eastAsia="Arial" w:hAnsi="Arial"/>
                <w:sz w:val="18"/>
                <w:szCs w:val="18"/>
                <w:b w:val="1"/>
                <w:bCs w:val="1"/>
                <w:color w:val="auto"/>
              </w:rPr>
              <w:t>March 31,</w:t>
            </w: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120" w:type="dxa"/>
            <w:vAlign w:val="bottom"/>
          </w:tcPr>
          <w:p>
            <w:pPr>
              <w:spacing w:after="0"/>
              <w:rPr>
                <w:sz w:val="20"/>
                <w:szCs w:val="20"/>
                <w:color w:val="auto"/>
              </w:rPr>
            </w:pPr>
          </w:p>
        </w:tc>
        <w:tc>
          <w:tcPr>
            <w:tcW w:w="39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61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9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6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9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 xml:space="preserve">Regulated Operations </w:t>
            </w:r>
            <w:r>
              <w:rPr>
                <w:rFonts w:ascii="Arial" w:cs="Arial" w:eastAsia="Arial" w:hAnsi="Arial"/>
                <w:sz w:val="16"/>
                <w:szCs w:val="16"/>
                <w:i w:val="1"/>
                <w:iCs w:val="1"/>
                <w:color w:val="auto"/>
              </w:rPr>
              <w:t>(a)</w:t>
            </w:r>
          </w:p>
        </w:tc>
        <w:tc>
          <w:tcPr>
            <w:tcW w:w="3900" w:type="dxa"/>
            <w:vAlign w:val="bottom"/>
          </w:tcPr>
          <w:p>
            <w:pPr>
              <w:jc w:val="right"/>
              <w:ind w:right="50"/>
              <w:spacing w:after="0"/>
              <w:rPr>
                <w:sz w:val="20"/>
                <w:szCs w:val="20"/>
                <w:color w:val="auto"/>
              </w:rPr>
            </w:pPr>
            <w:r>
              <w:rPr>
                <w:rFonts w:ascii="Arial" w:cs="Arial" w:eastAsia="Arial" w:hAnsi="Arial"/>
                <w:sz w:val="18"/>
                <w:szCs w:val="18"/>
                <w:color w:val="auto"/>
              </w:rPr>
              <w:t>$3,822.3</w:t>
            </w:r>
          </w:p>
        </w:tc>
        <w:tc>
          <w:tcPr>
            <w:tcW w:w="1340" w:type="dxa"/>
            <w:vAlign w:val="bottom"/>
          </w:tcPr>
          <w:p>
            <w:pPr>
              <w:jc w:val="right"/>
              <w:spacing w:after="0"/>
              <w:rPr>
                <w:sz w:val="20"/>
                <w:szCs w:val="20"/>
                <w:color w:val="auto"/>
              </w:rPr>
            </w:pPr>
            <w:r>
              <w:rPr>
                <w:rFonts w:ascii="Arial" w:cs="Arial" w:eastAsia="Arial" w:hAnsi="Arial"/>
                <w:sz w:val="18"/>
                <w:szCs w:val="18"/>
                <w:color w:val="auto"/>
              </w:rPr>
              <w:t>$3,853.1</w:t>
            </w:r>
          </w:p>
        </w:tc>
      </w:tr>
      <w:tr>
        <w:trPr>
          <w:trHeight w:val="27"/>
        </w:trPr>
        <w:tc>
          <w:tcPr>
            <w:tcW w:w="6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120" w:type="dxa"/>
            <w:vAlign w:val="bottom"/>
            <w:shd w:val="clear" w:color="auto" w:fill="CCEEFF"/>
          </w:tcPr>
          <w:p>
            <w:pPr>
              <w:spacing w:after="0"/>
              <w:rPr>
                <w:sz w:val="23"/>
                <w:szCs w:val="23"/>
                <w:color w:val="auto"/>
              </w:rPr>
            </w:pPr>
          </w:p>
        </w:tc>
        <w:tc>
          <w:tcPr>
            <w:tcW w:w="39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612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9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ALLETE Clean Energy </w:t>
            </w:r>
            <w:r>
              <w:rPr>
                <w:rFonts w:ascii="Arial" w:cs="Arial" w:eastAsia="Arial" w:hAnsi="Arial"/>
                <w:sz w:val="16"/>
                <w:szCs w:val="16"/>
                <w:i w:val="1"/>
                <w:iCs w:val="1"/>
                <w:color w:val="auto"/>
              </w:rPr>
              <w:t>(a)</w:t>
            </w:r>
          </w:p>
        </w:tc>
        <w:tc>
          <w:tcPr>
            <w:tcW w:w="3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498.1</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501.5</w:t>
            </w: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3900" w:type="dxa"/>
            <w:vAlign w:val="bottom"/>
          </w:tcPr>
          <w:p>
            <w:pPr>
              <w:jc w:val="right"/>
              <w:ind w:right="130"/>
              <w:spacing w:after="0"/>
              <w:rPr>
                <w:sz w:val="20"/>
                <w:szCs w:val="20"/>
                <w:color w:val="auto"/>
              </w:rPr>
            </w:pPr>
            <w:r>
              <w:rPr>
                <w:rFonts w:ascii="Arial" w:cs="Arial" w:eastAsia="Arial" w:hAnsi="Arial"/>
                <w:sz w:val="18"/>
                <w:szCs w:val="18"/>
                <w:color w:val="auto"/>
              </w:rPr>
              <w:t>256.6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258.3</w:t>
            </w:r>
          </w:p>
        </w:tc>
      </w:tr>
      <w:tr>
        <w:trPr>
          <w:trHeight w:val="27"/>
        </w:trPr>
        <w:tc>
          <w:tcPr>
            <w:tcW w:w="6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120" w:type="dxa"/>
            <w:vAlign w:val="bottom"/>
            <w:shd w:val="clear" w:color="auto" w:fill="CCEEFF"/>
          </w:tcPr>
          <w:p>
            <w:pPr>
              <w:spacing w:after="0"/>
              <w:rPr>
                <w:sz w:val="23"/>
                <w:szCs w:val="23"/>
                <w:color w:val="auto"/>
              </w:rPr>
            </w:pPr>
          </w:p>
        </w:tc>
        <w:tc>
          <w:tcPr>
            <w:tcW w:w="39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3900" w:type="dxa"/>
            <w:vAlign w:val="bottom"/>
          </w:tcPr>
          <w:p>
            <w:pPr>
              <w:jc w:val="right"/>
              <w:ind w:right="130"/>
              <w:spacing w:after="0"/>
              <w:rPr>
                <w:sz w:val="20"/>
                <w:szCs w:val="20"/>
                <w:color w:val="auto"/>
              </w:rPr>
            </w:pPr>
            <w:r>
              <w:rPr>
                <w:rFonts w:ascii="Arial" w:cs="Arial" w:eastAsia="Arial" w:hAnsi="Arial"/>
                <w:sz w:val="18"/>
                <w:szCs w:val="18"/>
                <w:color w:val="auto"/>
              </w:rPr>
              <w:t>295.7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281.6</w:t>
            </w:r>
          </w:p>
        </w:tc>
      </w:tr>
      <w:tr>
        <w:trPr>
          <w:trHeight w:val="27"/>
        </w:trPr>
        <w:tc>
          <w:tcPr>
            <w:tcW w:w="61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 xml:space="preserve">Total Assets </w:t>
            </w:r>
            <w:r>
              <w:rPr>
                <w:rFonts w:ascii="Arial" w:cs="Arial" w:eastAsia="Arial" w:hAnsi="Arial"/>
                <w:sz w:val="16"/>
                <w:szCs w:val="16"/>
                <w:i w:val="1"/>
                <w:iCs w:val="1"/>
                <w:color w:val="auto"/>
              </w:rPr>
              <w:t>(a)</w:t>
            </w:r>
          </w:p>
        </w:tc>
        <w:tc>
          <w:tcPr>
            <w:tcW w:w="3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$4,872.7</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$4,894.5</w:t>
            </w:r>
          </w:p>
        </w:tc>
      </w:tr>
      <w:tr>
        <w:trPr>
          <w:trHeight w:val="20"/>
        </w:trPr>
        <w:tc>
          <w:tcPr>
            <w:tcW w:w="6120" w:type="dxa"/>
            <w:vAlign w:val="bottom"/>
            <w:shd w:val="clear" w:color="auto" w:fill="000000"/>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jc w:val="both"/>
        <w:ind w:left="340" w:hanging="332"/>
        <w:spacing w:after="0" w:line="254" w:lineRule="auto"/>
        <w:tabs>
          <w:tab w:leader="none" w:pos="34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As a result of revised accounting guidance adopted in the first quarter of 2016, we reclassified unamortized debt issuance costs from Other Non-Current Assets to Long-Term Debt on the Consolidated Balance Sheet. Prior period segment assets have been revised to conform to the current presentation. (See Note 1. Operations and Significant Accounting Policies.)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66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following discussion should be read in conjunction with our Consolidated Financial Statements and notes to those statements, Management’s Discussion and Analysis of Financial Condition and Results of Operations from the 2015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headings: “Forward-Looking Statements” located on page 5 and “Risk Factors” located in Part I, Item 1A, beginning on page 25 of our 2015 Form 10</w:t>
      </w:r>
      <w:r>
        <w:rPr>
          <w:rFonts w:ascii="MS PGothic" w:cs="MS PGothic" w:eastAsia="MS PGothic" w:hAnsi="MS PGothic"/>
          <w:sz w:val="17"/>
          <w:szCs w:val="17"/>
          <w:color w:val="auto"/>
        </w:rPr>
        <w:t>‑</w:t>
      </w:r>
      <w:r>
        <w:rPr>
          <w:rFonts w:ascii="Arial" w:cs="Arial" w:eastAsia="Arial" w:hAnsi="Arial"/>
          <w:sz w:val="17"/>
          <w:szCs w:val="17"/>
          <w:color w:val="auto"/>
        </w:rPr>
        <w:t>K. The risks and uncertainties described in this Form 10-Q and our 2015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During the third quarter of 2015, management updated our reportable segment presentation to reflect the manner in which we operate,</w:t>
      </w:r>
      <w:r>
        <w:rPr>
          <w:rFonts w:ascii="Arial" w:cs="Arial" w:eastAsia="Arial" w:hAnsi="Arial"/>
          <w:sz w:val="17"/>
          <w:szCs w:val="17"/>
          <w:b w:val="1"/>
          <w:bCs w:val="1"/>
          <w:color w:val="auto"/>
        </w:rPr>
        <w:t xml:space="preserve"> </w:t>
      </w:r>
      <w:r>
        <w:rPr>
          <w:rFonts w:ascii="Arial" w:cs="Arial" w:eastAsia="Arial" w:hAnsi="Arial"/>
          <w:sz w:val="17"/>
          <w:szCs w:val="17"/>
          <w:color w:val="auto"/>
        </w:rPr>
        <w:t>assess, and allocate resources after our recent acquisitions. We now present three reportable segments, Regulated Operations, ALLETE Clean Energy and U.S. Water Services. Prior period amounts have been revised to conform with the current business segment presentation.</w:t>
      </w:r>
    </w:p>
    <w:p>
      <w:pPr>
        <w:spacing w:after="0" w:line="15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w:t>
      </w:r>
      <w:r>
        <w:rPr>
          <w:rFonts w:ascii="Arial" w:cs="Arial" w:eastAsia="Arial" w:hAnsi="Arial"/>
          <w:sz w:val="16"/>
          <w:szCs w:val="16"/>
          <w:b w:val="1"/>
          <w:bCs w:val="1"/>
          <w:color w:val="auto"/>
        </w:rPr>
        <w:t xml:space="preserve"> </w:t>
      </w:r>
      <w:r>
        <w:rPr>
          <w:rFonts w:ascii="Arial" w:cs="Arial" w:eastAsia="Arial" w:hAnsi="Arial"/>
          <w:sz w:val="16"/>
          <w:szCs w:val="16"/>
          <w:color w:val="auto"/>
        </w:rPr>
        <w:t>that owns and maintains electric transmission assets in parts of Wisconsin, Michigan, Minnesota and Illinois. Minnesota Power provides regulated utility electric service in northeastern Minnesota to approximately 145,000 retail customers. Minnesota Power also has 16 non-affiliated municipal customers in Minnesota. SWL&amp;P is a Wisconsin utility and a wholesale customer of Minnesota Power. SWL&amp;P provides regulated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6"/>
          <w:szCs w:val="16"/>
          <w:i w:val="1"/>
          <w:iCs w:val="1"/>
          <w:color w:val="auto"/>
        </w:rPr>
        <w:t>.</w:t>
      </w:r>
      <w:r>
        <w:rPr>
          <w:rFonts w:ascii="Arial" w:cs="Arial" w:eastAsia="Arial" w:hAnsi="Arial"/>
          <w:sz w:val="16"/>
          <w:szCs w:val="16"/>
          <w:color w:val="auto"/>
        </w:rPr>
        <w:t xml:space="preserve"> (See Note 6. Regulatory Matters.)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was established in 2011, and focuses on developing, acquiring and operating clean and renewable energy projects. ALLETE Clean</w:t>
      </w:r>
      <w:r>
        <w:rPr>
          <w:rFonts w:ascii="Arial" w:cs="Arial" w:eastAsia="Arial" w:hAnsi="Arial"/>
          <w:sz w:val="18"/>
          <w:szCs w:val="18"/>
          <w:b w:val="1"/>
          <w:bCs w:val="1"/>
          <w:color w:val="auto"/>
        </w:rPr>
        <w:t xml:space="preserve"> </w:t>
      </w:r>
      <w:r>
        <w:rPr>
          <w:rFonts w:ascii="Arial" w:cs="Arial" w:eastAsia="Arial" w:hAnsi="Arial"/>
          <w:sz w:val="18"/>
          <w:szCs w:val="18"/>
          <w:color w:val="auto"/>
        </w:rPr>
        <w:t>Energy currently owns and operates, in four states, approximately 535 MW of nameplate capacity wind energy generation that are under long-term power sales agreements. In addition, ALLETE Clean Energy constructed a 107 MW wind energy facility for sale to Montana-Dakota Utilities; construction and sale were completed in the fourth quarter of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is our integrated water management company which was acquired on February 10, 2015.</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ALLETE Properties, our legacy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other business development and corporate expenditures, unallocated interest expense, a small amount of non-rate base generation, approximately 5,000 acres of land in Minnesota, and earnings on cash and investments.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March 31, 2016,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net income discussion summarizes a comparison of the three months ended March 31, 2016, to the three months ended March 31, 2015.</w:t>
      </w:r>
    </w:p>
    <w:p>
      <w:pPr>
        <w:spacing w:after="0" w:line="23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income attributable to ALLETE for the three months ended March 31, 2016, was $45.9 million, or $0.93 per diluted share, compared to $39.9 million, or $0.85 per diluted share, for the same period in 2015. Net income for 2015 included a $3.0 million after-tax expense, or $0.06 per share, for acquisition costs related to U.S. Water Services. (See Note 3. Acquisitions.) Net income for 2016 increased primarily due to higher net income at Minnesota Power and ALLETE Clean Energy. Earnings per share dilution was $0.05 due to additional shares of common stock outstanding as of March 31, 2016.</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66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attributable to ALLETE was $42.4 million for the three months ended March 31, 2016, compared to $41.0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2015. Net income for 2016 increased primarily due to higher net income at Minnesota Power resulting from lower operating and maintenance expenses, and higher cost recovery rider revenue. These increases were mostly offset by a decrease in kWh sales due to lower industrial sales and impacts of warmer temperatures in 2016 compared to the same period in 2015, and higher depreciation and property tax expenses. Our equity earnings in ATC for the three months ended March 31, 2016, increased $0.6 million after-tax due to period over period changes in ATC’s estimate of a refund liability related to MISO return on equity complaints.</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net income attributable to ALLETE was $6.1 million for the three months ended March 31, 2016, compared to net income of $2.5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same period in 2015. Net income for 2016 increased primarily due to income generated from the operations of wind energy facilities acquired in April and July 2015.</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net loss attributable to ALLETE was $0.5 million for the three months ended March 31, 2016, compared to a net loss of $0.1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date of acquisition, February 10, 2015, through March 31, 2015. U.S. Water Services sells certain products which are seasonal in nature, with higher demand typically realized in warmer months. The results for the first quarter of 2015 reflect operations from the date of acquisition, February 10, 2015, through March 31, 2015, and therefore, do not reflect a full quarter.</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Corporate and Other </w:t>
      </w:r>
      <w:r>
        <w:rPr>
          <w:rFonts w:ascii="Arial" w:cs="Arial" w:eastAsia="Arial" w:hAnsi="Arial"/>
          <w:sz w:val="17"/>
          <w:szCs w:val="17"/>
          <w:color w:val="auto"/>
        </w:rPr>
        <w:t>net loss attributable to ALLETE was $2.1 million for the three months ended March 31, 2016, compared to a net loss of $3.5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same period in 2015. In 2015, the net loss included a $3.0 million after-tax expense, or $0.06 per share, for acquisition costs related to U.S. Water Services. In 2016, the net loss included higher accretion expense related to the U.S. Water Services contingent consideration liability.</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THREE MONTHS ENDED MARCH 31, 2016 AND 2015</w:t>
            </w:r>
          </w:p>
        </w:tc>
        <w:tc>
          <w:tcPr>
            <w:tcW w:w="2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8080" w:type="dxa"/>
            <w:vAlign w:val="bottom"/>
            <w:gridSpan w:val="2"/>
          </w:tcPr>
          <w:p>
            <w:pPr>
              <w:spacing w:after="0"/>
              <w:rPr>
                <w:sz w:val="20"/>
                <w:szCs w:val="20"/>
                <w:color w:val="auto"/>
              </w:rPr>
            </w:pPr>
            <w:r>
              <w:rPr>
                <w:rFonts w:ascii="Arial" w:cs="Arial" w:eastAsia="Arial" w:hAnsi="Arial"/>
                <w:sz w:val="18"/>
                <w:szCs w:val="18"/>
                <w:color w:val="auto"/>
              </w:rPr>
              <w:t>(See Note 14. Business Segments for financial results by segment.)</w:t>
            </w:r>
          </w:p>
        </w:tc>
        <w:tc>
          <w:tcPr>
            <w:tcW w:w="2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6"/>
        </w:trPr>
        <w:tc>
          <w:tcPr>
            <w:tcW w:w="420" w:type="dxa"/>
            <w:vAlign w:val="bottom"/>
          </w:tcPr>
          <w:p>
            <w:pPr>
              <w:spacing w:after="0"/>
              <w:rPr>
                <w:sz w:val="24"/>
                <w:szCs w:val="24"/>
                <w:color w:val="auto"/>
              </w:rPr>
            </w:pPr>
          </w:p>
        </w:tc>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4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42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$252.3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$262.8</w:t>
            </w:r>
          </w:p>
        </w:tc>
      </w:tr>
      <w:tr>
        <w:trPr>
          <w:trHeight w:val="243"/>
        </w:trPr>
        <w:tc>
          <w:tcPr>
            <w:tcW w:w="420" w:type="dxa"/>
            <w:vAlign w:val="bottom"/>
          </w:tcPr>
          <w:p>
            <w:pPr>
              <w:spacing w:after="0"/>
              <w:rPr>
                <w:sz w:val="21"/>
                <w:szCs w:val="21"/>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480" w:type="dxa"/>
            <w:vAlign w:val="bottom"/>
          </w:tcPr>
          <w:p>
            <w:pPr>
              <w:jc w:val="right"/>
              <w:ind w:right="250"/>
              <w:spacing w:after="0"/>
              <w:rPr>
                <w:sz w:val="20"/>
                <w:szCs w:val="20"/>
                <w:color w:val="auto"/>
              </w:rPr>
            </w:pPr>
            <w:r>
              <w:rPr>
                <w:rFonts w:ascii="Arial" w:cs="Arial" w:eastAsia="Arial" w:hAnsi="Arial"/>
                <w:sz w:val="18"/>
                <w:szCs w:val="18"/>
                <w:color w:val="auto"/>
              </w:rPr>
              <w:t>76.9</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86.0</w:t>
            </w:r>
          </w:p>
        </w:tc>
      </w:tr>
      <w:tr>
        <w:trPr>
          <w:trHeight w:val="27"/>
        </w:trPr>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w:t>
            </w:r>
          </w:p>
        </w:tc>
        <w:tc>
          <w:tcPr>
            <w:tcW w:w="2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16.8</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43"/>
        </w:trPr>
        <w:tc>
          <w:tcPr>
            <w:tcW w:w="420" w:type="dxa"/>
            <w:vAlign w:val="bottom"/>
          </w:tcPr>
          <w:p>
            <w:pPr>
              <w:spacing w:after="0"/>
              <w:rPr>
                <w:sz w:val="21"/>
                <w:szCs w:val="21"/>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480" w:type="dxa"/>
            <w:vAlign w:val="bottom"/>
          </w:tcPr>
          <w:p>
            <w:pPr>
              <w:jc w:val="right"/>
              <w:ind w:right="250"/>
              <w:spacing w:after="0"/>
              <w:rPr>
                <w:sz w:val="20"/>
                <w:szCs w:val="20"/>
                <w:color w:val="auto"/>
              </w:rPr>
            </w:pPr>
            <w:r>
              <w:rPr>
                <w:rFonts w:ascii="Arial" w:cs="Arial" w:eastAsia="Arial" w:hAnsi="Arial"/>
                <w:sz w:val="18"/>
                <w:szCs w:val="18"/>
                <w:color w:val="auto"/>
              </w:rPr>
              <w:t>3.0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50.6</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r>
      <w:tr>
        <w:trPr>
          <w:trHeight w:val="243"/>
        </w:trPr>
        <w:tc>
          <w:tcPr>
            <w:tcW w:w="420" w:type="dxa"/>
            <w:vAlign w:val="bottom"/>
          </w:tcPr>
          <w:p>
            <w:pPr>
              <w:spacing w:after="0"/>
              <w:rPr>
                <w:sz w:val="21"/>
                <w:szCs w:val="21"/>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80" w:type="dxa"/>
            <w:vAlign w:val="bottom"/>
          </w:tcPr>
          <w:p>
            <w:pPr>
              <w:jc w:val="right"/>
              <w:ind w:right="250"/>
              <w:spacing w:after="0"/>
              <w:rPr>
                <w:sz w:val="20"/>
                <w:szCs w:val="20"/>
                <w:color w:val="auto"/>
              </w:rPr>
            </w:pPr>
            <w:r>
              <w:rPr>
                <w:rFonts w:ascii="Arial" w:cs="Arial" w:eastAsia="Arial" w:hAnsi="Arial"/>
                <w:sz w:val="18"/>
                <w:szCs w:val="18"/>
                <w:color w:val="auto"/>
              </w:rPr>
              <w:t>38.3</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32.1</w:t>
            </w:r>
          </w:p>
        </w:tc>
      </w:tr>
      <w:tr>
        <w:trPr>
          <w:trHeight w:val="27"/>
        </w:trPr>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 w:type="dxa"/>
            <w:vAlign w:val="bottom"/>
          </w:tcPr>
          <w:p>
            <w:pPr>
              <w:spacing w:after="0"/>
              <w:rPr>
                <w:sz w:val="23"/>
                <w:szCs w:val="23"/>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Taxes</w:t>
            </w:r>
          </w:p>
        </w:tc>
        <w:tc>
          <w:tcPr>
            <w:tcW w:w="2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37"/>
        </w:trPr>
        <w:tc>
          <w:tcPr>
            <w:tcW w:w="420" w:type="dxa"/>
            <w:vAlign w:val="bottom"/>
          </w:tcPr>
          <w:p>
            <w:pPr>
              <w:spacing w:after="0"/>
              <w:rPr>
                <w:sz w:val="20"/>
                <w:szCs w:val="20"/>
                <w:color w:val="auto"/>
              </w:rPr>
            </w:pPr>
          </w:p>
        </w:tc>
        <w:tc>
          <w:tcPr>
            <w:tcW w:w="76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Operating Income</w:t>
            </w:r>
          </w:p>
        </w:tc>
        <w:tc>
          <w:tcPr>
            <w:tcW w:w="24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54.5</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w:t>
            </w:r>
          </w:p>
        </w:tc>
      </w:tr>
      <w:tr>
        <w:trPr>
          <w:trHeight w:val="27"/>
        </w:trPr>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(13.1)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43"/>
        </w:trPr>
        <w:tc>
          <w:tcPr>
            <w:tcW w:w="420" w:type="dxa"/>
            <w:vAlign w:val="bottom"/>
          </w:tcPr>
          <w:p>
            <w:pPr>
              <w:spacing w:after="0"/>
              <w:rPr>
                <w:sz w:val="21"/>
                <w:szCs w:val="21"/>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Equity Earnings in ATC</w:t>
            </w:r>
          </w:p>
        </w:tc>
        <w:tc>
          <w:tcPr>
            <w:tcW w:w="2480" w:type="dxa"/>
            <w:vAlign w:val="bottom"/>
          </w:tcPr>
          <w:p>
            <w:pPr>
              <w:jc w:val="right"/>
              <w:ind w:right="250"/>
              <w:spacing w:after="0"/>
              <w:rPr>
                <w:sz w:val="20"/>
                <w:szCs w:val="20"/>
                <w:color w:val="auto"/>
              </w:rPr>
            </w:pPr>
            <w:r>
              <w:rPr>
                <w:rFonts w:ascii="Arial" w:cs="Arial" w:eastAsia="Arial" w:hAnsi="Arial"/>
                <w:sz w:val="18"/>
                <w:szCs w:val="18"/>
                <w:color w:val="auto"/>
              </w:rPr>
              <w:t>4.8</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 w:type="dxa"/>
            <w:vAlign w:val="bottom"/>
          </w:tcPr>
          <w:p>
            <w:pPr>
              <w:spacing w:after="0"/>
              <w:rPr>
                <w:sz w:val="23"/>
                <w:szCs w:val="23"/>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0.9</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37"/>
        </w:trPr>
        <w:tc>
          <w:tcPr>
            <w:tcW w:w="420" w:type="dxa"/>
            <w:vAlign w:val="bottom"/>
          </w:tcPr>
          <w:p>
            <w:pPr>
              <w:spacing w:after="0"/>
              <w:rPr>
                <w:sz w:val="20"/>
                <w:szCs w:val="20"/>
                <w:color w:val="auto"/>
              </w:rPr>
            </w:pPr>
          </w:p>
        </w:tc>
        <w:tc>
          <w:tcPr>
            <w:tcW w:w="76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Income Before Non-Controlling Interest and Income Taxes</w:t>
            </w:r>
          </w:p>
        </w:tc>
        <w:tc>
          <w:tcPr>
            <w:tcW w:w="24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47.1</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46.2</w:t>
            </w:r>
          </w:p>
        </w:tc>
      </w:tr>
      <w:tr>
        <w:trPr>
          <w:trHeight w:val="27"/>
        </w:trPr>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 w:type="dxa"/>
            <w:vAlign w:val="bottom"/>
          </w:tcPr>
          <w:p>
            <w:pPr>
              <w:spacing w:after="0"/>
              <w:rPr>
                <w:sz w:val="23"/>
                <w:szCs w:val="23"/>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4.7</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37"/>
        </w:trPr>
        <w:tc>
          <w:tcPr>
            <w:tcW w:w="420" w:type="dxa"/>
            <w:vAlign w:val="bottom"/>
          </w:tcPr>
          <w:p>
            <w:pPr>
              <w:spacing w:after="0"/>
              <w:rPr>
                <w:sz w:val="20"/>
                <w:szCs w:val="20"/>
                <w:color w:val="auto"/>
              </w:rPr>
            </w:pPr>
          </w:p>
        </w:tc>
        <w:tc>
          <w:tcPr>
            <w:tcW w:w="76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Net Income Attributable to ALLETE</w:t>
            </w:r>
          </w:p>
        </w:tc>
        <w:tc>
          <w:tcPr>
            <w:tcW w:w="2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$42.4</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42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340" w:right="20"/>
        <w:spacing w:after="0" w:line="308"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decreased $10.5 million, or 4 percent, from 2015 primarily due to lower kWh sales, fuel adjustment clause recoveries, conservation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improvement program recoveries and gas sales, partially offset by higher cost recovery rider revenue and FERC formula-based rates.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66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COMPARISON OF THE THREE MONTHS ENDED MARCH 31, 2016 AND 2015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Revenue from Regulated Operations decreased $8.1 million due to a 4.6 percent decrease in kWh sales. Sales to our industrial customers decreased 18.3 percent primarily due to reduced taconite production. Sales to our residential, commercial and municipal customers have been impacted as a result of warmer temperatures in 2016 compared to the same period in 2015. Heating degree days in Duluth, Minnesota, were approximately 8 percent lower in the first three months of 2016 compared to the same period in 2015. Sales to Other Power Suppliers are sold at market-based prices into the MISO market on a daily basis or through bilateral agreements of various durations, and increased 26.8 percent in 2016 compared to 2015, as more energy was available for sale, primarily due to reduced demand from our taconite customers.</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5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329</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356</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504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368</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384</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1,594</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1,950</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43"/>
        </w:trPr>
        <w:tc>
          <w:tcPr>
            <w:tcW w:w="504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219</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233</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2,510</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2,923</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1,130</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891</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239</w:t>
            </w:r>
          </w:p>
        </w:tc>
        <w:tc>
          <w:tcPr>
            <w:tcW w:w="1060" w:type="dxa"/>
            <w:vAlign w:val="bottom"/>
          </w:tcPr>
          <w:p>
            <w:pPr>
              <w:jc w:val="right"/>
              <w:spacing w:after="0"/>
              <w:rPr>
                <w:sz w:val="20"/>
                <w:szCs w:val="20"/>
                <w:color w:val="auto"/>
              </w:rPr>
            </w:pPr>
            <w:r>
              <w:rPr>
                <w:rFonts w:ascii="Arial" w:cs="Arial" w:eastAsia="Arial" w:hAnsi="Arial"/>
                <w:sz w:val="18"/>
                <w:szCs w:val="18"/>
                <w:color w:val="auto"/>
              </w:rPr>
              <w:t>26.8 %</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3,640</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3,814</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504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taconite/iron concentrate customers accounted for 16 percent of consolidated operating revenue in 2016 (22 percent in 2015). Revenue from electric sales to paper, pulp and secondary wood product customers accounted for 7 percent of consolidated operating revenue in 2016 (7 percent in 2015). Revenue from electric sales to pipelines and other industrial customers accounted for 7 percent of consolidated operating revenue in 2016 (7 percent in 2015).</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Fuel adjustment clause recoveries decreased $5.5 million due to lower fuel and purchased power costs attributable to retail and municipal customers. (See </w:t>
      </w:r>
      <w:r>
        <w:rPr>
          <w:rFonts w:ascii="Arial" w:cs="Arial" w:eastAsia="Arial" w:hAnsi="Arial"/>
          <w:sz w:val="18"/>
          <w:szCs w:val="18"/>
          <w:i w:val="1"/>
          <w:iCs w:val="1"/>
          <w:color w:val="auto"/>
        </w:rPr>
        <w:t>Operating Expenses - Fuel and Purchased Power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decreased $2.0 million from 2015 primarily due to a reduction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Gas sales at SWL&amp;P decreased $1.8 million from 2015 as a result of warmer temperatures in 2016 compared to the same period in 2015. (See </w:t>
      </w:r>
      <w:r>
        <w:rPr>
          <w:rFonts w:ascii="Arial" w:cs="Arial" w:eastAsia="Arial" w:hAnsi="Arial"/>
          <w:sz w:val="18"/>
          <w:szCs w:val="18"/>
          <w:i w:val="1"/>
          <w:iCs w:val="1"/>
          <w:color w:val="auto"/>
        </w:rPr>
        <w:t>Cost of</w:t>
      </w:r>
      <w:r>
        <w:rPr>
          <w:rFonts w:ascii="Arial" w:cs="Arial" w:eastAsia="Arial" w:hAnsi="Arial"/>
          <w:sz w:val="18"/>
          <w:szCs w:val="18"/>
          <w:color w:val="auto"/>
        </w:rPr>
        <w:t xml:space="preserve"> </w:t>
      </w:r>
      <w:r>
        <w:rPr>
          <w:rFonts w:ascii="Arial" w:cs="Arial" w:eastAsia="Arial" w:hAnsi="Arial"/>
          <w:sz w:val="18"/>
          <w:szCs w:val="18"/>
          <w:i w:val="1"/>
          <w:iCs w:val="1"/>
          <w:color w:val="auto"/>
        </w:rPr>
        <w:t>Sales.</w:t>
      </w:r>
      <w:r>
        <w:rPr>
          <w:rFonts w:ascii="Arial" w:cs="Arial" w:eastAsia="Arial" w:hAnsi="Arial"/>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recovery rider revenue increased $4.7 million primarily due to the completion of the Boswell Unit 4 environmental upgrade.</w:t>
      </w:r>
    </w:p>
    <w:p>
      <w:pPr>
        <w:spacing w:after="0" w:line="22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Revenue from our wholesale customers under our formula based rates increased $1.7 million primarily due to additional environmental and other investments.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$10.0 million, or 5 percent, from 2015.</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w:t>
      </w:r>
      <w:r>
        <w:rPr>
          <w:rFonts w:ascii="Arial" w:cs="Arial" w:eastAsia="Arial" w:hAnsi="Arial"/>
          <w:sz w:val="18"/>
          <w:szCs w:val="18"/>
          <w:color w:val="auto"/>
        </w:rPr>
        <w:t>expense decreased $9.1 million, or 11 percent, from 2015 primarily due to lower purchased power prices and kWh sales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2016 compared to 2015. Fuel and purchased power expense related to our retail and municipal customers is recovered through the fuel adjustment clause.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Transmission Services </w:t>
      </w:r>
      <w:r>
        <w:rPr>
          <w:rFonts w:ascii="Arial" w:cs="Arial" w:eastAsia="Arial" w:hAnsi="Arial"/>
          <w:sz w:val="18"/>
          <w:szCs w:val="18"/>
          <w:color w:val="auto"/>
        </w:rPr>
        <w:t>expense increased $1.9 million, or 13 percent, from 2015 primarily due to higher MISO-related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decreased $1.5 million, or 33 percent, from 2015 due to lower purchased gas at SWL&amp;P. (See</w:t>
      </w:r>
      <w:r>
        <w:rPr>
          <w:rFonts w:ascii="Arial" w:cs="Arial" w:eastAsia="Arial" w:hAnsi="Arial"/>
          <w:sz w:val="18"/>
          <w:szCs w:val="18"/>
          <w:i w:val="1"/>
          <w:iCs w:val="1"/>
          <w:color w:val="auto"/>
        </w:rPr>
        <w:t xml:space="preserve"> Operating Revenue.</w:t>
      </w:r>
      <w:r>
        <w:rPr>
          <w:rFonts w:ascii="Arial" w:cs="Arial" w:eastAsia="Arial" w:hAnsi="Arial"/>
          <w:sz w:val="18"/>
          <w:szCs w:val="18"/>
          <w:color w:val="auto"/>
        </w:rPr>
        <w: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66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COMPARISON OF THE THREE MONTHS ENDED MARCH 31, 2016 AND 2015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Operating and Maintenance </w:t>
      </w:r>
      <w:r>
        <w:rPr>
          <w:rFonts w:ascii="Arial" w:cs="Arial" w:eastAsia="Arial" w:hAnsi="Arial"/>
          <w:sz w:val="17"/>
          <w:szCs w:val="17"/>
          <w:color w:val="auto"/>
        </w:rPr>
        <w:t>expense decreased $8.1 million, or 14 percent, from 2015 primarily due to a $3.6 million sales tax refund received in 2016</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lower salary and benefit expenses. In addition, conservation improvement program expenses were $2.1 million less than the first quarter of 2015. Conservation improvement program expenses are recovered from certain retail customers. (See </w:t>
      </w:r>
      <w:r>
        <w:rPr>
          <w:rFonts w:ascii="Arial" w:cs="Arial" w:eastAsia="Arial" w:hAnsi="Arial"/>
          <w:sz w:val="17"/>
          <w:szCs w:val="17"/>
          <w:i w:val="1"/>
          <w:iCs w:val="1"/>
          <w:color w:val="auto"/>
        </w:rPr>
        <w:t>Operating Revenue.</w:t>
      </w:r>
      <w:r>
        <w:rPr>
          <w:rFonts w:ascii="Arial" w:cs="Arial" w:eastAsia="Arial" w:hAnsi="Arial"/>
          <w:sz w:val="17"/>
          <w:szCs w:val="17"/>
          <w:color w:val="auto"/>
        </w:rPr>
        <w:t>)</w:t>
      </w:r>
    </w:p>
    <w:p>
      <w:pPr>
        <w:spacing w:after="0" w:line="16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$6.2 million, or 19 percent, from 2015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$0.6 million, or 5 percent, from 2015 primarily due to higher property tax expenses resulting from higher</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plant.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decreased $0.5 million, or 4 percent, from 2015 primarily due to lower average interest rates on long-term debt.</w:t>
      </w:r>
    </w:p>
    <w:p>
      <w:pPr>
        <w:spacing w:after="0" w:line="22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increased $0.9 million, or 23 percent, from 2015 due to period over period changes in ATC’s estimate of a refund liability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MISO return on equity complaints.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4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46"/>
        </w:trPr>
        <w:tc>
          <w:tcPr>
            <w:tcW w:w="4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4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4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$23.6</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4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4140" w:type="dxa"/>
            <w:vAlign w:val="bottom"/>
          </w:tcPr>
          <w:p>
            <w:pPr>
              <w:jc w:val="right"/>
              <w:ind w:right="210"/>
              <w:spacing w:after="0"/>
              <w:rPr>
                <w:sz w:val="20"/>
                <w:szCs w:val="20"/>
                <w:color w:val="auto"/>
              </w:rPr>
            </w:pPr>
            <w:r>
              <w:rPr>
                <w:rFonts w:ascii="Arial" w:cs="Arial" w:eastAsia="Arial" w:hAnsi="Arial"/>
                <w:sz w:val="18"/>
                <w:szCs w:val="18"/>
                <w:color w:val="auto"/>
              </w:rPr>
              <w:t>$6.1</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4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$11.2 million from 2015 primarily due to revenue generated from the operations of wind energy facilities acquired in April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July 2015.</w:t>
      </w:r>
    </w:p>
    <w:p>
      <w:pPr>
        <w:spacing w:after="0" w:line="180"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9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95"/>
              </w:rPr>
              <w:t>Three Months Ended March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288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2016</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kWh</w:t>
            </w:r>
          </w:p>
        </w:tc>
        <w:tc>
          <w:tcPr>
            <w:tcW w:w="1560" w:type="dxa"/>
            <w:vAlign w:val="bottom"/>
          </w:tcPr>
          <w:p>
            <w:pPr>
              <w:jc w:val="right"/>
              <w:ind w:right="470"/>
              <w:spacing w:after="0"/>
              <w:rPr>
                <w:sz w:val="20"/>
                <w:szCs w:val="20"/>
                <w:color w:val="auto"/>
              </w:rPr>
            </w:pPr>
            <w:r>
              <w:rPr>
                <w:rFonts w:ascii="Arial" w:cs="Arial" w:eastAsia="Arial" w:hAnsi="Arial"/>
                <w:sz w:val="18"/>
                <w:szCs w:val="18"/>
                <w:b w:val="1"/>
                <w:bCs w:val="1"/>
                <w:color w:val="auto"/>
              </w:rPr>
              <w:t>Revenue</w:t>
            </w:r>
          </w:p>
        </w:tc>
        <w:tc>
          <w:tcPr>
            <w:tcW w:w="134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Wind Energy Facility</w:t>
            </w:r>
          </w:p>
        </w:tc>
        <w:tc>
          <w:tcPr>
            <w:tcW w:w="1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Lake Benton</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70.0</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$3.4</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82.0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c>
          <w:tcPr>
            <w:tcW w:w="1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3.0</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57.0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28.5</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2.4</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20.8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1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3.1</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69.1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Chanarambie/Viking</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80.6</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3.6</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Armenia Mountain</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c>
          <w:tcPr>
            <w:tcW w:w="1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8.1</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387.6</w:t>
            </w:r>
          </w:p>
        </w:tc>
        <w:tc>
          <w:tcPr>
            <w:tcW w:w="15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$23.6</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228.9</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increased $3.6 million from 2015 primarily due to income generated from the operations of wind energy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acquired in April and July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392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46"/>
        </w:trPr>
        <w:tc>
          <w:tcPr>
            <w:tcW w:w="7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20" w:type="dxa"/>
            <w:vAlign w:val="bottom"/>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2320" w:type="dxa"/>
            <w:vAlign w:val="bottom"/>
          </w:tcPr>
          <w:p>
            <w:pPr>
              <w:jc w:val="right"/>
              <w:ind w:right="10"/>
              <w:spacing w:after="0"/>
              <w:rPr>
                <w:sz w:val="20"/>
                <w:szCs w:val="20"/>
                <w:color w:val="auto"/>
              </w:rPr>
            </w:pPr>
            <w:r>
              <w:rPr>
                <w:rFonts w:ascii="Arial" w:cs="Arial" w:eastAsia="Arial" w:hAnsi="Arial"/>
                <w:sz w:val="18"/>
                <w:szCs w:val="18"/>
                <w:b w:val="1"/>
                <w:bCs w:val="1"/>
                <w:color w:val="auto"/>
              </w:rPr>
              <w:t>Period February 10, 2015</w:t>
            </w:r>
          </w:p>
        </w:tc>
      </w:tr>
      <w:tr>
        <w:trPr>
          <w:trHeight w:val="270"/>
        </w:trPr>
        <w:tc>
          <w:tcPr>
            <w:tcW w:w="72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392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 2016</w:t>
            </w:r>
          </w:p>
        </w:tc>
        <w:tc>
          <w:tcPr>
            <w:tcW w:w="2320" w:type="dxa"/>
            <w:vAlign w:val="bottom"/>
          </w:tcPr>
          <w:p>
            <w:pPr>
              <w:jc w:val="right"/>
              <w:ind w:right="10"/>
              <w:spacing w:after="0"/>
              <w:rPr>
                <w:sz w:val="20"/>
                <w:szCs w:val="20"/>
                <w:color w:val="auto"/>
              </w:rPr>
            </w:pPr>
            <w:r>
              <w:rPr>
                <w:rFonts w:ascii="Arial" w:cs="Arial" w:eastAsia="Arial" w:hAnsi="Arial"/>
                <w:sz w:val="18"/>
                <w:szCs w:val="18"/>
                <w:b w:val="1"/>
                <w:bCs w:val="1"/>
                <w:color w:val="auto"/>
              </w:rPr>
              <w:t>Through March 31, 2015</w:t>
            </w:r>
          </w:p>
        </w:tc>
      </w:tr>
      <w:tr>
        <w:trPr>
          <w:trHeight w:val="27"/>
        </w:trPr>
        <w:tc>
          <w:tcPr>
            <w:tcW w:w="72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4"/>
        </w:trPr>
        <w:tc>
          <w:tcPr>
            <w:tcW w:w="720" w:type="dxa"/>
            <w:vAlign w:val="bottom"/>
          </w:tcPr>
          <w:p>
            <w:pPr>
              <w:spacing w:after="0"/>
              <w:rPr>
                <w:sz w:val="21"/>
                <w:szCs w:val="21"/>
                <w:color w:val="auto"/>
              </w:rPr>
            </w:pPr>
          </w:p>
        </w:tc>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39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r>
      <w:tr>
        <w:trPr>
          <w:trHeight w:val="243"/>
        </w:trPr>
        <w:tc>
          <w:tcPr>
            <w:tcW w:w="720" w:type="dxa"/>
            <w:vAlign w:val="bottom"/>
          </w:tcPr>
          <w:p>
            <w:pPr>
              <w:spacing w:after="0"/>
              <w:rPr>
                <w:sz w:val="21"/>
                <w:szCs w:val="21"/>
                <w:color w:val="auto"/>
              </w:rPr>
            </w:pPr>
          </w:p>
        </w:tc>
        <w:tc>
          <w:tcPr>
            <w:tcW w:w="446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3920" w:type="dxa"/>
            <w:vAlign w:val="bottom"/>
          </w:tcPr>
          <w:p>
            <w:pPr>
              <w:jc w:val="right"/>
              <w:ind w:right="250"/>
              <w:spacing w:after="0"/>
              <w:rPr>
                <w:sz w:val="20"/>
                <w:szCs w:val="20"/>
                <w:color w:val="auto"/>
              </w:rPr>
            </w:pPr>
            <w:r>
              <w:rPr>
                <w:rFonts w:ascii="Arial" w:cs="Arial" w:eastAsia="Arial" w:hAnsi="Arial"/>
                <w:sz w:val="18"/>
                <w:szCs w:val="18"/>
                <w:color w:val="auto"/>
              </w:rPr>
              <w:t>$32.4</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7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720" w:type="dxa"/>
            <w:vAlign w:val="bottom"/>
          </w:tcPr>
          <w:p>
            <w:pPr>
              <w:spacing w:after="0"/>
              <w:rPr>
                <w:sz w:val="21"/>
                <w:szCs w:val="21"/>
                <w:color w:val="auto"/>
              </w:rPr>
            </w:pPr>
          </w:p>
        </w:tc>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ALLETE</w:t>
            </w:r>
          </w:p>
        </w:tc>
        <w:tc>
          <w:tcPr>
            <w:tcW w:w="3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720" w:type="dxa"/>
            <w:vAlign w:val="bottom"/>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$16.9 million in 2016 compared to the period from February 10, 2015, to March 31, 2015, primarily due to the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U.S. Water Services in February 2015. The results for the first quarter of 2015 reflect operations from the date of acquisition, February 10, 2015, through March 31, 2015, and therefore, do not reflect a full quarter.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ectPr>
          <w:pgSz w:w="11900" w:h="16838" w:orient="portrait"/>
          <w:cols w:equalWidth="0" w:num="1">
            <w:col w:w="11420"/>
          </w:cols>
          <w:pgMar w:left="240" w:top="661"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20"/>
          </w:cols>
          <w:pgMar w:left="240" w:top="661"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COMPARISON OF THE THREE MONTHS ENDED MARCH 31, 2016 AND 2015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 (Continued)</w:t>
      </w:r>
    </w:p>
    <w:p>
      <w:pPr>
        <w:spacing w:after="0" w:line="211"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b w:val="1"/>
          <w:bCs w:val="1"/>
          <w:i w:val="1"/>
          <w:iCs w:val="1"/>
          <w:color w:val="auto"/>
        </w:rPr>
        <w:t xml:space="preserve">Net Loss Attributable to ALLETE </w:t>
      </w:r>
      <w:r>
        <w:rPr>
          <w:rFonts w:ascii="Arial" w:cs="Arial" w:eastAsia="Arial" w:hAnsi="Arial"/>
          <w:sz w:val="16"/>
          <w:szCs w:val="16"/>
          <w:color w:val="auto"/>
        </w:rPr>
        <w:t>increased $0.4 million in 2016 compared to the period from February 10, 2015, to March 31, 2015. U.S. Water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sells certain products which are seasonal in nature, with higher demand typically realized in warmer months. The results for the first quarter of 2015 reflect operations from the date of acquisition, February 10, 2015, through March 31, 2015, and therefore, do not reflect a full quarter. Net loss for the three months ended March 31, 2016 included $0.3 million of after-tax expense related to purchase accounting for inventories and sales backlog ($0.3 million from February 10, 2015 through March 31, 2015); these purchase accounting adjustments have been fully recognized as of March 31,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decreased $3.8 million, or 13 percent, from 2015 primarily due to a decrease in revenue at BNI Energy, which operates under cost-plus fixed fee contracts, as a result of lower expenses, which was partially offset by higher revenue from more coal delivered in 2016.</w:t>
      </w:r>
    </w:p>
    <w:p>
      <w:pPr>
        <w:spacing w:after="0" w:line="14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Net Loss Attributable to ALLETE </w:t>
      </w:r>
      <w:r>
        <w:rPr>
          <w:rFonts w:ascii="Arial" w:cs="Arial" w:eastAsia="Arial" w:hAnsi="Arial"/>
          <w:sz w:val="18"/>
          <w:szCs w:val="18"/>
          <w:color w:val="auto"/>
        </w:rPr>
        <w:t>decreased $1.4 million from 2015 primarily due to a $3.0 million after-tax expense in 2015, or $0.06 per share,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costs related to U.S. Water Services and higher net income at BNI Energy in 2016, partially offset by higher accretion expense resulting from the U.S. Water Services contingent consideration liability.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the three months ended March 31, 2016, the effective tax rate was 16.7 percent (13.4 percent for the three months ended March 31, 2015). The effective rate deviated from the combined statutory rate of approximately 41 percent primarily due to production tax credits. (See Note 9. Income Tax Expense.)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taxation and valuation of goodwill and intangible assets. These policies are reviewed with the Audit Committee of our Board of Directors on a regular basis and summarized in Part II, Item 7. Management’s Discussion and Analysis of Financial Condition and Results of Operations of our Form 10-K for the year ended December 31, 2015.</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2015 Form 10-K.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long-term objectives of achieving average annual earnings per share growth of a minimum of 5 percent and providing a dividend payout competitive with our industry.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its Energy Infrastructure and Related Services businesses to complement its regulated businesses, balance exposure to the utility’s industrial customers, and provide potential long-term earnings growth. ALLETE expects net income from Regulated Operations to be approximately 85 percent to 90 percent of total consolidated net income in 2016. Over the next several years, the contribution of the Energy Infrastructure and Related Services businesses to net income is expected to increase as ALLETE grows these operations. ALLETE expects its businesses to provide regulated, contracted or recurring revenues and to support sustained growth in net income and cash flow.</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66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Minnesota Power’s long-term strategy is to be the leading electric energy provider in northeastern Minnesota by providing safe,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w:t>
      </w:r>
      <w:r>
        <w:rPr>
          <w:rFonts w:ascii="Arial" w:cs="Arial" w:eastAsia="Arial" w:hAnsi="Arial"/>
          <w:sz w:val="17"/>
          <w:szCs w:val="17"/>
          <w:i w:val="1"/>
          <w:iCs w:val="1"/>
          <w:color w:val="auto"/>
        </w:rPr>
        <w:t>EnergyForward.</w:t>
      </w:r>
      <w:r>
        <w:rPr>
          <w:rFonts w:ascii="Arial" w:cs="Arial" w:eastAsia="Arial" w:hAnsi="Arial"/>
          <w:sz w:val="17"/>
          <w:szCs w:val="17"/>
          <w:color w:val="auto"/>
        </w:rPr>
        <w:t>) We will monitor and review proposed environmental regulations and may challenge those that add considerable cost with limited environmental benefit. Minnesota Power will continue to pursue customer growth opportunities and cost recovery rider approval for environmental, renewable and transmission investments, as well as work with regulators to earn a fair rate of return. We project that Minnesota Power will not earn its allowed rate of return in 2016. We are preparing for our next general rate case at Minnesota Power and will be able to file later this year. Some factors affecting rate case timing decisions include current depreciation dockets, approval of our integrated resource plan and the outlook for industrial sales.</w:t>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Regulatory Matters. </w:t>
      </w:r>
      <w:r>
        <w:rPr>
          <w:rFonts w:ascii="Arial" w:cs="Arial" w:eastAsia="Arial" w:hAnsi="Arial"/>
          <w:sz w:val="17"/>
          <w:szCs w:val="17"/>
          <w:color w:val="auto"/>
        </w:rPr>
        <w:t>Entities within our Regulated Operations segment are under the jurisdiction of the MPUC, the FERC, the PSCW or the NDPSC. See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 6. Regulatory Matters for discussion of regulatory matters within our Minnesota, FERC, Wisconsin, and North Dakota jurisdictions.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iron concentrate, paper, pulp and secondary wood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industries. Approximately 41 percent of our regulated utility kWh sales in the three months ended March 31, 2016 (48 percent in the three months ended March 31, 2015) were made to our industrial customers in these industries.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Minnesota Power provides electric service to five taconite customers capable of producing up to approximately 41 million tons of taconite pellets annually. Four of these customers are Large Power Customers. The fifth is Northshore Mining, owned and operated by Cliffs Natural Resources Inc., which self-generates a majority of its power, and is capable of producing approximately 6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is exported outside of North America. Minnesota Power also provides electric service to three iron concentrate customers capable of producing up to approximately 4 million tons of iron concentrate per year. Iron concentrate is used in the production of taconite pellets.</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There has been a general historical correlation between U.S. steel production and Minnesota taconite production. The American Iron and Steel Institute (AISI), an association of North American steel producers, reported that U.S. raw steel production operated at approximately 70 percent of capacity during the first three months of 2016 compared to 73 percent in the first three months of 2015. Many steel producers reduced production in 2015, citing higher levels of imports and lower prices. Some Minnesota taconite and iron concentrate producers reduced production in 2015 in response to declining U.S. steel production. The World Steel Association, an association of over 150 steel producers, national and regional steel industry associations, and steel research institutes representing approximately 85 percent of world steel production, projected U.S. steel consumption in 2016 will increase compared to 2015. While steel consumption is expected to increase in the U.S. in 2016, there is a natural lag between U.S. steel consumption and Minnesota taconite production. The high level of imports and lower prices in 2015 continue to impact Minnesota taconite production in 2016. In 2015, petitions regarding unfairly traded cold-rolled, hot-rolled and corrosion-resistant steel products were filed by domestic steel producers with the U.S. Department of Commerce and U.S. International Trade Commission resulting in countervailing duty and antidumping investigations. The U.S. Department of Commerce has since made preliminary affirmative determinations in the countervailing duty and antidumping investigations; final determinations are expected in 2016. According to the U.S. Census Bureau, February 2016 year-to-date imports for consumption of steel products are down approximately 40 percent compared to February 2015 year-to-date imports.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$0.03, net of expected power marketing sales at current prices. Changes in wholesale electric prices or customer contractual demand nominations could impact this estimate. Long-term reductions in taconite production or a permanent shut down of a taconite customer may lead Minnesota Power to file a rate case to recover lost revenue.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20"/>
          </w:cols>
          <w:pgMar w:left="240" w:top="66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Power’s Large Power taconite customers, subject to demand nomination requirements, nominate demand levels for their energy needs each December, March, and August for four-month periods. Based on nominations received on February 29, 2016, Minnesota Power’s Large Power taconite customers nominated at approximately 80 percent of full demand levels for May through August of 2016.</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proactively sells power that is temporarily not required by industrial customers in the wholesale power markets to optimize the value of its generating facilities. Minnesota Power has remarketed a significant portion of the power not expected to be taken by the idled taconite facilities and is well positioned to serve the power needs for those facilities in the event they resume production sooner than currently indicated.</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USS Corporation</w:t>
      </w:r>
      <w:r>
        <w:rPr>
          <w:rFonts w:ascii="Arial" w:cs="Arial" w:eastAsia="Arial" w:hAnsi="Arial"/>
          <w:sz w:val="17"/>
          <w:szCs w:val="17"/>
          <w:color w:val="auto"/>
        </w:rPr>
        <w:t>. In the second quarter of 2015, USS Corporation temporarily idled its Minnesota Ore Operations - Keetac plant in Keewatin,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and a portion of its Minnesota Ore Operations - Minntac plant in Mountain Iron, Minnesota. These actions were due to high inventory levels and ongoing adjustment of its steel producing operations throughout North America. Global influences in the market, including a higher level of imports, unfairly traded products and reduced steel prices, were cited as having an impact. In the third quarter of 2015, USS Corporation returned its Minntac plant to full production. USS Corporation’s Keetac plant remains idled. Both facilities are Large Power Customers of Minnesota Power. USS Corporation has the capability to produce approximately 5 million tons and 15 million tons of taconite annually at its Keetac and Minntac plants, respectively.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Magnetation</w:t>
      </w:r>
      <w:r>
        <w:rPr>
          <w:rFonts w:ascii="Arial" w:cs="Arial" w:eastAsia="Arial" w:hAnsi="Arial"/>
          <w:sz w:val="17"/>
          <w:szCs w:val="17"/>
          <w:i w:val="1"/>
          <w:iCs w:val="1"/>
          <w:color w:val="auto"/>
        </w:rPr>
        <w:t xml:space="preserve">. </w:t>
      </w:r>
      <w:r>
        <w:rPr>
          <w:rFonts w:ascii="Arial" w:cs="Arial" w:eastAsia="Arial" w:hAnsi="Arial"/>
          <w:sz w:val="17"/>
          <w:szCs w:val="17"/>
          <w:color w:val="auto"/>
        </w:rPr>
        <w:t>In May 2015, Magnetation announced that it had reached an agreement with holders of more than 70 percent of its 11.0 percent senior secured</w:t>
      </w:r>
      <w:r>
        <w:rPr>
          <w:rFonts w:ascii="Arial" w:cs="Arial" w:eastAsia="Arial" w:hAnsi="Arial"/>
          <w:sz w:val="17"/>
          <w:szCs w:val="17"/>
          <w:i w:val="1"/>
          <w:iCs w:val="1"/>
          <w:color w:val="auto"/>
        </w:rPr>
        <w:t xml:space="preserve"> </w:t>
      </w:r>
      <w:r>
        <w:rPr>
          <w:rFonts w:ascii="Arial" w:cs="Arial" w:eastAsia="Arial" w:hAnsi="Arial"/>
          <w:sz w:val="17"/>
          <w:szCs w:val="17"/>
          <w:color w:val="auto"/>
        </w:rPr>
        <w:t>notes due in 2018 to restructure its balance sheet and provide liquidity to support long-term operations. To implement this restructuring, Magnetation announced that it had filed voluntary petitions for reorganization under Chapter 11 of the Bankruptcy Code in the United States Bankruptcy Court for the District of Minnesota, citing the significant decrease in global iron ore prices and its existing capital structure.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Magnetation stated that it intends to continue to pay suppliers and vendors in full under normal terms for goods and services provided after the bankruptcy filing date. Minnesota Power has received payment of all pre-petition amounts due from Magnetation.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Magnetation’s Plant 4 iron concentrate facility is a Large Power Customer of Minnesota Power. In July 2015, Minnesota Power filed a petition with the MPUC for approval of a new electric service agreement for service to both Magnetation’s Plant 2 and Plant 4 facilities, with a term through at least December 31, 2025. This electric service agreement was approved by the MPUC in an order dated February 2, 2016, and was subsequently approved by the bankruptcy court.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6, 2016, Magnetation announced a temporary production curtailment at its Plant 2 iron concentrate facility in Bovey, Minnesota, effective January 18, 2016, in order to balance its production with its customers’ needs.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u w:val="single" w:color="auto"/>
          <w:color w:val="auto"/>
        </w:rPr>
        <w:t>United Taconite</w:t>
      </w:r>
      <w:r>
        <w:rPr>
          <w:rFonts w:ascii="Arial" w:cs="Arial" w:eastAsia="Arial" w:hAnsi="Arial"/>
          <w:sz w:val="16"/>
          <w:szCs w:val="16"/>
          <w:i w:val="1"/>
          <w:iCs w:val="1"/>
          <w:color w:val="auto"/>
        </w:rPr>
        <w:t xml:space="preserve">. </w:t>
      </w:r>
      <w:r>
        <w:rPr>
          <w:rFonts w:ascii="Arial" w:cs="Arial" w:eastAsia="Arial" w:hAnsi="Arial"/>
          <w:sz w:val="16"/>
          <w:szCs w:val="16"/>
          <w:color w:val="auto"/>
        </w:rPr>
        <w:t>In August 2015, Cliffs Natural Resources Inc. (Cliffs) temporarily idled its United Taconite plant in Eveleth, Minnesota, citing high levels of</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inventories, lower demand from its customers, and the high rate of imported steel. Cliffs has said the plant will return to production as soon as demand from customers returns which it expects in 2016. United Taconite has the capability to produce approximately 5 million tons of taconite annually.</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resource-based projects that represent long-term growth potential and load diversity for Minnesota Power. We cannot predict the outcome of these projects.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u w:val="single" w:color="auto"/>
          <w:color w:val="auto"/>
        </w:rPr>
        <w:t>Nashwauk Public Utilities Commission</w:t>
      </w:r>
      <w:r>
        <w:rPr>
          <w:rFonts w:ascii="Arial" w:cs="Arial" w:eastAsia="Arial" w:hAnsi="Arial"/>
          <w:sz w:val="16"/>
          <w:szCs w:val="16"/>
          <w:i w:val="1"/>
          <w:iCs w:val="1"/>
          <w:color w:val="auto"/>
        </w:rPr>
        <w:t xml:space="preserve">. </w:t>
      </w:r>
      <w:r>
        <w:rPr>
          <w:rFonts w:ascii="Arial" w:cs="Arial" w:eastAsia="Arial" w:hAnsi="Arial"/>
          <w:sz w:val="16"/>
          <w:szCs w:val="16"/>
          <w:color w:val="auto"/>
        </w:rPr>
        <w:t>In April 2015, Minnesota Power amended its formula-based wholesale electric sales agreement with the Nashwauk</w:t>
      </w:r>
      <w:r>
        <w:rPr>
          <w:rFonts w:ascii="Arial" w:cs="Arial" w:eastAsia="Arial" w:hAnsi="Arial"/>
          <w:sz w:val="16"/>
          <w:szCs w:val="16"/>
          <w:i w:val="1"/>
          <w:iCs w:val="1"/>
          <w:color w:val="auto"/>
        </w:rPr>
        <w:t xml:space="preserve"> </w:t>
      </w:r>
      <w:r>
        <w:rPr>
          <w:rFonts w:ascii="Arial" w:cs="Arial" w:eastAsia="Arial" w:hAnsi="Arial"/>
          <w:sz w:val="16"/>
          <w:szCs w:val="16"/>
          <w:color w:val="auto"/>
        </w:rPr>
        <w:t>Public Utilities Commission for all of its electric service requirements, extending the term through June 30, 2028. A new Essar taconite facility is currently under construction in the city of Nashwauk, and the Nashwauk Public Utilities Commission also amended and extended its electric service agreement with Essar. Upon completion, this facility would result in up to approximately 110 MW of additional load for Minnesota Power. We expect minimal electricity sales to the Nashwauk Public Utilities Commission for electric service to Essar Steel Minnesota’s taconite mine and processing facility in 2016.</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66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u w:val="single" w:color="auto"/>
          <w:color w:val="auto"/>
        </w:rPr>
        <w:t>PolyMet</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Power has a long-term contract with PolyMet, which is planning to start a new copper-nickel and precious metal (non-ferrous) mining</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 in northeastern Minnesota. In November 2015, PolyMet announced the completion of the final EIS by state and federal agencies, which was subsequently published in the Federal Register and Minnesota Environmental Quality Board Monitor. The Minnesota Department of Natural Resources issued its Record of Decision on March 3, 2016, finding the final EIS adequate. The 30-day period allowed by law to challenge the Record of Decision passed without any legal challenges being filed. On April 19, 2016, the Minnesota Department of Natural Resources held a pre-application public informational meeting which provided an overview of the state permitting process and is expected to be followed by the formal submission of permit applications by PolyMet. The final EIS also requires Records of Decision by the federal agencies, which are expected in 2016, before final action can be taken on the required permits to construct and operate the mining operation. Minnesota Power could supply between 45 MW and 50 MW of load under a ten-year power supply contract that would begin upon start-up of the mining operations.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EnergyForward. </w:t>
      </w:r>
      <w:r>
        <w:rPr>
          <w:rFonts w:ascii="Arial" w:cs="Arial" w:eastAsia="Arial" w:hAnsi="Arial"/>
          <w:sz w:val="17"/>
          <w:szCs w:val="17"/>
          <w:color w:val="auto"/>
        </w:rPr>
        <w:t>In 2013, Minnesota Power announced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EnergyForward</w:t>
      </w:r>
      <w:r>
        <w:rPr>
          <w:rFonts w:ascii="Arial" w:cs="Arial" w:eastAsia="Arial" w:hAnsi="Arial"/>
          <w:sz w:val="17"/>
          <w:szCs w:val="17"/>
          <w:color w:val="auto"/>
        </w:rPr>
        <w:t>, a strategic plan for assuring reliability, protecting affordability and further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improving environmental performance. The plan includes completed and planned investments in wind and hydroelectric power, the addition of natural gas as a generation fuel source, and the installation of emissions control technology. Significant elements of the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plan include:</w:t>
      </w:r>
    </w:p>
    <w:p>
      <w:pPr>
        <w:spacing w:after="0" w:line="166" w:lineRule="exact"/>
        <w:rPr>
          <w:sz w:val="20"/>
          <w:szCs w:val="20"/>
          <w:color w:val="auto"/>
        </w:rPr>
      </w:pPr>
    </w:p>
    <w:p>
      <w:pPr>
        <w:ind w:left="660" w:right="2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Major wind investments in North Dakota. The Bison Wind Energy Center added 205 MW of capacity in the fourth quarter of 2014, bringing total capacity to 497 MW. (See </w:t>
      </w:r>
      <w:r>
        <w:rPr>
          <w:rFonts w:ascii="Arial" w:cs="Arial" w:eastAsia="Arial" w:hAnsi="Arial"/>
          <w:sz w:val="18"/>
          <w:szCs w:val="18"/>
          <w:i w:val="1"/>
          <w:iCs w:val="1"/>
          <w:color w:val="auto"/>
        </w:rPr>
        <w:t>Renewable Energy.</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installation of emissions control technology at Boswell Unit 4 completed in December 2015 to further reduce emissions of SO</w:t>
      </w:r>
      <w:r>
        <w:rPr>
          <w:rFonts w:ascii="Arial" w:cs="Arial" w:eastAsia="Arial" w:hAnsi="Arial"/>
          <w:sz w:val="12"/>
          <w:szCs w:val="12"/>
          <w:color w:val="auto"/>
        </w:rPr>
        <w:t>2</w:t>
      </w:r>
      <w:r>
        <w:rPr>
          <w:rFonts w:ascii="Arial" w:cs="Arial" w:eastAsia="Arial" w:hAnsi="Arial"/>
          <w:sz w:val="18"/>
          <w:szCs w:val="18"/>
          <w:color w:val="auto"/>
        </w:rPr>
        <w:t xml:space="preserve">, particulates and mercury. (See </w:t>
      </w:r>
      <w:r>
        <w:rPr>
          <w:rFonts w:ascii="Arial" w:cs="Arial" w:eastAsia="Arial" w:hAnsi="Arial"/>
          <w:sz w:val="18"/>
          <w:szCs w:val="18"/>
          <w:i w:val="1"/>
          <w:iCs w:val="1"/>
          <w:color w:val="auto"/>
        </w:rPr>
        <w:t>Boswell Mercury Emission Reduction Plan.</w:t>
      </w:r>
      <w:r>
        <w:rPr>
          <w:rFonts w:ascii="Arial" w:cs="Arial" w:eastAsia="Arial" w:hAnsi="Arial"/>
          <w:sz w:val="18"/>
          <w:szCs w:val="18"/>
          <w:color w:val="auto"/>
        </w:rPr>
        <w:t>)</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Planning for the proposed GNTL to deliver hydroelectric power from northern Manitoba by 2020. (See </w:t>
      </w:r>
      <w:r>
        <w:rPr>
          <w:rFonts w:ascii="Arial" w:cs="Arial" w:eastAsia="Arial" w:hAnsi="Arial"/>
          <w:sz w:val="18"/>
          <w:szCs w:val="18"/>
          <w:i w:val="1"/>
          <w:iCs w:val="1"/>
          <w:color w:val="auto"/>
        </w:rPr>
        <w:t>Transmission.</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conversion of Laskin from coal to cleaner-burning natural gas which was completed in June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Retirement of Taconite Harbor Unit 3, one of three coal-fired units at Taconite Harbor, which was retired in May 2015.</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July 2015, Minnesota Power announced the next steps in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plan, which will reduce carbon emissions, increase the use of renewable resources and add natural gas to meet customer electric service needs in a balanced, reliable and cost-effective way. Significant additional elements of the plan include:</w:t>
      </w:r>
    </w:p>
    <w:p>
      <w:pPr>
        <w:spacing w:after="0" w:line="18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idling of Taconite Harbor Units 1 and 2 in the fall of 2016 and the ceasing of coal-fired operations there in 2020.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Adding between 200 MW and 300 MW of cleaner and flexible natural gas-fired generation to Minnesota Power’s portfolio within the next decade.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Building both large and small scale solar generation.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Expanding the potential for additional energy efficiency savings.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Integrated Resource Plan (IRP). </w:t>
      </w:r>
      <w:r>
        <w:rPr>
          <w:rFonts w:ascii="Arial" w:cs="Arial" w:eastAsia="Arial" w:hAnsi="Arial"/>
          <w:sz w:val="18"/>
          <w:szCs w:val="18"/>
          <w:color w:val="auto"/>
        </w:rPr>
        <w:t>In a November 2013 order, the MPUC approved Minnesota Power’s 2013 IRP which detailed elements of its</w:t>
      </w:r>
      <w:r>
        <w:rPr>
          <w:rFonts w:ascii="Arial" w:cs="Arial" w:eastAsia="Arial" w:hAnsi="Arial"/>
          <w:sz w:val="18"/>
          <w:szCs w:val="18"/>
          <w:i w:val="1"/>
          <w:iCs w:val="1"/>
          <w:color w:val="auto"/>
        </w:rPr>
        <w:t xml:space="preserve"> EnergyForward </w:t>
      </w:r>
      <w:r>
        <w:rPr>
          <w:rFonts w:ascii="Arial" w:cs="Arial" w:eastAsia="Arial" w:hAnsi="Arial"/>
          <w:sz w:val="18"/>
          <w:szCs w:val="18"/>
          <w:color w:val="auto"/>
        </w:rPr>
        <w:t xml:space="preserve">strategic plan, announced in January 2013. In September 2015, Minnesota Power filed its 2015 IRP with the MPUC which contains the next steps in its </w:t>
      </w:r>
      <w:r>
        <w:rPr>
          <w:rFonts w:ascii="Arial" w:cs="Arial" w:eastAsia="Arial" w:hAnsi="Arial"/>
          <w:sz w:val="18"/>
          <w:szCs w:val="18"/>
          <w:i w:val="1"/>
          <w:iCs w:val="1"/>
          <w:color w:val="auto"/>
        </w:rPr>
        <w:t xml:space="preserve">EnergyForward </w:t>
      </w:r>
      <w:r>
        <w:rPr>
          <w:rFonts w:ascii="Arial" w:cs="Arial" w:eastAsia="Arial" w:hAnsi="Arial"/>
          <w:sz w:val="18"/>
          <w:szCs w:val="18"/>
          <w:color w:val="auto"/>
        </w:rPr>
        <w:t>strategic plan, and includes an analysis of a variety of existing and future energy resource alternatives and a projection of customer cost</w:t>
      </w:r>
      <w:r>
        <w:rPr>
          <w:rFonts w:ascii="Arial" w:cs="Arial" w:eastAsia="Arial" w:hAnsi="Arial"/>
          <w:sz w:val="18"/>
          <w:szCs w:val="18"/>
          <w:i w:val="1"/>
          <w:iCs w:val="1"/>
          <w:color w:val="auto"/>
        </w:rPr>
        <w:t xml:space="preserve"> </w:t>
      </w:r>
      <w:r>
        <w:rPr>
          <w:rFonts w:ascii="Arial" w:cs="Arial" w:eastAsia="Arial" w:hAnsi="Arial"/>
          <w:sz w:val="18"/>
          <w:szCs w:val="18"/>
          <w:color w:val="auto"/>
        </w:rPr>
        <w:t>impact by class.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Renewable Energy. </w:t>
      </w:r>
      <w:r>
        <w:rPr>
          <w:rFonts w:ascii="Arial" w:cs="Arial" w:eastAsia="Arial" w:hAnsi="Arial"/>
          <w:sz w:val="17"/>
          <w:szCs w:val="17"/>
          <w:color w:val="auto"/>
        </w:rPr>
        <w:t>In February 2007, Minnesota enacted a law requiring 25 percent of electric utilities’ applicable retail and municipal energy sales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Minnesota to be from renewable energy sources by 2025. The law also requires Minnesota Power to meet interim milestones of 12 percent by 2012, 17 percent by 2016 and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Minnesota Power’s 2015 IRP, which was filed with the MPUC in September 2015, includes an update on its plans and progress in meeting the Minnesota renewable energy milestones through 2025. (See </w:t>
      </w:r>
      <w:r>
        <w:rPr>
          <w:rFonts w:ascii="Arial" w:cs="Arial" w:eastAsia="Arial" w:hAnsi="Arial"/>
          <w:sz w:val="17"/>
          <w:szCs w:val="17"/>
          <w:i w:val="1"/>
          <w:iCs w:val="1"/>
          <w:color w:val="auto"/>
        </w:rPr>
        <w:t>EnergyForward</w:t>
      </w:r>
      <w:r>
        <w:rPr>
          <w:rFonts w:ascii="Arial" w:cs="Arial" w:eastAsia="Arial" w:hAnsi="Arial"/>
          <w:sz w:val="17"/>
          <w:szCs w:val="17"/>
          <w:color w:val="auto"/>
        </w:rPr>
        <w: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continues to execute its renewable energy strategy through key renewable projects that will ensure it meets the identified state mandate at the lowest cost for customers. Minnesota Power has exceeded the interim milestone requirements to date and expects approximately 30 percent of its applicable retail and municipal energy sales will be supplied by renewable energy sources in 2016.</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66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u w:val="single" w:color="auto"/>
          <w:color w:val="auto"/>
        </w:rPr>
        <w:t>Minnesota Solar Energy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In May 2013, legislation was enacted by the state of Minnesota requiring at least 1.5 percent of total retail electric sales,</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sales to certain industrial customers, to be generated by solar energy by the end of 2020. At least 10 percent of the 1.5 percent mandate must be met by solar energy generated by or procured from solar photovoltaic devices with a nameplate capacity of 20 kilowatts or less. Minnesota Power has two solar projects under development. In August 2015, Minnesota Power filed for MPUC approval of a 10 MW utility scale solar project at Camp Ripley, a Minnesota Army National Guard base and training facility near Little Falls, Minnesota. In an order dated February 24, 2016, the MPUC approved the Camp Ripley solar project as eligible to meet the solar energy standard and for current cost recovery, subject to certain compliance requirements. In September 2015, Minnesota Power filed for MPUC approval of a 1 MW community solar garden project in Saint Louis County, Minnesota, to be owned and operated by a third party with the output purchased by Minnesota Power. If the community solar garden project is also approved, Minnesota Power believes these projects will meet approximately one-third of the overall mandate and approximately one-fourth of the mandate related to solar photovoltaic devices with a nameplate capacity of 20 kilowatts or less. Costs associated with these projects are expected to be recovered from customers.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the 497 MW Bison Wind Energy Center located in North Dakota, and the 25 MW Taconite</w:t>
      </w:r>
      <w:r>
        <w:rPr>
          <w:rFonts w:ascii="Arial" w:cs="Arial" w:eastAsia="Arial" w:hAnsi="Arial"/>
          <w:sz w:val="18"/>
          <w:szCs w:val="18"/>
          <w:i w:val="1"/>
          <w:iCs w:val="1"/>
          <w:color w:val="auto"/>
        </w:rPr>
        <w:t xml:space="preserve"> </w:t>
      </w:r>
      <w:r>
        <w:rPr>
          <w:rFonts w:ascii="Arial" w:cs="Arial" w:eastAsia="Arial" w:hAnsi="Arial"/>
          <w:sz w:val="18"/>
          <w:szCs w:val="18"/>
          <w:color w:val="auto"/>
        </w:rPr>
        <w:t>Ridge Energy Center located in northeastern Minnesota. Minnesota Power also has two long-term wind PPAs with an affiliate of NextEra Energy, Inc. to purchase the output from Oliver Wind I (50 MW) and Oliver Wind II (48 MW) located in North Dakota.</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uses the 465-mile, 250 kV DC transmission line that runs from Center, North Dakota, to Duluth, Minnesota, to transport increasing amounts of wind energy from North Dakota while gradually phasing out coal-based electricity delivered to its system over this transmission line from Square Butte’s lignite coal-fired generating unit. The DC transmission line capacity can be increased if renewable energy or transmission needs justify investments to upgrade the line.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Updated customer billing rates for the renewable cost recovery rider, which includes investments and expenditures related to the Bison Wind Energy Center, were approved by the MPUC in an order dated March 9, 2016, allowing Minnesota Power to charge retail customers on a current basis for the costs of constructing certain renewable investments plus a return on the capital invested. While approving the updated customer billing rates for the renewable cost recovery rider, the MPUC also allowed Minnesota Power additional time to submit support for its position on its utilization of North Dakota investment tax credits.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Minnesota Power accounts for North Dakota investment tax credits based on long-standing regulatory precedents of stand-alone allocation methodology of accounting for income taxes. The stand-alone method provides that income taxes (and credits) are calculated as if Minnesota Power was the only entity included in ALLETE’s consolidated federal and unitary state income tax returns. Minnesota Power has recorded a regulatory liability for North Dakota investment tax credits generated by its jurisdictional activity and expected to be realized in the future. North Dakota investment tax credits attributable to ALLETE’s apportionment and income of ALLETE’s other subsidiaries are included in the ALLETE consolidated group. The Minnesota Department of Commerce (Department) has inquired about our use of the North Dakota investment tax credits, taking the position that all North Dakota investment tax credits generated from the Bison Wind Energy Center should be credited to Minnesota Power ratepayers. The MPUC did not come to a decision on this issue in its order dated March 9, 2016, but requested that Minnesota Power provide further support on its position which was submitted on April 8, 2016.</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amount of North Dakota investment tax credits recognized by ALLETE as of March 31, 2016, total approximately $8 million, which represents the amount of North Dakota investment tax credits that the Department believes should be refunded to ratepayers. Minnesota Power will appropriately consider all avenues of appeal should an adverse decision be issued by the MPUC.</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u w:val="single" w:color="auto"/>
          <w:color w:val="auto"/>
        </w:rPr>
        <w:t>Manitoba Hydro</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Power has five long-term PPAs with Manitoba Hydro. The first PPA expires in May 2020. Under this agreement,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 is purchasing 50 MW of capacity and the energy associated with that capacity. Both the capacity price and the energy price are adjusted annually by the change in a governmental inflationary index. Under the second PPA, Minnesota Power is purchasing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66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2011, Minnesota Power and Manitoba Hydro signed a third PPA. This PPA provides for Minnesota Power to purchase 250 MW of capacity and energy from Manitoba Hydro for 15 years beginning in 2020. The agreement is subject to construction of additional transmission capacity between Manitoba and the U.S., along with construction of new hydroelectric generating capacity in Manitoba. In September 2015, Manitoba Hydro submitted the final preferred route and EIS for the additional transmission capacity in Canada to Manitoba Conservation and Water Stewardship for regulatory approval. Construction of Manitoba Hydro’s hydroelectric generation facility commenced in 2014.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July 2014, Minnesota Power and Manitoba Hydro signed a fourth PPA that provides for Minnesota Power to purchase up to 133 MW of energy from Manitoba Hydro for 20 years beginning in 2020. The pricing under this PPA is based on forward market prices. The PPA was approved by the MPUC in an order dated January 30, 2015, and is subject to the construction of the GNTL. (See </w:t>
      </w:r>
      <w:r>
        <w:rPr>
          <w:rFonts w:ascii="Arial" w:cs="Arial" w:eastAsia="Arial" w:hAnsi="Arial"/>
          <w:sz w:val="17"/>
          <w:szCs w:val="17"/>
          <w:i w:val="1"/>
          <w:iCs w:val="1"/>
          <w:color w:val="auto"/>
        </w:rPr>
        <w:t>Great Northern Transmission Line</w:t>
      </w:r>
      <w:r>
        <w:rPr>
          <w:rFonts w:ascii="Arial" w:cs="Arial" w:eastAsia="Arial" w:hAnsi="Arial"/>
          <w:sz w:val="17"/>
          <w:szCs w:val="17"/>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In October 2015, Minnesota Power and Manitoba Hydro signed a fifth PPA that provides for Minnesota Power to purchase 50 MW of capacity at fixed prices.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PPA begins in June 2017 and expires in May 2020.</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Boswell Mercury Emissions Reduction Plan. </w:t>
      </w:r>
      <w:r>
        <w:rPr>
          <w:rFonts w:ascii="Arial" w:cs="Arial" w:eastAsia="Arial" w:hAnsi="Arial"/>
          <w:sz w:val="18"/>
          <w:szCs w:val="18"/>
          <w:color w:val="auto"/>
        </w:rPr>
        <w:t>Minnesota Power has an approved environmental improvement rider in place for investments and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implementation of the Boswell Unit 4 mercury emissions reduction plan completed in 2015. Customer billing rates for the environmental improvement rider were approved by the MPUC in August 2015. In September 2015, Minnesota Power filed an updated environmental improvement factor filing which included updated costs associated with Boswell Unit 4. Upon approval of the filing, Minnesota Power will be authorized to include updated billing rates on customer bills.</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May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and Manitoba Hydro proposed construction of the GNTL, an approximately 220-mile 500 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GNTL is subject to various federal and state regulatory approvals. In October 2013, a certificate of need application was filed with the MPUC which was approved in a June 2015 order. Based on this order, Minnesota Power’s portion of the investments and expenditures for the project are eligible for cost recovery under its existing transmission cost recovery rider and are anticipated to be included in future transmission factor filings. (See Note 6. Regulatory Matters.) In a December 2015 order, the FERC approved our request to recover on construction work in progress related to the GNTL from Minnesota Power’s wholesale customers. In April 2014, Minnesota Power filed a route permit application with the MPUC and a request for a presidential permit to cross the U.S.-Canadian border with the U.S. Department of Energy. In an order dated April 11, 2016, the MPUC approved the route permit which largely follows Minnesota Power’s preferred route, including the international border crossing. A final decision on the presidential permit by the U.S. Department of Energy is expected in the second quarter of 2016. Manitoba Hydro must also obtain regulatory and governmental approvals related to a new transmission line in Canada. In September 2015, Manitoba Hydro submitted the final preferred route and EIS for the transmission line in Canada to the Manitoba Conservation and Water Stewardship for regulatory approval. Construction of Manitoba Hydro’s hydroelectric generation facility commenced in 2014. Upon receipt of all applicable permits and approvals, construction of the GNTL is expected to begin by 2017 and to be completed in 2020. Total project cost in the U.S., including substation work, is estimated to be between $560 million and $710 million. Minnesota Power is expected to have majority ownership of the transmission line.</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Investment in ATC. </w:t>
      </w:r>
      <w:r>
        <w:rPr>
          <w:rFonts w:ascii="Arial" w:cs="Arial" w:eastAsia="Arial" w:hAnsi="Arial"/>
          <w:sz w:val="16"/>
          <w:szCs w:val="16"/>
          <w:color w:val="auto"/>
        </w:rPr>
        <w:t>Our wholly-owned subsidiary, ALLETE Transmission Holdings, owns approximately 8 percent of ATC, a Wisconsin-based utility that</w:t>
      </w:r>
      <w:r>
        <w:rPr>
          <w:rFonts w:ascii="Arial" w:cs="Arial" w:eastAsia="Arial" w:hAnsi="Arial"/>
          <w:sz w:val="16"/>
          <w:szCs w:val="16"/>
          <w:i w:val="1"/>
          <w:iCs w:val="1"/>
          <w:color w:val="auto"/>
        </w:rPr>
        <w:t xml:space="preserve"> </w:t>
      </w:r>
      <w:r>
        <w:rPr>
          <w:rFonts w:ascii="Arial" w:cs="Arial" w:eastAsia="Arial" w:hAnsi="Arial"/>
          <w:sz w:val="16"/>
          <w:szCs w:val="16"/>
          <w:color w:val="auto"/>
        </w:rPr>
        <w:t>owns and maintains electric transmission assets in parts of Wisconsin, Michigan, Minnesota and Illinois. As of March 31, 2016, our equity investment in ATC was $128.6 million ($124.5 million as of December 31, 2015). In the first three months of 2016, we invested $1.2 million in ATC, and on April 29, 2016, we invested an additional $0.4 million. We expect to make additional investments of approximately $4.6 million in 2016. (See Note 7. Investment in ATC.)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20"/>
          </w:cols>
          <w:pgMar w:left="240" w:top="66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2013, several customer groups located within the MISO service area filed complaints with the FERC requesting, among other things, a reduction in the base return on equity used by MISO transmission owners, including ATC, to 9.15 percent. In February 2015, an additional complaint was filed with the FERC seeking an order to further reduce the base return on equity to 8.67 percent. In December 2015, a federal administrative law judge ruled that the MISO transmission users have been charged an unreasonable base return on equity and proposed a reduction to 10.32 percent, subject to approval or adjustment by the FERC. A final decision from the FERC on the administrative law judge’s recommendation is expected in 2016. Our equity earnings in ATC continue to be impacted by these reductions for estimated refunds and assume a 10.32 percent base return on equity for the period from November 12, 2013, to January 6, 2015, and a 10.82 percent return on equity (10.32 percent base return on equity plus a 50 basis point incentive) for the period from January 6, 2015, to March 31, 2016. ATC's current authorized return on equity is 12.2 percent. We own approximately 8 percent of ATC and estimate that for every 50 basis point reduction in ATC’s allowed return on equity our equity earnings in ATC would be impacted annually by approximately $0.5 million on an after-tax basis ($0.9 million pre-tax).</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Infrastructure and Related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was established in 2011, and focuses on developing, acquiring and operating clean and renewable energy projects. ALLETE Clean Energy currently owns and operates, in four states, approximately 535 MW of nameplate capacity wind energy generation that are under long-term power sales agreements. In addition, ALLETE Clean Energy constructed a 107 MW wind energy facility for sale to Montana-Dakota Utilities; construction and sale were completed in the fourth quarter of 2015.</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Clean Energy believes the market for renewable energy in North America is robust, driven by several factors including environmental regulation, tax incentives, societal expectations and continual technology advances. The recent Clean Power Plan is an example of an environmental regulation that we believe will drive renewable energy development.</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ALLETE Clean Energy’s strategy includes the safe, reliable, optimal and profitable operation of its existing facilities. This includes a strong safety culture, the continuous pursuit of operational efficiencies at existing facilities, and cost controls. While ALLETE Clean Energy generally acquires facilities in liquid power markets, ALLETE Clean Energy’s strategy also includes the exploration of power sales agreement extensions upon expiration of existing contracts.</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Clean Energy will pursue steady growth through acquisitions or project development for others. ALLETE Clean Energy is targeting acquisitions of existing facilities with a purchase price in the $50 million to $100 million range, and which have long-term power sales agreements in place for the facility’s output. At this time, ALLETE Clean Energy expects acquisitions will be primarily wind or solar facilities in North America.</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ALLETE Clean Energy will manage risk by having a diverse portfolio of assets, which will include power sales contract expiration and geographic diversity.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current mix of power sales agreement expiration and geographic location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Wind Energy Facility</w:t>
            </w:r>
          </w:p>
        </w:tc>
        <w:tc>
          <w:tcPr>
            <w:tcW w:w="2960" w:type="dxa"/>
            <w:vAlign w:val="bottom"/>
          </w:tcPr>
          <w:p>
            <w:pPr>
              <w:jc w:val="center"/>
              <w:ind w:left="1190"/>
              <w:spacing w:after="0"/>
              <w:rPr>
                <w:sz w:val="20"/>
                <w:szCs w:val="20"/>
                <w:color w:val="auto"/>
              </w:rPr>
            </w:pPr>
            <w:r>
              <w:rPr>
                <w:rFonts w:ascii="Arial" w:cs="Arial" w:eastAsia="Arial" w:hAnsi="Arial"/>
                <w:sz w:val="18"/>
                <w:szCs w:val="18"/>
                <w:b w:val="1"/>
                <w:bCs w:val="1"/>
                <w:color w:val="auto"/>
                <w:w w:val="90"/>
              </w:rPr>
              <w:t>Location</w:t>
            </w:r>
          </w:p>
        </w:tc>
        <w:tc>
          <w:tcPr>
            <w:tcW w:w="1760" w:type="dxa"/>
            <w:vAlign w:val="bottom"/>
          </w:tcPr>
          <w:p>
            <w:pPr>
              <w:ind w:left="340"/>
              <w:spacing w:after="0"/>
              <w:rPr>
                <w:sz w:val="20"/>
                <w:szCs w:val="20"/>
                <w:color w:val="auto"/>
              </w:rPr>
            </w:pPr>
            <w:r>
              <w:rPr>
                <w:rFonts w:ascii="Arial" w:cs="Arial" w:eastAsia="Arial" w:hAnsi="Arial"/>
                <w:sz w:val="18"/>
                <w:szCs w:val="18"/>
                <w:b w:val="1"/>
                <w:bCs w:val="1"/>
                <w:color w:val="auto"/>
              </w:rPr>
              <w:t>Capacity MW</w:t>
            </w:r>
          </w:p>
        </w:tc>
        <w:tc>
          <w:tcPr>
            <w:tcW w:w="1620" w:type="dxa"/>
            <w:vAlign w:val="bottom"/>
          </w:tcPr>
          <w:p>
            <w:pPr>
              <w:ind w:left="340"/>
              <w:spacing w:after="0"/>
              <w:rPr>
                <w:sz w:val="20"/>
                <w:szCs w:val="20"/>
                <w:color w:val="auto"/>
              </w:rPr>
            </w:pPr>
            <w:r>
              <w:rPr>
                <w:rFonts w:ascii="Arial" w:cs="Arial" w:eastAsia="Arial" w:hAnsi="Arial"/>
                <w:sz w:val="18"/>
                <w:szCs w:val="18"/>
                <w:b w:val="1"/>
                <w:bCs w:val="1"/>
                <w:color w:val="auto"/>
              </w:rPr>
              <w:t>PPA MW %</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3"/>
              </w:rPr>
              <w:t>PPA Expiration</w:t>
            </w:r>
          </w:p>
        </w:tc>
      </w:tr>
      <w:tr>
        <w:trPr>
          <w:trHeight w:val="27"/>
        </w:trPr>
        <w:tc>
          <w:tcPr>
            <w:tcW w:w="33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Armenia Mountain</w:t>
            </w:r>
          </w:p>
        </w:tc>
        <w:tc>
          <w:tcPr>
            <w:tcW w:w="296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89"/>
              </w:rPr>
              <w:t>Pennsylvania</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100.5</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r>
      <w:tr>
        <w:trPr>
          <w:trHeight w:val="237"/>
        </w:trPr>
        <w:tc>
          <w:tcPr>
            <w:tcW w:w="3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Chanarambie/Viking</w:t>
            </w:r>
          </w:p>
        </w:tc>
        <w:tc>
          <w:tcPr>
            <w:tcW w:w="296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1"/>
              </w:rPr>
              <w:t>Minnesota</w:t>
            </w: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97.5</w:t>
            </w:r>
          </w:p>
        </w:tc>
        <w:tc>
          <w:tcPr>
            <w:tcW w:w="162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 1</w:t>
            </w:r>
          </w:p>
        </w:tc>
        <w:tc>
          <w:tcPr>
            <w:tcW w:w="29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43"/>
        </w:trPr>
        <w:tc>
          <w:tcPr>
            <w:tcW w:w="3320" w:type="dxa"/>
            <w:vAlign w:val="bottom"/>
          </w:tcPr>
          <w:p>
            <w:pPr>
              <w:ind w:left="280"/>
              <w:spacing w:after="0"/>
              <w:rPr>
                <w:sz w:val="20"/>
                <w:szCs w:val="20"/>
                <w:color w:val="auto"/>
              </w:rPr>
            </w:pPr>
            <w:r>
              <w:rPr>
                <w:rFonts w:ascii="Arial" w:cs="Arial" w:eastAsia="Arial" w:hAnsi="Arial"/>
                <w:sz w:val="18"/>
                <w:szCs w:val="18"/>
                <w:color w:val="auto"/>
              </w:rPr>
              <w:t>PPA 2</w:t>
            </w:r>
          </w:p>
        </w:tc>
        <w:tc>
          <w:tcPr>
            <w:tcW w:w="29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4"/>
              </w:rPr>
              <w:t>88%</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2023</w:t>
            </w:r>
          </w:p>
        </w:tc>
      </w:tr>
      <w:tr>
        <w:trPr>
          <w:trHeight w:val="27"/>
        </w:trPr>
        <w:tc>
          <w:tcPr>
            <w:tcW w:w="33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Condon</w:t>
            </w:r>
          </w:p>
        </w:tc>
        <w:tc>
          <w:tcPr>
            <w:tcW w:w="2960" w:type="dxa"/>
            <w:vAlign w:val="bottom"/>
            <w:tcBorders>
              <w:bottom w:val="single" w:sz="8" w:color="CCEEFF"/>
            </w:tcBorders>
            <w:shd w:val="clear" w:color="auto" w:fill="CCEEFF"/>
          </w:tcPr>
          <w:p>
            <w:pPr>
              <w:jc w:val="center"/>
              <w:ind w:left="1210"/>
              <w:spacing w:after="0"/>
              <w:rPr>
                <w:sz w:val="20"/>
                <w:szCs w:val="20"/>
                <w:color w:val="auto"/>
              </w:rPr>
            </w:pPr>
            <w:r>
              <w:rPr>
                <w:rFonts w:ascii="Arial" w:cs="Arial" w:eastAsia="Arial" w:hAnsi="Arial"/>
                <w:sz w:val="18"/>
                <w:szCs w:val="18"/>
                <w:color w:val="auto"/>
                <w:w w:val="89"/>
              </w:rPr>
              <w:t>Oregon</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r>
      <w:tr>
        <w:trPr>
          <w:trHeight w:val="237"/>
        </w:trPr>
        <w:tc>
          <w:tcPr>
            <w:tcW w:w="3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Lake Benton</w:t>
            </w:r>
          </w:p>
        </w:tc>
        <w:tc>
          <w:tcPr>
            <w:tcW w:w="296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1"/>
              </w:rPr>
              <w:t>Minnesota</w:t>
            </w: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104</w:t>
            </w: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2028</w:t>
            </w:r>
          </w:p>
        </w:tc>
      </w:tr>
      <w:tr>
        <w:trPr>
          <w:trHeight w:val="27"/>
        </w:trPr>
        <w:tc>
          <w:tcPr>
            <w:tcW w:w="33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Storm Lake I</w:t>
            </w:r>
          </w:p>
        </w:tc>
        <w:tc>
          <w:tcPr>
            <w:tcW w:w="296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94"/>
              </w:rPr>
              <w:t>Iowa</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108</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37"/>
        </w:trPr>
        <w:tc>
          <w:tcPr>
            <w:tcW w:w="3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Storm Lake II</w:t>
            </w:r>
          </w:p>
        </w:tc>
        <w:tc>
          <w:tcPr>
            <w:tcW w:w="296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4"/>
              </w:rPr>
              <w:t>Iowa</w:t>
            </w: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77</w:t>
            </w:r>
          </w:p>
        </w:tc>
        <w:tc>
          <w:tcPr>
            <w:tcW w:w="162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 1</w:t>
            </w:r>
          </w:p>
        </w:tc>
        <w:tc>
          <w:tcPr>
            <w:tcW w:w="29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43"/>
        </w:trPr>
        <w:tc>
          <w:tcPr>
            <w:tcW w:w="3320" w:type="dxa"/>
            <w:vAlign w:val="bottom"/>
          </w:tcPr>
          <w:p>
            <w:pPr>
              <w:ind w:left="280"/>
              <w:spacing w:after="0"/>
              <w:rPr>
                <w:sz w:val="20"/>
                <w:szCs w:val="20"/>
                <w:color w:val="auto"/>
              </w:rPr>
            </w:pPr>
            <w:r>
              <w:rPr>
                <w:rFonts w:ascii="Arial" w:cs="Arial" w:eastAsia="Arial" w:hAnsi="Arial"/>
                <w:sz w:val="18"/>
                <w:szCs w:val="18"/>
                <w:color w:val="auto"/>
              </w:rPr>
              <w:t>PPA 2</w:t>
            </w:r>
          </w:p>
        </w:tc>
        <w:tc>
          <w:tcPr>
            <w:tcW w:w="29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2032</w:t>
            </w:r>
          </w:p>
        </w:tc>
      </w:tr>
      <w:tr>
        <w:trPr>
          <w:trHeight w:val="27"/>
        </w:trPr>
        <w:tc>
          <w:tcPr>
            <w:tcW w:w="33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20"/>
          </w:cols>
          <w:pgMar w:left="240" w:top="66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10, 2015, ALLETE acquired U.S. Water Services. Headquartered in St. Michael, Minnesota, U.S. Water Services provides integrated water management for industry by combining chemical, equipment, engineering and service for customized solutions to reduce water and energy usage and improve efficiency. U.S. Water Services is located in 49 states and Canada and has an established base of approximately 4,500 customers. U.S. Water Services differentiates itself from the competition by developing synergies between established solutions in engineering, equipment, and chemical water treatment and helping customers achieve efficient and sustainable use of their water and energy systems. U.S. Water Services is a leading provider to the biofuels industry, and also serves the food and beverage, industrial, power generation, and midstream oil and gas industries. U.S. Water Services principally relies upon recurring revenues from a diverse mix of industrial customers. U.S. Water Services’ sells certain products which are seasonal in nature, with higher demand typically realized in warmer months. The results for the first quarter of 2015 reflect operations from the date of acquisition, February 10, 2015, through March 31, 2015, and therefore, do not reflect a full quarter.</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is to grow U.S. Water Services’ North American presence by adding customers, products, and new geographies. We believe water scarcity and a growing emphasis on conservation will continue to drive significant growth in the industrial, commercial, and governmental sectors leading to organic revenue growth for U.S. Water Services. U.S. Water Services also expects to pursue periodic strategic tuck-in acquisitions with a purchase price in the $10 million to $50 million range. Priority will be given to acquisitions which expand its geographic reach, add new technology, or deepen its capabilities to serve its expanding customer base.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and Other is comprised of BNI Energy, our coal mining operations in North Dakota, ALLETE Properties, our legacy Florida real estate investment, other business development and corporate expenditures, unallocated interest expense, a small amount of non-rate base generation, approximately 5,000 acres of land in Minnesota, and earnings on cash and investments.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BNI Energy. </w:t>
      </w:r>
      <w:r>
        <w:rPr>
          <w:rFonts w:ascii="Arial" w:cs="Arial" w:eastAsia="Arial" w:hAnsi="Arial"/>
          <w:sz w:val="18"/>
          <w:szCs w:val="18"/>
          <w:color w:val="auto"/>
        </w:rPr>
        <w:t>BNI Energy anticipates selling 4.3 million tons of coal in 2016 (4.3 million tons were sold in 2015) and has sold 1.2 million tons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2016 (1.0 million tons were sold as of March 31, 2015). BNI Energy operates under cost-plus fixed fee agreements extending through December 31, 2037.</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ALLETE Properties. </w:t>
      </w:r>
      <w:r>
        <w:rPr>
          <w:rFonts w:ascii="Arial" w:cs="Arial" w:eastAsia="Arial" w:hAnsi="Arial"/>
          <w:sz w:val="16"/>
          <w:szCs w:val="16"/>
          <w:color w:val="auto"/>
        </w:rPr>
        <w:t>ALLETE Properties represents our legacy Florida real estate investment. Market conditions can impact land sales and could result in our</w:t>
      </w:r>
      <w:r>
        <w:rPr>
          <w:rFonts w:ascii="Arial" w:cs="Arial" w:eastAsia="Arial" w:hAnsi="Arial"/>
          <w:sz w:val="16"/>
          <w:szCs w:val="16"/>
          <w:i w:val="1"/>
          <w:iCs w:val="1"/>
          <w:color w:val="auto"/>
        </w:rPr>
        <w:t xml:space="preserve"> </w:t>
      </w:r>
      <w:r>
        <w:rPr>
          <w:rFonts w:ascii="Arial" w:cs="Arial" w:eastAsia="Arial" w:hAnsi="Arial"/>
          <w:sz w:val="16"/>
          <w:szCs w:val="16"/>
          <w:color w:val="auto"/>
        </w:rPr>
        <w:t>inability to cover our cost basis, operating expenses or fixed carrying costs such as community development district assessments and property taxes.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ALLETE Properties’ major projects are Town Center, Palm Coast Park and Ormond Crossings. Separately, the Lake Swamp wetland mitigation bank was permitted on land that was previously part of Ormond Crossings.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three projects and the mitigation bank, ALLETE Properties has approximately 1,400 acres of other land available-for-sale.</w:t>
      </w:r>
    </w:p>
    <w:p>
      <w:pPr>
        <w:spacing w:after="0" w:line="2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ALLETE’s aggregate federal and multi-state statutory tax rate is approximately 41 percent for 2016. On an ongoing basis, ALLETE has tax</w:t>
      </w:r>
      <w:r>
        <w:rPr>
          <w:rFonts w:ascii="Arial" w:cs="Arial" w:eastAsia="Arial" w:hAnsi="Arial"/>
          <w:sz w:val="16"/>
          <w:szCs w:val="16"/>
          <w:b w:val="1"/>
          <w:bCs w:val="1"/>
          <w:color w:val="auto"/>
        </w:rPr>
        <w:t xml:space="preserve"> </w:t>
      </w:r>
      <w:r>
        <w:rPr>
          <w:rFonts w:ascii="Arial" w:cs="Arial" w:eastAsia="Arial" w:hAnsi="Arial"/>
          <w:sz w:val="16"/>
          <w:szCs w:val="16"/>
          <w:color w:val="auto"/>
        </w:rPr>
        <w:t>credits and other tax adjustments that reduce the combined statutory rate to the effective tax rate. These tax credits and adjustments historically have included items such as investment tax credits, production tax credits, AFUDC–Equity, depletion, as well as other items. The annual effective rate can also be impacted by such items as changes in income before non-controlling interest and income taxes, state and federal tax law changes that become effective during the year, business combinations, tax planning initiatives and resolution of prior years’ tax matters. Primarily due to federal production tax credits as a result of wind energy generation, we expect our effective tax rate to be approximately 17 percent for 2016. We also expect that our effective tax rate will be lower than the combined statutory rate over the next nine years due to production tax credits attributable to our wind energy generation.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66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March 31, 2016,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$97.0 million, $395.9 million in available consolidated lines of credit and a debt-to-capital ratio of 46 percent.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27"/>
        </w:trPr>
        <w:tc>
          <w:tcPr>
            <w:tcW w:w="5520" w:type="dxa"/>
            <w:vAlign w:val="bottom"/>
          </w:tcPr>
          <w:p>
            <w:pPr>
              <w:spacing w:after="0"/>
              <w:rPr>
                <w:sz w:val="24"/>
                <w:szCs w:val="24"/>
                <w:color w:val="auto"/>
              </w:rPr>
            </w:pPr>
          </w:p>
        </w:tc>
        <w:tc>
          <w:tcPr>
            <w:tcW w:w="2420" w:type="dxa"/>
            <w:vAlign w:val="bottom"/>
          </w:tcPr>
          <w:p>
            <w:pPr>
              <w:jc w:val="right"/>
              <w:ind w:right="450"/>
              <w:spacing w:after="0"/>
              <w:rPr>
                <w:sz w:val="20"/>
                <w:szCs w:val="20"/>
                <w:color w:val="auto"/>
              </w:rPr>
            </w:pPr>
            <w:r>
              <w:rPr>
                <w:rFonts w:ascii="Arial" w:cs="Arial" w:eastAsia="Arial" w:hAnsi="Arial"/>
                <w:sz w:val="18"/>
                <w:szCs w:val="18"/>
                <w:b w:val="1"/>
                <w:bCs w:val="1"/>
                <w:color w:val="auto"/>
              </w:rPr>
              <w:t>March 31,</w:t>
            </w:r>
          </w:p>
        </w:tc>
        <w:tc>
          <w:tcPr>
            <w:tcW w:w="960" w:type="dxa"/>
            <w:vAlign w:val="bottom"/>
          </w:tcPr>
          <w:p>
            <w:pPr>
              <w:spacing w:after="0"/>
              <w:rPr>
                <w:sz w:val="24"/>
                <w:szCs w:val="24"/>
                <w:color w:val="auto"/>
              </w:rPr>
            </w:pPr>
          </w:p>
        </w:tc>
        <w:tc>
          <w:tcPr>
            <w:tcW w:w="166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4"/>
                <w:szCs w:val="24"/>
                <w:color w:val="auto"/>
              </w:rPr>
            </w:pPr>
          </w:p>
        </w:tc>
      </w:tr>
      <w:tr>
        <w:trPr>
          <w:trHeight w:val="234"/>
        </w:trPr>
        <w:tc>
          <w:tcPr>
            <w:tcW w:w="5520" w:type="dxa"/>
            <w:vAlign w:val="bottom"/>
          </w:tcPr>
          <w:p>
            <w:pPr>
              <w:spacing w:after="0"/>
              <w:rPr>
                <w:sz w:val="20"/>
                <w:szCs w:val="20"/>
                <w:color w:val="auto"/>
              </w:rPr>
            </w:pPr>
          </w:p>
        </w:tc>
        <w:tc>
          <w:tcPr>
            <w:tcW w:w="24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5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Equity</w:t>
            </w:r>
          </w:p>
        </w:tc>
        <w:tc>
          <w:tcPr>
            <w:tcW w:w="24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$1,849.8</w:t>
            </w:r>
          </w:p>
        </w:tc>
        <w:tc>
          <w:tcPr>
            <w:tcW w:w="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54</w:t>
            </w:r>
          </w:p>
        </w:tc>
        <w:tc>
          <w:tcPr>
            <w:tcW w:w="1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$1,820.2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420" w:type="dxa"/>
            <w:vAlign w:val="bottom"/>
          </w:tcPr>
          <w:p>
            <w:pPr>
              <w:jc w:val="right"/>
              <w:ind w:right="410"/>
              <w:spacing w:after="0"/>
              <w:rPr>
                <w:sz w:val="20"/>
                <w:szCs w:val="20"/>
                <w:color w:val="auto"/>
              </w:rPr>
            </w:pPr>
            <w:r>
              <w:rPr>
                <w:rFonts w:ascii="Arial" w:cs="Arial" w:eastAsia="Arial" w:hAnsi="Arial"/>
                <w:sz w:val="18"/>
                <w:szCs w:val="18"/>
                <w:color w:val="auto"/>
              </w:rPr>
              <w:t>2.7</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2.2</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4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1,578.4</w:t>
            </w:r>
          </w:p>
        </w:tc>
        <w:tc>
          <w:tcPr>
            <w:tcW w:w="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46</w:t>
            </w:r>
          </w:p>
        </w:tc>
        <w:tc>
          <w:tcPr>
            <w:tcW w:w="1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1,605.0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Notes Payable</w:t>
            </w:r>
          </w:p>
        </w:tc>
        <w:tc>
          <w:tcPr>
            <w:tcW w:w="2420" w:type="dxa"/>
            <w:vAlign w:val="bottom"/>
          </w:tcPr>
          <w:p>
            <w:pPr>
              <w:jc w:val="right"/>
              <w:ind w:right="410"/>
              <w:spacing w:after="0"/>
              <w:rPr>
                <w:sz w:val="20"/>
                <w:szCs w:val="20"/>
                <w:color w:val="auto"/>
              </w:rPr>
            </w:pPr>
            <w:r>
              <w:rPr>
                <w:rFonts w:ascii="Arial" w:cs="Arial" w:eastAsia="Arial" w:hAnsi="Arial"/>
                <w:sz w:val="18"/>
                <w:szCs w:val="18"/>
                <w:color w:val="auto"/>
              </w:rPr>
              <w:t>0.7</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1.6</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spacing w:after="0"/>
              <w:rPr>
                <w:sz w:val="22"/>
                <w:szCs w:val="22"/>
                <w:color w:val="auto"/>
              </w:rPr>
            </w:pPr>
          </w:p>
        </w:tc>
        <w:tc>
          <w:tcPr>
            <w:tcW w:w="24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$3,431.6</w:t>
            </w:r>
          </w:p>
        </w:tc>
        <w:tc>
          <w:tcPr>
            <w:tcW w:w="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c>
          <w:tcPr>
            <w:tcW w:w="1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$3,429.0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426"/>
        </w:trPr>
        <w:tc>
          <w:tcPr>
            <w:tcW w:w="7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 xml:space="preserve">Cash Flows. </w:t>
            </w:r>
            <w:r>
              <w:rPr>
                <w:rFonts w:ascii="Arial" w:cs="Arial" w:eastAsia="Arial" w:hAnsi="Arial"/>
                <w:sz w:val="18"/>
                <w:szCs w:val="18"/>
                <w:color w:val="auto"/>
                <w:w w:val="96"/>
              </w:rPr>
              <w:t>Selected information from ALLETE’s Consolidated Statement of Cash Flows is as follows:</w:t>
            </w:r>
          </w:p>
        </w:tc>
        <w:tc>
          <w:tcPr>
            <w:tcW w:w="9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446"/>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For the Three Months Ended March 31,</w:t>
            </w:r>
          </w:p>
        </w:tc>
        <w:tc>
          <w:tcPr>
            <w:tcW w:w="2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5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$97.0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2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2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93.2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2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color w:val="auto"/>
              </w:rPr>
              <w:t>(42.6)</w:t>
            </w:r>
          </w:p>
        </w:tc>
        <w:tc>
          <w:tcPr>
            <w:tcW w:w="860" w:type="dxa"/>
            <w:vAlign w:val="bottom"/>
          </w:tcPr>
          <w:p>
            <w:pPr>
              <w:jc w:val="right"/>
              <w:spacing w:after="0"/>
              <w:rPr>
                <w:sz w:val="20"/>
                <w:szCs w:val="20"/>
                <w:color w:val="auto"/>
              </w:rPr>
            </w:pPr>
            <w:r>
              <w:rPr>
                <w:rFonts w:ascii="Arial" w:cs="Arial" w:eastAsia="Arial" w:hAnsi="Arial"/>
                <w:sz w:val="18"/>
                <w:szCs w:val="18"/>
                <w:color w:val="auto"/>
              </w:rPr>
              <w:t>(255.9)</w:t>
            </w:r>
          </w:p>
        </w:tc>
      </w:tr>
      <w:tr>
        <w:trPr>
          <w:trHeight w:val="27"/>
        </w:trPr>
        <w:tc>
          <w:tcPr>
            <w:tcW w:w="5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2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(50.6)</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w:t>
            </w:r>
          </w:p>
        </w:tc>
      </w:tr>
      <w:tr>
        <w:trPr>
          <w:trHeight w:val="237"/>
        </w:trPr>
        <w:tc>
          <w:tcPr>
            <w:tcW w:w="55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2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w:t>
            </w:r>
          </w:p>
        </w:tc>
      </w:tr>
      <w:tr>
        <w:trPr>
          <w:trHeight w:val="27"/>
        </w:trPr>
        <w:tc>
          <w:tcPr>
            <w:tcW w:w="55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$97.0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w:t>
            </w:r>
          </w:p>
        </w:tc>
      </w:tr>
      <w:tr>
        <w:trPr>
          <w:trHeight w:val="20"/>
        </w:trPr>
        <w:tc>
          <w:tcPr>
            <w:tcW w:w="552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$93.2 million for the three months ended March 31, 2016 ($71.8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2015). Cash from operating activities was higher in 2016 primarily due to higher net income and non-cash items (primarily depreciation expense), lower fuel inventory purchases and timing of accounts payable payments.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was $42.6 million for the three months ended March 31, 2016 ($255.9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2015). The decrease in cash used for investing activities was primarily due to the acquisition of U.S. Water Services in February 2015, as well as lower capital expenditures in 2016.</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used for financing activities was $50.6 million for the three months ended March 31, 2016 ($110.4 million from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for the three months ended March 31, 2015). The decrease in cash from financing activities was primarily due to lower proceeds from the issuance of common stock and higher repayments of long-term debt in 2016.</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Working Capital. </w:t>
      </w:r>
      <w:r>
        <w:rPr>
          <w:rFonts w:ascii="Arial" w:cs="Arial" w:eastAsia="Arial" w:hAnsi="Arial"/>
          <w:sz w:val="17"/>
          <w:szCs w:val="17"/>
          <w:color w:val="auto"/>
        </w:rPr>
        <w:t>Additional working capital, if and when needed, generally is provided by consolidated bank lines of credit, the sale of securities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commercial paper. As of March 31, 2016, we had available consolidated bank lines of credit aggregating $395.9 million ($408.4 million available as of December 31, 2015), the majority of which expire in November 2018. In addition, as of March 31, 2016, we had 1.7 million original issue shares of our common stock available for issuance through Invest Direct, our direct stock purchase and dividend reinvestment plan, and 4.0 million original issue shares of common stock available for issuance through a distribution agreement with Lampert Capital Markets, Inc. (See </w:t>
      </w:r>
      <w:r>
        <w:rPr>
          <w:rFonts w:ascii="Arial" w:cs="Arial" w:eastAsia="Arial" w:hAnsi="Arial"/>
          <w:sz w:val="17"/>
          <w:szCs w:val="17"/>
          <w:i w:val="1"/>
          <w:iCs w:val="1"/>
          <w:color w:val="auto"/>
        </w:rPr>
        <w:t>Securities.</w:t>
      </w:r>
      <w:r>
        <w:rPr>
          <w:rFonts w:ascii="Arial" w:cs="Arial" w:eastAsia="Arial" w:hAnsi="Arial"/>
          <w:sz w:val="17"/>
          <w:szCs w:val="17"/>
          <w:color w:val="auto"/>
        </w:rPr>
        <w:t>) The amount and timing of future sales of our securities will depend upon market conditions and our specific needs.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We entered into a distribution agreement with Lampert Capital Markets, Inc., in 2008, as amended most recently in February 2015,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and sale of up to an aggregate of 13.6 million shares of our common stock, without par value, of which 4.0 million remain available for issuance. For the three months ended March 31, 2016, no shares of common stock were issued under this agreement (1.3 million shares were issued for the three months ended March 31, 2015, resulting in net proceeds of $69.9 million). The shares issued in 2015 were offered and sold pursuant to Registration Statement No. 333-190335.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ectPr>
          <w:pgSz w:w="11900" w:h="16838" w:orient="portrait"/>
          <w:cols w:equalWidth="0" w:num="1">
            <w:col w:w="11420"/>
          </w:cols>
          <w:pgMar w:left="240" w:top="661"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20"/>
          </w:cols>
          <w:pgMar w:left="240" w:top="661" w:right="2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2016, we issued 0.2 million shares of common stock through Invest Direct, the Employee Stock Purchase Plan, and the Retirement Savings and Stock Ownership Plan, resulting in net proceeds of $9.0 million (0.1 million shares were issued for the three months ended March 31, 2015, resulting in net proceeds of $6.2 million). These shares of common stock were registered under Registration Statement Nos. 333-188315, 333-183051 and 333-162890.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8. Short-Term and Long-Term Debt for information regarding our financial covenants.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actuarially determined minimum contribution requirements and contributions required to avoid benefit restrictions for the defined benefit pension plans. In 2016, we expect to make $2.0 million in contributions to our defined benefit pension plan and we do not expect to make any contributions to our other postretirement benefit plan. (See Note 12. Pension and Other Postretirement Benefit Plans.)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2015 Form 10-K, with additional disclosure in Note 13.</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Capital Requirements. </w:t>
      </w:r>
      <w:r>
        <w:rPr>
          <w:rFonts w:ascii="Arial" w:cs="Arial" w:eastAsia="Arial" w:hAnsi="Arial"/>
          <w:sz w:val="18"/>
          <w:szCs w:val="18"/>
          <w:color w:val="auto"/>
        </w:rPr>
        <w:t>Our capital expenditures for 2016 are expected to be approximately $195 million. For the three months ended March 31, 2016,</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expenditures totaled $18.4 million ($57.3 million for the three months ended March 31, 2015). The expenditures were primarily made in the Regulated Operations segment.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We anticipate that although many of the state and federal environmental regulations have been finalized, or will be finalized in the near future, potential expenditures for future environmental matters may be material and may require significant capital investments. We are unable to predict the outcome of the issues discussed in Note 13. Commitments, Guarantees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2016, ALLETE had 1,958 employees, of which 1,925 were full-time.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Minnesota Power and SWL&amp;P have an aggregate of 555 employees who are members of the International Brotherhood of Electrical Workers (IBEW) Local 31. The current labor agreements with IBEW Local 31 expire on January 31, 2018.</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BNI Energy has 171 employees, of which 125 are members of IBEW Local 1593. The current labor agreement with IBEW Local 1593 expires on March 31,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At March 31, 2016, our available-for-sale securities portfolio consisted primarily of securities held in other postretirement plans</w:t>
      </w:r>
      <w:r>
        <w:rPr>
          <w:rFonts w:ascii="Arial" w:cs="Arial" w:eastAsia="Arial" w:hAnsi="Arial"/>
          <w:sz w:val="18"/>
          <w:szCs w:val="18"/>
          <w:i w:val="1"/>
          <w:iCs w:val="1"/>
          <w:color w:val="auto"/>
        </w:rPr>
        <w:t xml:space="preserve"> </w:t>
      </w:r>
      <w:r>
        <w:rPr>
          <w:rFonts w:ascii="Arial" w:cs="Arial" w:eastAsia="Arial" w:hAnsi="Arial"/>
          <w:sz w:val="18"/>
          <w:szCs w:val="18"/>
          <w:color w:val="auto"/>
        </w:rPr>
        <w:t>to fund employee benefits. (See Note 2. Investments.)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66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3. QUANTITATIVE AND QUALITATIVE DISCLOSURES ABOUT MARKET RISK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Our Minnesota regulated utility’s exposure to price risk for these commodities is significantly mitigated by the current ratemaking process and regulatory framework, which allows recovery of fuel costs in excess of those included in base rates. Conversely, costs below those in base rates result in a credit to our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at March 31, 2016, an increase of 100 basis points in interest rates would impact the amount of pretax interest expense by $1.7 million. This amount was determined by considering the impact of a hypothetical 100 basis point increase to the average variable interest rate on the variable rate debt outstanding as of March 31, 2016.</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March 31, 2016,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20"/>
          </w:cols>
          <w:pgMar w:left="240" w:top="66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information regarding material legal and regulatory proceedings, see Note 5. Regulatory Matters and Note 12. Commitments, Guarantees and Contingencies to our Consolidated Financial Statements in our 2015 Form 10-K and Note 6. Regulatory Matters and Note 13. Commitments, Guarantees and Contingencies herein. Such information is incorporated herein by reference.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I, Item 1A. Risk Factors of our 2015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66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Number</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31(a)</w:t>
            </w:r>
          </w:p>
        </w:tc>
        <w:tc>
          <w:tcPr>
            <w:tcW w:w="23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Rule 13a-14(a)/15d-14(a)</w:t>
            </w:r>
          </w:p>
        </w:tc>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Certification by the Chief Executive Officer Pursuant to Section 302 of the Sarbanes-Oxley Act of 2002.</w:t>
            </w:r>
          </w:p>
        </w:tc>
      </w:tr>
      <w:tr>
        <w:trPr>
          <w:trHeight w:val="243"/>
        </w:trPr>
        <w:tc>
          <w:tcPr>
            <w:tcW w:w="860" w:type="dxa"/>
            <w:vAlign w:val="bottom"/>
          </w:tcPr>
          <w:p>
            <w:pPr>
              <w:ind w:left="40"/>
              <w:spacing w:after="0"/>
              <w:rPr>
                <w:sz w:val="20"/>
                <w:szCs w:val="20"/>
                <w:color w:val="auto"/>
              </w:rPr>
            </w:pPr>
            <w:r>
              <w:rPr>
                <w:rFonts w:ascii="Arial" w:cs="Arial" w:eastAsia="Arial" w:hAnsi="Arial"/>
                <w:sz w:val="18"/>
                <w:szCs w:val="18"/>
                <w:color w:val="auto"/>
              </w:rPr>
              <w:t>31(b)</w:t>
            </w:r>
          </w:p>
        </w:tc>
        <w:tc>
          <w:tcPr>
            <w:tcW w:w="2300" w:type="dxa"/>
            <w:vAlign w:val="bottom"/>
          </w:tcPr>
          <w:p>
            <w:pPr>
              <w:ind w:left="440"/>
              <w:spacing w:after="0"/>
              <w:rPr>
                <w:sz w:val="20"/>
                <w:szCs w:val="20"/>
                <w:color w:val="auto"/>
              </w:rPr>
            </w:pPr>
            <w:r>
              <w:rPr>
                <w:rFonts w:ascii="Arial" w:cs="Arial" w:eastAsia="Arial" w:hAnsi="Arial"/>
                <w:sz w:val="18"/>
                <w:szCs w:val="18"/>
                <w:color w:val="auto"/>
                <w:w w:val="90"/>
              </w:rPr>
              <w:t>Rule 13a-14(a)/15d-14(a)</w:t>
            </w:r>
          </w:p>
        </w:tc>
        <w:tc>
          <w:tcPr>
            <w:tcW w:w="8260" w:type="dxa"/>
            <w:vAlign w:val="bottom"/>
          </w:tcPr>
          <w:p>
            <w:pPr>
              <w:ind w:left="20"/>
              <w:spacing w:after="0"/>
              <w:rPr>
                <w:sz w:val="20"/>
                <w:szCs w:val="20"/>
                <w:color w:val="auto"/>
              </w:rPr>
            </w:pPr>
            <w:r>
              <w:rPr>
                <w:rFonts w:ascii="Arial" w:cs="Arial" w:eastAsia="Arial" w:hAnsi="Arial"/>
                <w:sz w:val="18"/>
                <w:szCs w:val="18"/>
                <w:color w:val="auto"/>
              </w:rPr>
              <w:t>Certification by the Chief Financial Officer Pursuant to Section 302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 w:lineRule="exact"/>
        <w:rPr>
          <w:sz w:val="20"/>
          <w:szCs w:val="20"/>
          <w:color w:val="auto"/>
        </w:rPr>
      </w:pPr>
    </w:p>
    <w:p>
      <w:pPr>
        <w:ind w:left="1300" w:right="20" w:hanging="1265"/>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 1350 Certification of Periodic Report by the Chief Executive Officer and the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55" w:lineRule="exact"/>
        <w:rPr>
          <w:sz w:val="20"/>
          <w:szCs w:val="20"/>
          <w:color w:val="auto"/>
        </w:rPr>
      </w:pPr>
    </w:p>
    <w:p>
      <w:pPr>
        <w:jc w:val="both"/>
        <w:ind w:left="1300" w:right="20" w:hanging="1265"/>
        <w:spacing w:after="0" w:line="307"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ALLETE News Release dated May 3, 2016, announcing 2016 first quarter earnings. </w:t>
      </w:r>
      <w:r>
        <w:rPr>
          <w:rFonts w:ascii="Arial" w:cs="Arial" w:eastAsia="Arial" w:hAnsi="Arial"/>
          <w:sz w:val="16"/>
          <w:szCs w:val="16"/>
          <w:b w:val="1"/>
          <w:bCs w:val="1"/>
          <w:color w:val="auto"/>
        </w:rPr>
        <w:t>(This exhibit has been furnished and shall not be</w:t>
      </w:r>
      <w:r>
        <w:rPr>
          <w:rFonts w:ascii="Arial" w:cs="Arial" w:eastAsia="Arial" w:hAnsi="Arial"/>
          <w:sz w:val="16"/>
          <w:szCs w:val="16"/>
          <w:color w:val="auto"/>
        </w:rPr>
        <w:t xml:space="preserve"> </w:t>
      </w:r>
      <w:r>
        <w:rPr>
          <w:rFonts w:ascii="Arial" w:cs="Arial" w:eastAsia="Arial" w:hAnsi="Arial"/>
          <w:sz w:val="16"/>
          <w:szCs w:val="16"/>
          <w:b w:val="1"/>
          <w:bCs w:val="1"/>
          <w:color w:val="auto"/>
        </w:rPr>
        <w:t>deemed “filed” for purposes of Section 18 of the Securities Exchange Act of 1934, nor shall it be deemed incorporated by reference in any filing under the Securities Act of 1933, except as shall be expressly set forth by specific reference in such filing.)</w:t>
      </w:r>
    </w:p>
    <w:tbl>
      <w:tblPr>
        <w:tblLayout w:type="fixed"/>
        <w:tblInd w:w="0" w:type="dxa"/>
        <w:tblCellMar>
          <w:top w:w="0" w:type="dxa"/>
          <w:left w:w="0" w:type="dxa"/>
          <w:bottom w:w="0" w:type="dxa"/>
          <w:right w:w="0" w:type="dxa"/>
        </w:tblCellMar>
      </w:tblPr>
      <w:tr>
        <w:trPr>
          <w:trHeight w:val="230"/>
        </w:trPr>
        <w:tc>
          <w:tcPr>
            <w:tcW w:w="1000" w:type="dxa"/>
            <w:vAlign w:val="bottom"/>
          </w:tcPr>
          <w:p>
            <w:pPr>
              <w:ind w:left="40"/>
              <w:spacing w:after="0"/>
              <w:rPr>
                <w:sz w:val="20"/>
                <w:szCs w:val="20"/>
                <w:color w:val="auto"/>
              </w:rPr>
            </w:pPr>
            <w:r>
              <w:rPr>
                <w:rFonts w:ascii="Arial" w:cs="Arial" w:eastAsia="Arial" w:hAnsi="Arial"/>
                <w:sz w:val="18"/>
                <w:szCs w:val="18"/>
                <w:color w:val="auto"/>
              </w:rPr>
              <w:t>101.INS</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Instance</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XBRL Schema</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101.CAL</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Calculation</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XBRL Definition</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101.LAB</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Label</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43"/>
        </w:trPr>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10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Presentation</w:t>
            </w:r>
          </w:p>
        </w:tc>
      </w:tr>
      <w:tr>
        <w:trPr>
          <w:trHeight w:val="27"/>
        </w:trPr>
        <w:tc>
          <w:tcPr>
            <w:tcW w:w="1000" w:type="dxa"/>
            <w:vAlign w:val="bottom"/>
            <w:shd w:val="clear" w:color="auto" w:fill="CCEEFF"/>
          </w:tcPr>
          <w:p>
            <w:pPr>
              <w:spacing w:after="0"/>
              <w:rPr>
                <w:sz w:val="2"/>
                <w:szCs w:val="2"/>
                <w:color w:val="auto"/>
              </w:rPr>
            </w:pPr>
          </w:p>
        </w:tc>
        <w:tc>
          <w:tcPr>
            <w:tcW w:w="10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66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7700" w:val="left"/>
        </w:tabs>
        <w:rPr>
          <w:sz w:val="20"/>
          <w:szCs w:val="20"/>
          <w:color w:val="auto"/>
        </w:rPr>
      </w:pPr>
      <w:r>
        <w:rPr>
          <w:rFonts w:ascii="Arial" w:cs="Arial" w:eastAsia="Arial" w:hAnsi="Arial"/>
          <w:sz w:val="18"/>
          <w:szCs w:val="18"/>
          <w:color w:val="auto"/>
        </w:rPr>
        <w:t>May 3, 2016</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May 3, 2016</w:t>
      </w:r>
      <w:r>
        <w:rPr>
          <w:sz w:val="20"/>
          <w:szCs w:val="20"/>
          <w:color w:val="auto"/>
        </w:rPr>
        <w:tab/>
      </w:r>
      <w:r>
        <w:rPr>
          <w:rFonts w:ascii="Arial" w:cs="Arial" w:eastAsia="Arial" w:hAnsi="Arial"/>
          <w:sz w:val="16"/>
          <w:szCs w:val="16"/>
          <w:color w:val="auto"/>
        </w:rPr>
        <w:t>/s/ Steven W.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Steven W. Morris</w:t>
      </w:r>
    </w:p>
    <w:p>
      <w:pPr>
        <w:spacing w:after="0" w:line="6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Controller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66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2016,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580" w:val="left"/>
        </w:tabs>
        <w:rPr>
          <w:sz w:val="20"/>
          <w:szCs w:val="20"/>
          <w:color w:val="auto"/>
        </w:rPr>
      </w:pPr>
      <w:r>
        <w:rPr>
          <w:rFonts w:ascii="Arial" w:cs="Arial" w:eastAsia="Arial" w:hAnsi="Arial"/>
          <w:sz w:val="18"/>
          <w:szCs w:val="18"/>
          <w:color w:val="auto"/>
        </w:rPr>
        <w:t>Date: May 3, 2016</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31750</wp:posOffset>
            </wp:positionV>
            <wp:extent cx="43478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36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Steven Q. DeVinck, of ALLETE, Inc. (ALLETE), certify that:</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2016,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18"/>
          <w:szCs w:val="18"/>
          <w:color w:val="auto"/>
        </w:rPr>
        <w:t>Date: May 3, 2016</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36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March 31, 2016,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3, 2016</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3, 2016</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56" w:name="page57"/>
    <w:bookmarkEnd w:id="56"/>
    <w:tbl>
      <w:tblPr>
        <w:tblLayout w:type="fixed"/>
        <w:tblInd w:w="9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Mine Safety Disclosure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3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8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For the three months ended March 31, 2016, BNI Energy, owner of Center Mine, received no significant and substantial (S&amp;S) citations under Section 104(a) of the Mine Safety Act. In 2013, BNI Energy had a S&amp;S citation under Section 104(a) of the Mine and Safety Act for which the Mine Safety and Health Administration proposed a penalty of $52,500; a hearing case has been filed in relation to this penalty. For the three months ended March 31, 2016, there were no citations, orders, violations or notices received under Sections 104(b), 104(d), 107(a), 104(e) or 110(b)(2) of the Mine Safety Act and there were no fatalities.</w:t>
      </w:r>
    </w:p>
    <w:p>
      <w:pPr>
        <w:sectPr>
          <w:pgSz w:w="11900" w:h="16838" w:orient="portrait"/>
          <w:cols w:equalWidth="0" w:num="1">
            <w:col w:w="11440"/>
          </w:cols>
          <w:pgMar w:left="240" w:top="580" w:right="219" w:bottom="1440" w:gutter="0" w:footer="0" w:header="0"/>
        </w:sectPr>
      </w:pPr>
    </w:p>
    <w:bookmarkStart w:id="57" w:name="page58"/>
    <w:bookmarkEnd w:id="57"/>
    <w:p>
      <w:pPr>
        <w:ind w:left="10600"/>
        <w:spacing w:after="0"/>
        <w:rPr>
          <w:sz w:val="20"/>
          <w:szCs w:val="20"/>
          <w:color w:val="auto"/>
        </w:rPr>
      </w:pPr>
      <w:r>
        <w:rPr>
          <w:rFonts w:ascii="Arial" w:cs="Arial" w:eastAsia="Arial" w:hAnsi="Arial"/>
          <w:sz w:val="15"/>
          <w:szCs w:val="15"/>
          <w:color w:val="auto"/>
        </w:rPr>
        <w:t>Exhibit 99</w:t>
      </w:r>
    </w:p>
    <w:p>
      <w:pPr>
        <w:sectPr>
          <w:pgSz w:w="11900" w:h="16838" w:orient="portrait"/>
          <w:cols w:equalWidth="0" w:num="1">
            <w:col w:w="11400"/>
          </w:cols>
          <w:pgMar w:left="240" w:top="846" w:right="259" w:bottom="1440" w:gutter="0" w:footer="0" w:header="0"/>
        </w:sectPr>
      </w:pPr>
    </w:p>
    <w:p>
      <w:pPr>
        <w:spacing w:after="0" w:line="8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For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-26670</wp:posOffset>
            </wp:positionV>
            <wp:extent cx="1655445" cy="7543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55445" cy="754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May 3, 2016</w:t>
      </w:r>
    </w:p>
    <w:p>
      <w:pPr>
        <w:spacing w:after="0" w:line="96" w:lineRule="exact"/>
        <w:rPr>
          <w:sz w:val="20"/>
          <w:szCs w:val="20"/>
          <w:color w:val="auto"/>
        </w:rPr>
      </w:pPr>
    </w:p>
    <w:p>
      <w:pPr>
        <w:sectPr>
          <w:pgSz w:w="11900" w:h="16838" w:orient="portrait"/>
          <w:cols w:equalWidth="0" w:num="2">
            <w:col w:w="7940" w:space="720"/>
            <w:col w:w="2740"/>
          </w:cols>
          <w:pgMar w:left="240" w:top="846" w:right="259" w:bottom="1440" w:gutter="0" w:footer="0" w:header="0"/>
          <w:type w:val="continuous"/>
        </w:sectPr>
      </w:pPr>
    </w:p>
    <w:p>
      <w:pPr>
        <w:ind w:left="686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Vince Meyer</w:t>
      </w:r>
    </w:p>
    <w:p>
      <w:pPr>
        <w:spacing w:after="0" w:line="98" w:lineRule="exact"/>
        <w:rPr>
          <w:sz w:val="20"/>
          <w:szCs w:val="20"/>
          <w:color w:val="auto"/>
        </w:rPr>
      </w:pPr>
    </w:p>
    <w:p>
      <w:pPr>
        <w:sectPr>
          <w:pgSz w:w="11900" w:h="16838" w:orient="portrait"/>
          <w:cols w:equalWidth="0" w:num="2">
            <w:col w:w="8000" w:space="660"/>
            <w:col w:w="2740"/>
          </w:cols>
          <w:pgMar w:left="240" w:top="846" w:right="259" w:bottom="1440" w:gutter="0" w:footer="0" w:header="0"/>
          <w:type w:val="continuous"/>
        </w:sectPr>
      </w:pPr>
    </w:p>
    <w:p>
      <w:pPr>
        <w:ind w:left="8660"/>
        <w:spacing w:after="0"/>
        <w:rPr>
          <w:sz w:val="20"/>
          <w:szCs w:val="20"/>
          <w:color w:val="auto"/>
        </w:rPr>
      </w:pPr>
      <w:r>
        <w:rPr>
          <w:rFonts w:ascii="Arial" w:cs="Arial" w:eastAsia="Arial" w:hAnsi="Arial"/>
          <w:sz w:val="16"/>
          <w:szCs w:val="16"/>
          <w:color w:val="auto"/>
        </w:rPr>
        <w:t>218-723-3952</w:t>
      </w:r>
    </w:p>
    <w:p>
      <w:pPr>
        <w:spacing w:after="0" w:line="86"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vmeyer@allete.com</w:t>
      </w:r>
    </w:p>
    <w:p>
      <w:pPr>
        <w:sectPr>
          <w:pgSz w:w="11900" w:h="16838" w:orient="portrait"/>
          <w:cols w:equalWidth="0" w:num="1">
            <w:col w:w="11400"/>
          </w:cols>
          <w:pgMar w:left="240" w:top="84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0"/>
        <w:spacing w:after="0"/>
        <w:rPr>
          <w:sz w:val="20"/>
          <w:szCs w:val="20"/>
          <w:color w:val="auto"/>
        </w:rPr>
      </w:pPr>
      <w:r>
        <w:rPr>
          <w:rFonts w:ascii="Arial" w:cs="Arial" w:eastAsia="Arial" w:hAnsi="Arial"/>
          <w:sz w:val="40"/>
          <w:szCs w:val="40"/>
          <w:b w:val="1"/>
          <w:bCs w:val="1"/>
          <w:i w:val="1"/>
          <w:iCs w:val="1"/>
          <w:color w:val="auto"/>
        </w:rPr>
        <w:t>NEWS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ALLETE, Inc. reports higher first quarter 2016 earnings</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DULUTH, Minn. - ALLETE, Inc. (NYSE: ALE) today reported first quarter 2016 earnings of 93 cents per share on net income of $45.9 million and operating revenue of $333.8 million. Last year’s results were 85 cents per share on net income of $39.9 million and operating revenue of $320.0 million. Net income for 2015 included $3 million, or 6 cents per share, of acquisition costs related to ALLETE’s acquisition of U.S. Water Services in February of last year.</w:t>
      </w:r>
    </w:p>
    <w:p>
      <w:pPr>
        <w:spacing w:after="0" w:line="14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“ALLETE is off to a good start in 2016. I am pleased with ALLETE’s performance and strategic direction,” said ALLETE Chairman, President and CEO Al Hodnik. “Minnesota Power remains strong as it works through a downturn in industrial sales and I am pleased with the performance of our complementary Energy Infrastructure and Related Services businesses.”</w:t>
      </w:r>
    </w:p>
    <w:p>
      <w:pPr>
        <w:spacing w:after="0" w:line="1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ALLETE’s Regulated Operations segment, which includes Minnesota Power, Superior Water, Light and Power, and the Company’s investment in the American Transmission Co. (ATC), recorded net income of $42.4 million, an increase of $1.4 million over 2015 net income. Earnings increased primarily due to higher cost recovery rider revenue and lower operating and maintenance expenses. These increases were mostly offset by a decrease in kWh sales due to lower industrial sales and impacts of warmer temperatures in 2016 compared to the same period in 2015, and higher depreciation and property tax expenses. Our equity earnings in ATC increased $0.6 million after-tax, due to period over period changes in ATC’s estimate of a refund liability related to Midwest Independent System Operator return on equity complaints.</w:t>
      </w:r>
    </w:p>
    <w:p>
      <w:pPr>
        <w:spacing w:after="0" w:line="19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ALLETE’s Energy Infrastructure and Related Services businesses, which include ALLETE Clean Energy and U.S. Water Services, recorded net income of $6.1 million and a net loss of $0.5 million, respectively. Earnings at ALLETE Clean Energy increased $3.6 million primarily due to higher earnings from wind energy facilities acquired in April and July of 2015. Earnings at U.S. Water Services reflect results from selling certain products which are seasonal in nature, with higher demand typically realized in warmer months. The net loss of $0.1 million for the first quarter of 2015 reflected results for the period only from the date of acquisition, February 10, 2015, through March 31, 2015, and therefore, did not reflect a full quarter.</w:t>
      </w:r>
    </w:p>
    <w:p>
      <w:pPr>
        <w:spacing w:after="0" w:line="15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Corporate and Other segment, which includes BNI Energy and ALLETE Properties, posted a net loss of $2.1 million for the quarter, compared to a net loss of $3.5 million in 2015. The net loss in 2015 included the already mentioned $3.0 million after-tax expense, or 6 cents per share, for acquisition costs related to the acquisition of U.S. Water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quarter were diluted by 5 cents due to additional shares of common stock outstanding as of March 31, 2016.</w:t>
      </w:r>
    </w:p>
    <w:p>
      <w:pPr>
        <w:spacing w:after="0" w:line="18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ALLETE will host a conference call and webcast at 10 a.m. Eastern Time this morning to discuss details of its financial performance and earnings guidance. Interested parties may listen live by calling (877) 303-5852, or by accessing the webcast at www.allete.com. A replay of the call will be available through May 6, 2016 by calling (855) 859-2056, pass code 87733201. The webcast will be accessible for one year at </w:t>
      </w:r>
      <w:r>
        <w:rPr>
          <w:rFonts w:ascii="Arial" w:cs="Arial" w:eastAsia="Arial" w:hAnsi="Arial"/>
          <w:sz w:val="17"/>
          <w:szCs w:val="17"/>
          <w:u w:val="single" w:color="auto"/>
          <w:color w:val="0000FF"/>
        </w:rPr>
        <w:t>www.allete.com</w:t>
      </w:r>
      <w:r>
        <w:rPr>
          <w:rFonts w:ascii="Arial" w:cs="Arial" w:eastAsia="Arial" w:hAnsi="Arial"/>
          <w:sz w:val="17"/>
          <w:szCs w:val="17"/>
          <w:color w:val="auto"/>
        </w:rPr>
        <w:t>.</w:t>
      </w:r>
    </w:p>
    <w:p>
      <w:pPr>
        <w:spacing w:after="0" w:line="125" w:lineRule="exact"/>
        <w:rPr>
          <w:sz w:val="20"/>
          <w:szCs w:val="20"/>
          <w:color w:val="auto"/>
        </w:rPr>
      </w:pPr>
    </w:p>
    <w:p>
      <w:pPr>
        <w:ind w:right="300"/>
        <w:spacing w:after="0" w:line="288" w:lineRule="auto"/>
        <w:rPr>
          <w:sz w:val="20"/>
          <w:szCs w:val="20"/>
          <w:color w:val="auto"/>
        </w:rPr>
      </w:pPr>
      <w:r>
        <w:rPr>
          <w:rFonts w:ascii="Arial" w:cs="Arial" w:eastAsia="Arial" w:hAnsi="Arial"/>
          <w:sz w:val="16"/>
          <w:szCs w:val="16"/>
          <w:color w:val="auto"/>
        </w:rPr>
        <w:t xml:space="preserve">ALLETE is an energy company headquartered in Duluth, Minn. In addition to its electric utilities, Minnesota Power and Superior Water, Light and Power of Wisconsin, ALLETE owns ALLETE Clean Energy, based in Duluth, U.S. Water Services headquartered in St. Michael, Minn., BNI Energy in Center, N.D., and has an eight percent equity interest in the American Transmission Co. More information about ALLETE is available at </w:t>
      </w:r>
      <w:r>
        <w:rPr>
          <w:rFonts w:ascii="Arial" w:cs="Arial" w:eastAsia="Arial" w:hAnsi="Arial"/>
          <w:sz w:val="16"/>
          <w:szCs w:val="16"/>
          <w:u w:val="single" w:color="auto"/>
          <w:color w:val="0000FF"/>
        </w:rPr>
        <w:t>www.allete.com</w:t>
      </w:r>
      <w:r>
        <w:rPr>
          <w:rFonts w:ascii="Arial" w:cs="Arial" w:eastAsia="Arial" w:hAnsi="Arial"/>
          <w:sz w:val="16"/>
          <w:szCs w:val="16"/>
          <w:color w:val="auto"/>
        </w:rPr>
        <w:t>.</w:t>
      </w:r>
    </w:p>
    <w:p>
      <w:pPr>
        <w:spacing w:after="0"/>
        <w:rPr>
          <w:sz w:val="20"/>
          <w:szCs w:val="20"/>
          <w:color w:val="auto"/>
        </w:rPr>
      </w:pPr>
      <w:r>
        <w:rPr>
          <w:rFonts w:ascii="Arial" w:cs="Arial" w:eastAsia="Arial" w:hAnsi="Arial"/>
          <w:sz w:val="18"/>
          <w:szCs w:val="18"/>
          <w:i w:val="1"/>
          <w:iCs w:val="1"/>
          <w:color w:val="auto"/>
        </w:rPr>
        <w:t>ALE-CORP</w:t>
      </w:r>
    </w:p>
    <w:p>
      <w:pPr>
        <w:spacing w:after="0" w:line="21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ectPr>
          <w:pgSz w:w="11900" w:h="16838" w:orient="portrait"/>
          <w:cols w:equalWidth="0" w:num="1">
            <w:col w:w="11400"/>
          </w:cols>
          <w:pgMar w:left="240" w:top="846" w:right="259" w:bottom="1440" w:gutter="0" w:footer="0" w:header="0"/>
          <w:type w:val="continuous"/>
        </w:sectPr>
      </w:pPr>
    </w:p>
    <w:bookmarkStart w:id="58" w:name="page59"/>
    <w:bookmarkEnd w:id="58"/>
    <w:p>
      <w:pPr>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60"/>
          </w:cols>
          <w:pgMar w:left="240" w:top="665" w:right="29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44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7000" w:type="dxa"/>
            <w:vAlign w:val="bottom"/>
          </w:tcPr>
          <w:p>
            <w:pPr>
              <w:spacing w:after="0"/>
              <w:rPr>
                <w:sz w:val="23"/>
                <w:szCs w:val="23"/>
                <w:color w:val="auto"/>
              </w:rPr>
            </w:pPr>
          </w:p>
        </w:tc>
        <w:tc>
          <w:tcPr>
            <w:tcW w:w="442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7000" w:type="dxa"/>
            <w:vAlign w:val="bottom"/>
          </w:tcPr>
          <w:p>
            <w:pPr>
              <w:spacing w:after="0"/>
              <w:rPr>
                <w:sz w:val="23"/>
                <w:szCs w:val="23"/>
                <w:color w:val="auto"/>
              </w:rPr>
            </w:pPr>
          </w:p>
        </w:tc>
        <w:tc>
          <w:tcPr>
            <w:tcW w:w="34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70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7"/>
        </w:trPr>
        <w:tc>
          <w:tcPr>
            <w:tcW w:w="7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5"/>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3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$333.8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r>
      <w:tr>
        <w:trPr>
          <w:trHeight w:val="237"/>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70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and Purchased Power</w:t>
            </w:r>
          </w:p>
        </w:tc>
        <w:tc>
          <w:tcPr>
            <w:tcW w:w="3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76.9</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Transmission Services</w:t>
            </w:r>
          </w:p>
        </w:tc>
        <w:tc>
          <w:tcPr>
            <w:tcW w:w="3460" w:type="dxa"/>
            <w:vAlign w:val="bottom"/>
          </w:tcPr>
          <w:p>
            <w:pPr>
              <w:jc w:val="right"/>
              <w:ind w:right="190"/>
              <w:spacing w:after="0"/>
              <w:rPr>
                <w:sz w:val="20"/>
                <w:szCs w:val="20"/>
                <w:color w:val="auto"/>
              </w:rPr>
            </w:pPr>
            <w:r>
              <w:rPr>
                <w:rFonts w:ascii="Arial" w:cs="Arial" w:eastAsia="Arial" w:hAnsi="Arial"/>
                <w:sz w:val="18"/>
                <w:szCs w:val="18"/>
                <w:color w:val="auto"/>
              </w:rPr>
              <w:t>16.8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14.9</w:t>
            </w:r>
          </w:p>
        </w:tc>
      </w:tr>
      <w:tr>
        <w:trPr>
          <w:trHeight w:val="27"/>
        </w:trPr>
        <w:tc>
          <w:tcPr>
            <w:tcW w:w="70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w:t>
            </w:r>
          </w:p>
        </w:tc>
        <w:tc>
          <w:tcPr>
            <w:tcW w:w="3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33.3</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3460" w:type="dxa"/>
            <w:vAlign w:val="bottom"/>
          </w:tcPr>
          <w:p>
            <w:pPr>
              <w:jc w:val="right"/>
              <w:ind w:right="190"/>
              <w:spacing w:after="0"/>
              <w:rPr>
                <w:sz w:val="20"/>
                <w:szCs w:val="20"/>
                <w:color w:val="auto"/>
              </w:rPr>
            </w:pPr>
            <w:r>
              <w:rPr>
                <w:rFonts w:ascii="Arial" w:cs="Arial" w:eastAsia="Arial" w:hAnsi="Arial"/>
                <w:sz w:val="18"/>
                <w:szCs w:val="18"/>
                <w:color w:val="auto"/>
              </w:rPr>
              <w:t>78.1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79.7</w:t>
            </w:r>
          </w:p>
        </w:tc>
      </w:tr>
      <w:tr>
        <w:trPr>
          <w:trHeight w:val="27"/>
        </w:trPr>
        <w:tc>
          <w:tcPr>
            <w:tcW w:w="70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48.1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3460" w:type="dxa"/>
            <w:vAlign w:val="bottom"/>
          </w:tcPr>
          <w:p>
            <w:pPr>
              <w:jc w:val="right"/>
              <w:ind w:right="190"/>
              <w:spacing w:after="0"/>
              <w:rPr>
                <w:sz w:val="20"/>
                <w:szCs w:val="20"/>
                <w:color w:val="auto"/>
              </w:rPr>
            </w:pPr>
            <w:r>
              <w:rPr>
                <w:rFonts w:ascii="Arial" w:cs="Arial" w:eastAsia="Arial" w:hAnsi="Arial"/>
                <w:sz w:val="18"/>
                <w:szCs w:val="18"/>
                <w:color w:val="auto"/>
              </w:rPr>
              <w:t>13.8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
        </w:trPr>
        <w:tc>
          <w:tcPr>
            <w:tcW w:w="70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267.0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460" w:type="dxa"/>
            <w:vAlign w:val="bottom"/>
          </w:tcPr>
          <w:p>
            <w:pPr>
              <w:jc w:val="right"/>
              <w:ind w:right="110"/>
              <w:spacing w:after="0"/>
              <w:rPr>
                <w:sz w:val="20"/>
                <w:szCs w:val="20"/>
                <w:color w:val="auto"/>
              </w:rPr>
            </w:pPr>
            <w:r>
              <w:rPr>
                <w:rFonts w:ascii="Arial" w:cs="Arial" w:eastAsia="Arial" w:hAnsi="Arial"/>
                <w:sz w:val="18"/>
                <w:szCs w:val="18"/>
                <w:color w:val="auto"/>
              </w:rPr>
              <w:t>66.8</w:t>
            </w:r>
          </w:p>
        </w:tc>
        <w:tc>
          <w:tcPr>
            <w:tcW w:w="96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7"/>
        </w:trPr>
        <w:tc>
          <w:tcPr>
            <w:tcW w:w="70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460" w:type="dxa"/>
            <w:vAlign w:val="bottom"/>
          </w:tcPr>
          <w:p>
            <w:pPr>
              <w:jc w:val="right"/>
              <w:ind w:right="130"/>
              <w:spacing w:after="0"/>
              <w:rPr>
                <w:sz w:val="20"/>
                <w:szCs w:val="20"/>
                <w:color w:val="auto"/>
              </w:rPr>
            </w:pPr>
            <w:r>
              <w:rPr>
                <w:rFonts w:ascii="Arial" w:cs="Arial" w:eastAsia="Arial" w:hAnsi="Arial"/>
                <w:sz w:val="18"/>
                <w:szCs w:val="18"/>
                <w:color w:val="auto"/>
              </w:rPr>
              <w:t>(16.9)</w:t>
            </w: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70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3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Other</w:t>
            </w:r>
          </w:p>
        </w:tc>
        <w:tc>
          <w:tcPr>
            <w:tcW w:w="3460" w:type="dxa"/>
            <w:vAlign w:val="bottom"/>
          </w:tcPr>
          <w:p>
            <w:pPr>
              <w:jc w:val="right"/>
              <w:ind w:right="190"/>
              <w:spacing w:after="0"/>
              <w:rPr>
                <w:sz w:val="20"/>
                <w:szCs w:val="20"/>
                <w:color w:val="auto"/>
              </w:rPr>
            </w:pPr>
            <w:r>
              <w:rPr>
                <w:rFonts w:ascii="Arial" w:cs="Arial" w:eastAsia="Arial" w:hAnsi="Arial"/>
                <w:sz w:val="18"/>
                <w:szCs w:val="18"/>
                <w:color w:val="auto"/>
              </w:rPr>
              <w:t>1.0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70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3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7"/>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3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55.7</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w:t>
            </w:r>
          </w:p>
        </w:tc>
      </w:tr>
      <w:tr>
        <w:trPr>
          <w:trHeight w:val="27"/>
        </w:trPr>
        <w:tc>
          <w:tcPr>
            <w:tcW w:w="70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7"/>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46.4</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w:t>
            </w:r>
          </w:p>
        </w:tc>
      </w:tr>
      <w:tr>
        <w:trPr>
          <w:trHeight w:val="27"/>
        </w:trPr>
        <w:tc>
          <w:tcPr>
            <w:tcW w:w="70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3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37"/>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3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$45.9</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7"/>
        </w:trPr>
        <w:tc>
          <w:tcPr>
            <w:tcW w:w="70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3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Basic</w:t>
            </w:r>
          </w:p>
        </w:tc>
        <w:tc>
          <w:tcPr>
            <w:tcW w:w="3460" w:type="dxa"/>
            <w:vAlign w:val="bottom"/>
          </w:tcPr>
          <w:p>
            <w:pPr>
              <w:jc w:val="right"/>
              <w:ind w:right="190"/>
              <w:spacing w:after="0"/>
              <w:rPr>
                <w:sz w:val="20"/>
                <w:szCs w:val="20"/>
                <w:color w:val="auto"/>
              </w:rPr>
            </w:pPr>
            <w:r>
              <w:rPr>
                <w:rFonts w:ascii="Arial" w:cs="Arial" w:eastAsia="Arial" w:hAnsi="Arial"/>
                <w:sz w:val="18"/>
                <w:szCs w:val="18"/>
                <w:color w:val="auto"/>
              </w:rPr>
              <w:t>49.2</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46.9</w:t>
            </w:r>
          </w:p>
        </w:tc>
      </w:tr>
      <w:tr>
        <w:trPr>
          <w:trHeight w:val="27"/>
        </w:trPr>
        <w:tc>
          <w:tcPr>
            <w:tcW w:w="70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49.2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r>
      <w:tr>
        <w:trPr>
          <w:trHeight w:val="237"/>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3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$0.93</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$0.85</w:t>
            </w:r>
          </w:p>
        </w:tc>
      </w:tr>
      <w:tr>
        <w:trPr>
          <w:trHeight w:val="27"/>
        </w:trPr>
        <w:tc>
          <w:tcPr>
            <w:tcW w:w="70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3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$0.93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$0.85</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3460" w:type="dxa"/>
            <w:vAlign w:val="bottom"/>
          </w:tcPr>
          <w:p>
            <w:pPr>
              <w:jc w:val="right"/>
              <w:ind w:right="110"/>
              <w:spacing w:after="0"/>
              <w:rPr>
                <w:sz w:val="20"/>
                <w:szCs w:val="20"/>
                <w:color w:val="auto"/>
              </w:rPr>
            </w:pPr>
            <w:r>
              <w:rPr>
                <w:rFonts w:ascii="Arial" w:cs="Arial" w:eastAsia="Arial" w:hAnsi="Arial"/>
                <w:sz w:val="18"/>
                <w:szCs w:val="18"/>
                <w:color w:val="auto"/>
              </w:rPr>
              <w:t>$0.52</w:t>
            </w:r>
          </w:p>
        </w:tc>
        <w:tc>
          <w:tcPr>
            <w:tcW w:w="960" w:type="dxa"/>
            <w:vAlign w:val="bottom"/>
          </w:tcPr>
          <w:p>
            <w:pPr>
              <w:jc w:val="right"/>
              <w:spacing w:after="0"/>
              <w:rPr>
                <w:sz w:val="20"/>
                <w:szCs w:val="20"/>
                <w:color w:val="auto"/>
              </w:rPr>
            </w:pPr>
            <w:r>
              <w:rPr>
                <w:rFonts w:ascii="Arial" w:cs="Arial" w:eastAsia="Arial" w:hAnsi="Arial"/>
                <w:sz w:val="18"/>
                <w:szCs w:val="18"/>
                <w:color w:val="auto"/>
              </w:rPr>
              <w:t>$0.505</w:t>
            </w:r>
          </w:p>
        </w:tc>
      </w:tr>
      <w:tr>
        <w:trPr>
          <w:trHeight w:val="27"/>
        </w:trPr>
        <w:tc>
          <w:tcPr>
            <w:tcW w:w="70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Mar. 31,</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 31,</w:t>
            </w:r>
          </w:p>
        </w:tc>
        <w:tc>
          <w:tcPr>
            <w:tcW w:w="3820" w:type="dxa"/>
            <w:vAlign w:val="bottom"/>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Mar. 31,</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r>
      <w:tr>
        <w:trPr>
          <w:trHeight w:val="270"/>
        </w:trPr>
        <w:tc>
          <w:tcPr>
            <w:tcW w:w="3080" w:type="dxa"/>
            <w:vAlign w:val="bottom"/>
          </w:tcPr>
          <w:p>
            <w:pPr>
              <w:spacing w:after="0"/>
              <w:rPr>
                <w:sz w:val="23"/>
                <w:szCs w:val="23"/>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3820" w:type="dxa"/>
            <w:vAlign w:val="bottom"/>
          </w:tcPr>
          <w:p>
            <w:pPr>
              <w:spacing w:after="0"/>
              <w:rPr>
                <w:sz w:val="23"/>
                <w:szCs w:val="23"/>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Liabilities and Shareholders’ Equity</w:t>
            </w:r>
          </w:p>
        </w:tc>
        <w:tc>
          <w:tcPr>
            <w:tcW w:w="1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$97.0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$97.0</w:t>
            </w:r>
          </w:p>
        </w:tc>
        <w:tc>
          <w:tcPr>
            <w:tcW w:w="382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1400" w:type="dxa"/>
            <w:vAlign w:val="bottom"/>
          </w:tcPr>
          <w:p>
            <w:pPr>
              <w:jc w:val="right"/>
              <w:spacing w:after="0"/>
              <w:rPr>
                <w:sz w:val="20"/>
                <w:szCs w:val="20"/>
                <w:color w:val="auto"/>
              </w:rPr>
            </w:pPr>
            <w:r>
              <w:rPr>
                <w:rFonts w:ascii="Arial" w:cs="Arial" w:eastAsia="Arial" w:hAnsi="Arial"/>
                <w:sz w:val="18"/>
                <w:szCs w:val="18"/>
                <w:color w:val="auto"/>
              </w:rPr>
              <w:t>$224.2</w:t>
            </w:r>
          </w:p>
        </w:tc>
        <w:tc>
          <w:tcPr>
            <w:tcW w:w="840" w:type="dxa"/>
            <w:vAlign w:val="bottom"/>
          </w:tcPr>
          <w:p>
            <w:pPr>
              <w:jc w:val="right"/>
              <w:spacing w:after="0"/>
              <w:rPr>
                <w:sz w:val="20"/>
                <w:szCs w:val="20"/>
                <w:color w:val="auto"/>
              </w:rPr>
            </w:pPr>
            <w:r>
              <w:rPr>
                <w:rFonts w:ascii="Arial" w:cs="Arial" w:eastAsia="Arial" w:hAnsi="Arial"/>
                <w:sz w:val="18"/>
                <w:szCs w:val="18"/>
                <w:color w:val="auto"/>
              </w:rPr>
              <w:t>$274.8</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282.3</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274.0</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Long-Term Debt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1,556.7</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3,642.3</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3,669.1</w:t>
            </w:r>
          </w:p>
        </w:tc>
        <w:tc>
          <w:tcPr>
            <w:tcW w:w="382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1400" w:type="dxa"/>
            <w:vAlign w:val="bottom"/>
          </w:tcPr>
          <w:p>
            <w:pPr>
              <w:jc w:val="right"/>
              <w:spacing w:after="0"/>
              <w:rPr>
                <w:sz w:val="20"/>
                <w:szCs w:val="20"/>
                <w:color w:val="auto"/>
              </w:rPr>
            </w:pPr>
            <w:r>
              <w:rPr>
                <w:rFonts w:ascii="Arial" w:cs="Arial" w:eastAsia="Arial" w:hAnsi="Arial"/>
                <w:sz w:val="18"/>
                <w:szCs w:val="18"/>
                <w:color w:val="auto"/>
              </w:rPr>
              <w:t>589.7</w:t>
            </w:r>
          </w:p>
        </w:tc>
        <w:tc>
          <w:tcPr>
            <w:tcW w:w="840" w:type="dxa"/>
            <w:vAlign w:val="bottom"/>
          </w:tcPr>
          <w:p>
            <w:pPr>
              <w:jc w:val="right"/>
              <w:spacing w:after="0"/>
              <w:rPr>
                <w:sz w:val="20"/>
                <w:szCs w:val="20"/>
                <w:color w:val="auto"/>
              </w:rPr>
            </w:pPr>
            <w:r>
              <w:rPr>
                <w:rFonts w:ascii="Arial" w:cs="Arial" w:eastAsia="Arial" w:hAnsi="Arial"/>
                <w:sz w:val="18"/>
                <w:szCs w:val="18"/>
                <w:color w:val="auto"/>
              </w:rPr>
              <w:t>579.8</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367.1</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372.0</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Regulatory Liabilities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Investment in ATC</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128.6</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124.5</w:t>
            </w:r>
          </w:p>
        </w:tc>
        <w:tc>
          <w:tcPr>
            <w:tcW w:w="3820" w:type="dxa"/>
            <w:vAlign w:val="bottom"/>
          </w:tcPr>
          <w:p>
            <w:pPr>
              <w:ind w:left="80"/>
              <w:spacing w:after="0"/>
              <w:rPr>
                <w:sz w:val="20"/>
                <w:szCs w:val="20"/>
                <w:color w:val="auto"/>
              </w:rPr>
            </w:pPr>
            <w:r>
              <w:rPr>
                <w:rFonts w:ascii="Arial" w:cs="Arial" w:eastAsia="Arial" w:hAnsi="Arial"/>
                <w:sz w:val="18"/>
                <w:szCs w:val="18"/>
                <w:color w:val="auto"/>
              </w:rPr>
              <w:t>Defined Benefit Pension &amp; Other</w:t>
            </w:r>
          </w:p>
        </w:tc>
        <w:tc>
          <w:tcPr>
            <w:tcW w:w="1400" w:type="dxa"/>
            <w:vAlign w:val="bottom"/>
          </w:tcPr>
          <w:p>
            <w:pPr>
              <w:jc w:val="right"/>
              <w:spacing w:after="0"/>
              <w:rPr>
                <w:sz w:val="20"/>
                <w:szCs w:val="20"/>
                <w:color w:val="auto"/>
              </w:rPr>
            </w:pPr>
            <w:r>
              <w:rPr>
                <w:rFonts w:ascii="Arial" w:cs="Arial" w:eastAsia="Arial" w:hAnsi="Arial"/>
                <w:sz w:val="18"/>
                <w:szCs w:val="18"/>
                <w:color w:val="auto"/>
              </w:rPr>
              <w:t>205.7</w:t>
            </w:r>
          </w:p>
        </w:tc>
        <w:tc>
          <w:tcPr>
            <w:tcW w:w="840" w:type="dxa"/>
            <w:vAlign w:val="bottom"/>
          </w:tcPr>
          <w:p>
            <w:pPr>
              <w:jc w:val="right"/>
              <w:spacing w:after="0"/>
              <w:rPr>
                <w:sz w:val="20"/>
                <w:szCs w:val="20"/>
                <w:color w:val="auto"/>
              </w:rPr>
            </w:pPr>
            <w:r>
              <w:rPr>
                <w:rFonts w:ascii="Arial" w:cs="Arial" w:eastAsia="Arial" w:hAnsi="Arial"/>
                <w:sz w:val="18"/>
                <w:szCs w:val="18"/>
                <w:color w:val="auto"/>
              </w:rPr>
              <w:t>206.8</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Non-Current Liabilities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Goodwill and Intangibles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213.9</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215.2</w:t>
            </w:r>
          </w:p>
        </w:tc>
        <w:tc>
          <w:tcPr>
            <w:tcW w:w="382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1400" w:type="dxa"/>
            <w:vAlign w:val="bottom"/>
          </w:tcPr>
          <w:p>
            <w:pPr>
              <w:jc w:val="right"/>
              <w:spacing w:after="0"/>
              <w:rPr>
                <w:sz w:val="20"/>
                <w:szCs w:val="20"/>
                <w:color w:val="auto"/>
              </w:rPr>
            </w:pPr>
            <w:r>
              <w:rPr>
                <w:rFonts w:ascii="Arial" w:cs="Arial" w:eastAsia="Arial" w:hAnsi="Arial"/>
                <w:sz w:val="18"/>
                <w:szCs w:val="18"/>
                <w:color w:val="auto"/>
              </w:rPr>
              <w:t>1,852.5</w:t>
            </w:r>
          </w:p>
        </w:tc>
        <w:tc>
          <w:tcPr>
            <w:tcW w:w="840" w:type="dxa"/>
            <w:vAlign w:val="bottom"/>
          </w:tcPr>
          <w:p>
            <w:pPr>
              <w:jc w:val="right"/>
              <w:spacing w:after="0"/>
              <w:rPr>
                <w:sz w:val="20"/>
                <w:szCs w:val="20"/>
                <w:color w:val="auto"/>
              </w:rPr>
            </w:pPr>
            <w:r>
              <w:rPr>
                <w:rFonts w:ascii="Arial" w:cs="Arial" w:eastAsia="Arial" w:hAnsi="Arial"/>
                <w:sz w:val="18"/>
                <w:szCs w:val="18"/>
                <w:color w:val="auto"/>
              </w:rPr>
              <w:t>1,822.4</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38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37"/>
        </w:trPr>
        <w:tc>
          <w:tcPr>
            <w:tcW w:w="3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$4,872.7</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$4,894.5</w:t>
            </w:r>
          </w:p>
        </w:tc>
        <w:tc>
          <w:tcPr>
            <w:tcW w:w="382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Total Liabilities and Shareholders’ Equity</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$4,872.7</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$4,894.5</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364"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536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4140" w:type="dxa"/>
            <w:vAlign w:val="bottom"/>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220" w:type="dxa"/>
            <w:vAlign w:val="bottom"/>
          </w:tcPr>
          <w:p>
            <w:pPr>
              <w:spacing w:after="0"/>
              <w:rPr>
                <w:sz w:val="23"/>
                <w:szCs w:val="23"/>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4140" w:type="dxa"/>
            <w:vAlign w:val="bottom"/>
          </w:tcPr>
          <w:p>
            <w:pPr>
              <w:jc w:val="right"/>
              <w:ind w:right="1170"/>
              <w:spacing w:after="0"/>
              <w:rPr>
                <w:sz w:val="20"/>
                <w:szCs w:val="20"/>
                <w:color w:val="auto"/>
              </w:rPr>
            </w:pPr>
            <w:r>
              <w:rPr>
                <w:rFonts w:ascii="Arial" w:cs="Arial" w:eastAsia="Arial" w:hAnsi="Arial"/>
                <w:sz w:val="18"/>
                <w:szCs w:val="18"/>
                <w:b w:val="1"/>
                <w:bCs w:val="1"/>
                <w:color w:val="auto"/>
              </w:rPr>
              <w:t>2016</w:t>
            </w:r>
          </w:p>
        </w:tc>
        <w:tc>
          <w:tcPr>
            <w:tcW w:w="12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r>
      <w:tr>
        <w:trPr>
          <w:trHeight w:val="27"/>
        </w:trPr>
        <w:tc>
          <w:tcPr>
            <w:tcW w:w="60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Millions</w:t>
            </w:r>
          </w:p>
        </w:tc>
        <w:tc>
          <w:tcPr>
            <w:tcW w:w="4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41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$42.4</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$41.0</w:t>
            </w:r>
          </w:p>
        </w:tc>
      </w:tr>
      <w:tr>
        <w:trPr>
          <w:trHeight w:val="216"/>
        </w:trPr>
        <w:tc>
          <w:tcPr>
            <w:tcW w:w="6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Energy Infrastructure and Related Services</w:t>
            </w:r>
          </w:p>
        </w:tc>
        <w:tc>
          <w:tcPr>
            <w:tcW w:w="4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ALLETE Clean Energy</w:t>
            </w:r>
          </w:p>
        </w:tc>
        <w:tc>
          <w:tcPr>
            <w:tcW w:w="4140" w:type="dxa"/>
            <w:vAlign w:val="bottom"/>
          </w:tcPr>
          <w:p>
            <w:pPr>
              <w:jc w:val="right"/>
              <w:ind w:right="810"/>
              <w:spacing w:after="0"/>
              <w:rPr>
                <w:sz w:val="20"/>
                <w:szCs w:val="20"/>
                <w:color w:val="auto"/>
              </w:rPr>
            </w:pPr>
            <w:r>
              <w:rPr>
                <w:rFonts w:ascii="Arial" w:cs="Arial" w:eastAsia="Arial" w:hAnsi="Arial"/>
                <w:sz w:val="18"/>
                <w:szCs w:val="18"/>
                <w:color w:val="auto"/>
              </w:rPr>
              <w:t>6.1</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2.5</w:t>
            </w: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Water Services</w:t>
            </w:r>
          </w:p>
        </w:tc>
        <w:tc>
          <w:tcPr>
            <w:tcW w:w="41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(0.5)</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r>
      <w:tr>
        <w:trPr>
          <w:trHeight w:val="216"/>
        </w:trPr>
        <w:tc>
          <w:tcPr>
            <w:tcW w:w="6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and Other</w:t>
            </w:r>
          </w:p>
        </w:tc>
        <w:tc>
          <w:tcPr>
            <w:tcW w:w="41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(2.1)</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(3.5)</w:t>
            </w:r>
          </w:p>
        </w:tc>
      </w:tr>
      <w:tr>
        <w:trPr>
          <w:trHeight w:val="237"/>
        </w:trPr>
        <w:tc>
          <w:tcPr>
            <w:tcW w:w="60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Income Attributable to ALLETE</w:t>
            </w:r>
          </w:p>
        </w:tc>
        <w:tc>
          <w:tcPr>
            <w:tcW w:w="414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$45.9</w:t>
            </w: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$39.9</w:t>
            </w:r>
          </w:p>
        </w:tc>
      </w:tr>
      <w:tr>
        <w:trPr>
          <w:trHeight w:val="27"/>
        </w:trPr>
        <w:tc>
          <w:tcPr>
            <w:tcW w:w="60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41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$0.93</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$0.85</w:t>
            </w:r>
          </w:p>
        </w:tc>
      </w:tr>
      <w:tr>
        <w:trPr>
          <w:trHeight w:val="588"/>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Statistical Data</w:t>
            </w:r>
          </w:p>
        </w:tc>
        <w:tc>
          <w:tcPr>
            <w:tcW w:w="4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4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4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600"/>
              <w:spacing w:after="0"/>
              <w:rPr>
                <w:sz w:val="20"/>
                <w:szCs w:val="20"/>
                <w:color w:val="auto"/>
              </w:rPr>
            </w:pPr>
            <w:r>
              <w:rPr>
                <w:rFonts w:ascii="Arial" w:cs="Arial" w:eastAsia="Arial" w:hAnsi="Arial"/>
                <w:sz w:val="18"/>
                <w:szCs w:val="18"/>
                <w:color w:val="auto"/>
              </w:rPr>
              <w:t>High</w:t>
            </w:r>
          </w:p>
        </w:tc>
        <w:tc>
          <w:tcPr>
            <w:tcW w:w="4140" w:type="dxa"/>
            <w:vAlign w:val="bottom"/>
          </w:tcPr>
          <w:p>
            <w:pPr>
              <w:jc w:val="right"/>
              <w:ind w:right="550"/>
              <w:spacing w:after="0"/>
              <w:rPr>
                <w:sz w:val="20"/>
                <w:szCs w:val="20"/>
                <w:color w:val="auto"/>
              </w:rPr>
            </w:pPr>
            <w:r>
              <w:rPr>
                <w:rFonts w:ascii="Arial" w:cs="Arial" w:eastAsia="Arial" w:hAnsi="Arial"/>
                <w:sz w:val="18"/>
                <w:szCs w:val="18"/>
                <w:color w:val="auto"/>
              </w:rPr>
              <w:t>$58.34</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$59.73</w:t>
            </w: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41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$48.26</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$51.16</w:t>
            </w:r>
          </w:p>
        </w:tc>
      </w:tr>
      <w:tr>
        <w:trPr>
          <w:trHeight w:val="243"/>
        </w:trPr>
        <w:tc>
          <w:tcPr>
            <w:tcW w:w="6060" w:type="dxa"/>
            <w:vAlign w:val="bottom"/>
          </w:tcPr>
          <w:p>
            <w:pPr>
              <w:ind w:left="600"/>
              <w:spacing w:after="0"/>
              <w:rPr>
                <w:sz w:val="20"/>
                <w:szCs w:val="20"/>
                <w:color w:val="auto"/>
              </w:rPr>
            </w:pPr>
            <w:r>
              <w:rPr>
                <w:rFonts w:ascii="Arial" w:cs="Arial" w:eastAsia="Arial" w:hAnsi="Arial"/>
                <w:sz w:val="18"/>
                <w:szCs w:val="18"/>
                <w:color w:val="auto"/>
              </w:rPr>
              <w:t>Close</w:t>
            </w:r>
          </w:p>
        </w:tc>
        <w:tc>
          <w:tcPr>
            <w:tcW w:w="4140" w:type="dxa"/>
            <w:vAlign w:val="bottom"/>
          </w:tcPr>
          <w:p>
            <w:pPr>
              <w:jc w:val="right"/>
              <w:ind w:right="550"/>
              <w:spacing w:after="0"/>
              <w:rPr>
                <w:sz w:val="20"/>
                <w:szCs w:val="20"/>
                <w:color w:val="auto"/>
              </w:rPr>
            </w:pPr>
            <w:r>
              <w:rPr>
                <w:rFonts w:ascii="Arial" w:cs="Arial" w:eastAsia="Arial" w:hAnsi="Arial"/>
                <w:sz w:val="18"/>
                <w:szCs w:val="18"/>
                <w:color w:val="auto"/>
              </w:rPr>
              <w:t>$56.07</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$52.76</w:t>
            </w: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41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$37.55</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$36.28</w:t>
            </w:r>
          </w:p>
        </w:tc>
      </w:tr>
      <w:tr>
        <w:trPr>
          <w:trHeight w:val="594"/>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Kilowatt-hours Sold</w:t>
            </w:r>
          </w:p>
        </w:tc>
        <w:tc>
          <w:tcPr>
            <w:tcW w:w="4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Millions</w:t>
            </w:r>
          </w:p>
        </w:tc>
        <w:tc>
          <w:tcPr>
            <w:tcW w:w="4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4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600"/>
              <w:spacing w:after="0"/>
              <w:rPr>
                <w:sz w:val="20"/>
                <w:szCs w:val="20"/>
                <w:color w:val="auto"/>
              </w:rPr>
            </w:pPr>
            <w:r>
              <w:rPr>
                <w:rFonts w:ascii="Arial" w:cs="Arial" w:eastAsia="Arial" w:hAnsi="Arial"/>
                <w:sz w:val="18"/>
                <w:szCs w:val="18"/>
                <w:color w:val="auto"/>
              </w:rPr>
              <w:t>Retail and Municipals</w:t>
            </w:r>
          </w:p>
        </w:tc>
        <w:tc>
          <w:tcPr>
            <w:tcW w:w="4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41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329</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356</w:t>
            </w:r>
          </w:p>
        </w:tc>
      </w:tr>
      <w:tr>
        <w:trPr>
          <w:trHeight w:val="243"/>
        </w:trPr>
        <w:tc>
          <w:tcPr>
            <w:tcW w:w="606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4140" w:type="dxa"/>
            <w:vAlign w:val="bottom"/>
          </w:tcPr>
          <w:p>
            <w:pPr>
              <w:jc w:val="right"/>
              <w:ind w:right="550"/>
              <w:spacing w:after="0"/>
              <w:rPr>
                <w:sz w:val="20"/>
                <w:szCs w:val="20"/>
                <w:color w:val="auto"/>
              </w:rPr>
            </w:pPr>
            <w:r>
              <w:rPr>
                <w:rFonts w:ascii="Arial" w:cs="Arial" w:eastAsia="Arial" w:hAnsi="Arial"/>
                <w:sz w:val="18"/>
                <w:szCs w:val="18"/>
                <w:color w:val="auto"/>
              </w:rPr>
              <w:t>368</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384</w:t>
            </w: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Municipals</w:t>
            </w:r>
          </w:p>
        </w:tc>
        <w:tc>
          <w:tcPr>
            <w:tcW w:w="41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219</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233</w:t>
            </w:r>
          </w:p>
        </w:tc>
      </w:tr>
      <w:tr>
        <w:trPr>
          <w:trHeight w:val="243"/>
        </w:trPr>
        <w:tc>
          <w:tcPr>
            <w:tcW w:w="606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4140" w:type="dxa"/>
            <w:vAlign w:val="bottom"/>
          </w:tcPr>
          <w:p>
            <w:pPr>
              <w:jc w:val="right"/>
              <w:ind w:right="550"/>
              <w:spacing w:after="0"/>
              <w:rPr>
                <w:sz w:val="20"/>
                <w:szCs w:val="20"/>
                <w:color w:val="auto"/>
              </w:rPr>
            </w:pPr>
            <w:r>
              <w:rPr>
                <w:rFonts w:ascii="Arial" w:cs="Arial" w:eastAsia="Arial" w:hAnsi="Arial"/>
                <w:sz w:val="18"/>
                <w:szCs w:val="18"/>
                <w:color w:val="auto"/>
              </w:rPr>
              <w:t>1,594</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1,950</w:t>
            </w:r>
          </w:p>
        </w:tc>
      </w:tr>
      <w:tr>
        <w:trPr>
          <w:trHeight w:val="27"/>
        </w:trPr>
        <w:tc>
          <w:tcPr>
            <w:tcW w:w="60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41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2,510</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2,923</w:t>
            </w:r>
          </w:p>
        </w:tc>
      </w:tr>
      <w:tr>
        <w:trPr>
          <w:trHeight w:val="243"/>
        </w:trPr>
        <w:tc>
          <w:tcPr>
            <w:tcW w:w="606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4140" w:type="dxa"/>
            <w:vAlign w:val="bottom"/>
          </w:tcPr>
          <w:p>
            <w:pPr>
              <w:jc w:val="right"/>
              <w:ind w:right="550"/>
              <w:spacing w:after="0"/>
              <w:rPr>
                <w:sz w:val="20"/>
                <w:szCs w:val="20"/>
                <w:color w:val="auto"/>
              </w:rPr>
            </w:pPr>
            <w:r>
              <w:rPr>
                <w:rFonts w:ascii="Arial" w:cs="Arial" w:eastAsia="Arial" w:hAnsi="Arial"/>
                <w:sz w:val="18"/>
                <w:szCs w:val="18"/>
                <w:color w:val="auto"/>
              </w:rPr>
              <w:t>1,130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891</w:t>
            </w:r>
          </w:p>
        </w:tc>
      </w:tr>
      <w:tr>
        <w:trPr>
          <w:trHeight w:val="27"/>
        </w:trPr>
        <w:tc>
          <w:tcPr>
            <w:tcW w:w="60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 Kilowatt-hours Sold</w:t>
            </w:r>
          </w:p>
        </w:tc>
        <w:tc>
          <w:tcPr>
            <w:tcW w:w="41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3,640</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3,814</w:t>
            </w:r>
          </w:p>
        </w:tc>
      </w:tr>
      <w:tr>
        <w:trPr>
          <w:trHeight w:val="588"/>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4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Millions</w:t>
            </w:r>
          </w:p>
        </w:tc>
        <w:tc>
          <w:tcPr>
            <w:tcW w:w="4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 Revenue</w:t>
            </w:r>
          </w:p>
        </w:tc>
        <w:tc>
          <w:tcPr>
            <w:tcW w:w="4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600"/>
              <w:spacing w:after="0"/>
              <w:rPr>
                <w:sz w:val="20"/>
                <w:szCs w:val="20"/>
                <w:color w:val="auto"/>
              </w:rPr>
            </w:pPr>
            <w:r>
              <w:rPr>
                <w:rFonts w:ascii="Arial" w:cs="Arial" w:eastAsia="Arial" w:hAnsi="Arial"/>
                <w:sz w:val="18"/>
                <w:szCs w:val="18"/>
                <w:color w:val="auto"/>
              </w:rPr>
              <w:t>Retail and Municipals</w:t>
            </w:r>
          </w:p>
        </w:tc>
        <w:tc>
          <w:tcPr>
            <w:tcW w:w="4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41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$32.9</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$35.0</w:t>
            </w:r>
          </w:p>
        </w:tc>
      </w:tr>
      <w:tr>
        <w:trPr>
          <w:trHeight w:val="243"/>
        </w:trPr>
        <w:tc>
          <w:tcPr>
            <w:tcW w:w="606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4140" w:type="dxa"/>
            <w:vAlign w:val="bottom"/>
          </w:tcPr>
          <w:p>
            <w:pPr>
              <w:jc w:val="right"/>
              <w:ind w:right="550"/>
              <w:spacing w:after="0"/>
              <w:rPr>
                <w:sz w:val="20"/>
                <w:szCs w:val="20"/>
                <w:color w:val="auto"/>
              </w:rPr>
            </w:pPr>
            <w:r>
              <w:rPr>
                <w:rFonts w:ascii="Arial" w:cs="Arial" w:eastAsia="Arial" w:hAnsi="Arial"/>
                <w:sz w:val="18"/>
                <w:szCs w:val="18"/>
                <w:color w:val="auto"/>
              </w:rPr>
              <w:t>32.5</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33.6</w:t>
            </w: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Municipals</w:t>
            </w:r>
          </w:p>
        </w:tc>
        <w:tc>
          <w:tcPr>
            <w:tcW w:w="41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15.9</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16.0</w:t>
            </w:r>
          </w:p>
        </w:tc>
      </w:tr>
      <w:tr>
        <w:trPr>
          <w:trHeight w:val="243"/>
        </w:trPr>
        <w:tc>
          <w:tcPr>
            <w:tcW w:w="606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4140" w:type="dxa"/>
            <w:vAlign w:val="bottom"/>
          </w:tcPr>
          <w:p>
            <w:pPr>
              <w:jc w:val="right"/>
              <w:ind w:right="550"/>
              <w:spacing w:after="0"/>
              <w:rPr>
                <w:sz w:val="20"/>
                <w:szCs w:val="20"/>
                <w:color w:val="auto"/>
              </w:rPr>
            </w:pPr>
            <w:r>
              <w:rPr>
                <w:rFonts w:ascii="Arial" w:cs="Arial" w:eastAsia="Arial" w:hAnsi="Arial"/>
                <w:sz w:val="18"/>
                <w:szCs w:val="18"/>
                <w:color w:val="auto"/>
              </w:rPr>
              <w:t>99.9</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114.7</w:t>
            </w:r>
          </w:p>
        </w:tc>
      </w:tr>
      <w:tr>
        <w:trPr>
          <w:trHeight w:val="27"/>
        </w:trPr>
        <w:tc>
          <w:tcPr>
            <w:tcW w:w="60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Municipals</w:t>
            </w:r>
          </w:p>
        </w:tc>
        <w:tc>
          <w:tcPr>
            <w:tcW w:w="41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181.2</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199.3</w:t>
            </w:r>
          </w:p>
        </w:tc>
      </w:tr>
      <w:tr>
        <w:trPr>
          <w:trHeight w:val="243"/>
        </w:trPr>
        <w:tc>
          <w:tcPr>
            <w:tcW w:w="606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4140" w:type="dxa"/>
            <w:vAlign w:val="bottom"/>
          </w:tcPr>
          <w:p>
            <w:pPr>
              <w:jc w:val="right"/>
              <w:ind w:right="550"/>
              <w:spacing w:after="0"/>
              <w:rPr>
                <w:sz w:val="20"/>
                <w:szCs w:val="20"/>
                <w:color w:val="auto"/>
              </w:rPr>
            </w:pPr>
            <w:r>
              <w:rPr>
                <w:rFonts w:ascii="Arial" w:cs="Arial" w:eastAsia="Arial" w:hAnsi="Arial"/>
                <w:sz w:val="18"/>
                <w:szCs w:val="18"/>
                <w:color w:val="auto"/>
              </w:rPr>
              <w:t>42.2</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33.7</w:t>
            </w: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41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28.9</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29.8</w:t>
            </w:r>
          </w:p>
        </w:tc>
      </w:tr>
      <w:tr>
        <w:trPr>
          <w:trHeight w:val="237"/>
        </w:trPr>
        <w:tc>
          <w:tcPr>
            <w:tcW w:w="60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Regulated Utility Revenue</w:t>
            </w:r>
          </w:p>
        </w:tc>
        <w:tc>
          <w:tcPr>
            <w:tcW w:w="41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$252.3</w:t>
            </w: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$262.8</w:t>
            </w:r>
          </w:p>
        </w:tc>
      </w:tr>
      <w:tr>
        <w:trPr>
          <w:trHeight w:val="27"/>
        </w:trPr>
        <w:tc>
          <w:tcPr>
            <w:tcW w:w="60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92" w:lineRule="exact"/>
        <w:rPr>
          <w:sz w:val="20"/>
          <w:szCs w:val="20"/>
          <w:color w:val="auto"/>
        </w:rPr>
      </w:pPr>
    </w:p>
    <w:p>
      <w:pPr>
        <w:ind w:right="320"/>
        <w:spacing w:after="0" w:line="351"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5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decimal"/>
      <w:start w:val="2"/>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decimal"/>
      <w:start w:val="3"/>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32"/>
    </w:lvl>
  </w:abstractNum>
  <w:abstractNum w:abstractNumId="22">
    <w:nsid w:val="8EDBDAB"/>
    <w:multiLevelType w:val="hybridMultilevel"/>
    <w:lvl w:ilvl="0">
      <w:lvlJc w:val="left"/>
      <w:lvlText w:val="%1"/>
      <w:numFmt w:val="decimal"/>
      <w:start w:val="99"/>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2019-12-29T13:30:11Z</dcterms:created>
  <dcterms:modified xsi:type="dcterms:W3CDTF">2019-12-29T13:30:11Z</dcterms:modified>
</cp:coreProperties>
</file>