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10-Q</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Quarterly Report Pursuant to Section 13 or 15(d) of the Securities Exchange Act of 1934</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quarterly period ended MARCH 31, 2006</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440" w:right="3599" w:hanging="432"/>
        <w:spacing w:after="0" w:line="255" w:lineRule="auto"/>
        <w:tabs>
          <w:tab w:leader="none" w:pos="18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transition period from ______________ to ______________</w:t>
      </w:r>
    </w:p>
    <w:p>
      <w:pPr>
        <w:spacing w:after="0" w:line="338"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Commission File Number 1-3548</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41-0418150</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020" w:space="720"/>
            <w:col w:w="5499"/>
          </w:cols>
          <w:pgMar w:left="220" w:top="561"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30 WEST SUPERIOR STREET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DULUTH, MINNESOTA 55802-2093</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(218) 279-5000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38"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 /X/ Yes / / No</w:t>
      </w:r>
    </w:p>
    <w:p>
      <w:pPr>
        <w:spacing w:after="0" w:line="162"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(as defined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Large Accelerated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Filer</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Accelerated Filer</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 /   Non-Accelerated Filer / /</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Indicate by check</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mark</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whether the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registrant</w:t>
            </w:r>
          </w:p>
        </w:tc>
        <w:tc>
          <w:tcPr>
            <w:tcW w:w="2800" w:type="dxa"/>
            <w:vAlign w:val="bottom"/>
          </w:tcPr>
          <w:p>
            <w:pPr>
              <w:ind w:left="120"/>
              <w:spacing w:after="0"/>
              <w:rPr>
                <w:sz w:val="20"/>
                <w:szCs w:val="20"/>
                <w:color w:val="auto"/>
              </w:rPr>
            </w:pPr>
            <w:r>
              <w:rPr>
                <w:rFonts w:ascii="Courier New" w:cs="Courier New" w:eastAsia="Courier New" w:hAnsi="Courier New"/>
                <w:sz w:val="14"/>
                <w:szCs w:val="14"/>
                <w:color w:val="auto"/>
              </w:rPr>
              <w:t>is a shell  company (as defined</w:t>
            </w:r>
          </w:p>
        </w:tc>
      </w:tr>
      <w:tr>
        <w:trPr>
          <w:trHeight w:val="166"/>
        </w:trPr>
        <w:tc>
          <w:tcPr>
            <w:tcW w:w="2540" w:type="dxa"/>
            <w:vAlign w:val="bottom"/>
            <w:gridSpan w:val="3"/>
          </w:tcPr>
          <w:p>
            <w:pPr>
              <w:spacing w:after="0"/>
              <w:rPr>
                <w:sz w:val="20"/>
                <w:szCs w:val="20"/>
                <w:color w:val="auto"/>
              </w:rPr>
            </w:pPr>
            <w:r>
              <w:rPr>
                <w:rFonts w:ascii="Courier New" w:cs="Courier New" w:eastAsia="Courier New" w:hAnsi="Courier New"/>
                <w:sz w:val="14"/>
                <w:szCs w:val="14"/>
                <w:color w:val="auto"/>
              </w:rPr>
              <w:t>in Rule 12b-2 of the Exchange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Act).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Yes /X/</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r>
    </w:tbl>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Common Stock, no par value,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30,261,553 shares outstanding</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as of April 30, 2006</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tcPr>
          <w:p>
            <w:pPr>
              <w:ind w:left="1720"/>
              <w:spacing w:after="0"/>
              <w:rPr>
                <w:sz w:val="20"/>
                <w:szCs w:val="20"/>
                <w:color w:val="auto"/>
              </w:rPr>
            </w:pPr>
            <w:r>
              <w:rPr>
                <w:rFonts w:ascii="Courier New" w:cs="Courier New" w:eastAsia="Courier New" w:hAnsi="Courier New"/>
                <w:sz w:val="14"/>
                <w:szCs w:val="14"/>
                <w:color w:val="auto"/>
              </w:rPr>
              <w:t>INDEX</w:t>
            </w:r>
          </w:p>
        </w:tc>
        <w:tc>
          <w:tcPr>
            <w:tcW w:w="640" w:type="dxa"/>
            <w:vAlign w:val="bottom"/>
          </w:tcPr>
          <w:p>
            <w:pPr>
              <w:spacing w:after="0"/>
              <w:rPr>
                <w:sz w:val="14"/>
                <w:szCs w:val="14"/>
                <w:color w:val="auto"/>
              </w:rPr>
            </w:pPr>
          </w:p>
        </w:tc>
      </w:tr>
      <w:tr>
        <w:trPr>
          <w:trHeight w:val="331"/>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Definitions</w:t>
            </w:r>
          </w:p>
        </w:tc>
        <w:tc>
          <w:tcPr>
            <w:tcW w:w="4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331"/>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Safe Harbor Statement Under the Private Securities Litigation</w:t>
            </w:r>
          </w:p>
        </w:tc>
        <w:tc>
          <w:tcPr>
            <w:tcW w:w="64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Reform Act of</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1995</w:t>
            </w:r>
          </w:p>
        </w:tc>
        <w:tc>
          <w:tcPr>
            <w:tcW w:w="47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Part I.  Financial Information</w:t>
            </w:r>
          </w:p>
        </w:tc>
        <w:tc>
          <w:tcPr>
            <w:tcW w:w="640" w:type="dxa"/>
            <w:vAlign w:val="bottom"/>
          </w:tcPr>
          <w:p>
            <w:pPr>
              <w:spacing w:after="0"/>
              <w:rPr>
                <w:sz w:val="24"/>
                <w:szCs w:val="24"/>
                <w:color w:val="auto"/>
              </w:rPr>
            </w:pP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1.</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640" w:type="dxa"/>
            <w:vAlign w:val="bottom"/>
          </w:tcPr>
          <w:p>
            <w:pPr>
              <w:spacing w:after="0"/>
              <w:rPr>
                <w:sz w:val="24"/>
                <w:szCs w:val="24"/>
                <w:color w:val="auto"/>
              </w:rPr>
            </w:pPr>
          </w:p>
        </w:tc>
      </w:tr>
      <w:tr>
        <w:trPr>
          <w:trHeight w:val="331"/>
        </w:trPr>
        <w:tc>
          <w:tcPr>
            <w:tcW w:w="11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 -</w:t>
            </w:r>
          </w:p>
        </w:tc>
        <w:tc>
          <w:tcPr>
            <w:tcW w:w="64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March 31, 2006 and December 31, 2005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1"/>
        </w:trPr>
        <w:tc>
          <w:tcPr>
            <w:tcW w:w="11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 of Income -</w:t>
            </w:r>
          </w:p>
        </w:tc>
        <w:tc>
          <w:tcPr>
            <w:tcW w:w="64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Quarter Ended March 31, 2006 and 2005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331"/>
        </w:trPr>
        <w:tc>
          <w:tcPr>
            <w:tcW w:w="11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 of Cash Flows -</w:t>
            </w:r>
          </w:p>
        </w:tc>
        <w:tc>
          <w:tcPr>
            <w:tcW w:w="64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Quarter Ended March 31, 2006 and 2005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331"/>
        </w:trPr>
        <w:tc>
          <w:tcPr>
            <w:tcW w:w="11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2.</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64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Condition and Results of Operations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3.</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Quantitative and Qualitative Disclosures about</w:t>
            </w:r>
          </w:p>
        </w:tc>
        <w:tc>
          <w:tcPr>
            <w:tcW w:w="64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Market Risk</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4.</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Controls and Procedures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331"/>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Part II. Other Information</w:t>
            </w:r>
          </w:p>
        </w:tc>
        <w:tc>
          <w:tcPr>
            <w:tcW w:w="640" w:type="dxa"/>
            <w:vAlign w:val="bottom"/>
          </w:tcPr>
          <w:p>
            <w:pPr>
              <w:spacing w:after="0"/>
              <w:rPr>
                <w:sz w:val="24"/>
                <w:szCs w:val="24"/>
                <w:color w:val="auto"/>
              </w:rPr>
            </w:pP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1.</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Legal Proceedings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1A.</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Risk Factors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2.</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Unregistered Sales of Equity Securities and</w:t>
            </w:r>
          </w:p>
        </w:tc>
        <w:tc>
          <w:tcPr>
            <w:tcW w:w="64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Use of Proceeds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3.</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Defaults Upon Senior Securities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4.</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5.</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Other Information</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Item</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6.</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4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spacing w:after="0"/>
              <w:rPr>
                <w:sz w:val="24"/>
                <w:szCs w:val="24"/>
                <w:color w:val="auto"/>
              </w:rPr>
            </w:pPr>
          </w:p>
        </w:tc>
        <w:tc>
          <w:tcPr>
            <w:tcW w:w="4700" w:type="dxa"/>
            <w:vAlign w:val="bottom"/>
          </w:tcPr>
          <w:p>
            <w:pPr>
              <w:ind w:left="420"/>
              <w:spacing w:after="0"/>
              <w:rPr>
                <w:sz w:val="20"/>
                <w:szCs w:val="20"/>
                <w:color w:val="auto"/>
              </w:rPr>
            </w:pPr>
            <w:r>
              <w:rPr>
                <w:rFonts w:ascii="Courier New" w:cs="Courier New" w:eastAsia="Courier New" w:hAnsi="Courier New"/>
                <w:sz w:val="14"/>
                <w:szCs w:val="14"/>
                <w:color w:val="auto"/>
              </w:rPr>
              <w:t>ALLETE First Quarter 2006 Form 10-Q</w:t>
            </w: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abbreviations or acronyms are used in the text. References in this report to "we," "us" and "our" are to ALLETE, Inc. and its subsidiaries, collectively.</w:t>
      </w:r>
    </w:p>
    <w:p>
      <w:pPr>
        <w:spacing w:after="0" w:line="163"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2005 Form 10-K</w:t>
      </w:r>
      <w:r>
        <w:rPr>
          <w:sz w:val="20"/>
          <w:szCs w:val="20"/>
          <w:color w:val="auto"/>
        </w:rPr>
        <w:tab/>
      </w:r>
      <w:r>
        <w:rPr>
          <w:rFonts w:ascii="Courier New" w:cs="Courier New" w:eastAsia="Courier New" w:hAnsi="Courier New"/>
          <w:sz w:val="14"/>
          <w:szCs w:val="14"/>
          <w:color w:val="auto"/>
        </w:rPr>
        <w:t>ALLETE's Annual Report on Form 10-K for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Year Ended December 31, 2005</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ALLETE Properties</w:t>
      </w:r>
      <w:r>
        <w:rPr>
          <w:sz w:val="20"/>
          <w:szCs w:val="20"/>
          <w:color w:val="auto"/>
        </w:rPr>
        <w:tab/>
      </w:r>
      <w:r>
        <w:rPr>
          <w:rFonts w:ascii="Courier New" w:cs="Courier New" w:eastAsia="Courier New" w:hAnsi="Courier New"/>
          <w:sz w:val="14"/>
          <w:szCs w:val="14"/>
          <w:color w:val="auto"/>
        </w:rPr>
        <w:t>ALLETE Properties,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ATC</w:t>
      </w:r>
      <w:r>
        <w:rPr>
          <w:sz w:val="20"/>
          <w:szCs w:val="20"/>
          <w:color w:val="auto"/>
        </w:rPr>
        <w:tab/>
      </w:r>
      <w:r>
        <w:rPr>
          <w:rFonts w:ascii="Courier New" w:cs="Courier New" w:eastAsia="Courier New" w:hAnsi="Courier New"/>
          <w:sz w:val="14"/>
          <w:szCs w:val="14"/>
          <w:color w:val="auto"/>
        </w:rPr>
        <w:t>American Transmission Company</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Constellation Energy Commodities</w:t>
      </w:r>
      <w:r>
        <w:rPr>
          <w:sz w:val="20"/>
          <w:szCs w:val="20"/>
          <w:color w:val="auto"/>
        </w:rPr>
        <w:tab/>
      </w:r>
      <w:r>
        <w:rPr>
          <w:rFonts w:ascii="Courier New" w:cs="Courier New" w:eastAsia="Courier New" w:hAnsi="Courier New"/>
          <w:sz w:val="14"/>
          <w:szCs w:val="14"/>
          <w:color w:val="auto"/>
        </w:rPr>
        <w:t>Constellation Energy Commodities Group,</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DOC</w:t>
      </w:r>
      <w:r>
        <w:rPr>
          <w:sz w:val="20"/>
          <w:szCs w:val="20"/>
          <w:color w:val="auto"/>
        </w:rPr>
        <w:tab/>
      </w:r>
      <w:r>
        <w:rPr>
          <w:rFonts w:ascii="Courier New" w:cs="Courier New" w:eastAsia="Courier New" w:hAnsi="Courier New"/>
          <w:sz w:val="14"/>
          <w:szCs w:val="14"/>
          <w:color w:val="auto"/>
        </w:rPr>
        <w:t>Minnesota Department of Commerce</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Enventis Telecom</w:t>
      </w:r>
      <w:r>
        <w:rPr>
          <w:sz w:val="20"/>
          <w:szCs w:val="20"/>
          <w:color w:val="auto"/>
        </w:rPr>
        <w:tab/>
      </w:r>
      <w:r>
        <w:rPr>
          <w:rFonts w:ascii="Courier New" w:cs="Courier New" w:eastAsia="Courier New" w:hAnsi="Courier New"/>
          <w:sz w:val="14"/>
          <w:szCs w:val="14"/>
          <w:color w:val="auto"/>
        </w:rPr>
        <w:t>Enventis Telecom,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EITF</w:t>
      </w:r>
      <w:r>
        <w:rPr>
          <w:sz w:val="20"/>
          <w:szCs w:val="20"/>
          <w:color w:val="auto"/>
        </w:rPr>
        <w:tab/>
      </w:r>
      <w:r>
        <w:rPr>
          <w:rFonts w:ascii="Courier New" w:cs="Courier New" w:eastAsia="Courier New" w:hAnsi="Courier New"/>
          <w:sz w:val="14"/>
          <w:szCs w:val="14"/>
          <w:color w:val="auto"/>
        </w:rPr>
        <w:t>Emerging Issues Task Force Issue No.</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Florida Water</w:t>
      </w:r>
      <w:r>
        <w:rPr>
          <w:sz w:val="20"/>
          <w:szCs w:val="20"/>
          <w:color w:val="auto"/>
        </w:rPr>
        <w:tab/>
      </w:r>
      <w:r>
        <w:rPr>
          <w:rFonts w:ascii="Courier New" w:cs="Courier New" w:eastAsia="Courier New" w:hAnsi="Courier New"/>
          <w:sz w:val="14"/>
          <w:szCs w:val="14"/>
          <w:color w:val="auto"/>
        </w:rPr>
        <w:t>Florida Water Services Corporation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FSP</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Staff Position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Accounting Principles Generally Accepted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in the United States of America</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Hibbard</w:t>
      </w:r>
      <w:r>
        <w:rPr>
          <w:sz w:val="20"/>
          <w:szCs w:val="20"/>
          <w:color w:val="auto"/>
        </w:rPr>
        <w:tab/>
      </w:r>
      <w:r>
        <w:rPr>
          <w:rFonts w:ascii="Courier New" w:cs="Courier New" w:eastAsia="Courier New" w:hAnsi="Courier New"/>
          <w:sz w:val="14"/>
          <w:szCs w:val="14"/>
          <w:color w:val="auto"/>
        </w:rPr>
        <w:t>Hibbard Energy Center</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Operator,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MPCA</w:t>
      </w:r>
      <w:r>
        <w:rPr>
          <w:sz w:val="20"/>
          <w:szCs w:val="20"/>
          <w:color w:val="auto"/>
        </w:rPr>
        <w:tab/>
      </w:r>
      <w:r>
        <w:rPr>
          <w:rFonts w:ascii="Courier New" w:cs="Courier New" w:eastAsia="Courier New" w:hAnsi="Courier New"/>
          <w:sz w:val="14"/>
          <w:szCs w:val="14"/>
          <w:color w:val="auto"/>
        </w:rPr>
        <w:t>Minnesota Pollution Control Agency</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MW</w:t>
      </w:r>
      <w:r>
        <w:rPr>
          <w:sz w:val="20"/>
          <w:szCs w:val="20"/>
          <w:color w:val="auto"/>
        </w:rPr>
        <w:tab/>
      </w:r>
      <w:r>
        <w:rPr>
          <w:rFonts w:ascii="Courier New" w:cs="Courier New" w:eastAsia="Courier New" w:hAnsi="Courier New"/>
          <w:sz w:val="14"/>
          <w:szCs w:val="14"/>
          <w:color w:val="auto"/>
        </w:rPr>
        <w:t>Megawatt(s)</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 the consolidated financial</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statements in this Form 10-Q</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NOx</w:t>
      </w:r>
      <w:r>
        <w:rPr>
          <w:sz w:val="20"/>
          <w:szCs w:val="20"/>
          <w:color w:val="auto"/>
        </w:rPr>
        <w:tab/>
      </w:r>
      <w:r>
        <w:rPr>
          <w:rFonts w:ascii="Courier New" w:cs="Courier New" w:eastAsia="Courier New" w:hAnsi="Courier New"/>
          <w:sz w:val="14"/>
          <w:szCs w:val="14"/>
          <w:color w:val="auto"/>
        </w:rPr>
        <w:t>Nitrogen Oxide</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Rainy River Energy</w:t>
      </w:r>
      <w:r>
        <w:rPr>
          <w:sz w:val="20"/>
          <w:szCs w:val="20"/>
          <w:color w:val="auto"/>
        </w:rPr>
        <w:tab/>
      </w:r>
      <w:r>
        <w:rPr>
          <w:rFonts w:ascii="Courier New" w:cs="Courier New" w:eastAsia="Courier New" w:hAnsi="Courier New"/>
          <w:sz w:val="14"/>
          <w:szCs w:val="14"/>
          <w:color w:val="auto"/>
        </w:rPr>
        <w:t>Rainy River Energy Corporation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Standards No.</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SO2</w:t>
      </w:r>
      <w:r>
        <w:rPr>
          <w:sz w:val="20"/>
          <w:szCs w:val="20"/>
          <w:color w:val="auto"/>
        </w:rPr>
        <w:tab/>
      </w:r>
      <w:r>
        <w:rPr>
          <w:rFonts w:ascii="Courier New" w:cs="Courier New" w:eastAsia="Courier New" w:hAnsi="Courier New"/>
          <w:sz w:val="14"/>
          <w:szCs w:val="14"/>
          <w:color w:val="auto"/>
        </w:rPr>
        <w:t>Sulfur Dioxide</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Town Center</w:t>
      </w:r>
      <w:r>
        <w:rPr>
          <w:sz w:val="20"/>
          <w:szCs w:val="20"/>
          <w:color w:val="auto"/>
        </w:rPr>
        <w:tab/>
      </w:r>
      <w:r>
        <w:rPr>
          <w:rFonts w:ascii="Courier New" w:cs="Courier New" w:eastAsia="Courier New" w:hAnsi="Courier New"/>
          <w:sz w:val="14"/>
          <w:szCs w:val="14"/>
          <w:color w:val="auto"/>
        </w:rPr>
        <w:t>Town Center at Palm Coast development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project in Florida</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Resources</w:t>
      </w:r>
    </w:p>
    <w:p>
      <w:pPr>
        <w:spacing w:after="0" w:line="173" w:lineRule="exact"/>
        <w:rPr>
          <w:sz w:val="20"/>
          <w:szCs w:val="20"/>
          <w:color w:val="auto"/>
        </w:rPr>
      </w:pPr>
    </w:p>
    <w:p>
      <w:pPr>
        <w:ind w:left="1980"/>
        <w:spacing w:after="0"/>
        <w:tabs>
          <w:tab w:leader="none" w:pos="6800" w:val="left"/>
        </w:tabs>
        <w:rPr>
          <w:sz w:val="20"/>
          <w:szCs w:val="20"/>
          <w:color w:val="auto"/>
        </w:rPr>
      </w:pPr>
      <w:r>
        <w:rPr>
          <w:rFonts w:ascii="Courier New" w:cs="Courier New" w:eastAsia="Courier New" w:hAnsi="Courier New"/>
          <w:sz w:val="14"/>
          <w:szCs w:val="14"/>
          <w:color w:val="auto"/>
        </w:rPr>
        <w:t>ALLETE First Quarter 2006 Form 10-Q</w:t>
      </w:r>
      <w:r>
        <w:rPr>
          <w:sz w:val="20"/>
          <w:szCs w:val="20"/>
          <w:color w:val="auto"/>
        </w:rPr>
        <w:tab/>
      </w:r>
      <w:r>
        <w:rPr>
          <w:rFonts w:ascii="Courier New" w:cs="Courier New" w:eastAsia="Courier New" w:hAnsi="Courier New"/>
          <w:sz w:val="13"/>
          <w:szCs w:val="13"/>
          <w:color w:val="auto"/>
        </w:rPr>
        <w:t>2</w:t>
      </w:r>
    </w:p>
    <w:p>
      <w:pPr>
        <w:sectPr>
          <w:pgSz w:w="11900" w:h="16838" w:orient="portrait"/>
          <w:cols w:equalWidth="0" w:num="1">
            <w:col w:w="10239"/>
          </w:cols>
          <w:pgMar w:left="220" w:top="616"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4"/>
          <w:szCs w:val="14"/>
          <w:color w:val="auto"/>
        </w:rPr>
        <w:t>SAFE HARBOR STATEMENT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PRIVATE SECURITIES LITIGATION REFORM ACT OF 1995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and are qualified in their entirety by reference to, and are accompanied by, the following important factors, in addition to any assumptions and other factors referred to specifically in connection with such forward-looking statements, which are difficult to predict, contain uncertainties, are beyond our control and may cause actual results or outcomes to differ materially from those contained in forward-looking statements:</w:t>
      </w:r>
    </w:p>
    <w:p>
      <w:pPr>
        <w:spacing w:after="0" w:line="164" w:lineRule="exact"/>
        <w:rPr>
          <w:sz w:val="20"/>
          <w:szCs w:val="20"/>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w:t>
      </w:r>
    </w:p>
    <w:p>
      <w:pPr>
        <w:spacing w:after="0" w:line="7" w:lineRule="exact"/>
        <w:rPr>
          <w:rFonts w:ascii="Courier New" w:cs="Courier New" w:eastAsia="Courier New" w:hAnsi="Courier New"/>
          <w:sz w:val="14"/>
          <w:szCs w:val="14"/>
          <w:color w:val="auto"/>
        </w:rPr>
      </w:pPr>
    </w:p>
    <w:p>
      <w:pPr>
        <w:jc w:val="both"/>
        <w:ind w:left="520" w:right="3339" w:hanging="339"/>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and regulatory actions,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and zoning and permitting of land held for resale;</w:t>
      </w:r>
    </w:p>
    <w:p>
      <w:pPr>
        <w:spacing w:after="0" w:line="3"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restructuring initiatives in the electric industry;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environmental and safety laws and policies;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obtain viable real estate for development purposes;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7" w:lineRule="exact"/>
        <w:rPr>
          <w:rFonts w:ascii="Courier New" w:cs="Courier New" w:eastAsia="Courier New" w:hAnsi="Courier New"/>
          <w:sz w:val="14"/>
          <w:szCs w:val="14"/>
          <w:color w:val="auto"/>
        </w:rPr>
      </w:pPr>
    </w:p>
    <w:p>
      <w:pPr>
        <w:ind w:left="520" w:right="3339" w:hanging="339"/>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effects of competition, including competition for retail and wholesale customers;</w:t>
      </w: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and domestic economic conditions;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access capital markets;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for economic expansion or development opportunities;</w:t>
      </w:r>
    </w:p>
    <w:p>
      <w:pPr>
        <w:spacing w:after="0" w:line="7" w:lineRule="exact"/>
        <w:rPr>
          <w:rFonts w:ascii="Courier New" w:cs="Courier New" w:eastAsia="Courier New" w:hAnsi="Courier New"/>
          <w:sz w:val="14"/>
          <w:szCs w:val="14"/>
          <w:color w:val="auto"/>
        </w:rPr>
      </w:pPr>
    </w:p>
    <w:p>
      <w:pPr>
        <w:ind w:left="520" w:right="3339" w:hanging="339"/>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replace a mature workforce, and retain qualified, skilled and experienced personnel; and</w:t>
      </w:r>
    </w:p>
    <w:p>
      <w:pPr>
        <w:jc w:val="both"/>
        <w:ind w:left="520" w:right="3339" w:hanging="339"/>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under the heading "Risk Factors" in Part I, Item 1A of our 2005 Form 10-K and Part II, Item 1A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172"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4" w:name="page5"/>
    <w:bookmarkEnd w:id="4"/>
    <w:p>
      <w:pPr>
        <w:spacing w:after="0"/>
        <w:tabs>
          <w:tab w:leader="none" w:pos="76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33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MILLIONS - UNAUDITED</w:t>
      </w:r>
    </w:p>
    <w:p>
      <w:pPr>
        <w:spacing w:after="0" w:line="173" w:lineRule="exact"/>
        <w:rPr>
          <w:sz w:val="20"/>
          <w:szCs w:val="20"/>
          <w:color w:val="auto"/>
        </w:rPr>
      </w:pPr>
    </w:p>
    <w:tbl>
      <w:tblPr>
        <w:tblLayout w:type="fixed"/>
        <w:tblInd w:w="7240" w:type="dxa"/>
        <w:tblCellMar>
          <w:top w:w="0" w:type="dxa"/>
          <w:left w:w="0" w:type="dxa"/>
          <w:bottom w:w="0" w:type="dxa"/>
          <w:right w:w="0" w:type="dxa"/>
        </w:tblCellMar>
      </w:tblPr>
      <w:tr>
        <w:trPr>
          <w:trHeight w:val="162"/>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MARCH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46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75.0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89.6</w:t>
            </w:r>
          </w:p>
        </w:tc>
      </w:tr>
      <w:tr>
        <w:trPr>
          <w:trHeight w:val="166"/>
        </w:trPr>
        <w:tc>
          <w:tcPr>
            <w:tcW w:w="6460" w:type="dxa"/>
            <w:vAlign w:val="bottom"/>
          </w:tcPr>
          <w:p>
            <w:pPr>
              <w:ind w:left="360"/>
              <w:spacing w:after="0"/>
              <w:rPr>
                <w:sz w:val="20"/>
                <w:szCs w:val="20"/>
                <w:color w:val="auto"/>
              </w:rPr>
            </w:pPr>
            <w:r>
              <w:rPr>
                <w:rFonts w:ascii="Courier New" w:cs="Courier New" w:eastAsia="Courier New" w:hAnsi="Courier New"/>
                <w:sz w:val="14"/>
                <w:szCs w:val="14"/>
                <w:color w:val="auto"/>
              </w:rPr>
              <w:t>Short-Term Investments</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161.5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116.9</w:t>
            </w:r>
          </w:p>
        </w:tc>
      </w:tr>
      <w:tr>
        <w:trPr>
          <w:trHeight w:val="166"/>
        </w:trPr>
        <w:tc>
          <w:tcPr>
            <w:tcW w:w="646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 (Less Allowance of $1.0 for 2006 and 2005)</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r>
      <w:tr>
        <w:trPr>
          <w:trHeight w:val="166"/>
        </w:trPr>
        <w:tc>
          <w:tcPr>
            <w:tcW w:w="646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r>
      <w:tr>
        <w:trPr>
          <w:trHeight w:val="166"/>
        </w:trPr>
        <w:tc>
          <w:tcPr>
            <w:tcW w:w="6460" w:type="dxa"/>
            <w:vAlign w:val="bottom"/>
          </w:tcPr>
          <w:p>
            <w:pPr>
              <w:ind w:left="360"/>
              <w:spacing w:after="0"/>
              <w:rPr>
                <w:sz w:val="20"/>
                <w:szCs w:val="20"/>
                <w:color w:val="auto"/>
              </w:rPr>
            </w:pPr>
            <w:r>
              <w:rPr>
                <w:rFonts w:ascii="Courier New" w:cs="Courier New" w:eastAsia="Courier New" w:hAnsi="Courier New"/>
                <w:sz w:val="14"/>
                <w:szCs w:val="14"/>
                <w:color w:val="auto"/>
              </w:rPr>
              <w:t>Prepayments and Other</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646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6"/>
        </w:trPr>
        <w:tc>
          <w:tcPr>
            <w:tcW w:w="646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373.9</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862.3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860.4</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112.3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117.7</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2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$1,404.0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$1,398.8</w:t>
            </w: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13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LIABILITIES</w:t>
      </w: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w:t>
            </w:r>
          </w:p>
        </w:tc>
        <w:tc>
          <w:tcPr>
            <w:tcW w:w="2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30.3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44.7</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Accrued Taxes</w:t>
            </w:r>
          </w:p>
        </w:tc>
        <w:tc>
          <w:tcPr>
            <w:tcW w:w="2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Accrued Interest</w:t>
            </w:r>
          </w:p>
        </w:tc>
        <w:tc>
          <w:tcPr>
            <w:tcW w:w="2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Long-Term Debt Due Within One Year</w:t>
            </w:r>
          </w:p>
        </w:tc>
        <w:tc>
          <w:tcPr>
            <w:tcW w:w="2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Deferred Profit on Sales of Real Estate</w:t>
            </w:r>
          </w:p>
        </w:tc>
        <w:tc>
          <w:tcPr>
            <w:tcW w:w="2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2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2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165.0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119.7</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387.8</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Income Taxes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138.4</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148.0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144.1</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4"/>
                <w:szCs w:val="14"/>
                <w:color w:val="auto"/>
              </w:rPr>
              <w:t>Minority</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Interest</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784.5</w:t>
      </w:r>
      <w:r>
        <w:rPr>
          <w:sz w:val="20"/>
          <w:szCs w:val="20"/>
          <w:color w:val="auto"/>
        </w:rPr>
        <w:tab/>
      </w:r>
      <w:r>
        <w:rPr>
          <w:rFonts w:ascii="Courier New" w:cs="Courier New" w:eastAsia="Courier New" w:hAnsi="Courier New"/>
          <w:sz w:val="14"/>
          <w:szCs w:val="14"/>
          <w:color w:val="auto"/>
        </w:rPr>
        <w:t>796.0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Without Par Value,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43.3</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Shares Authorized</w:t>
            </w: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30.2</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30.1</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Shares Outstanding</w:t>
            </w:r>
          </w:p>
        </w:tc>
        <w:tc>
          <w:tcPr>
            <w:tcW w:w="2920" w:type="dxa"/>
            <w:vAlign w:val="bottom"/>
          </w:tcPr>
          <w:p>
            <w:pPr>
              <w:spacing w:after="0"/>
              <w:rPr>
                <w:sz w:val="14"/>
                <w:szCs w:val="1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426.6</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421.1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19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ESOP Shares</w:t>
            </w:r>
          </w:p>
        </w:tc>
        <w:tc>
          <w:tcPr>
            <w:tcW w:w="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(76.5)</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(77.6)</w:t>
            </w:r>
          </w:p>
        </w:tc>
      </w:tr>
      <w:tr>
        <w:trPr>
          <w:trHeight w:val="331"/>
        </w:trPr>
        <w:tc>
          <w:tcPr>
            <w:tcW w:w="152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Comprehensive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Loss</w:t>
            </w:r>
          </w:p>
        </w:tc>
        <w:tc>
          <w:tcPr>
            <w:tcW w:w="2920" w:type="dxa"/>
            <w:vAlign w:val="bottom"/>
          </w:tcPr>
          <w:p>
            <w:pPr>
              <w:spacing w:after="0"/>
              <w:rPr>
                <w:sz w:val="24"/>
                <w:szCs w:val="2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(12.5)</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(12.8)</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281.9</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272.1</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619.5</w:t>
      </w:r>
      <w:r>
        <w:rPr>
          <w:sz w:val="20"/>
          <w:szCs w:val="20"/>
          <w:color w:val="auto"/>
        </w:rPr>
        <w:tab/>
      </w:r>
      <w:r>
        <w:rPr>
          <w:rFonts w:ascii="Courier New" w:cs="Courier New" w:eastAsia="Courier New" w:hAnsi="Courier New"/>
          <w:sz w:val="14"/>
          <w:szCs w:val="14"/>
          <w:color w:val="auto"/>
        </w:rPr>
        <w:t>602.8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220" w:val="left"/>
          <w:tab w:leader="none" w:pos="88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$1,404.0</w:t>
      </w:r>
      <w:r>
        <w:rPr>
          <w:sz w:val="20"/>
          <w:szCs w:val="20"/>
          <w:color w:val="auto"/>
        </w:rPr>
        <w:tab/>
      </w:r>
      <w:r>
        <w:rPr>
          <w:rFonts w:ascii="Courier New" w:cs="Courier New" w:eastAsia="Courier New" w:hAnsi="Courier New"/>
          <w:sz w:val="14"/>
          <w:szCs w:val="14"/>
          <w:color w:val="auto"/>
        </w:rPr>
        <w:t>$1,398.8</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616" w:right="1440" w:bottom="588" w:gutter="0" w:footer="0" w:header="0"/>
        </w:sectPr>
      </w:pPr>
    </w:p>
    <w:bookmarkStart w:id="5" w:name="page6"/>
    <w:bookmarkEnd w:id="5"/>
    <w:p>
      <w:pPr>
        <w:ind w:left="492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MILLIONS EXCEPT PER SHARE AMOUNTS - UNAUDITED</w:t>
      </w:r>
    </w:p>
    <w:p>
      <w:pPr>
        <w:spacing w:after="0" w:line="173" w:lineRule="exact"/>
        <w:rPr>
          <w:sz w:val="20"/>
          <w:szCs w:val="20"/>
          <w:color w:val="auto"/>
        </w:rPr>
      </w:pPr>
    </w:p>
    <w:p>
      <w:pPr>
        <w:jc w:val="center"/>
        <w:ind w:left="554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left="554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7420"/>
        <w:spacing w:after="0"/>
        <w:tabs>
          <w:tab w:leader="none" w:pos="930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4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$192.5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6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Fuel and Purchased Power</w:t>
            </w:r>
          </w:p>
        </w:tc>
        <w:tc>
          <w:tcPr>
            <w:tcW w:w="36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67.6</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Operating and Maintenance</w:t>
            </w:r>
          </w:p>
        </w:tc>
        <w:tc>
          <w:tcPr>
            <w:tcW w:w="36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74.5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72.7</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Depreciation</w:t>
            </w:r>
          </w:p>
        </w:tc>
        <w:tc>
          <w:tcPr>
            <w:tcW w:w="36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3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156.1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OTHER INCOME</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3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39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w:t>
            </w:r>
          </w:p>
        </w:tc>
        <w:tc>
          <w:tcPr>
            <w:tcW w:w="3620" w:type="dxa"/>
            <w:vAlign w:val="bottom"/>
          </w:tcPr>
          <w:p>
            <w:pPr>
              <w:spacing w:after="0"/>
              <w:rPr>
                <w:sz w:val="14"/>
                <w:szCs w:val="14"/>
                <w:color w:val="auto"/>
              </w:rPr>
            </w:pPr>
          </w:p>
        </w:tc>
        <w:tc>
          <w:tcPr>
            <w:tcW w:w="3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37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r>
      <w:tr>
        <w:trPr>
          <w:trHeight w:val="331"/>
        </w:trPr>
        <w:tc>
          <w:tcPr>
            <w:tcW w:w="57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FROM CONTINUING OPERATIONS BEFORE INCOME TAXES</w:t>
            </w:r>
          </w:p>
        </w:tc>
        <w:tc>
          <w:tcPr>
            <w:tcW w:w="2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TAX EXPENSE</w:t>
            </w:r>
          </w:p>
        </w:tc>
        <w:tc>
          <w:tcPr>
            <w:tcW w:w="2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FROM CONTINUING OPERATIONS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17.4</w:t>
      </w:r>
    </w:p>
    <w:p>
      <w:pPr>
        <w:spacing w:after="0" w:line="173" w:lineRule="exact"/>
        <w:rPr>
          <w:sz w:val="20"/>
          <w:szCs w:val="20"/>
          <w:color w:val="auto"/>
        </w:rPr>
      </w:pPr>
    </w:p>
    <w:p>
      <w:pPr>
        <w:sectPr>
          <w:pgSz w:w="11900" w:h="16838" w:orient="portrait"/>
          <w:cols w:equalWidth="0" w:num="3">
            <w:col w:w="6780" w:space="720"/>
            <w:col w:w="1180" w:space="720"/>
            <w:col w:w="839"/>
          </w:cols>
          <w:pgMar w:left="220" w:top="782" w:right="1440" w:bottom="1440" w:gutter="0" w:footer="0" w:header="0"/>
          <w:type w:val="continuous"/>
        </w:sectPr>
      </w:pPr>
    </w:p>
    <w:p>
      <w:pPr>
        <w:spacing w:after="0"/>
        <w:tabs>
          <w:tab w:leader="none" w:pos="7740" w:val="left"/>
          <w:tab w:leader="none" w:pos="9640" w:val="left"/>
        </w:tabs>
        <w:rPr>
          <w:sz w:val="20"/>
          <w:szCs w:val="20"/>
          <w:color w:val="auto"/>
        </w:rPr>
      </w:pPr>
      <w:r>
        <w:rPr>
          <w:rFonts w:ascii="Courier New" w:cs="Courier New" w:eastAsia="Courier New" w:hAnsi="Courier New"/>
          <w:sz w:val="14"/>
          <w:szCs w:val="14"/>
          <w:color w:val="auto"/>
        </w:rPr>
        <w:t>INCOME FROM DISCONTINUED OPERATIONS - NET OF TAX</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$ 18.8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$ 17.4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3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r>
        <w:trPr>
          <w:trHeight w:val="166"/>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3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AND DILUTED EARNINGS PER SHARE OF COMMON STOCK</w:t>
      </w:r>
    </w:p>
    <w:p>
      <w:pPr>
        <w:spacing w:after="0" w:line="7" w:lineRule="exact"/>
        <w:rPr>
          <w:sz w:val="20"/>
          <w:szCs w:val="20"/>
          <w:color w:val="auto"/>
        </w:rPr>
      </w:pPr>
    </w:p>
    <w:p>
      <w:pPr>
        <w:ind w:left="360"/>
        <w:spacing w:after="0"/>
        <w:tabs>
          <w:tab w:leader="none" w:pos="7400" w:val="left"/>
          <w:tab w:leader="none" w:pos="9300" w:val="left"/>
        </w:tabs>
        <w:rPr>
          <w:sz w:val="20"/>
          <w:szCs w:val="20"/>
          <w:color w:val="auto"/>
        </w:rPr>
      </w:pPr>
      <w:r>
        <w:rPr>
          <w:rFonts w:ascii="Courier New" w:cs="Courier New" w:eastAsia="Courier New" w:hAnsi="Courier New"/>
          <w:sz w:val="14"/>
          <w:szCs w:val="14"/>
          <w:color w:val="auto"/>
        </w:rPr>
        <w:t>Continuing Operations</w:t>
      </w:r>
      <w:r>
        <w:rPr>
          <w:sz w:val="20"/>
          <w:szCs w:val="20"/>
          <w:color w:val="auto"/>
        </w:rPr>
        <w:tab/>
      </w:r>
      <w:r>
        <w:rPr>
          <w:rFonts w:ascii="Courier New" w:cs="Courier New" w:eastAsia="Courier New" w:hAnsi="Courier New"/>
          <w:sz w:val="14"/>
          <w:szCs w:val="14"/>
          <w:color w:val="auto"/>
        </w:rPr>
        <w:t>$0.68</w:t>
      </w:r>
      <w:r>
        <w:rPr>
          <w:sz w:val="20"/>
          <w:szCs w:val="20"/>
          <w:color w:val="auto"/>
        </w:rPr>
        <w:tab/>
      </w:r>
      <w:r>
        <w:rPr>
          <w:rFonts w:ascii="Courier New" w:cs="Courier New" w:eastAsia="Courier New" w:hAnsi="Courier New"/>
          <w:sz w:val="14"/>
          <w:szCs w:val="14"/>
          <w:color w:val="auto"/>
        </w:rPr>
        <w:t>$0.64</w:t>
      </w:r>
    </w:p>
    <w:p>
      <w:pPr>
        <w:spacing w:after="0" w:line="7" w:lineRule="exact"/>
        <w:rPr>
          <w:sz w:val="20"/>
          <w:szCs w:val="20"/>
          <w:color w:val="auto"/>
        </w:rPr>
      </w:pPr>
    </w:p>
    <w:p>
      <w:pPr>
        <w:ind w:left="360"/>
        <w:spacing w:after="0"/>
        <w:tabs>
          <w:tab w:leader="none" w:pos="7740" w:val="left"/>
          <w:tab w:leader="none" w:pos="9640" w:val="left"/>
        </w:tabs>
        <w:rPr>
          <w:sz w:val="20"/>
          <w:szCs w:val="20"/>
          <w:color w:val="auto"/>
        </w:rPr>
      </w:pPr>
      <w:r>
        <w:rPr>
          <w:rFonts w:ascii="Courier New" w:cs="Courier New" w:eastAsia="Courier New" w:hAnsi="Courier New"/>
          <w:sz w:val="14"/>
          <w:szCs w:val="14"/>
          <w:color w:val="auto"/>
        </w:rPr>
        <w:t>Discontinued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420"/>
        <w:spacing w:after="0"/>
        <w:tabs>
          <w:tab w:leader="none" w:pos="9300" w:val="left"/>
        </w:tabs>
        <w:rPr>
          <w:sz w:val="20"/>
          <w:szCs w:val="20"/>
          <w:color w:val="auto"/>
        </w:rPr>
      </w:pPr>
      <w:r>
        <w:rPr>
          <w:rFonts w:ascii="Courier New" w:cs="Courier New" w:eastAsia="Courier New" w:hAnsi="Courier New"/>
          <w:sz w:val="14"/>
          <w:szCs w:val="14"/>
          <w:color w:val="auto"/>
        </w:rPr>
        <w:t>$0.68</w:t>
      </w:r>
      <w:r>
        <w:rPr>
          <w:sz w:val="20"/>
          <w:szCs w:val="20"/>
          <w:color w:val="auto"/>
        </w:rPr>
        <w:tab/>
      </w:r>
      <w:r>
        <w:rPr>
          <w:rFonts w:ascii="Courier New" w:cs="Courier New" w:eastAsia="Courier New" w:hAnsi="Courier New"/>
          <w:sz w:val="14"/>
          <w:szCs w:val="14"/>
          <w:color w:val="auto"/>
        </w:rPr>
        <w:t>$0.64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220" w:val="left"/>
          <w:tab w:leader="none" w:pos="912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$0.3625</w:t>
      </w:r>
      <w:r>
        <w:rPr>
          <w:sz w:val="20"/>
          <w:szCs w:val="20"/>
          <w:color w:val="auto"/>
        </w:rPr>
        <w:tab/>
      </w:r>
      <w:r>
        <w:rPr>
          <w:rFonts w:ascii="Courier New" w:cs="Courier New" w:eastAsia="Courier New" w:hAnsi="Courier New"/>
          <w:sz w:val="14"/>
          <w:szCs w:val="14"/>
          <w:color w:val="auto"/>
        </w:rPr>
        <w:t>$0.3000</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782" w:right="1440" w:bottom="1440" w:gutter="0" w:footer="0" w:header="0"/>
          <w:type w:val="continuous"/>
        </w:sectPr>
      </w:pPr>
    </w:p>
    <w:bookmarkStart w:id="6" w:name="page7"/>
    <w:bookmarkEnd w:id="6"/>
    <w:p>
      <w:pPr>
        <w:jc w:val="center"/>
        <w:ind w:right="-10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MILLIONS - UNAUDITED</w:t>
      </w:r>
    </w:p>
    <w:p>
      <w:pPr>
        <w:spacing w:after="0" w:line="338" w:lineRule="exact"/>
        <w:rPr>
          <w:sz w:val="20"/>
          <w:szCs w:val="20"/>
          <w:color w:val="auto"/>
        </w:rPr>
      </w:pPr>
    </w:p>
    <w:tbl>
      <w:tblPr>
        <w:tblLayout w:type="fixed"/>
        <w:tblInd w:w="7420" w:type="dxa"/>
        <w:tblCellMar>
          <w:top w:w="0" w:type="dxa"/>
          <w:left w:w="0" w:type="dxa"/>
          <w:bottom w:w="0" w:type="dxa"/>
          <w:right w:w="0" w:type="dxa"/>
        </w:tblCellMar>
      </w:tblPr>
      <w:tr>
        <w:trPr>
          <w:trHeight w:val="162"/>
        </w:trPr>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MARCH</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6"/>
        </w:trPr>
        <w:tc>
          <w:tcPr>
            <w:tcW w:w="124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5"/>
              </w:rPr>
              <w:t>2006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18.8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$ 17.4</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Loss on Impairment of Investments</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12.2</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Minority Interest</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Expense</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Bad Debt Expense</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080" w:type="dxa"/>
            <w:vAlign w:val="bottom"/>
          </w:tcPr>
          <w:p>
            <w:pPr>
              <w:ind w:left="700"/>
              <w:spacing w:after="0"/>
              <w:rPr>
                <w:sz w:val="20"/>
                <w:szCs w:val="20"/>
                <w:color w:val="auto"/>
              </w:rPr>
            </w:pPr>
            <w:r>
              <w:rPr>
                <w:rFonts w:ascii="Courier New" w:cs="Courier New" w:eastAsia="Courier New" w:hAnsi="Courier New"/>
                <w:sz w:val="14"/>
                <w:szCs w:val="14"/>
                <w:color w:val="auto"/>
              </w:rPr>
              <w:t>Accounts Receivable</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r>
        <w:trPr>
          <w:trHeight w:val="166"/>
        </w:trPr>
        <w:tc>
          <w:tcPr>
            <w:tcW w:w="6080" w:type="dxa"/>
            <w:vAlign w:val="bottom"/>
          </w:tcPr>
          <w:p>
            <w:pPr>
              <w:ind w:left="700"/>
              <w:spacing w:after="0"/>
              <w:rPr>
                <w:sz w:val="20"/>
                <w:szCs w:val="20"/>
                <w:color w:val="auto"/>
              </w:rPr>
            </w:pPr>
            <w:r>
              <w:rPr>
                <w:rFonts w:ascii="Courier New" w:cs="Courier New" w:eastAsia="Courier New" w:hAnsi="Courier New"/>
                <w:sz w:val="14"/>
                <w:szCs w:val="14"/>
                <w:color w:val="auto"/>
              </w:rPr>
              <w:t>Inventories</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6080" w:type="dxa"/>
            <w:vAlign w:val="bottom"/>
          </w:tcPr>
          <w:p>
            <w:pPr>
              <w:ind w:left="700"/>
              <w:spacing w:after="0"/>
              <w:rPr>
                <w:sz w:val="20"/>
                <w:szCs w:val="20"/>
                <w:color w:val="auto"/>
              </w:rPr>
            </w:pPr>
            <w:r>
              <w:rPr>
                <w:rFonts w:ascii="Courier New" w:cs="Courier New" w:eastAsia="Courier New" w:hAnsi="Courier New"/>
                <w:sz w:val="14"/>
                <w:szCs w:val="14"/>
                <w:color w:val="auto"/>
              </w:rPr>
              <w:t>Prepayments and Other</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6080" w:type="dxa"/>
            <w:vAlign w:val="bottom"/>
          </w:tcPr>
          <w:p>
            <w:pPr>
              <w:ind w:left="700"/>
              <w:spacing w:after="0"/>
              <w:rPr>
                <w:sz w:val="20"/>
                <w:szCs w:val="20"/>
                <w:color w:val="auto"/>
              </w:rPr>
            </w:pPr>
            <w:r>
              <w:rPr>
                <w:rFonts w:ascii="Courier New" w:cs="Courier New" w:eastAsia="Courier New" w:hAnsi="Courier New"/>
                <w:sz w:val="14"/>
                <w:szCs w:val="14"/>
                <w:color w:val="auto"/>
              </w:rPr>
              <w:t>Accounts Payable</w:t>
            </w:r>
          </w:p>
        </w:tc>
        <w:tc>
          <w:tcPr>
            <w:tcW w:w="2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6080" w:type="dxa"/>
            <w:vAlign w:val="bottom"/>
          </w:tcPr>
          <w:p>
            <w:pPr>
              <w:ind w:left="700"/>
              <w:spacing w:after="0"/>
              <w:rPr>
                <w:sz w:val="20"/>
                <w:szCs w:val="20"/>
                <w:color w:val="auto"/>
              </w:rPr>
            </w:pPr>
            <w:r>
              <w:rPr>
                <w:rFonts w:ascii="Courier New" w:cs="Courier New" w:eastAsia="Courier New" w:hAnsi="Courier New"/>
                <w:sz w:val="14"/>
                <w:szCs w:val="14"/>
                <w:color w:val="auto"/>
              </w:rPr>
              <w:t>Other Current Liabilities</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2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Net Operating Activities for Discontinued Operations</w:t>
            </w:r>
          </w:p>
        </w:tc>
        <w:tc>
          <w:tcPr>
            <w:tcW w:w="2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29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Available-For-Sale Securities</w:t>
            </w:r>
          </w:p>
        </w:tc>
        <w:tc>
          <w:tcPr>
            <w:tcW w:w="2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126.3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210.5</w:t>
            </w: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Payments for Purchase of Available-For-Sale Securities</w:t>
            </w:r>
          </w:p>
        </w:tc>
        <w:tc>
          <w:tcPr>
            <w:tcW w:w="2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(170.9)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(93.3)</w:t>
            </w: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Changes to Investments</w:t>
            </w:r>
          </w:p>
        </w:tc>
        <w:tc>
          <w:tcPr>
            <w:tcW w:w="2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2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Net Investing Activities for Discontinued Operations</w:t>
            </w:r>
          </w:p>
        </w:tc>
        <w:tc>
          <w:tcPr>
            <w:tcW w:w="2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640" w:type="dxa"/>
            <w:vAlign w:val="bottom"/>
          </w:tcPr>
          <w:p>
            <w:pPr>
              <w:spacing w:after="0"/>
              <w:rPr>
                <w:sz w:val="20"/>
                <w:szCs w:val="20"/>
                <w:color w:val="auto"/>
              </w:rPr>
            </w:pPr>
            <w:r>
              <w:rPr>
                <w:rFonts w:ascii="Courier New" w:cs="Courier New" w:eastAsia="Courier New" w:hAnsi="Courier New"/>
                <w:sz w:val="14"/>
                <w:szCs w:val="14"/>
                <w:color w:val="auto"/>
              </w:rPr>
              <w:t>Cash from (for) Investing Activities</w:t>
            </w:r>
          </w:p>
        </w:tc>
        <w:tc>
          <w:tcPr>
            <w:tcW w:w="2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9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Issuance of Common Stock</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6"/>
        </w:trPr>
        <w:tc>
          <w:tcPr>
            <w:tcW w:w="69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Issuance of Long-Term Debt</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Reductions of Long-Term Debt</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1780" w:type="dxa"/>
            <w:vAlign w:val="bottom"/>
          </w:tcPr>
          <w:p>
            <w:pPr>
              <w:ind w:left="700"/>
              <w:spacing w:after="0"/>
              <w:rPr>
                <w:sz w:val="20"/>
                <w:szCs w:val="20"/>
                <w:color w:val="auto"/>
              </w:rPr>
            </w:pPr>
            <w:r>
              <w:rPr>
                <w:rFonts w:ascii="Courier New" w:cs="Courier New" w:eastAsia="Courier New" w:hAnsi="Courier New"/>
                <w:sz w:val="14"/>
                <w:szCs w:val="14"/>
                <w:color w:val="auto"/>
              </w:rPr>
              <w:t>Dividends on</w:t>
            </w:r>
          </w:p>
        </w:tc>
        <w:tc>
          <w:tcPr>
            <w:tcW w:w="5200" w:type="dxa"/>
            <w:vAlign w:val="bottom"/>
          </w:tcPr>
          <w:p>
            <w:pPr>
              <w:ind w:left="40"/>
              <w:spacing w:after="0"/>
              <w:rPr>
                <w:sz w:val="20"/>
                <w:szCs w:val="20"/>
                <w:color w:val="auto"/>
              </w:rPr>
            </w:pPr>
            <w:r>
              <w:rPr>
                <w:rFonts w:ascii="Courier New" w:cs="Courier New" w:eastAsia="Courier New" w:hAnsi="Courier New"/>
                <w:sz w:val="14"/>
                <w:szCs w:val="14"/>
                <w:color w:val="auto"/>
              </w:rPr>
              <w:t>Common Stock and Distributions to Minority Shareholders</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1780" w:type="dxa"/>
            <w:vAlign w:val="bottom"/>
          </w:tcPr>
          <w:p>
            <w:pPr>
              <w:ind w:left="700"/>
              <w:spacing w:after="0"/>
              <w:rPr>
                <w:sz w:val="20"/>
                <w:szCs w:val="20"/>
                <w:color w:val="auto"/>
              </w:rPr>
            </w:pPr>
            <w:r>
              <w:rPr>
                <w:rFonts w:ascii="Courier New" w:cs="Courier New" w:eastAsia="Courier New" w:hAnsi="Courier New"/>
                <w:sz w:val="14"/>
                <w:szCs w:val="14"/>
                <w:color w:val="auto"/>
              </w:rPr>
              <w:t>Net Decrease</w:t>
            </w:r>
          </w:p>
        </w:tc>
        <w:tc>
          <w:tcPr>
            <w:tcW w:w="5200" w:type="dxa"/>
            <w:vAlign w:val="bottom"/>
          </w:tcPr>
          <w:p>
            <w:pPr>
              <w:ind w:left="40"/>
              <w:spacing w:after="0"/>
              <w:rPr>
                <w:sz w:val="20"/>
                <w:szCs w:val="20"/>
                <w:color w:val="auto"/>
              </w:rPr>
            </w:pPr>
            <w:r>
              <w:rPr>
                <w:rFonts w:ascii="Courier New" w:cs="Courier New" w:eastAsia="Courier New" w:hAnsi="Courier New"/>
                <w:sz w:val="14"/>
                <w:szCs w:val="14"/>
                <w:color w:val="auto"/>
              </w:rPr>
              <w:t>in Book Overdrafts</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380" w:type="dxa"/>
            <w:vAlign w:val="bottom"/>
          </w:tcPr>
          <w:p>
            <w:pPr>
              <w:spacing w:after="0"/>
              <w:rPr>
                <w:sz w:val="20"/>
                <w:szCs w:val="20"/>
                <w:color w:val="auto"/>
              </w:rPr>
            </w:pPr>
            <w:r>
              <w:rPr>
                <w:rFonts w:ascii="Courier New" w:cs="Courier New" w:eastAsia="Courier New" w:hAnsi="Courier New"/>
                <w:sz w:val="14"/>
                <w:szCs w:val="14"/>
                <w:color w:val="auto"/>
              </w:rPr>
              <w:t>Cash for Financing Activities</w:t>
            </w:r>
          </w:p>
        </w:tc>
        <w:tc>
          <w:tcPr>
            <w:tcW w:w="3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136.3</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8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89.6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75.0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$182.4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SUPPLEMENTAL CASH</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FLOW INFORMATION</w:t>
            </w:r>
          </w:p>
        </w:tc>
        <w:tc>
          <w:tcPr>
            <w:tcW w:w="2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Cash Paid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During the Period</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0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Interest - Net of Amounts</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Capitalized</w:t>
            </w:r>
          </w:p>
        </w:tc>
        <w:tc>
          <w:tcPr>
            <w:tcW w:w="28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30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Income Taxes</w:t>
            </w:r>
          </w:p>
        </w:tc>
        <w:tc>
          <w:tcPr>
            <w:tcW w:w="2680" w:type="dxa"/>
            <w:vAlign w:val="bottom"/>
          </w:tcPr>
          <w:p>
            <w:pPr>
              <w:spacing w:after="0"/>
              <w:rPr>
                <w:sz w:val="14"/>
                <w:szCs w:val="14"/>
                <w:color w:val="auto"/>
              </w:rPr>
            </w:pPr>
          </w:p>
        </w:tc>
        <w:tc>
          <w:tcPr>
            <w:tcW w:w="28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$1.2 of cash from Discontinued Operations at March 31, 2005.</w:t>
      </w:r>
    </w:p>
    <w:p>
      <w:pPr>
        <w:spacing w:after="0" w:line="17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1">
            <w:col w:w="10239"/>
          </w:cols>
          <w:pgMar w:left="220" w:top="782" w:right="1440" w:bottom="1440" w:gutter="0" w:footer="0" w:header="0"/>
        </w:sectPr>
      </w:pPr>
    </w:p>
    <w:bookmarkStart w:id="7" w:name="page8"/>
    <w:bookmarkEnd w:id="7"/>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accompanying unaudited consolidated financial statements and notes should be read in conjunction with our 2005 Form 10-K. In our opinion, all adjustments necessary for a fair statement of the results for the interim periods have been made. The results of operations for an interim period are not necessarily indicative of the results to be expected for the full year.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OPERATIONS AND SIGNIFICANT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Certain reclassifications have been made to prior years' amounts to conform to current year classifications. We revised our Consolidated Statement of Cash Flows for the quarter ended March 31, 2005, to reconcile Net Income to Cash from Operating Activities. Previously, we reconciled Income from Continuing Operations to Cash from Operating Activities. In addition, we have reclassified certain amounts in our balance sheet, statement of income, statement of cash flows and segment information to reflect discontinued operations treatment for our telecommunications business which we sold in December 2005. These reclassifications had no effect on previously reported consolidated net income, shareholders' equity, comprehensive income or cash flows.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REVISION IN THE CLASSIFICATION OF CERTAIN SECURITIES. In the quarterly period ended June 30, 2005, we concluded that it was appropriate to reclassify our auction rate bonds and variable rate demand notes as short-term investments. Previously, such investments had been classified as cash and cash equivalents. Accordingly, we now report these securities as short-term investments in a separate line item on our Consolidated Balance Sheet as of March 31, 2006 (and for the year ended December 31, 2005). We have also made corresponding adjustments to our Consolidated Statement of Cash Flows for the period ended March 31, 2005, to reflect the gross purchases and sales of these securities as investing activities rather than as a component of cash and cash equivalents. This change in classification does not affect our previously reported Consolidated Statements of Income for any period.</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For the quarter ended March 31, 2005, cash used in investing activities related to these short-term investments of $32.0 million was previously included in cash and cash equivalents in our Consolidated Statement of Cash Flows.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SHORT-TERM INVESTMENTS. At March 31, 2006 and December 31, 2005, we held $161.5 million and $116.9 million, respectively, of short-term investments, consisting of auction rate bonds and variable rate demand notes classified as available-for-sale securities. Our investments in these securities are recorded at cost, which approximates fair market value due to their variable interest rates, which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w:t>
      </w:r>
    </w:p>
    <w:p>
      <w:pPr>
        <w:spacing w:after="0" w:line="329"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by the average cost method.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MARCH 31,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2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Fuel</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$ 9.8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Materials and Supplies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960" w:val="left"/>
          <w:tab w:leader="none" w:pos="6020" w:val="left"/>
        </w:tabs>
        <w:rPr>
          <w:sz w:val="20"/>
          <w:szCs w:val="20"/>
          <w:color w:val="auto"/>
        </w:rPr>
      </w:pPr>
      <w:r>
        <w:rPr>
          <w:rFonts w:ascii="Courier New" w:cs="Courier New" w:eastAsia="Courier New" w:hAnsi="Courier New"/>
          <w:sz w:val="14"/>
          <w:szCs w:val="14"/>
          <w:color w:val="auto"/>
        </w:rPr>
        <w:t>Total Inventories</w:t>
      </w:r>
      <w:r>
        <w:rPr>
          <w:sz w:val="20"/>
          <w:szCs w:val="20"/>
          <w:color w:val="auto"/>
        </w:rPr>
        <w:tab/>
      </w: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$33.1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First Quarter 2006 Form 10-Q</w:t>
      </w:r>
    </w:p>
    <w:p>
      <w:pPr>
        <w:sectPr>
          <w:pgSz w:w="11900" w:h="16838" w:orient="portrait"/>
          <w:cols w:equalWidth="0" w:num="2">
            <w:col w:w="1260" w:space="720"/>
            <w:col w:w="8259"/>
          </w:cols>
          <w:pgMar w:left="220" w:top="616"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NOTE 1. OPERATIONS AND SIGNIFICANT ACCOUNTING POLICIES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STOCK-BASED COMPENSATION EXPENSE. Effective January 1, 2006, we adopted the fair value recognition provisions of SFAS 123R, "Share-Based Payment," using the modified prospective transition method. Under this method, we recognize compensation expense for all share-based payments granted after January 1, 2006, and those granted prior to but not yet vested as of January 1, 2006. Under the fair value recognition provisions of SFAS 123R, we recognize stock-based compensation net of an estimated forfeiture rate and only recognize compensation expense for those shares expected to vest over the required service period of the award. Prior to our adoption of SFAS 123R, we accounted for share-based payments under Accounting Principles Board Opinion No. 25, "Accounting for Stock Issued to Employees" and related interpretations.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STOCK INCENTIVE PLAN. Under our Executive Long-Term Incentive Compensation Plan, share-based awards may be issued to employees via a broad range of methods, including non-qualified and incentive stock options, performance shares, performance units, restricted stock, stock appreciation rights and other awards. There are 3.2 million shares of common stock reserved for issuance under the plan, with 1.6 million of these shares available for issuance as of March 31, 2006. We currently have the following types of share-based awards outstanding:</w:t>
      </w:r>
    </w:p>
    <w:p>
      <w:pPr>
        <w:spacing w:after="0" w:line="164"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NON-QUALIFIED STOCK OPTIONS. The options allow for the purchase of shares of common stock at a price equal to the stock's market value at 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shortened. Employees have up to three months to exercise vested options upon voluntary termination or involuntary termination without cause. All options are cancelled upon termination for cause. All options vest immediately upon a change of control, as defined in the award agreement. We determine the fair value of options using the Black-Scholes option pricing model. The estimated fair value of options, including the effect of estimated forfeitures, is recognized as expense on the straight-line basis over the options' vesting periods.</w:t>
      </w:r>
    </w:p>
    <w:p>
      <w:pPr>
        <w:spacing w:after="0" w:line="172"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The following assumptions were used in determining the fair value of stock options granted during the first quarter of 2006, under the Black-Scholes model:</w:t>
      </w:r>
    </w:p>
    <w:p>
      <w:pPr>
        <w:spacing w:after="0" w:line="200" w:lineRule="exact"/>
        <w:rPr>
          <w:sz w:val="20"/>
          <w:szCs w:val="20"/>
          <w:color w:val="auto"/>
        </w:rPr>
      </w:pPr>
    </w:p>
    <w:p>
      <w:pPr>
        <w:spacing w:after="0" w:line="294"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2006</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6020" w:val="left"/>
        </w:tabs>
        <w:rPr>
          <w:sz w:val="20"/>
          <w:szCs w:val="20"/>
          <w:color w:val="auto"/>
        </w:rPr>
      </w:pPr>
      <w:r>
        <w:rPr>
          <w:rFonts w:ascii="Courier New" w:cs="Courier New" w:eastAsia="Courier New" w:hAnsi="Courier New"/>
          <w:sz w:val="14"/>
          <w:szCs w:val="14"/>
          <w:color w:val="auto"/>
        </w:rPr>
        <w:t>Risk-Free Interest Rate</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ind w:left="440"/>
        <w:spacing w:after="0"/>
        <w:tabs>
          <w:tab w:leader="none" w:pos="6280" w:val="left"/>
        </w:tabs>
        <w:rPr>
          <w:sz w:val="20"/>
          <w:szCs w:val="20"/>
          <w:color w:val="auto"/>
        </w:rPr>
      </w:pPr>
      <w:r>
        <w:rPr>
          <w:rFonts w:ascii="Courier New" w:cs="Courier New" w:eastAsia="Courier New" w:hAnsi="Courier New"/>
          <w:sz w:val="14"/>
          <w:szCs w:val="14"/>
          <w:color w:val="auto"/>
        </w:rPr>
        <w:t>Expected Life - Years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6100" w:val="left"/>
        </w:tabs>
        <w:rPr>
          <w:sz w:val="20"/>
          <w:szCs w:val="20"/>
          <w:color w:val="auto"/>
        </w:rPr>
      </w:pPr>
      <w:r>
        <w:rPr>
          <w:rFonts w:ascii="Courier New" w:cs="Courier New" w:eastAsia="Courier New" w:hAnsi="Courier New"/>
          <w:sz w:val="14"/>
          <w:szCs w:val="14"/>
          <w:color w:val="auto"/>
        </w:rPr>
        <w:t>Expected Volatility</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440"/>
        <w:spacing w:after="0"/>
        <w:tabs>
          <w:tab w:leader="none" w:pos="6200" w:val="left"/>
        </w:tabs>
        <w:rPr>
          <w:sz w:val="20"/>
          <w:szCs w:val="20"/>
          <w:color w:val="auto"/>
        </w:rPr>
      </w:pPr>
      <w:r>
        <w:rPr>
          <w:rFonts w:ascii="Courier New" w:cs="Courier New" w:eastAsia="Courier New" w:hAnsi="Courier New"/>
          <w:sz w:val="14"/>
          <w:szCs w:val="14"/>
          <w:color w:val="auto"/>
        </w:rPr>
        <w:t>Dividend Growth Rate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The risk-free interest rate for periods within the contractual life of the option is based on the U.S. Treasury yield curve in effect at the grant date. Expected volatility is based on the historic volatility of our stock and the stock of peer companies, and the implied volatility of publicly traded options. We utilize historical option exercise and employee termination data to estimate the option life.</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PERFORMANCE SHARES. Under these awards, the level of shares earned is contingent upon attaining specific performance targets over a three-year performance period. In the case of qualified retirement, death or disability during a performance period, a pro-rata portion of the award will be earned at the conclusion of the performance period based on the performance goals achieved. In the case of termination of employment for any reason other than qualified retirement, death or disability, no award will be earned. If there is a change in control, a pro-rata portion of the award will be paid based on the greater of actual performance up to the date of the change in control or target performance. The fair value of these awards is equal to the grant date fair value which is estimated based upon the assumed share-based payment three years from the date of grant. Compensation cost is recognized over the three-year performance period based on our estimate of the number of shares which will be earned by the award recipients.</w:t>
      </w:r>
    </w:p>
    <w:p>
      <w:pPr>
        <w:spacing w:after="0" w:line="32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ectPr>
          <w:pgSz w:w="11900" w:h="16838" w:orient="portrait"/>
          <w:cols w:equalWidth="0" w:num="1">
            <w:col w:w="10239"/>
          </w:cols>
          <w:pgMar w:left="220" w:top="616" w:right="1440" w:bottom="1440" w:gutter="0" w:footer="0" w:header="0"/>
        </w:sectPr>
      </w:pPr>
    </w:p>
    <w:bookmarkStart w:id="9" w:name="page10"/>
    <w:bookmarkEnd w:id="9"/>
    <w:p>
      <w:pPr>
        <w:spacing w:after="0"/>
        <w:tabs>
          <w:tab w:leader="none" w:pos="760" w:val="left"/>
        </w:tabs>
        <w:rPr>
          <w:sz w:val="20"/>
          <w:szCs w:val="20"/>
          <w:color w:val="auto"/>
        </w:rPr>
      </w:pPr>
      <w:r>
        <w:rPr>
          <w:rFonts w:ascii="Courier New" w:cs="Courier New" w:eastAsia="Courier New" w:hAnsi="Courier New"/>
          <w:sz w:val="14"/>
          <w:szCs w:val="14"/>
          <w:color w:val="auto"/>
        </w:rPr>
        <w:t>NOTE 1.</w:t>
        <w:tab/>
        <w:t>OPERATIONS AND SIGNIFICANT ACCOUNTING POLICIES (CONTINUED)</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EMPLOYEE STOCK PURCHASE PLAN (ESPP). Under our ESPP, eligible employees may purchase ALLETE common stock at a 5 percent discount from the market price. Because the discount is not greater than 5 percent, we are not required by SFAS 123R to apply fair value accounting to these awards.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RETIREMENT SAVINGS AND STOCK OWNERSHIP PLAN (RSOP). Shares held in our RSOP are excluded from SFAS 123R and are accounted for in accordance with the American Institute of Certified Public Accountants' Statement of Position No. 93-6, "Employers' Accounting for Employee Stock Ownership Plans."</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following share-based compensation expense amounts were recognized in our consolidated statement of income for the periods presented.</w:t>
      </w: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4"/>
          <w:szCs w:val="14"/>
          <w:color w:val="auto"/>
        </w:rPr>
        <w:t>SHARE-BASED COMPENSATION EXPENSE</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Stock Options</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Performance Shares</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Pr>
          <w:p>
            <w:pPr>
              <w:spacing w:after="0"/>
              <w:rPr>
                <w:sz w:val="20"/>
                <w:szCs w:val="20"/>
                <w:color w:val="auto"/>
              </w:rPr>
            </w:pPr>
            <w:r>
              <w:rPr>
                <w:rFonts w:ascii="Courier New" w:cs="Courier New" w:eastAsia="Courier New" w:hAnsi="Courier New"/>
                <w:sz w:val="14"/>
                <w:szCs w:val="14"/>
                <w:color w:val="auto"/>
              </w:rPr>
              <w:t>Total Share-Based Compensation Expense</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4"/>
          <w:szCs w:val="14"/>
          <w:color w:val="auto"/>
        </w:rPr>
        <w:t>Income Tax Benefit</w:t>
      </w:r>
      <w:r>
        <w:rPr>
          <w:sz w:val="20"/>
          <w:szCs w:val="20"/>
          <w:color w:val="auto"/>
        </w:rPr>
        <w:tab/>
      </w:r>
      <w:r>
        <w:rPr>
          <w:rFonts w:ascii="Courier New" w:cs="Courier New" w:eastAsia="Courier New" w:hAnsi="Courier New"/>
          <w:sz w:val="14"/>
          <w:szCs w:val="14"/>
          <w:color w:val="auto"/>
        </w:rPr>
        <w:t>$0.2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088"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were no significant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capitalized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stock-based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costs at March</w:t>
      </w:r>
    </w:p>
    <w:p>
      <w:pPr>
        <w:spacing w:after="0" w:line="7" w:lineRule="exact"/>
        <w:rPr>
          <w:sz w:val="20"/>
          <w:szCs w:val="20"/>
          <w:color w:val="auto"/>
        </w:rPr>
      </w:pPr>
    </w:p>
    <w:p>
      <w:pPr>
        <w:sectPr>
          <w:pgSz w:w="11900" w:h="16838" w:orient="portrait"/>
          <w:cols w:equalWidth="0" w:num="4">
            <w:col w:w="2160" w:space="180"/>
            <w:col w:w="940" w:space="180"/>
            <w:col w:w="940" w:space="180"/>
            <w:col w:w="5659"/>
          </w:cols>
          <w:pgMar w:left="220" w:top="616" w:right="1440" w:bottom="108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31, 2006.</w:t>
      </w:r>
    </w:p>
    <w:p>
      <w:pPr>
        <w:sectPr>
          <w:pgSz w:w="11900" w:h="16838" w:orient="portrait"/>
          <w:cols w:equalWidth="0" w:num="1">
            <w:col w:w="10239"/>
          </w:cols>
          <w:pgMar w:left="220" w:top="616" w:right="1440" w:bottom="1088" w:gutter="0" w:footer="0" w:header="0"/>
          <w:type w:val="continuous"/>
        </w:sectPr>
      </w:pP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As of March 31, 2006, the total compensation cost for nonvested awards not yet recognized in our statements of income was $2.6 million. This amount is expected to be recognized over a weighted-average period of 1.33 years.</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following table presents the pro forma effect of stock-based compensation, had we applied the provisions of SFAS 123 for the quarter ended March 31, 2005.</w:t>
      </w:r>
    </w:p>
    <w:p>
      <w:pPr>
        <w:spacing w:after="0" w:line="200" w:lineRule="exact"/>
        <w:rPr>
          <w:sz w:val="20"/>
          <w:szCs w:val="20"/>
          <w:color w:val="auto"/>
        </w:rPr>
      </w:pPr>
    </w:p>
    <w:p>
      <w:pPr>
        <w:spacing w:after="0" w:line="291"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spacing w:after="0"/>
        <w:tabs>
          <w:tab w:leader="none" w:pos="7740" w:val="left"/>
        </w:tabs>
        <w:rPr>
          <w:sz w:val="20"/>
          <w:szCs w:val="20"/>
          <w:color w:val="auto"/>
        </w:rPr>
      </w:pPr>
      <w:r>
        <w:rPr>
          <w:rFonts w:ascii="Courier New" w:cs="Courier New" w:eastAsia="Courier New" w:hAnsi="Courier New"/>
          <w:sz w:val="14"/>
          <w:szCs w:val="14"/>
          <w:color w:val="auto"/>
        </w:rPr>
        <w:t>EFFECT OF SFAS 123</w:t>
      </w:r>
      <w:r>
        <w:rPr>
          <w:sz w:val="20"/>
          <w:szCs w:val="20"/>
          <w:color w:val="auto"/>
        </w:rPr>
        <w:tab/>
      </w:r>
      <w:r>
        <w:rPr>
          <w:rFonts w:ascii="Courier New" w:cs="Courier New" w:eastAsia="Courier New" w:hAnsi="Courier New"/>
          <w:sz w:val="14"/>
          <w:szCs w:val="14"/>
          <w:color w:val="auto"/>
        </w:rPr>
        <w:t>MARCH 31,</w:t>
      </w:r>
    </w:p>
    <w:p>
      <w:pPr>
        <w:spacing w:after="0" w:line="7" w:lineRule="exact"/>
        <w:rPr>
          <w:sz w:val="20"/>
          <w:szCs w:val="20"/>
          <w:color w:val="auto"/>
        </w:rPr>
      </w:pPr>
    </w:p>
    <w:p>
      <w:pPr>
        <w:spacing w:after="0"/>
        <w:tabs>
          <w:tab w:leader="none" w:pos="7920" w:val="left"/>
        </w:tabs>
        <w:rPr>
          <w:sz w:val="20"/>
          <w:szCs w:val="20"/>
          <w:color w:val="auto"/>
        </w:rPr>
      </w:pPr>
      <w:r>
        <w:rPr>
          <w:rFonts w:ascii="Courier New" w:cs="Courier New" w:eastAsia="Courier New" w:hAnsi="Courier New"/>
          <w:sz w:val="14"/>
          <w:szCs w:val="14"/>
          <w:color w:val="auto"/>
        </w:rPr>
        <w:t>ACCOUNTING FOR STOCK-BASED COMPENSATION</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As Reported</w:t>
            </w:r>
          </w:p>
        </w:tc>
        <w:tc>
          <w:tcPr>
            <w:tcW w:w="9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6"/>
        </w:trPr>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Plus: Employee Stock Compensation Expense Included in Net Income - Net of</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Tax</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Less: Employee Stock Compensation Expense Determined Under SFAS 123 - Net</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of Tax</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260" w:type="dxa"/>
            <w:vAlign w:val="bottom"/>
          </w:tcPr>
          <w:p>
            <w:pPr>
              <w:spacing w:after="0"/>
              <w:rPr>
                <w:sz w:val="14"/>
                <w:szCs w:val="14"/>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As Reported</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Pro Forma</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260" w:type="dxa"/>
            <w:vAlign w:val="bottom"/>
          </w:tcPr>
          <w:p>
            <w:pPr>
              <w:spacing w:after="0"/>
              <w:rPr>
                <w:sz w:val="24"/>
                <w:szCs w:val="24"/>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As Reported</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Pro Forma</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$0.63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the previous table, the expense for employee stock options granted determined under SFAS 123 was calculated using the Black-Scholes option pricing model and the following assumptions:</w:t>
      </w:r>
    </w:p>
    <w:p>
      <w:pPr>
        <w:spacing w:after="0" w:line="200" w:lineRule="exact"/>
        <w:rPr>
          <w:sz w:val="20"/>
          <w:szCs w:val="20"/>
          <w:color w:val="auto"/>
        </w:rPr>
      </w:pPr>
    </w:p>
    <w:p>
      <w:pPr>
        <w:spacing w:after="0" w:line="294"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 Years</w:t>
            </w: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0"/>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Growth Rate</w:t>
            </w: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088"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First Quarter 2006 Form 10-Q</w:t>
      </w:r>
    </w:p>
    <w:p>
      <w:pPr>
        <w:sectPr>
          <w:pgSz w:w="11900" w:h="16838" w:orient="portrait"/>
          <w:cols w:equalWidth="0" w:num="2">
            <w:col w:w="1180" w:space="720"/>
            <w:col w:w="8339"/>
          </w:cols>
          <w:pgMar w:left="220" w:top="616" w:right="1440" w:bottom="1088" w:gutter="0" w:footer="0" w:header="0"/>
          <w:type w:val="continuous"/>
        </w:sectPr>
      </w:pPr>
    </w:p>
    <w:bookmarkStart w:id="10" w:name="page11"/>
    <w:bookmarkEnd w:id="10"/>
    <w:p>
      <w:pPr>
        <w:spacing w:after="0"/>
        <w:tabs>
          <w:tab w:leader="none" w:pos="760" w:val="left"/>
        </w:tabs>
        <w:rPr>
          <w:sz w:val="20"/>
          <w:szCs w:val="20"/>
          <w:color w:val="auto"/>
        </w:rPr>
      </w:pPr>
      <w:r>
        <w:rPr>
          <w:rFonts w:ascii="Courier New" w:cs="Courier New" w:eastAsia="Courier New" w:hAnsi="Courier New"/>
          <w:sz w:val="14"/>
          <w:szCs w:val="14"/>
          <w:color w:val="auto"/>
        </w:rPr>
        <w:t>NOTE 1.</w:t>
        <w:tab/>
        <w:t>OPERATIONS AND SIGNIFICANT ACCOUNTING POLICIES (CONTINUED)</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table presents information regarding our outstanding stock options for the quarter ended March 31, 2006.</w:t>
      </w:r>
    </w:p>
    <w:p>
      <w:pPr>
        <w:spacing w:after="0" w:line="200" w:lineRule="exact"/>
        <w:rPr>
          <w:sz w:val="20"/>
          <w:szCs w:val="20"/>
          <w:color w:val="auto"/>
        </w:rPr>
      </w:pPr>
    </w:p>
    <w:p>
      <w:pPr>
        <w:spacing w:after="0" w:line="291" w:lineRule="exact"/>
        <w:rPr>
          <w:sz w:val="20"/>
          <w:szCs w:val="20"/>
          <w:color w:val="auto"/>
        </w:rPr>
      </w:pPr>
    </w:p>
    <w:tbl>
      <w:tblPr>
        <w:tblLayout w:type="fixed"/>
        <w:tblInd w:w="406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 AVERAGE</w:t>
            </w:r>
          </w:p>
        </w:tc>
        <w:tc>
          <w:tcPr>
            <w:tcW w:w="120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980" w:type="dxa"/>
            <w:vAlign w:val="bottom"/>
          </w:tcPr>
          <w:p>
            <w:pPr>
              <w:spacing w:after="0"/>
              <w:rPr>
                <w:sz w:val="14"/>
                <w:szCs w:val="14"/>
                <w:color w:val="auto"/>
              </w:rPr>
            </w:pP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EXERCISE/</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AGGREGATE</w:t>
            </w:r>
          </w:p>
        </w:tc>
        <w:tc>
          <w:tcPr>
            <w:tcW w:w="16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REMAINING</w:t>
            </w: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CONVERSION</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INTRINSIC</w:t>
            </w:r>
          </w:p>
        </w:tc>
        <w:tc>
          <w:tcPr>
            <w:tcW w:w="16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CONTRACTUAL</w:t>
            </w:r>
          </w:p>
        </w:tc>
      </w:tr>
      <w:tr>
        <w:trPr>
          <w:trHeight w:val="166"/>
        </w:trPr>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SHARES</w:t>
            </w:r>
          </w:p>
        </w:tc>
        <w:tc>
          <w:tcPr>
            <w:tcW w:w="18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VALUE</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VALUE</w:t>
            </w:r>
          </w:p>
        </w:tc>
        <w:tc>
          <w:tcPr>
            <w:tcW w:w="1600" w:type="dxa"/>
            <w:vAlign w:val="bottom"/>
          </w:tcPr>
          <w:p>
            <w:pPr>
              <w:ind w:left="820"/>
              <w:spacing w:after="0"/>
              <w:rPr>
                <w:sz w:val="20"/>
                <w:szCs w:val="20"/>
                <w:color w:val="auto"/>
              </w:rPr>
            </w:pPr>
            <w:r>
              <w:rPr>
                <w:rFonts w:ascii="Courier New" w:cs="Courier New" w:eastAsia="Courier New" w:hAnsi="Courier New"/>
                <w:sz w:val="14"/>
                <w:szCs w:val="14"/>
                <w:color w:val="auto"/>
              </w:rPr>
              <w:t>TERM</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2005</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357,827</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$34.29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7.4 years</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115,653</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$44.15</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(12,783)</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$25.92</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Forfeited or Expired</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(6,233)</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$38.25</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120" w:val="left"/>
          <w:tab w:leader="none" w:pos="5760" w:val="left"/>
          <w:tab w:leader="none" w:pos="7300" w:val="left"/>
          <w:tab w:leader="none" w:pos="8680" w:val="left"/>
        </w:tabs>
        <w:rPr>
          <w:sz w:val="20"/>
          <w:szCs w:val="20"/>
          <w:color w:val="auto"/>
        </w:rPr>
      </w:pPr>
      <w:r>
        <w:rPr>
          <w:rFonts w:ascii="Courier New" w:cs="Courier New" w:eastAsia="Courier New" w:hAnsi="Courier New"/>
          <w:sz w:val="14"/>
          <w:szCs w:val="14"/>
          <w:color w:val="auto"/>
        </w:rPr>
        <w:t>Outstanding at March 31, 2006</w:t>
      </w:r>
      <w:r>
        <w:rPr>
          <w:sz w:val="20"/>
          <w:szCs w:val="20"/>
          <w:color w:val="auto"/>
        </w:rPr>
        <w:tab/>
      </w:r>
      <w:r>
        <w:rPr>
          <w:rFonts w:ascii="Courier New" w:cs="Courier New" w:eastAsia="Courier New" w:hAnsi="Courier New"/>
          <w:sz w:val="14"/>
          <w:szCs w:val="14"/>
          <w:color w:val="auto"/>
        </w:rPr>
        <w:t>454,464</w:t>
      </w:r>
      <w:r>
        <w:rPr>
          <w:sz w:val="20"/>
          <w:szCs w:val="20"/>
          <w:color w:val="auto"/>
        </w:rPr>
        <w:tab/>
      </w:r>
      <w:r>
        <w:rPr>
          <w:rFonts w:ascii="Courier New" w:cs="Courier New" w:eastAsia="Courier New" w:hAnsi="Courier New"/>
          <w:sz w:val="14"/>
          <w:szCs w:val="14"/>
          <w:color w:val="auto"/>
        </w:rPr>
        <w:t>$36.98</w:t>
      </w:r>
      <w:r>
        <w:rPr>
          <w:sz w:val="20"/>
          <w:szCs w:val="20"/>
          <w:color w:val="auto"/>
        </w:rPr>
        <w:tab/>
      </w: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7.9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120" w:val="left"/>
          <w:tab w:leader="none" w:pos="5760" w:val="left"/>
          <w:tab w:leader="none" w:pos="7300" w:val="left"/>
          <w:tab w:leader="none" w:pos="8680" w:val="left"/>
        </w:tabs>
        <w:rPr>
          <w:sz w:val="20"/>
          <w:szCs w:val="20"/>
          <w:color w:val="auto"/>
        </w:rPr>
      </w:pPr>
      <w:r>
        <w:rPr>
          <w:rFonts w:ascii="Courier New" w:cs="Courier New" w:eastAsia="Courier New" w:hAnsi="Courier New"/>
          <w:sz w:val="14"/>
          <w:szCs w:val="14"/>
          <w:color w:val="auto"/>
        </w:rPr>
        <w:t>Exercisable at March 31, 2006</w:t>
      </w:r>
      <w:r>
        <w:rPr>
          <w:sz w:val="20"/>
          <w:szCs w:val="20"/>
          <w:color w:val="auto"/>
        </w:rPr>
        <w:tab/>
      </w:r>
      <w:r>
        <w:rPr>
          <w:rFonts w:ascii="Courier New" w:cs="Courier New" w:eastAsia="Courier New" w:hAnsi="Courier New"/>
          <w:sz w:val="14"/>
          <w:szCs w:val="14"/>
          <w:color w:val="auto"/>
        </w:rPr>
        <w:t>233,801</w:t>
      </w:r>
      <w:r>
        <w:rPr>
          <w:sz w:val="20"/>
          <w:szCs w:val="20"/>
          <w:color w:val="auto"/>
        </w:rPr>
        <w:tab/>
      </w:r>
      <w:r>
        <w:rPr>
          <w:rFonts w:ascii="Courier New" w:cs="Courier New" w:eastAsia="Courier New" w:hAnsi="Courier New"/>
          <w:sz w:val="14"/>
          <w:szCs w:val="14"/>
          <w:color w:val="auto"/>
        </w:rPr>
        <w:t>$31.93</w:t>
      </w:r>
      <w:r>
        <w:rPr>
          <w:sz w:val="20"/>
          <w:szCs w:val="20"/>
          <w:color w:val="auto"/>
        </w:rPr>
        <w:tab/>
      </w: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6.6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The weighted-average</w:t>
            </w:r>
          </w:p>
        </w:tc>
        <w:tc>
          <w:tcPr>
            <w:tcW w:w="2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grant-date fair value of</w:t>
            </w: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options was $6.49 for the quarter</w:t>
            </w:r>
          </w:p>
        </w:tc>
      </w:tr>
      <w:tr>
        <w:trPr>
          <w:trHeight w:val="166"/>
        </w:trPr>
        <w:tc>
          <w:tcPr>
            <w:tcW w:w="4020" w:type="dxa"/>
            <w:vAlign w:val="bottom"/>
            <w:gridSpan w:val="3"/>
          </w:tcPr>
          <w:p>
            <w:pPr>
              <w:spacing w:after="0"/>
              <w:rPr>
                <w:sz w:val="20"/>
                <w:szCs w:val="20"/>
                <w:color w:val="auto"/>
              </w:rPr>
            </w:pPr>
            <w:r>
              <w:rPr>
                <w:rFonts w:ascii="Courier New" w:cs="Courier New" w:eastAsia="Courier New" w:hAnsi="Courier New"/>
                <w:sz w:val="14"/>
                <w:szCs w:val="14"/>
                <w:color w:val="auto"/>
              </w:rPr>
              <w:t>ended  March 31,  2006.  The  intrinsic  value</w:t>
            </w: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a stock award is the amount by</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which the fair value of the</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underlying  stock</w:t>
            </w: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exceeds the exercise price of the</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award.  The total intrinsic</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value of options</w:t>
            </w: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exercised was $0.3 million during</w:t>
            </w:r>
          </w:p>
        </w:tc>
      </w:tr>
      <w:tr>
        <w:trPr>
          <w:trHeight w:val="166"/>
        </w:trPr>
        <w:tc>
          <w:tcPr>
            <w:tcW w:w="4020" w:type="dxa"/>
            <w:vAlign w:val="bottom"/>
            <w:gridSpan w:val="3"/>
          </w:tcPr>
          <w:p>
            <w:pPr>
              <w:spacing w:after="0"/>
              <w:rPr>
                <w:sz w:val="20"/>
                <w:szCs w:val="20"/>
                <w:color w:val="auto"/>
              </w:rPr>
            </w:pPr>
            <w:r>
              <w:rPr>
                <w:rFonts w:ascii="Courier New" w:cs="Courier New" w:eastAsia="Courier New" w:hAnsi="Courier New"/>
                <w:sz w:val="14"/>
                <w:szCs w:val="14"/>
                <w:color w:val="auto"/>
              </w:rPr>
              <w:t>the quarter ended March 31, 2006.</w:t>
            </w: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The following  table</w:t>
            </w:r>
          </w:p>
        </w:tc>
        <w:tc>
          <w:tcPr>
            <w:tcW w:w="39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presents  information  regarding our unvested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performance</w:t>
            </w:r>
          </w:p>
        </w:tc>
      </w:tr>
      <w:tr>
        <w:trPr>
          <w:trHeight w:val="166"/>
        </w:trPr>
        <w:tc>
          <w:tcPr>
            <w:tcW w:w="4020" w:type="dxa"/>
            <w:vAlign w:val="bottom"/>
            <w:gridSpan w:val="3"/>
          </w:tcPr>
          <w:p>
            <w:pPr>
              <w:spacing w:after="0"/>
              <w:rPr>
                <w:sz w:val="20"/>
                <w:szCs w:val="20"/>
                <w:color w:val="auto"/>
              </w:rPr>
            </w:pPr>
            <w:r>
              <w:rPr>
                <w:rFonts w:ascii="Courier New" w:cs="Courier New" w:eastAsia="Courier New" w:hAnsi="Courier New"/>
                <w:sz w:val="14"/>
                <w:szCs w:val="14"/>
                <w:color w:val="auto"/>
              </w:rPr>
              <w:t>shares for the quarter ended March 31, 2006.</w:t>
            </w: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3"/>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GRANT DATE</w:t>
            </w:r>
          </w:p>
        </w:tc>
      </w:tr>
      <w:tr>
        <w:trPr>
          <w:trHeight w:val="166"/>
        </w:trPr>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FAIR VALUE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Nonvested at December 31, 2005</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97,884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$38.63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24,958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$44.07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Awarded</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(49,076)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$37.76</w:t>
            </w:r>
          </w:p>
        </w:tc>
      </w:tr>
      <w:tr>
        <w:trPr>
          <w:trHeight w:val="0"/>
        </w:trPr>
        <w:tc>
          <w:tcPr>
            <w:tcW w:w="332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$39.55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120" w:val="left"/>
          <w:tab w:leader="none" w:pos="5940" w:val="left"/>
        </w:tabs>
        <w:rPr>
          <w:sz w:val="20"/>
          <w:szCs w:val="20"/>
          <w:color w:val="auto"/>
        </w:rPr>
      </w:pPr>
      <w:r>
        <w:rPr>
          <w:rFonts w:ascii="Courier New" w:cs="Courier New" w:eastAsia="Courier New" w:hAnsi="Courier New"/>
          <w:sz w:val="14"/>
          <w:szCs w:val="14"/>
          <w:color w:val="auto"/>
        </w:rPr>
        <w:t>Nonvested at March 31, 2006</w:t>
      </w:r>
      <w:r>
        <w:rPr>
          <w:sz w:val="20"/>
          <w:szCs w:val="20"/>
          <w:color w:val="auto"/>
        </w:rPr>
        <w:tab/>
      </w:r>
      <w:r>
        <w:rPr>
          <w:rFonts w:ascii="Courier New" w:cs="Courier New" w:eastAsia="Courier New" w:hAnsi="Courier New"/>
          <w:sz w:val="14"/>
          <w:szCs w:val="14"/>
          <w:color w:val="auto"/>
        </w:rPr>
        <w:t>72,015</w:t>
      </w:r>
      <w:r>
        <w:rPr>
          <w:sz w:val="20"/>
          <w:szCs w:val="20"/>
          <w:color w:val="auto"/>
        </w:rPr>
        <w:tab/>
      </w:r>
      <w:r>
        <w:rPr>
          <w:rFonts w:ascii="Courier New" w:cs="Courier New" w:eastAsia="Courier New" w:hAnsi="Courier New"/>
          <w:sz w:val="13"/>
          <w:szCs w:val="13"/>
          <w:color w:val="auto"/>
        </w:rPr>
        <w:t>$41.09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ALLETE First Quarter 2006 Form 10-Q</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2">
            <w:col w:w="6000" w:space="720"/>
            <w:col w:w="3519"/>
          </w:cols>
          <w:pgMar w:left="220" w:top="616" w:right="1440" w:bottom="1440" w:gutter="0" w:footer="0" w:header="0"/>
          <w:type w:val="continuous"/>
        </w:sectPr>
      </w:pPr>
    </w:p>
    <w:bookmarkStart w:id="11" w:name="page12"/>
    <w:bookmarkEnd w:id="11"/>
    <w:p>
      <w:pPr>
        <w:spacing w:after="0"/>
        <w:tabs>
          <w:tab w:leader="none" w:pos="760" w:val="left"/>
        </w:tabs>
        <w:rPr>
          <w:sz w:val="20"/>
          <w:szCs w:val="20"/>
          <w:color w:val="auto"/>
        </w:rPr>
      </w:pPr>
      <w:r>
        <w:rPr>
          <w:rFonts w:ascii="Courier New" w:cs="Courier New" w:eastAsia="Courier New" w:hAnsi="Courier New"/>
          <w:sz w:val="14"/>
          <w:szCs w:val="14"/>
          <w:color w:val="auto"/>
        </w:rPr>
        <w:t>NOTE 2.</w:t>
        <w:tab/>
        <w:t>BUSINESS SEGMENTS</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Financial results by segment for the periods presented were impacted by the integration of our Taconite Harbor facility into the Regulated Utility segment effective January 1, 2006. The redirection of Taconite Harbor from our Nonregulated Energy Operations segment to our Regulated Utility segment was in accordance with the Company's Integrated Resource Plan (Resource Plan), as approved by the MPUC. Under the terms of our Resource Plan, we have operated the Taconite Harbor facility as a rate-based asset within the Minnesota retail jurisdiction effective January 1, 2006. Prior to January 1, 2006, we operated our Taconite Harbor facility as nonregulated generation (non-rate base generation sold at market-based rates to the wholesale market). Historical financial results of Taconite Harbor for periods prior to the redirection are included in our Nonregulated Energy Operations segment.</w:t>
      </w:r>
    </w:p>
    <w:p>
      <w:pPr>
        <w:spacing w:after="0" w:line="200" w:lineRule="exact"/>
        <w:rPr>
          <w:sz w:val="20"/>
          <w:szCs w:val="20"/>
          <w:color w:val="auto"/>
        </w:rPr>
      </w:pPr>
    </w:p>
    <w:p>
      <w:pPr>
        <w:spacing w:after="0" w:line="294" w:lineRule="exact"/>
        <w:rPr>
          <w:sz w:val="20"/>
          <w:szCs w:val="20"/>
          <w:color w:val="auto"/>
        </w:rPr>
      </w:pPr>
    </w:p>
    <w:p>
      <w:pPr>
        <w:ind w:left="828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7080"/>
        <w:spacing w:after="0"/>
        <w:tabs>
          <w:tab w:leader="none" w:pos="8520" w:val="left"/>
          <w:tab w:leader="none" w:pos="980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5600"/>
        <w:spacing w:after="0"/>
        <w:tabs>
          <w:tab w:leader="none" w:pos="7140" w:val="left"/>
          <w:tab w:leader="none" w:pos="8340" w:val="left"/>
          <w:tab w:leader="none" w:pos="9720" w:val="left"/>
          <w:tab w:leader="none" w:pos="1066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FOR THE QUARTER ENDED MARCH 31, 2006</w:t>
            </w:r>
          </w:p>
        </w:tc>
        <w:tc>
          <w:tcPr>
            <w:tcW w:w="2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$ 0.1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 Operations</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31.7</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21.0</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$ 13.0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r>
      <w:tr>
        <w:trPr>
          <w:trHeight w:val="166"/>
        </w:trPr>
        <w:tc>
          <w:tcPr>
            <w:tcW w:w="4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Income from Discontinued Operations - Net of Tax</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$ 18.8</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6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$1,404.0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$974.3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$862.3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$803.2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$797.5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$760.8</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spacing w:after="0"/>
              <w:rPr>
                <w:sz w:val="20"/>
                <w:szCs w:val="20"/>
                <w:color w:val="auto"/>
              </w:rPr>
            </w:pPr>
            <w:r>
              <w:rPr>
                <w:rFonts w:ascii="Courier New" w:cs="Courier New" w:eastAsia="Courier New" w:hAnsi="Courier New"/>
                <w:sz w:val="14"/>
                <w:szCs w:val="14"/>
                <w:color w:val="auto"/>
              </w:rPr>
              <w:t>FOR THE QUARTER ENDED MARCH 31, 2005</w:t>
            </w:r>
          </w:p>
        </w:tc>
        <w:tc>
          <w:tcPr>
            <w:tcW w:w="1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$193.3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$147.6</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52.6</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760" w:type="dxa"/>
            <w:vAlign w:val="bottom"/>
          </w:tcPr>
          <w:p>
            <w:pPr>
              <w:ind w:left="60"/>
              <w:spacing w:after="0"/>
              <w:rPr>
                <w:sz w:val="20"/>
                <w:szCs w:val="20"/>
                <w:color w:val="auto"/>
              </w:rPr>
            </w:pPr>
            <w:r>
              <w:rPr>
                <w:rFonts w:ascii="Courier New" w:cs="Courier New" w:eastAsia="Courier New" w:hAnsi="Courier New"/>
                <w:sz w:val="14"/>
                <w:szCs w:val="14"/>
                <w:color w:val="auto"/>
              </w:rPr>
              <w:t>(Loss) from Continuing Operations</w:t>
            </w:r>
          </w:p>
        </w:tc>
        <w:tc>
          <w:tcPr>
            <w:tcW w:w="1760" w:type="dxa"/>
            <w:vAlign w:val="bottom"/>
          </w:tcPr>
          <w:p>
            <w:pPr>
              <w:ind w:left="860"/>
              <w:spacing w:after="0"/>
              <w:rPr>
                <w:sz w:val="20"/>
                <w:szCs w:val="20"/>
                <w:color w:val="auto"/>
              </w:rPr>
            </w:pPr>
            <w:r>
              <w:rPr>
                <w:rFonts w:ascii="Courier New" w:cs="Courier New" w:eastAsia="Courier New" w:hAnsi="Courier New"/>
                <w:sz w:val="14"/>
                <w:szCs w:val="14"/>
                <w:color w:val="auto"/>
              </w:rPr>
              <w:t>41.1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25.2</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760" w:type="dxa"/>
            <w:vAlign w:val="bottom"/>
          </w:tcPr>
          <w:p>
            <w:pPr>
              <w:spacing w:after="0"/>
              <w:rPr>
                <w:sz w:val="14"/>
                <w:szCs w:val="14"/>
                <w:color w:val="auto"/>
              </w:rPr>
            </w:pPr>
          </w:p>
        </w:tc>
        <w:tc>
          <w:tcPr>
            <w:tcW w:w="1760" w:type="dxa"/>
            <w:vAlign w:val="bottom"/>
          </w:tcPr>
          <w:p>
            <w:pPr>
              <w:ind w:left="860"/>
              <w:spacing w:after="0"/>
              <w:rPr>
                <w:sz w:val="20"/>
                <w:szCs w:val="20"/>
                <w:color w:val="auto"/>
              </w:rPr>
            </w:pPr>
            <w:r>
              <w:rPr>
                <w:rFonts w:ascii="Courier New" w:cs="Courier New" w:eastAsia="Courier New" w:hAnsi="Courier New"/>
                <w:sz w:val="14"/>
                <w:szCs w:val="14"/>
                <w:color w:val="auto"/>
              </w:rPr>
              <w:t>(6.8)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w:t>
            </w:r>
          </w:p>
        </w:tc>
        <w:tc>
          <w:tcPr>
            <w:tcW w:w="1760" w:type="dxa"/>
            <w:vAlign w:val="bottom"/>
          </w:tcPr>
          <w:p>
            <w:pPr>
              <w:ind w:left="860"/>
              <w:spacing w:after="0"/>
              <w:rPr>
                <w:sz w:val="20"/>
                <w:szCs w:val="20"/>
                <w:color w:val="auto"/>
              </w:rPr>
            </w:pPr>
            <w:r>
              <w:rPr>
                <w:rFonts w:ascii="Courier New" w:cs="Courier New" w:eastAsia="Courier New" w:hAnsi="Courier New"/>
                <w:sz w:val="14"/>
                <w:szCs w:val="14"/>
                <w:color w:val="auto"/>
              </w:rPr>
              <w:t>(4.2)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$ 12.9</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$ 6.9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r>
      <w:tr>
        <w:trPr>
          <w:trHeight w:val="166"/>
        </w:trPr>
        <w:tc>
          <w:tcPr>
            <w:tcW w:w="4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Income from Discontinued Operations - Net of Tax</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8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$ 17.4</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8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$1,408.1</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$915.4</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$72.1</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$219.7</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$847.3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$726.2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$767.9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$725.0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0" w:gutter="0" w:footer="0" w:header="0"/>
        </w:sectPr>
      </w:pPr>
    </w:p>
    <w:bookmarkStart w:id="12" w:name="page13"/>
    <w:bookmarkEnd w:id="12"/>
    <w:p>
      <w:pPr>
        <w:ind w:left="100"/>
        <w:spacing w:after="0"/>
        <w:rPr>
          <w:sz w:val="20"/>
          <w:szCs w:val="20"/>
          <w:color w:val="auto"/>
        </w:rPr>
      </w:pPr>
      <w:r>
        <w:rPr>
          <w:rFonts w:ascii="Courier New" w:cs="Courier New" w:eastAsia="Courier New" w:hAnsi="Courier New"/>
          <w:sz w:val="14"/>
          <w:szCs w:val="14"/>
          <w:color w:val="auto"/>
        </w:rPr>
        <w:t>Discontinued Operations represented $50.0 million of total assets and $0.6 million of capital expenditures in 2005.</w:t>
      </w:r>
    </w:p>
    <w:p>
      <w:pPr>
        <w:spacing w:after="0" w:line="200" w:lineRule="exact"/>
        <w:rPr>
          <w:sz w:val="20"/>
          <w:szCs w:val="20"/>
          <w:color w:val="auto"/>
        </w:rPr>
      </w:pPr>
    </w:p>
    <w:p>
      <w:pPr>
        <w:spacing w:after="0" w:line="3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141" w:right="1440" w:bottom="1440" w:gutter="0" w:footer="0" w:header="0"/>
        </w:sectPr>
      </w:pPr>
    </w:p>
    <w:bookmarkStart w:id="13" w:name="page14"/>
    <w:bookmarkEnd w:id="13"/>
    <w:p>
      <w:pPr>
        <w:spacing w:after="0"/>
        <w:tabs>
          <w:tab w:leader="none" w:pos="760" w:val="left"/>
        </w:tabs>
        <w:rPr>
          <w:sz w:val="20"/>
          <w:szCs w:val="20"/>
          <w:color w:val="auto"/>
        </w:rPr>
      </w:pPr>
      <w:r>
        <w:rPr>
          <w:rFonts w:ascii="Courier New" w:cs="Courier New" w:eastAsia="Courier New" w:hAnsi="Courier New"/>
          <w:sz w:val="14"/>
          <w:szCs w:val="14"/>
          <w:color w:val="auto"/>
        </w:rPr>
        <w:t>NOTE 3.</w:t>
        <w:tab/>
        <w:t>INVESTMENTS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At March 31, 2006, Investments included the real estate assets of ALLETE Properties, debt and equity securities consisting primarily of securities held to fund employee benefits, and our emerging technology investments.</w:t>
      </w:r>
    </w:p>
    <w:p>
      <w:pPr>
        <w:spacing w:after="0" w:line="200" w:lineRule="exact"/>
        <w:rPr>
          <w:sz w:val="20"/>
          <w:szCs w:val="20"/>
          <w:color w:val="auto"/>
        </w:rPr>
      </w:pPr>
    </w:p>
    <w:p>
      <w:pPr>
        <w:spacing w:after="0" w:line="294" w:lineRule="exact"/>
        <w:rPr>
          <w:sz w:val="20"/>
          <w:szCs w:val="20"/>
          <w:color w:val="auto"/>
        </w:rPr>
      </w:pPr>
    </w:p>
    <w:p>
      <w:pPr>
        <w:ind w:left="5260"/>
        <w:spacing w:after="0"/>
        <w:tabs>
          <w:tab w:leader="none" w:pos="6800" w:val="left"/>
        </w:tabs>
        <w:rPr>
          <w:sz w:val="20"/>
          <w:szCs w:val="20"/>
          <w:color w:val="auto"/>
        </w:rPr>
      </w:pPr>
      <w:r>
        <w:rPr>
          <w:rFonts w:ascii="Courier New" w:cs="Courier New" w:eastAsia="Courier New" w:hAnsi="Courier New"/>
          <w:sz w:val="14"/>
          <w:szCs w:val="14"/>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spacing w:after="0"/>
        <w:tabs>
          <w:tab w:leader="none" w:pos="5420" w:val="left"/>
          <w:tab w:leader="none" w:pos="7140" w:val="left"/>
        </w:tabs>
        <w:rPr>
          <w:sz w:val="20"/>
          <w:szCs w:val="20"/>
          <w:color w:val="auto"/>
        </w:rPr>
      </w:pPr>
      <w:r>
        <w:rPr>
          <w:rFonts w:ascii="Courier New" w:cs="Courier New" w:eastAsia="Courier New" w:hAnsi="Courier New"/>
          <w:sz w:val="14"/>
          <w:szCs w:val="14"/>
          <w:color w:val="auto"/>
        </w:rPr>
        <w:t>INVESTMENTS</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Real</w:t>
            </w: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Estate Assets</w:t>
            </w:r>
          </w:p>
        </w:tc>
        <w:tc>
          <w:tcPr>
            <w:tcW w:w="2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$ 73.7</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w:t>
            </w:r>
          </w:p>
        </w:tc>
        <w:tc>
          <w:tcPr>
            <w:tcW w:w="2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r>
      <w:tr>
        <w:trPr>
          <w:trHeight w:val="0"/>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Emerging</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Technology Investments</w:t>
            </w:r>
          </w:p>
        </w:tc>
        <w:tc>
          <w:tcPr>
            <w:tcW w:w="2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320" w:val="left"/>
          <w:tab w:leader="none" w:pos="7060" w:val="left"/>
        </w:tabs>
        <w:rPr>
          <w:sz w:val="20"/>
          <w:szCs w:val="20"/>
          <w:color w:val="auto"/>
        </w:rPr>
      </w:pPr>
      <w:r>
        <w:rPr>
          <w:rFonts w:ascii="Courier New" w:cs="Courier New" w:eastAsia="Courier New" w:hAnsi="Courier New"/>
          <w:sz w:val="14"/>
          <w:szCs w:val="14"/>
          <w:color w:val="auto"/>
        </w:rPr>
        <w:t>Total Investments</w:t>
      </w:r>
      <w:r>
        <w:rPr>
          <w:sz w:val="20"/>
          <w:szCs w:val="20"/>
          <w:color w:val="auto"/>
        </w:rPr>
        <w:tab/>
      </w:r>
      <w:r>
        <w:rPr>
          <w:rFonts w:ascii="Courier New" w:cs="Courier New" w:eastAsia="Courier New" w:hAnsi="Courier New"/>
          <w:sz w:val="14"/>
          <w:szCs w:val="14"/>
          <w:color w:val="auto"/>
        </w:rPr>
        <w:t>$112.3</w:t>
      </w:r>
      <w:r>
        <w:rPr>
          <w:sz w:val="20"/>
          <w:szCs w:val="20"/>
          <w:color w:val="auto"/>
        </w:rPr>
        <w:tab/>
      </w:r>
      <w:r>
        <w:rPr>
          <w:rFonts w:ascii="Courier New" w:cs="Courier New" w:eastAsia="Courier New" w:hAnsi="Courier New"/>
          <w:sz w:val="13"/>
          <w:szCs w:val="13"/>
          <w:color w:val="auto"/>
        </w:rPr>
        <w:t>$117.7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00"/>
        <w:spacing w:after="0"/>
        <w:tabs>
          <w:tab w:leader="none" w:pos="680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5260"/>
        <w:spacing w:after="0"/>
        <w:tabs>
          <w:tab w:leader="none" w:pos="6700" w:val="left"/>
        </w:tabs>
        <w:rPr>
          <w:sz w:val="20"/>
          <w:szCs w:val="20"/>
          <w:color w:val="auto"/>
        </w:rPr>
      </w:pPr>
      <w:r>
        <w:rPr>
          <w:rFonts w:ascii="Courier New" w:cs="Courier New" w:eastAsia="Courier New" w:hAnsi="Courier New"/>
          <w:sz w:val="14"/>
          <w:szCs w:val="14"/>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spacing w:after="0"/>
        <w:tabs>
          <w:tab w:leader="none" w:pos="5420" w:val="left"/>
          <w:tab w:leader="none" w:pos="7140" w:val="left"/>
        </w:tabs>
        <w:rPr>
          <w:sz w:val="20"/>
          <w:szCs w:val="20"/>
          <w:color w:val="auto"/>
        </w:rPr>
      </w:pPr>
      <w:r>
        <w:rPr>
          <w:rFonts w:ascii="Courier New" w:cs="Courier New" w:eastAsia="Courier New" w:hAnsi="Courier New"/>
          <w:sz w:val="14"/>
          <w:szCs w:val="14"/>
          <w:color w:val="auto"/>
        </w:rPr>
        <w:t>REAL ESTATE ASSETS</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Land Held for</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Sale Beginning Balance</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$48.0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$47.2</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during period: Capitalized Improvements</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r>
      <w:tr>
        <w:trPr>
          <w:trHeight w:val="166"/>
        </w:trPr>
        <w:tc>
          <w:tcPr>
            <w:tcW w:w="50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Deductions during period: Cost of Real Estate Sold</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Land Held for Sale Ending Balance</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Long-Term Finance Receivables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3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Real Estate Assets</w:t>
            </w:r>
          </w:p>
        </w:tc>
        <w:tc>
          <w:tcPr>
            <w:tcW w:w="27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$70.4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Consisted primarily of a shopping center.</w:t>
      </w: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Finance receivables have maturities ranging up to ten years, accrue interest at market-based rates and are net of an allowance for doubtful accounts of $0.5 million at March 31, 2006 ($0.6 million at December 31, 2005).</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4.</w:t>
        <w:tab/>
        <w:t>SHORT-TERM AND LONG-TERM DEBT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January 2006, we renewed, increased and extended a committed, syndicated, unsecured revolving credit facility (Line) with LaSalle Bank National Association for $150 million ($100 million at December 31, 2005). The Line matures on January 11, 2011, and requires an annual commitment fee of 0.125%. At our request and subject to certain conditions, the Line may be increased to $200 million and extended for two additional 12-month periods. The Line may be used for general corporate purposes, working capital and to provide liquidity in support of our commercial paper program. We may prepay amounts outstanding under the Line in whole or in part at our discretion. Additionally, we may irrevocably terminate or reduce the size of the Line prior to maturity.</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March 2006, we issued $50 million in principal amount of First Mortgage Bonds, 5.69% Series due March 1, 2036. Proceeds were used to redeem $50 million in principal amount of First Mortgage Bonds, 7% Series due March 1, 2008.</w:t>
      </w:r>
    </w:p>
    <w:p>
      <w:pPr>
        <w:spacing w:after="0" w:line="16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ectPr>
          <w:pgSz w:w="11900" w:h="16838" w:orient="portrait"/>
          <w:cols w:equalWidth="0" w:num="1">
            <w:col w:w="10239"/>
          </w:cols>
          <w:pgMar w:left="220" w:top="616" w:right="1440" w:bottom="1440" w:gutter="0" w:footer="0" w:header="0"/>
        </w:sectPr>
      </w:pPr>
    </w:p>
    <w:bookmarkStart w:id="14" w:name="page15"/>
    <w:bookmarkEnd w:id="14"/>
    <w:p>
      <w:pPr>
        <w:spacing w:after="0"/>
        <w:tabs>
          <w:tab w:leader="none" w:pos="760" w:val="left"/>
        </w:tabs>
        <w:rPr>
          <w:sz w:val="20"/>
          <w:szCs w:val="20"/>
          <w:color w:val="auto"/>
        </w:rPr>
      </w:pPr>
      <w:r>
        <w:rPr>
          <w:rFonts w:ascii="Courier New" w:cs="Courier New" w:eastAsia="Courier New" w:hAnsi="Courier New"/>
          <w:sz w:val="14"/>
          <w:szCs w:val="14"/>
          <w:color w:val="auto"/>
        </w:rPr>
        <w:t>NOTE 5.</w:t>
        <w:tab/>
        <w:t>OTHER INCOME (EXPENSE)</w:t>
      </w:r>
    </w:p>
    <w:p>
      <w:pPr>
        <w:spacing w:after="0" w:line="200" w:lineRule="exact"/>
        <w:rPr>
          <w:sz w:val="20"/>
          <w:szCs w:val="20"/>
          <w:color w:val="auto"/>
        </w:rPr>
      </w:pPr>
    </w:p>
    <w:p>
      <w:pPr>
        <w:spacing w:after="0" w:line="304"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4920"/>
        <w:spacing w:after="0"/>
        <w:tabs>
          <w:tab w:leader="none" w:pos="636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Loss on Emerging Technology Investments</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Investment and Other Income</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Other Income (Expense)</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6.  INCOME TAX EXPENSE</w:t>
      </w:r>
    </w:p>
    <w:p>
      <w:pPr>
        <w:spacing w:after="0" w:line="200" w:lineRule="exact"/>
        <w:rPr>
          <w:sz w:val="20"/>
          <w:szCs w:val="20"/>
          <w:color w:val="auto"/>
        </w:rPr>
      </w:pPr>
    </w:p>
    <w:p>
      <w:pPr>
        <w:spacing w:after="0" w:line="304"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4920"/>
        <w:spacing w:after="0"/>
        <w:tabs>
          <w:tab w:leader="none" w:pos="636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2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4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324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920"/>
        <w:spacing w:after="0"/>
        <w:tabs>
          <w:tab w:leader="none" w:pos="6360" w:val="left"/>
        </w:tabs>
        <w:rPr>
          <w:sz w:val="20"/>
          <w:szCs w:val="20"/>
          <w:color w:val="auto"/>
        </w:rPr>
      </w:pP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15.2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Deferred Tax Expense (Benefit)</w:t>
            </w:r>
          </w:p>
        </w:tc>
        <w:tc>
          <w:tcPr>
            <w:tcW w:w="2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1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920"/>
        <w:spacing w:after="0"/>
        <w:tabs>
          <w:tab w:leader="none" w:pos="636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Deferred Tax Credits</w:t>
            </w:r>
          </w:p>
        </w:tc>
        <w:tc>
          <w:tcPr>
            <w:tcW w:w="2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Expense for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Expense for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gridSpan w:val="4"/>
          </w:tcPr>
          <w:p>
            <w:pPr>
              <w:spacing w:after="0"/>
              <w:rPr>
                <w:sz w:val="20"/>
                <w:szCs w:val="20"/>
                <w:color w:val="auto"/>
              </w:rPr>
            </w:pPr>
            <w:r>
              <w:rPr>
                <w:rFonts w:ascii="Courier New" w:cs="Courier New" w:eastAsia="Courier New" w:hAnsi="Courier New"/>
                <w:sz w:val="14"/>
                <w:szCs w:val="14"/>
                <w:color w:val="auto"/>
              </w:rPr>
              <w:t>Total Income Tax Expense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March 31, 2006, the effective rate for income taxes was 36.6 percent (38.2 percent for the quarter ended March 31, 2005). The decrease in the effective rate was primarily due to state tax planning initiatives. The effective tax rate of 36.6 percent for the quarter ended March 31, 2006, deviated from the statutory rate, primarily due to state tax planning initiatives, investment tax credits, and deductions for Medicare health subsidies and depletion.</w:t>
      </w:r>
    </w:p>
    <w:p>
      <w:pPr>
        <w:spacing w:after="0" w:line="33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15" w:name="page16"/>
    <w:bookmarkEnd w:id="15"/>
    <w:p>
      <w:pPr>
        <w:spacing w:after="0"/>
        <w:tabs>
          <w:tab w:leader="none" w:pos="760" w:val="left"/>
        </w:tabs>
        <w:rPr>
          <w:sz w:val="20"/>
          <w:szCs w:val="20"/>
          <w:color w:val="auto"/>
        </w:rPr>
      </w:pPr>
      <w:r>
        <w:rPr>
          <w:rFonts w:ascii="Courier New" w:cs="Courier New" w:eastAsia="Courier New" w:hAnsi="Courier New"/>
          <w:sz w:val="14"/>
          <w:szCs w:val="14"/>
          <w:color w:val="auto"/>
        </w:rPr>
        <w:t>NOTE 7.</w:t>
        <w:tab/>
        <w:t>DISCONTINUED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ENVENTIS TELECOM. On December 30, 2005, we sold all the stock of our telecommunications subsidiary, Enventis Telecom, to Hickory Tech Corporation of Mankato, Minnesota. In accordance with SFAS 144, "Accounting for the Impairment or Disposal of Long-Lived Assets," we have reported our telecommunications business in discontinued operations for the quarter ended March 31, 2005.</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WATER SERVICES. In early 2005, we completed the exit from our Water Services businesses with the sale of our wastewater assets in Georgia for an immaterial gain. In 2005, the Florida Public Service Commission approved the transfer of 63 water and wastewater systems from Florida Water to Aqua Utilities Florida, Inc. (Aqua Utilities) and ordered a $1.7 million reduction to plant investment. The Company reserved for the reduction in 2005. On March 15, 2006, the Company paid Aqua Utilities the adjustment refund amount of $1.7 million.</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For the quarter ended March 31, 2006, there were no financial results to report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4"/>
          <w:szCs w:val="14"/>
          <w:color w:val="auto"/>
        </w:rPr>
        <w:t>DISCONTINUED OPERATIONS</w:t>
      </w:r>
      <w:r>
        <w:rPr>
          <w:sz w:val="20"/>
          <w:szCs w:val="20"/>
          <w:color w:val="auto"/>
        </w:rPr>
        <w:tab/>
      </w:r>
      <w:r>
        <w:rPr>
          <w:rFonts w:ascii="Courier New" w:cs="Courier New" w:eastAsia="Courier New" w:hAnsi="Courier New"/>
          <w:sz w:val="14"/>
          <w:szCs w:val="14"/>
          <w:color w:val="auto"/>
        </w:rPr>
        <w:t>MARCH 31,</w:t>
      </w:r>
    </w:p>
    <w:p>
      <w:pPr>
        <w:spacing w:after="0" w:line="7"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4"/>
          <w:szCs w:val="14"/>
          <w:color w:val="auto"/>
        </w:rPr>
        <w:t>SUMMARY INCOME STATEMENT</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Operating Revenue - Enventis Telecom</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Enventis Telecom</w:t>
            </w:r>
          </w:p>
        </w:tc>
        <w:tc>
          <w:tcPr>
            <w:tcW w:w="188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Pre-Tax Income from Operations</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Income Tax Expense</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Total Income from Operations - Enventis Telecom</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Water Services</w:t>
            </w:r>
          </w:p>
        </w:tc>
        <w:tc>
          <w:tcPr>
            <w:tcW w:w="250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Loss on Disposal</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Income Tax Benefit</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6100" w:val="left"/>
        </w:tabs>
        <w:rPr>
          <w:sz w:val="20"/>
          <w:szCs w:val="20"/>
          <w:color w:val="auto"/>
        </w:rPr>
      </w:pPr>
      <w:r>
        <w:rPr>
          <w:rFonts w:ascii="Courier New" w:cs="Courier New" w:eastAsia="Courier New" w:hAnsi="Courier New"/>
          <w:sz w:val="14"/>
          <w:szCs w:val="14"/>
          <w:color w:val="auto"/>
        </w:rPr>
        <w:t>Net Loss on Disposal - Water Services</w:t>
      </w:r>
      <w:r>
        <w:rPr>
          <w:sz w:val="20"/>
          <w:szCs w:val="20"/>
          <w:color w:val="auto"/>
        </w:rPr>
        <w:tab/>
      </w:r>
      <w:r>
        <w:rPr>
          <w:rFonts w:ascii="Courier New" w:cs="Courier New" w:eastAsia="Courier New" w:hAnsi="Courier New"/>
          <w:sz w:val="14"/>
          <w:szCs w:val="14"/>
          <w:color w:val="auto"/>
        </w:rPr>
        <w:t>(0.6)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4"/>
          <w:szCs w:val="14"/>
          <w:color w:val="auto"/>
        </w:rPr>
        <w:t>Income from Discontinued Operations</w:t>
      </w:r>
      <w:r>
        <w:rPr>
          <w:sz w:val="20"/>
          <w:szCs w:val="20"/>
          <w:color w:val="auto"/>
        </w:rPr>
        <w:tab/>
      </w:r>
      <w:r>
        <w:rPr>
          <w:rFonts w:ascii="Courier New" w:cs="Courier New" w:eastAsia="Courier New" w:hAnsi="Courier New"/>
          <w:sz w:val="14"/>
          <w:szCs w:val="14"/>
          <w:color w:val="auto"/>
        </w:rPr>
        <w:t>$0.0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4"/>
          <w:szCs w:val="14"/>
          <w:color w:val="auto"/>
        </w:rPr>
        <w:t>DISCONTINUED OPERATIONS DECEMBER 31, SUMMARY BALANCE SHEET INFORMATION 2005</w:t>
      </w:r>
    </w:p>
    <w:p>
      <w:pPr>
        <w:spacing w:after="0" w:line="168"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of Discontinued Operations</w:t>
      </w:r>
    </w:p>
    <w:p>
      <w:pPr>
        <w:spacing w:after="0" w:line="7" w:lineRule="exact"/>
        <w:rPr>
          <w:sz w:val="20"/>
          <w:szCs w:val="20"/>
          <w:color w:val="auto"/>
        </w:rPr>
      </w:pPr>
    </w:p>
    <w:p>
      <w:pPr>
        <w:ind w:left="440"/>
        <w:spacing w:after="0"/>
        <w:tabs>
          <w:tab w:leader="none" w:pos="6100" w:val="left"/>
        </w:tabs>
        <w:rPr>
          <w:sz w:val="20"/>
          <w:szCs w:val="20"/>
          <w:color w:val="auto"/>
        </w:rPr>
      </w:pPr>
      <w:r>
        <w:rPr>
          <w:rFonts w:ascii="Courier New" w:cs="Courier New" w:eastAsia="Courier New" w:hAnsi="Courier New"/>
          <w:sz w:val="14"/>
          <w:szCs w:val="14"/>
          <w:color w:val="auto"/>
        </w:rPr>
        <w:t>Other Current Assets</w:t>
      </w:r>
      <w:r>
        <w:rPr>
          <w:sz w:val="20"/>
          <w:szCs w:val="20"/>
          <w:color w:val="auto"/>
        </w:rPr>
        <w:tab/>
      </w:r>
      <w:r>
        <w:rPr>
          <w:rFonts w:ascii="Courier New" w:cs="Courier New" w:eastAsia="Courier New" w:hAnsi="Courier New"/>
          <w:sz w:val="14"/>
          <w:szCs w:val="14"/>
          <w:color w:val="auto"/>
        </w:rPr>
        <w:t>$0.4</w:t>
      </w:r>
    </w:p>
    <w:p>
      <w:pPr>
        <w:spacing w:after="0" w:line="7" w:lineRule="exact"/>
        <w:rPr>
          <w:sz w:val="20"/>
          <w:szCs w:val="20"/>
          <w:color w:val="auto"/>
        </w:rPr>
      </w:pPr>
    </w:p>
    <w:p>
      <w:pPr>
        <w:ind w:left="440"/>
        <w:spacing w:after="0"/>
        <w:tabs>
          <w:tab w:leader="none" w:pos="6100" w:val="left"/>
        </w:tabs>
        <w:rPr>
          <w:sz w:val="20"/>
          <w:szCs w:val="20"/>
          <w:color w:val="auto"/>
        </w:rPr>
      </w:pPr>
      <w:r>
        <w:rPr>
          <w:rFonts w:ascii="Courier New" w:cs="Courier New" w:eastAsia="Courier New" w:hAnsi="Courier New"/>
          <w:sz w:val="14"/>
          <w:szCs w:val="14"/>
          <w:color w:val="auto"/>
        </w:rPr>
        <w:t>Property, Plant and Equipment</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of Discontinued Operations</w:t>
      </w:r>
    </w:p>
    <w:p>
      <w:pPr>
        <w:spacing w:after="0" w:line="7" w:lineRule="exact"/>
        <w:rPr>
          <w:sz w:val="20"/>
          <w:szCs w:val="20"/>
          <w:color w:val="auto"/>
        </w:rPr>
      </w:pPr>
    </w:p>
    <w:p>
      <w:pPr>
        <w:ind w:left="440"/>
        <w:spacing w:after="0"/>
        <w:tabs>
          <w:tab w:leader="none" w:pos="6020" w:val="left"/>
        </w:tabs>
        <w:rPr>
          <w:sz w:val="20"/>
          <w:szCs w:val="20"/>
          <w:color w:val="auto"/>
        </w:rPr>
      </w:pPr>
      <w:r>
        <w:rPr>
          <w:rFonts w:ascii="Courier New" w:cs="Courier New" w:eastAsia="Courier New" w:hAnsi="Courier New"/>
          <w:sz w:val="14"/>
          <w:szCs w:val="14"/>
          <w:color w:val="auto"/>
        </w:rPr>
        <w:t>Current Liabilities</w:t>
      </w:r>
      <w:r>
        <w:rPr>
          <w:sz w:val="20"/>
          <w:szCs w:val="20"/>
          <w:color w:val="auto"/>
        </w:rPr>
        <w:tab/>
      </w:r>
      <w:r>
        <w:rPr>
          <w:rFonts w:ascii="Courier New" w:cs="Courier New" w:eastAsia="Courier New" w:hAnsi="Courier New"/>
          <w:sz w:val="14"/>
          <w:szCs w:val="14"/>
          <w:color w:val="auto"/>
        </w:rPr>
        <w:t>$13.0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900"/>
        <w:spacing w:after="0"/>
        <w:tabs>
          <w:tab w:leader="none" w:pos="6700" w:val="left"/>
        </w:tabs>
        <w:rPr>
          <w:sz w:val="20"/>
          <w:szCs w:val="20"/>
          <w:color w:val="auto"/>
        </w:rPr>
      </w:pPr>
      <w:r>
        <w:rPr>
          <w:rFonts w:ascii="Courier New" w:cs="Courier New" w:eastAsia="Courier New" w:hAnsi="Courier New"/>
          <w:sz w:val="14"/>
          <w:szCs w:val="14"/>
          <w:color w:val="auto"/>
        </w:rPr>
        <w:t>ALLETE First Quarter 2006 Form 10-Q</w:t>
      </w:r>
      <w:r>
        <w:rPr>
          <w:sz w:val="20"/>
          <w:szCs w:val="20"/>
          <w:color w:val="auto"/>
        </w:rPr>
        <w:tab/>
      </w: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6" w:name="page17"/>
    <w:bookmarkEnd w:id="16"/>
    <w:p>
      <w:pPr>
        <w:spacing w:after="0"/>
        <w:tabs>
          <w:tab w:leader="none" w:pos="760" w:val="left"/>
        </w:tabs>
        <w:rPr>
          <w:sz w:val="20"/>
          <w:szCs w:val="20"/>
          <w:color w:val="auto"/>
        </w:rPr>
      </w:pPr>
      <w:r>
        <w:rPr>
          <w:rFonts w:ascii="Courier New" w:cs="Courier New" w:eastAsia="Courier New" w:hAnsi="Courier New"/>
          <w:sz w:val="14"/>
          <w:szCs w:val="14"/>
          <w:color w:val="auto"/>
        </w:rPr>
        <w:t>NOTE 8.</w:t>
        <w:tab/>
        <w:t>COMPREHENSIVE INCOME</w:t>
      </w:r>
    </w:p>
    <w:p>
      <w:pPr>
        <w:spacing w:after="0" w:line="173"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For the quarter ended March 31, 2006, total comprehensive income, net of tax, was $19.1 million ($17.5 million for the quarter ended March 31, 2005). Total comprehensive income includes net income, unrealized gains and losses on securities classified as available-for-sale, and additional pension liability.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16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(LOSS) - NET OF TAX</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Unrealized</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Gain on Securities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Additional</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Pension Liability</w:t>
            </w:r>
          </w:p>
        </w:tc>
        <w:tc>
          <w:tcPr>
            <w:tcW w:w="134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(14.9)</w:t>
            </w:r>
          </w:p>
        </w:tc>
        <w:tc>
          <w:tcPr>
            <w:tcW w:w="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9.</w:t>
        <w:tab/>
        <w:t>EARNINGS PER SHARE</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The difference between basic and diluted earnings per share arises from outstanding stock options and performance share awards granted under our Executive and Director Long-Term Incentive Compensation Plans. In accordance with SFAS 128, "Earnings Per Share," for the three months ended March 31, 2006, no options to purchase shares of common stock were excluded in the computation of diluted earnings per share because the average market prices were greater than the option exercise prices (119,077 shares were excluded for the three months ended March 31, 2005).</w:t>
      </w:r>
    </w:p>
    <w:p>
      <w:pPr>
        <w:spacing w:after="0" w:line="200" w:lineRule="exact"/>
        <w:rPr>
          <w:sz w:val="20"/>
          <w:szCs w:val="20"/>
          <w:color w:val="auto"/>
        </w:rPr>
      </w:pPr>
    </w:p>
    <w:p>
      <w:pPr>
        <w:spacing w:after="0" w:line="295" w:lineRule="exact"/>
        <w:rPr>
          <w:sz w:val="20"/>
          <w:szCs w:val="20"/>
          <w:color w:val="auto"/>
        </w:rPr>
      </w:pPr>
    </w:p>
    <w:p>
      <w:pPr>
        <w:ind w:left="6640"/>
        <w:spacing w:after="0"/>
        <w:tabs>
          <w:tab w:leader="none" w:pos="972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440" w:val="left"/>
          <w:tab w:leader="none" w:pos="9540" w:val="left"/>
        </w:tabs>
        <w:rPr>
          <w:sz w:val="20"/>
          <w:szCs w:val="20"/>
          <w:color w:val="auto"/>
        </w:rPr>
      </w:pPr>
      <w:r>
        <w:rPr>
          <w:rFonts w:ascii="Courier New" w:cs="Courier New" w:eastAsia="Courier New" w:hAnsi="Courier New"/>
          <w:sz w:val="14"/>
          <w:szCs w:val="14"/>
          <w:color w:val="auto"/>
        </w:rPr>
        <w:t>RECONCILIATION OF BASIC AND DILUTED</w:t>
      </w:r>
      <w:r>
        <w:rPr>
          <w:sz w:val="20"/>
          <w:szCs w:val="20"/>
          <w:color w:val="auto"/>
        </w:rPr>
        <w:tab/>
      </w:r>
      <w:r>
        <w:rPr>
          <w:rFonts w:ascii="Courier New" w:cs="Courier New" w:eastAsia="Courier New" w:hAnsi="Courier New"/>
          <w:sz w:val="14"/>
          <w:szCs w:val="14"/>
          <w:color w:val="auto"/>
        </w:rPr>
        <w:t>DILUTIVE</w:t>
      </w:r>
      <w:r>
        <w:rPr>
          <w:sz w:val="20"/>
          <w:szCs w:val="20"/>
          <w:color w:val="auto"/>
        </w:rPr>
        <w:tab/>
      </w:r>
      <w:r>
        <w:rPr>
          <w:rFonts w:ascii="Courier New" w:cs="Courier New" w:eastAsia="Courier New" w:hAnsi="Courier New"/>
          <w:sz w:val="14"/>
          <w:szCs w:val="14"/>
          <w:color w:val="auto"/>
        </w:rPr>
        <w:t>DILUTIVE</w:t>
      </w:r>
    </w:p>
    <w:p>
      <w:pPr>
        <w:spacing w:after="0" w:line="7" w:lineRule="exact"/>
        <w:rPr>
          <w:sz w:val="20"/>
          <w:szCs w:val="20"/>
          <w:color w:val="auto"/>
        </w:rPr>
      </w:pPr>
    </w:p>
    <w:p>
      <w:pPr>
        <w:spacing w:after="0"/>
        <w:tabs>
          <w:tab w:leader="none" w:pos="5680" w:val="left"/>
          <w:tab w:leader="none" w:pos="6360" w:val="left"/>
          <w:tab w:leader="none" w:pos="7560" w:val="left"/>
          <w:tab w:leader="none" w:pos="8780" w:val="left"/>
          <w:tab w:leader="none" w:pos="9460" w:val="left"/>
          <w:tab w:leader="none" w:pos="10660" w:val="left"/>
        </w:tabs>
        <w:rPr>
          <w:sz w:val="20"/>
          <w:szCs w:val="20"/>
          <w:color w:val="auto"/>
        </w:rPr>
      </w:pPr>
      <w:r>
        <w:rPr>
          <w:rFonts w:ascii="Courier New" w:cs="Courier New" w:eastAsia="Courier New" w:hAnsi="Courier New"/>
          <w:sz w:val="14"/>
          <w:szCs w:val="14"/>
          <w:color w:val="auto"/>
        </w:rPr>
        <w:t>EARNINGS PER SHARE</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FOR THE QUARTER ENDED MARCH 31,</w:t>
            </w:r>
          </w:p>
        </w:tc>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$0.64</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r>
    </w:tbl>
    <w:p>
      <w:pPr>
        <w:spacing w:after="0" w:line="4"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10.  PENSION AND OTHER POSTRETIREMENT BENEFIT PLANS</w:t>
      </w:r>
    </w:p>
    <w:p>
      <w:pPr>
        <w:spacing w:after="0" w:line="200" w:lineRule="exact"/>
        <w:rPr>
          <w:sz w:val="20"/>
          <w:szCs w:val="20"/>
          <w:color w:val="auto"/>
        </w:rPr>
      </w:pPr>
    </w:p>
    <w:p>
      <w:pPr>
        <w:spacing w:after="0" w:line="304" w:lineRule="exact"/>
        <w:rPr>
          <w:sz w:val="20"/>
          <w:szCs w:val="20"/>
          <w:color w:val="auto"/>
        </w:rPr>
      </w:pPr>
    </w:p>
    <w:p>
      <w:pPr>
        <w:ind w:left="1000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ind w:left="6980"/>
        <w:spacing w:after="0"/>
        <w:tabs>
          <w:tab w:leader="none" w:pos="9980" w:val="left"/>
        </w:tabs>
        <w:rPr>
          <w:sz w:val="20"/>
          <w:szCs w:val="20"/>
          <w:color w:val="auto"/>
        </w:rPr>
      </w:pP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620" w:val="left"/>
          <w:tab w:leader="none" w:pos="7560" w:val="left"/>
          <w:tab w:leader="none" w:pos="9980" w:val="left"/>
          <w:tab w:leader="none" w:pos="10920" w:val="left"/>
        </w:tabs>
        <w:rPr>
          <w:sz w:val="20"/>
          <w:szCs w:val="20"/>
          <w:color w:val="auto"/>
        </w:rPr>
      </w:pPr>
      <w:r>
        <w:rPr>
          <w:rFonts w:ascii="Courier New" w:cs="Courier New" w:eastAsia="Courier New" w:hAnsi="Courier New"/>
          <w:sz w:val="14"/>
          <w:szCs w:val="14"/>
          <w:color w:val="auto"/>
        </w:rPr>
        <w:t>COMPONENTS OF NET PERIODIC BENEFIT EXPENSE</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FOR THE QUARTER</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ENDED MARCH 31,</w:t>
            </w:r>
          </w:p>
        </w:tc>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3580" w:type="dxa"/>
            <w:vAlign w:val="bottom"/>
          </w:tcPr>
          <w:p>
            <w:pPr>
              <w:spacing w:after="0"/>
              <w:rPr>
                <w:sz w:val="24"/>
                <w:szCs w:val="24"/>
                <w:color w:val="auto"/>
              </w:rPr>
            </w:pP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c>
          <w:tcPr>
            <w:tcW w:w="16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$2.2</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3580" w:type="dxa"/>
            <w:vAlign w:val="bottom"/>
          </w:tcPr>
          <w:p>
            <w:pPr>
              <w:spacing w:after="0"/>
              <w:rPr>
                <w:sz w:val="14"/>
                <w:szCs w:val="14"/>
                <w:color w:val="auto"/>
              </w:rPr>
            </w:pP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16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5.3</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on Plan Assets</w:t>
            </w:r>
          </w:p>
        </w:tc>
        <w:tc>
          <w:tcPr>
            <w:tcW w:w="24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(7.1)</w:t>
            </w:r>
          </w:p>
        </w:tc>
        <w:tc>
          <w:tcPr>
            <w:tcW w:w="16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(7.1)</w:t>
            </w:r>
          </w:p>
        </w:tc>
        <w:tc>
          <w:tcPr>
            <w:tcW w:w="16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Costs</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16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0.2</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Net Loss</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16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0.8</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Transition Obligation</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0.1</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620" w:val="left"/>
          <w:tab w:leader="none" w:pos="7560" w:val="left"/>
          <w:tab w:leader="none" w:pos="9980" w:val="left"/>
          <w:tab w:leader="none" w:pos="10920" w:val="left"/>
        </w:tabs>
        <w:rPr>
          <w:sz w:val="20"/>
          <w:szCs w:val="20"/>
          <w:color w:val="auto"/>
        </w:rPr>
      </w:pPr>
      <w:r>
        <w:rPr>
          <w:rFonts w:ascii="Courier New" w:cs="Courier New" w:eastAsia="Courier New" w:hAnsi="Courier New"/>
          <w:sz w:val="14"/>
          <w:szCs w:val="14"/>
          <w:color w:val="auto"/>
        </w:rPr>
        <w:t>Net Periodic Benefit Expense</w:t>
      </w:r>
      <w:r>
        <w:rPr>
          <w:sz w:val="20"/>
          <w:szCs w:val="20"/>
          <w:color w:val="auto"/>
        </w:rPr>
        <w:tab/>
      </w: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In 2005, we determined that our postretirement health care plans meet the requirements of the Centers for Medicare and Medicaid Services' (CMS) regulations, and enrolled with the CMS to begin recovering the subsidy. We expect to receive the first subsidy check in early 2007 for 2006 credits.</w:t>
      </w:r>
    </w:p>
    <w:p>
      <w:pPr>
        <w:spacing w:after="0" w:line="16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1540"/>
          </w:cols>
          <w:pgMar w:left="220" w:top="616" w:right="139" w:bottom="1440" w:gutter="0" w:footer="0" w:header="0"/>
        </w:sectPr>
      </w:pPr>
    </w:p>
    <w:bookmarkStart w:id="17" w:name="page18"/>
    <w:bookmarkEnd w:id="17"/>
    <w:p>
      <w:pPr>
        <w:spacing w:after="0"/>
        <w:tabs>
          <w:tab w:leader="none" w:pos="840" w:val="left"/>
        </w:tabs>
        <w:rPr>
          <w:sz w:val="20"/>
          <w:szCs w:val="20"/>
          <w:color w:val="auto"/>
        </w:rPr>
      </w:pPr>
      <w:r>
        <w:rPr>
          <w:rFonts w:ascii="Courier New" w:cs="Courier New" w:eastAsia="Courier New" w:hAnsi="Courier New"/>
          <w:sz w:val="14"/>
          <w:szCs w:val="14"/>
          <w:color w:val="auto"/>
        </w:rPr>
        <w:t>NOTE 11.</w:t>
        <w:tab/>
        <w:t>COMMITMENTS, GUARANTEES AND CONTINGENCIES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OFF-BALANCE SHEET ARRANGEMENTS. 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Power was entitled to approximately 71 percent of the Unit's output under the Agreement. Beginning in 2006, Minnkota Power exercised its option to reduce Minnesota Power's entitlement by approximately 5 percent annually, to 66 percent. We received notices from Minnkota Power that they would further reduce our output entitlement by approximately 5 percent on January 1, 2007 and 2008, to 60 percent and 55 percent, respectively. Minnkota Power has the option to reduce Minnesota Power's entitlement to 50 percent. 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March 31, 2006, Square Butte had total debt outstanding of $304.9 million. Total annual debt service for Square Butte is expected to be approximately $26 million in each of the years 2006 through 2010. Variable operating costs include the price of coal purchased from BNI Coal, our subsidiary, under a long-term contract. Minnesota Power's payments to Square Butte are approved as a purchased power expense for ratemaking purposes by both the MPUC and the FERC.</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LEASING AGREEMENTS. BNI Coal is obligated to make lease payments for a dragline totaling $2.8 million annually for the lease term which expires in 2027. 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2013. The aggregate amount of minimum lease payments for all operating leases is $6.4 million in 2006, $5.9 million in 2007, $5.2 million in 2008, $4.7 million in 2009, $4.2 million in 2010 and $46.9 million thereafter.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COAL, RAIL AND SHIPPING CONTRACTS. We have three coal supply agreements with various expiration dates ranging from December 2006 to December 2009. We also have rail and shipping agreements for transportation of all of our coal, with various expiration dates ranging from December 2006 to December 2011. Our minimum annual payment obligations under these coal, rail and shipping agreements are currently $45.2 million in 2006, $9.5 million in 2007, $9.7 million in 2008, $5.8 million in 2009 and no specific commitments beyond 2009. Our minimum annual payment obligations will increase when annual nominations are made for coal deliveries in future years.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FUEL CLAUSE RECOVERY OF MISO DAY 2 COSTS. Minnesota Power filed a petition with the MPUC in February 2005 to amend its fuel clause to accommodate costs and revenue related to the MISO Day 2 energy market, the market through which Minnesota Power engages in wholesale energy transactions in MISO's day-ahead and real-time markets (MISO Day 2). On April 7, 2005, the MPUC approved interim accounting treatment of MISO Day 2 costs to be accounted for on a net basis and recovered through the fuel clause, subject to refund with interest. This interim treatment has continued while the MPUC has addressed the cost recovery petitions from Xcel Energy Inc., Otter Tail Power Company, Alliant Energy Corporation and Minnesota Power.</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December 21, 2005, the MPUC issued an order which denied recovery through the fuel clause of uplift charges, congestion revenue and expenses, and administrative costs related to Minnesota Power's MISO Day 2 market activities. Minnesota Power requested rehearing of the order in a filing made with the MPUC on January 10, 2006. The other three utilities affected by the order also filed for rehearing, as did the DOC and MISO. In a hearing on February 9, 2006, the MPUC granted rehearing of the MISO Day 2 docket and suspended the refund obligation for charges recovered through the fuel clause and denied in the December 21, 2005 order. The MPUC will review the MISO Day 2 costs to determine which costs should be recovered on a current basis through the fuel clause and which costs are more appropriately</w:t>
      </w:r>
    </w:p>
    <w:p>
      <w:pPr>
        <w:spacing w:after="0" w:line="329"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ectPr>
          <w:pgSz w:w="11900" w:h="16838" w:orient="portrait"/>
          <w:cols w:equalWidth="0" w:num="1">
            <w:col w:w="10239"/>
          </w:cols>
          <w:pgMar w:left="220" w:top="616" w:right="1440" w:bottom="1440" w:gutter="0" w:footer="0" w:header="0"/>
        </w:sectPr>
      </w:pPr>
    </w:p>
    <w:bookmarkStart w:id="18" w:name="page19"/>
    <w:bookmarkEnd w:id="18"/>
    <w:p>
      <w:pPr>
        <w:spacing w:after="0"/>
        <w:tabs>
          <w:tab w:leader="none" w:pos="840" w:val="left"/>
        </w:tabs>
        <w:rPr>
          <w:sz w:val="20"/>
          <w:szCs w:val="20"/>
          <w:color w:val="auto"/>
        </w:rPr>
      </w:pPr>
      <w:r>
        <w:rPr>
          <w:rFonts w:ascii="Courier New" w:cs="Courier New" w:eastAsia="Courier New" w:hAnsi="Courier New"/>
          <w:sz w:val="14"/>
          <w:szCs w:val="14"/>
          <w:color w:val="auto"/>
        </w:rPr>
        <w:t>NOTE 11.</w:t>
        <w:tab/>
        <w:t>COMMITMENTS, GUARANTEES AND CONTINGENCIES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deferred for potential recovery through base rates. The MPUC's order documenting the February 9, 2006, hearing was issued February 24, 2006. The parties had 60 days to issue their recommendations to the MPUC. The Company is working with the other utilities, the DOC and other stakeholders to prepare the report. On April 11, 2006, the parties requested an extension to file their recommendations with the MPUC. On April 24, 2006, the MPUC approved an extension to June 22, 2006. The Company is unable to predict the outcome of this matter.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structured as limited liability companies, and direct investments in privately-held, start-up companies. The carrying value of our direct investments in privately-held, start-up companies was zero at March 31, 2006, and December 31, 2005. We have committed to make additional investments in certain emerging technology venture capital funds. The total future commitment was $3.0 million at March 31, 2006 ($3.1 million at December 31, 2005), and may be invested at various times through 2007. We do not have plans to make any additional investments beyond this commitment.</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In December 2005, we entered into an agreement with Wisconsin Public Service Corporation and WPS Investments, LLC that provides for our Wisconsin subsidiary, Rainy River Energy Corporation - Wisconsin, to invest $60 million in ATC. Our investment is expected to represent an estimated 9 percent ownership interest in ATC. On May 4, 2006, the PSCW reviewed and approved the request that allows us to invest in ATC. We anticipate investing $60 million in ATC by the end of 2006. Our first investment is expected to occur in May 2006.</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ENVIRONMENTAL MATTERS. Our businesses are subject to regulation of environmental matters by various federal, state and local authorities. Due to future stricter environmental requirements through legislation and/or rulemaking, we anticipate that potential expenditures for environmental matters will be material and will require significant capital investments. We are unable to predict if and when any such stricter environmental requirements will be imposed and the impact they will have on the Company.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 from 1889 to 1904. The WDNR requested SWL&amp;P to initiate an environmental investigation. The WDNR also issued SWL&amp;P a Responsible Party letter in February 2002.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was to determine any impact to soil or ground water between the former MGP site and Superior Bay. Site work for this phase of the investigation was performed during October 2004, and the final report was sent to the WDNR in March 2005. Additional site investigation was performed during September and October 2005. The investigation will continue during the summer of 2006. It is anticipated that the final report for this portion of the investigation will be completed by the end of 2006.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The PSCW has approved SWL&amp;P's deferral of these MGP environmental investigation and potential clean-up costs for future recovery in rates, subject to a regulatory prudency review. In May 2005, the PSCW approved the collection through rates of $150,000 of site investigation costs that had been incurred at the time SWL&amp;P filed their most recent rate request.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34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19" w:name="page20"/>
    <w:bookmarkEnd w:id="19"/>
    <w:p>
      <w:pPr>
        <w:spacing w:after="0"/>
        <w:tabs>
          <w:tab w:leader="none" w:pos="840" w:val="left"/>
        </w:tabs>
        <w:rPr>
          <w:sz w:val="20"/>
          <w:szCs w:val="20"/>
          <w:color w:val="auto"/>
        </w:rPr>
      </w:pPr>
      <w:r>
        <w:rPr>
          <w:rFonts w:ascii="Courier New" w:cs="Courier New" w:eastAsia="Courier New" w:hAnsi="Courier New"/>
          <w:sz w:val="14"/>
          <w:szCs w:val="14"/>
          <w:color w:val="auto"/>
        </w:rPr>
        <w:t>NOTE 11.</w:t>
        <w:tab/>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SQUARE BUTTE GENERATING FACILITY. On April 24, 2006, Minnkota Power announced it has reached a settlement agreement with the EPA and the State of North Dakota regarding emissions at the M.R. Young Station, which includes the Square Butte generating unit. In June 2002, Minnkota Power, the operator of Square Butte, received a Notice of Violation from the EPA regarding alleged New Source Review violations at the M.R. Young Station. The EPA claimed certain capital projects completed by Minnkota Power should have been reviewed pursuant to the New Source Review regulations, potentially resulting in new air permit operating conditions and possible significant capital expenditures to comply. As a result of the settlement agreement, the current Square Butte flue gas desulfurization system (FGD) will be upgraded in 2010 to increase its removal efficiency from 70 percent to 90 percent. Capital expenditures for the emission control additions and modifications on Square Butte are estimated at $35 million. These estimated capital expenditures may be significantly offset by the sale of surplus SO2 allowance credits created with the early upgrade of the FGD system, which is being upgraded two years earlier than required by Federal rules. We expect such capital expenditures to be debt financed. Our future cost of purchased power would include our pro rata share of this additional debt service. On April 24, 2006, a Complaint and a Consent Decree with respect to this settlement agreement were filed in U.S. District Court for the District of North Dakota (Court). The Consent Decree is open to public comment for 30 days after which, if entered as an order by the Court, will constitute a final settlement of this issue. If finalized, the Consent Decree settlement would also require Square Butte to pay approximately $0.6 million in administrative costs and penalties in 2006, and $3.3 million toward additional environmental projects including wind power installations or power purchase agreements.</w:t>
      </w:r>
    </w:p>
    <w:p>
      <w:pPr>
        <w:spacing w:after="0" w:line="17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EPA CLEAN AIR INTERSTATE RULE AND CLEAN AIR MERCURY RULE. In March 2005, the EPA announced the final Clean Air Interstate Rule (CAIR) that reduces and permanently caps emissions of SO2 and NOX in many states in the eastern United States. The CAIR includes Minnesota as one of the 28 states it considers an "eastern" state. The EPA also announced the final Clean Air Mercury Rule (CAMR) that reduces and permanently caps electric utility mercury emissions in the continental United States. The CAIR and the CAMR regulations have been challenged in the court system, which may delay implementation or modify provisions. Minnesota Power is participating in a legal challenge to the CAIR, but is not participating in the challenge of the CAMR. However, if the CAMR and the CAIR do go into effect, Minnesota Power expects to be required to (1) make emissions reductions, (2) purchase mercury, SO2 and NOX allowances through the EPA's cap-and-trade system, or (3) use a combination of both.</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that the CAIR contains flaws in its methodology and application, which will cause Minnesota Power to incur higher compliance costs. Consequently, on July 11, 2005, Minnesota Power filed a Petition for Review with the U.S. Court of Appeals for the District of Columbia Circuit (Court of Appeals). On November 22, 2005, the EPA agreed to reconsider certain aspects of the CAIR, including the Minnesota Power petition addressing modeling used to determine Minnesota's inclusion in the CAIR region and claims about inequities in the SO2 allowance methodology. On March 16, 2006, the EPA denied all petitions for reconsideration with respect to the CAIR. However, if Minnesota Power's Petition for Review with the Court of Appeals is successful, we expect to incur lower compliance costs, consistent with the rules applicable to those states considered as "western" states under the CAIR. Resolution of the CAIR Petition for Review with the Court of Appeals is anticipated by mid-2007.</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COMMUNITY DEVELOPMENT DISTRICT OBLIGATIONS. In March 2005, the Town Center at Palm Coast Community Development District (Town Center District) issued $26.4 million of tax-exempt, 6% Capital Improvement Revenue Bonds, Series 2005, due May 1, 2036. The bonds were issued to fund a portion of the Town Center development project. Approximately $21 million of the bond proceeds will be used for construction of infrastructure improvements at Town Center, with the remaining funds to be used for capitalized interest, a debt service reserve fund and costs of issuance.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will be included in the annual property tax bills of landowners beginning in November 2006. To the extent that we still own land at the time of the assessment, in accordance with EITF 91-10, we will recognize an expense for our pro rata portion of assessments, based upon our ownership of benefited property. At March 31, 2006, we owned approximately 91 percent of the assessable land in the Town Center District.</w:t>
      </w:r>
    </w:p>
    <w:p>
      <w:pPr>
        <w:spacing w:after="0" w:line="339"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ectPr>
          <w:pgSz w:w="11900" w:h="16838" w:orient="portrait"/>
          <w:cols w:equalWidth="0" w:num="1">
            <w:col w:w="10239"/>
          </w:cols>
          <w:pgMar w:left="220" w:top="61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NOTE 11. COMMITMENTS, GUARANTEES AND CONTINGENCIES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nor have a material adverse effect on our financial condition.</w:t>
      </w:r>
    </w:p>
    <w:p>
      <w:pPr>
        <w:spacing w:after="0" w:line="200" w:lineRule="exact"/>
        <w:rPr>
          <w:sz w:val="20"/>
          <w:szCs w:val="20"/>
          <w:color w:val="auto"/>
        </w:rPr>
      </w:pPr>
    </w:p>
    <w:p>
      <w:pPr>
        <w:spacing w:after="0" w:line="29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MANAGEMENT'S DISCUSSION AND ANALYSIS OF FINANCIAL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10-Q under the headings: "Safe Harbor Statement Under the Private Securities Litigation Reform Act of 1995" located on page 3 and "Risk Factors" located in Part I, Item 1A of our 2005 Form 10-K and Part II, Item 1A of this Form 10-Q. The risks and uncertainties described in this Form 10-Q and our 2005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ALLETE's operations focus on two core businesses--ENERGY and REAL ESTATE. In addition, we have other operations that provide earnings to the Company.</w:t>
      </w:r>
    </w:p>
    <w:p>
      <w:pPr>
        <w:spacing w:after="0" w:line="16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ENERGY is comprised of Regulated Utility, Nonregulated Energy Operations and, beginning in the second quarter of 2006, Investment in ATC segments.</w:t>
      </w:r>
    </w:p>
    <w:p>
      <w:pPr>
        <w:spacing w:after="0" w:line="160" w:lineRule="exact"/>
        <w:rPr>
          <w:sz w:val="20"/>
          <w:szCs w:val="20"/>
          <w:color w:val="auto"/>
        </w:rPr>
      </w:pPr>
    </w:p>
    <w:p>
      <w:pPr>
        <w:jc w:val="both"/>
        <w:ind w:left="700" w:right="3339" w:hanging="261"/>
        <w:spacing w:after="0" w:line="252" w:lineRule="auto"/>
        <w:tabs>
          <w:tab w:leader="none" w:pos="7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UTILITY includes retail and wholesale rate regulated electric, water and gas services in northeastern Minnesota and northwestern Wisconsin under the jurisdiction of state and federal regulatory authorities.</w:t>
      </w:r>
    </w:p>
    <w:p>
      <w:pPr>
        <w:spacing w:after="0" w:line="162" w:lineRule="exact"/>
        <w:rPr>
          <w:rFonts w:ascii="Courier New" w:cs="Courier New" w:eastAsia="Courier New" w:hAnsi="Courier New"/>
          <w:sz w:val="14"/>
          <w:szCs w:val="14"/>
          <w:color w:val="auto"/>
        </w:rPr>
      </w:pPr>
    </w:p>
    <w:p>
      <w:pPr>
        <w:jc w:val="both"/>
        <w:ind w:left="700" w:right="3339" w:hanging="261"/>
        <w:spacing w:after="0" w:line="252" w:lineRule="auto"/>
        <w:tabs>
          <w:tab w:leader="none" w:pos="7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NONREGULATED ENERGY OPERATIONS includes our coal mining activities in North Dakota, under 50 MW of nonregulated generation and Minnesota land sales.</w:t>
      </w:r>
    </w:p>
    <w:p>
      <w:pPr>
        <w:spacing w:after="0" w:line="162" w:lineRule="exact"/>
        <w:rPr>
          <w:rFonts w:ascii="Courier New" w:cs="Courier New" w:eastAsia="Courier New" w:hAnsi="Courier New"/>
          <w:sz w:val="14"/>
          <w:szCs w:val="14"/>
          <w:color w:val="auto"/>
        </w:rPr>
      </w:pPr>
    </w:p>
    <w:p>
      <w:pPr>
        <w:jc w:val="both"/>
        <w:ind w:left="70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2005, Nonregulated Energy Operations also included nonregulated generation (non-rate base generation sold at market-based rates to the wholesale market) from our Taconite Harbor facility in northern Minnesota, and generation secured through the Kendall County power purchase agreement. Effective January 1, 2006, Taconite Harbor was integrated into our Regulated Utility business to help meet forecasted base load energy requirements. In April 2005, the Kendall County power purchase agreement was assigned to Constellation Energy Commodities.</w:t>
      </w:r>
    </w:p>
    <w:p>
      <w:pPr>
        <w:spacing w:after="0" w:line="163" w:lineRule="exact"/>
        <w:rPr>
          <w:rFonts w:ascii="Courier New" w:cs="Courier New" w:eastAsia="Courier New" w:hAnsi="Courier New"/>
          <w:sz w:val="14"/>
          <w:szCs w:val="14"/>
          <w:color w:val="auto"/>
        </w:rPr>
      </w:pPr>
    </w:p>
    <w:p>
      <w:pPr>
        <w:jc w:val="both"/>
        <w:ind w:left="700" w:right="3339" w:hanging="261"/>
        <w:spacing w:after="0" w:line="252" w:lineRule="auto"/>
        <w:tabs>
          <w:tab w:leader="none" w:pos="7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ATC will include our ownership interest in ATC. In December 2005, we entered into an agreement that provides for us to invest $60 million in ATC by the end of 2006. Our first investment is expected to occur in May 2006.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includes our Florida real estate operations.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OTHER includes our investments in emerging technologies, and earnings on cash, cash equivalents and short-term investments.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Financial results by segment for the periods presented and discussed in this Form 10-Q were impacted by the integration of our Taconite Harbor facility into the Regulated Utility segment effective January 1, 2006. The redirection of Taconite Harbor from our Nonregulated Energy Operations segment to our Regulated Utility segment was in accordance with the Company's Integrated Resource Plan (Resource Plan), as approved by the MPUC. Under the terms of our Resource Plan, we have operated the Taconite</w:t>
      </w:r>
    </w:p>
    <w:p>
      <w:pPr>
        <w:spacing w:after="0" w:line="164"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Harbor facility as a rate-based asset within the Minnesota retail jurisdiction effective January 1, 2006. Prior to January 1, 2006, we operated our Taconite Harbor facility as nonregulated generation. Historical financial results of Taconite Harbor for periods prior to the redirection are included in our Nonregulated Energy Operations segment.</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Reported net income for the quarter ended March 31, 2006, was $18.8 million, or $0.68 per diluted share ($17.4 million, or $0.64 per diluted share, for the quarter ended March 31, 2005). In 2006, net income was higher due to the absence of Kendall County operating losses ($1.9 million in 2005) and emerging technology impairments ($3.3 million in 2005). These factors were mostly offset by higher operating expense and a $1.9 million decrease in income from Real Estate, primarily due to the timing and mix of real estate sold. Although warm temperatures in early 2006 reduced energy sales to our residential, commercial and municipal customers, sales to our large power customers remained strong. Minnesota Power's taconite mining customers continue to operate at historically high output levels. In total, kilowatthour sales in 2006 were similar to 2005 sales.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4740"/>
        <w:spacing w:after="0"/>
        <w:tabs>
          <w:tab w:leader="none" w:pos="636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$147.6</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660"/>
        <w:spacing w:after="0"/>
        <w:tabs>
          <w:tab w:leader="none" w:pos="6280" w:val="left"/>
        </w:tabs>
        <w:rPr>
          <w:sz w:val="20"/>
          <w:szCs w:val="20"/>
          <w:color w:val="auto"/>
        </w:rPr>
      </w:pPr>
      <w:r>
        <w:rPr>
          <w:rFonts w:ascii="Courier New" w:cs="Courier New" w:eastAsia="Courier New" w:hAnsi="Courier New"/>
          <w:sz w:val="14"/>
          <w:szCs w:val="14"/>
          <w:color w:val="auto"/>
        </w:rPr>
        <w:t>$192.5</w:t>
      </w:r>
      <w:r>
        <w:rPr>
          <w:sz w:val="20"/>
          <w:szCs w:val="20"/>
          <w:color w:val="auto"/>
        </w:rPr>
        <w:tab/>
      </w:r>
      <w:r>
        <w:rPr>
          <w:rFonts w:ascii="Courier New" w:cs="Courier New" w:eastAsia="Courier New" w:hAnsi="Courier New"/>
          <w:sz w:val="14"/>
          <w:szCs w:val="14"/>
          <w:color w:val="auto"/>
        </w:rPr>
        <w:t>$193.3</w:t>
      </w:r>
    </w:p>
    <w:p>
      <w:pPr>
        <w:spacing w:after="0" w:line="7"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$122.4</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660"/>
        <w:spacing w:after="0"/>
        <w:tabs>
          <w:tab w:leader="none" w:pos="6280" w:val="left"/>
        </w:tabs>
        <w:rPr>
          <w:sz w:val="20"/>
          <w:szCs w:val="20"/>
          <w:color w:val="auto"/>
        </w:rPr>
      </w:pPr>
      <w:r>
        <w:rPr>
          <w:rFonts w:ascii="Courier New" w:cs="Courier New" w:eastAsia="Courier New" w:hAnsi="Courier New"/>
          <w:sz w:val="14"/>
          <w:szCs w:val="14"/>
          <w:color w:val="auto"/>
        </w:rPr>
        <w:t>$156.1</w:t>
      </w:r>
      <w:r>
        <w:rPr>
          <w:sz w:val="20"/>
          <w:szCs w:val="20"/>
          <w:color w:val="auto"/>
        </w:rPr>
        <w:tab/>
      </w:r>
      <w:r>
        <w:rPr>
          <w:rFonts w:ascii="Courier New" w:cs="Courier New" w:eastAsia="Courier New" w:hAnsi="Courier New"/>
          <w:sz w:val="14"/>
          <w:szCs w:val="14"/>
          <w:color w:val="auto"/>
        </w:rPr>
        <w:t>$152.2</w:t>
      </w: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840"/>
        <w:spacing w:after="0"/>
        <w:tabs>
          <w:tab w:leader="none" w:pos="644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$ 0.2</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840"/>
        <w:spacing w:after="0"/>
        <w:tabs>
          <w:tab w:leader="none" w:pos="636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440" w:right="3419"/>
        <w:spacing w:after="0" w:line="250" w:lineRule="auto"/>
        <w:rPr>
          <w:sz w:val="20"/>
          <w:szCs w:val="20"/>
          <w:color w:val="auto"/>
        </w:rPr>
      </w:pPr>
      <w:r>
        <w:rPr>
          <w:rFonts w:ascii="Courier New" w:cs="Courier New" w:eastAsia="Courier New" w:hAnsi="Courier New"/>
          <w:sz w:val="14"/>
          <w:szCs w:val="14"/>
          <w:color w:val="auto"/>
        </w:rPr>
        <w:t>Income from Continuing Operations 18.8 17.4 Income from Discontinued Operations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4720" w:val="left"/>
          <w:tab w:leader="none" w:pos="636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$18.8</w:t>
      </w:r>
      <w:r>
        <w:rPr>
          <w:sz w:val="20"/>
          <w:szCs w:val="20"/>
          <w:color w:val="auto"/>
        </w:rPr>
        <w:tab/>
      </w:r>
      <w:r>
        <w:rPr>
          <w:rFonts w:ascii="Courier New" w:cs="Courier New" w:eastAsia="Courier New" w:hAnsi="Courier New"/>
          <w:sz w:val="14"/>
          <w:szCs w:val="14"/>
          <w:color w:val="auto"/>
        </w:rPr>
        <w:t>$17.4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6440" w:val="left"/>
        </w:tabs>
        <w:rPr>
          <w:sz w:val="20"/>
          <w:szCs w:val="20"/>
          <w:color w:val="auto"/>
        </w:rPr>
      </w:pPr>
      <w:r>
        <w:rPr>
          <w:rFonts w:ascii="Courier New" w:cs="Courier New" w:eastAsia="Courier New" w:hAnsi="Courier New"/>
          <w:sz w:val="14"/>
          <w:szCs w:val="14"/>
          <w:color w:val="auto"/>
        </w:rPr>
        <w:t>Diluted Average Shares of Common Stock</w:t>
      </w:r>
      <w:r>
        <w:rPr>
          <w:sz w:val="20"/>
          <w:szCs w:val="20"/>
          <w:color w:val="auto"/>
        </w:rPr>
        <w:tab/>
      </w:r>
      <w:r>
        <w:rPr>
          <w:rFonts w:ascii="Courier New" w:cs="Courier New" w:eastAsia="Courier New" w:hAnsi="Courier New"/>
          <w:sz w:val="14"/>
          <w:szCs w:val="14"/>
          <w:color w:val="auto"/>
        </w:rPr>
        <w:t>27.7</w:t>
      </w:r>
      <w:r>
        <w:rPr>
          <w:sz w:val="20"/>
          <w:szCs w:val="20"/>
          <w:color w:val="auto"/>
        </w:rPr>
        <w:tab/>
      </w:r>
      <w:r>
        <w:rPr>
          <w:rFonts w:ascii="Courier New" w:cs="Courier New" w:eastAsia="Courier New" w:hAnsi="Courier New"/>
          <w:sz w:val="14"/>
          <w:szCs w:val="14"/>
          <w:color w:val="auto"/>
        </w:rPr>
        <w:t>27.4</w:t>
      </w:r>
    </w:p>
    <w:p>
      <w:pPr>
        <w:spacing w:after="0" w:line="7"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Per Share of Common Stock</w:t>
      </w:r>
    </w:p>
    <w:p>
      <w:pPr>
        <w:spacing w:after="0" w:line="7" w:lineRule="exact"/>
        <w:rPr>
          <w:sz w:val="20"/>
          <w:szCs w:val="20"/>
          <w:color w:val="auto"/>
        </w:rPr>
      </w:pPr>
    </w:p>
    <w:p>
      <w:pPr>
        <w:jc w:val="both"/>
        <w:ind w:left="440" w:right="3419"/>
        <w:spacing w:after="0" w:line="247" w:lineRule="auto"/>
        <w:rPr>
          <w:sz w:val="20"/>
          <w:szCs w:val="20"/>
          <w:color w:val="auto"/>
        </w:rPr>
      </w:pPr>
      <w:r>
        <w:rPr>
          <w:rFonts w:ascii="Courier New" w:cs="Courier New" w:eastAsia="Courier New" w:hAnsi="Courier New"/>
          <w:sz w:val="14"/>
          <w:szCs w:val="14"/>
          <w:color w:val="auto"/>
        </w:rPr>
        <w:t>Continuing Operations $0.68 $0.64 Discontinued Operations - -</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740"/>
        <w:spacing w:after="0"/>
        <w:tabs>
          <w:tab w:leader="none" w:pos="6360" w:val="left"/>
        </w:tabs>
        <w:rPr>
          <w:sz w:val="20"/>
          <w:szCs w:val="20"/>
          <w:color w:val="auto"/>
        </w:rPr>
      </w:pPr>
      <w:r>
        <w:rPr>
          <w:rFonts w:ascii="Courier New" w:cs="Courier New" w:eastAsia="Courier New" w:hAnsi="Courier New"/>
          <w:sz w:val="14"/>
          <w:szCs w:val="14"/>
          <w:color w:val="auto"/>
        </w:rPr>
        <w:t>$0.68</w:t>
      </w:r>
      <w:r>
        <w:rPr>
          <w:sz w:val="20"/>
          <w:szCs w:val="20"/>
          <w:color w:val="auto"/>
        </w:rPr>
        <w:tab/>
      </w:r>
      <w:r>
        <w:rPr>
          <w:rFonts w:ascii="Courier New" w:cs="Courier New" w:eastAsia="Courier New" w:hAnsi="Courier New"/>
          <w:sz w:val="14"/>
          <w:szCs w:val="14"/>
          <w:color w:val="auto"/>
        </w:rPr>
        <w:t>$0.64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ALLETE First Quarter 2006 Form 10-Q</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2">
            <w:col w:w="6000" w:space="720"/>
            <w:col w:w="3519"/>
          </w:cols>
          <w:pgMar w:left="220" w:top="616"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200" w:lineRule="exact"/>
        <w:rPr>
          <w:sz w:val="20"/>
          <w:szCs w:val="20"/>
          <w:color w:val="auto"/>
        </w:rPr>
      </w:pPr>
    </w:p>
    <w:p>
      <w:pPr>
        <w:spacing w:after="0" w:line="304" w:lineRule="exact"/>
        <w:rPr>
          <w:sz w:val="20"/>
          <w:szCs w:val="20"/>
          <w:color w:val="auto"/>
        </w:rPr>
      </w:pPr>
    </w:p>
    <w:p>
      <w:pPr>
        <w:ind w:left="966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992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48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4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5340" w:type="dxa"/>
            <w:vAlign w:val="bottom"/>
          </w:tcPr>
          <w:p>
            <w:pPr>
              <w:ind w:left="340"/>
              <w:spacing w:after="0"/>
              <w:rPr>
                <w:sz w:val="20"/>
                <w:szCs w:val="20"/>
                <w:color w:val="auto"/>
              </w:rPr>
            </w:pPr>
            <w:r>
              <w:rPr>
                <w:rFonts w:ascii="Courier New" w:cs="Courier New" w:eastAsia="Courier New" w:hAnsi="Courier New"/>
                <w:sz w:val="14"/>
                <w:szCs w:val="14"/>
                <w:color w:val="auto"/>
              </w:rPr>
              <w:t>Retail and Municipals</w:t>
            </w:r>
          </w:p>
        </w:tc>
        <w:tc>
          <w:tcPr>
            <w:tcW w:w="4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5340" w:type="dxa"/>
            <w:vAlign w:val="bottom"/>
          </w:tcPr>
          <w:p>
            <w:pPr>
              <w:ind w:left="780"/>
              <w:spacing w:after="0"/>
              <w:rPr>
                <w:sz w:val="20"/>
                <w:szCs w:val="20"/>
                <w:color w:val="auto"/>
              </w:rPr>
            </w:pPr>
            <w:r>
              <w:rPr>
                <w:rFonts w:ascii="Courier New" w:cs="Courier New" w:eastAsia="Courier New" w:hAnsi="Courier New"/>
                <w:sz w:val="14"/>
                <w:szCs w:val="14"/>
                <w:color w:val="auto"/>
              </w:rPr>
              <w:t>Residential</w:t>
            </w:r>
          </w:p>
        </w:tc>
        <w:tc>
          <w:tcPr>
            <w:tcW w:w="4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308.0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319.8</w:t>
            </w:r>
          </w:p>
        </w:tc>
      </w:tr>
      <w:tr>
        <w:trPr>
          <w:trHeight w:val="166"/>
        </w:trPr>
        <w:tc>
          <w:tcPr>
            <w:tcW w:w="5340" w:type="dxa"/>
            <w:vAlign w:val="bottom"/>
          </w:tcPr>
          <w:p>
            <w:pPr>
              <w:ind w:left="780"/>
              <w:spacing w:after="0"/>
              <w:rPr>
                <w:sz w:val="20"/>
                <w:szCs w:val="20"/>
                <w:color w:val="auto"/>
              </w:rPr>
            </w:pPr>
            <w:r>
              <w:rPr>
                <w:rFonts w:ascii="Courier New" w:cs="Courier New" w:eastAsia="Courier New" w:hAnsi="Courier New"/>
                <w:sz w:val="14"/>
                <w:szCs w:val="14"/>
                <w:color w:val="auto"/>
              </w:rPr>
              <w:t>Commercial</w:t>
            </w:r>
          </w:p>
        </w:tc>
        <w:tc>
          <w:tcPr>
            <w:tcW w:w="4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328.7</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339.8</w:t>
            </w:r>
          </w:p>
        </w:tc>
      </w:tr>
      <w:tr>
        <w:trPr>
          <w:trHeight w:val="166"/>
        </w:trPr>
        <w:tc>
          <w:tcPr>
            <w:tcW w:w="5340" w:type="dxa"/>
            <w:vAlign w:val="bottom"/>
          </w:tcPr>
          <w:p>
            <w:pPr>
              <w:ind w:left="780"/>
              <w:spacing w:after="0"/>
              <w:rPr>
                <w:sz w:val="20"/>
                <w:szCs w:val="20"/>
                <w:color w:val="auto"/>
              </w:rPr>
            </w:pPr>
            <w:r>
              <w:rPr>
                <w:rFonts w:ascii="Courier New" w:cs="Courier New" w:eastAsia="Courier New" w:hAnsi="Courier New"/>
                <w:sz w:val="14"/>
                <w:szCs w:val="14"/>
                <w:color w:val="auto"/>
              </w:rPr>
              <w:t>Industrial</w:t>
            </w:r>
          </w:p>
        </w:tc>
        <w:tc>
          <w:tcPr>
            <w:tcW w:w="4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1,822.3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1,777.1</w:t>
            </w:r>
          </w:p>
        </w:tc>
      </w:tr>
      <w:tr>
        <w:trPr>
          <w:trHeight w:val="166"/>
        </w:trPr>
        <w:tc>
          <w:tcPr>
            <w:tcW w:w="5340" w:type="dxa"/>
            <w:vAlign w:val="bottom"/>
          </w:tcPr>
          <w:p>
            <w:pPr>
              <w:ind w:left="780"/>
              <w:spacing w:after="0"/>
              <w:rPr>
                <w:sz w:val="20"/>
                <w:szCs w:val="20"/>
                <w:color w:val="auto"/>
              </w:rPr>
            </w:pPr>
            <w:r>
              <w:rPr>
                <w:rFonts w:ascii="Courier New" w:cs="Courier New" w:eastAsia="Courier New" w:hAnsi="Courier New"/>
                <w:sz w:val="14"/>
                <w:szCs w:val="14"/>
                <w:color w:val="auto"/>
              </w:rPr>
              <w:t>Municipals</w:t>
            </w:r>
          </w:p>
        </w:tc>
        <w:tc>
          <w:tcPr>
            <w:tcW w:w="4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219.3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222.0</w:t>
            </w:r>
          </w:p>
        </w:tc>
      </w:tr>
      <w:tr>
        <w:trPr>
          <w:trHeight w:val="166"/>
        </w:trPr>
        <w:tc>
          <w:tcPr>
            <w:tcW w:w="534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4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2,698.3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2,679.1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4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505.1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236.7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3,203.4</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2,915.8</w:t>
            </w:r>
          </w:p>
        </w:tc>
      </w:tr>
      <w:tr>
        <w:trPr>
          <w:trHeight w:val="166"/>
        </w:trPr>
        <w:tc>
          <w:tcPr>
            <w:tcW w:w="140" w:type="dxa"/>
            <w:vAlign w:val="bottom"/>
          </w:tcPr>
          <w:p>
            <w:pPr>
              <w:spacing w:after="0"/>
              <w:rPr>
                <w:sz w:val="14"/>
                <w:szCs w:val="14"/>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4"/>
                <w:szCs w:val="14"/>
                <w:color w:val="auto"/>
              </w:rPr>
              <w:t>Nonregulated Energy Operations</w:t>
            </w:r>
          </w:p>
        </w:tc>
        <w:tc>
          <w:tcPr>
            <w:tcW w:w="4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65.6</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353.9</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3,269.0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3,269.7</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36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862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spacing w:after="0"/>
        <w:tabs>
          <w:tab w:leader="none" w:pos="7300" w:val="left"/>
          <w:tab w:leader="none" w:pos="10320" w:val="left"/>
        </w:tabs>
        <w:rPr>
          <w:sz w:val="20"/>
          <w:szCs w:val="20"/>
          <w:color w:val="auto"/>
        </w:rPr>
      </w:pPr>
      <w:r>
        <w:rPr>
          <w:rFonts w:ascii="Courier New" w:cs="Courier New" w:eastAsia="Courier New" w:hAnsi="Courier New"/>
          <w:sz w:val="14"/>
          <w:szCs w:val="14"/>
          <w:color w:val="auto"/>
        </w:rPr>
        <w:t>REAL ESTATE</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tabs>
          <w:tab w:leader="none" w:pos="6540" w:val="left"/>
          <w:tab w:leader="none" w:pos="7740" w:val="left"/>
          <w:tab w:leader="none" w:pos="9540" w:val="left"/>
          <w:tab w:leader="none" w:pos="10760" w:val="left"/>
        </w:tabs>
        <w:rPr>
          <w:sz w:val="20"/>
          <w:szCs w:val="20"/>
          <w:color w:val="auto"/>
        </w:rPr>
      </w:pPr>
      <w:r>
        <w:rPr>
          <w:rFonts w:ascii="Courier New" w:cs="Courier New" w:eastAsia="Courier New" w:hAnsi="Courier New"/>
          <w:sz w:val="14"/>
          <w:szCs w:val="14"/>
          <w:color w:val="auto"/>
        </w:rPr>
        <w:t>REVENUE AND SALES ACTIVITY</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Town Center Sales</w:t>
            </w:r>
          </w:p>
        </w:tc>
        <w:tc>
          <w:tcPr>
            <w:tcW w:w="3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Commercial Sq. Ft.</w:t>
            </w:r>
          </w:p>
        </w:tc>
        <w:tc>
          <w:tcPr>
            <w:tcW w:w="3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80,000</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$ 1.5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Other Land Sales</w:t>
            </w:r>
          </w:p>
        </w:tc>
        <w:tc>
          <w:tcPr>
            <w:tcW w:w="3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Acres</w:t>
            </w:r>
          </w:p>
        </w:tc>
        <w:tc>
          <w:tcPr>
            <w:tcW w:w="3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Lots</w:t>
            </w:r>
          </w:p>
        </w:tc>
        <w:tc>
          <w:tcPr>
            <w:tcW w:w="3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Contract Sales Price</w:t>
            </w:r>
          </w:p>
        </w:tc>
        <w:tc>
          <w:tcPr>
            <w:tcW w:w="3540" w:type="dxa"/>
            <w:vAlign w:val="bottom"/>
          </w:tcPr>
          <w:p>
            <w:pPr>
              <w:ind w:left="1640"/>
              <w:spacing w:after="0"/>
              <w:rPr>
                <w:sz w:val="20"/>
                <w:szCs w:val="20"/>
                <w:color w:val="auto"/>
              </w:rPr>
            </w:pPr>
            <w:r>
              <w:rPr>
                <w:rFonts w:ascii="Courier New" w:cs="Courier New" w:eastAsia="Courier New" w:hAnsi="Courier New"/>
                <w:sz w:val="14"/>
                <w:szCs w:val="14"/>
                <w:color w:val="auto"/>
              </w:rPr>
              <w:t>11.8</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Revenue Recognized from Previously Deferred Sales</w:t>
            </w:r>
          </w:p>
        </w:tc>
        <w:tc>
          <w:tcPr>
            <w:tcW w:w="35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1.5</w:t>
            </w:r>
          </w:p>
        </w:tc>
        <w:tc>
          <w:tcPr>
            <w:tcW w:w="1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35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(0.7)</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3540" w:type="dxa"/>
            <w:vAlign w:val="bottom"/>
          </w:tcPr>
          <w:p>
            <w:pPr>
              <w:ind w:left="1640"/>
              <w:spacing w:after="0"/>
              <w:rPr>
                <w:sz w:val="20"/>
                <w:szCs w:val="20"/>
                <w:color w:val="auto"/>
              </w:rPr>
            </w:pPr>
            <w:r>
              <w:rPr>
                <w:rFonts w:ascii="Courier New" w:cs="Courier New" w:eastAsia="Courier New" w:hAnsi="Courier New"/>
                <w:sz w:val="14"/>
                <w:szCs w:val="14"/>
                <w:color w:val="auto"/>
              </w:rPr>
              <w:t>(0.1)</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Revenue from Land Sales</w:t>
            </w:r>
          </w:p>
        </w:tc>
        <w:tc>
          <w:tcPr>
            <w:tcW w:w="460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12.5</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460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1.2</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760"/>
        <w:spacing w:after="0"/>
        <w:tabs>
          <w:tab w:leader="none" w:pos="10760" w:val="left"/>
        </w:tabs>
        <w:rPr>
          <w:sz w:val="20"/>
          <w:szCs w:val="20"/>
          <w:color w:val="auto"/>
        </w:rPr>
      </w:pPr>
      <w:r>
        <w:rPr>
          <w:rFonts w:ascii="Courier New" w:cs="Courier New" w:eastAsia="Courier New" w:hAnsi="Courier New"/>
          <w:sz w:val="14"/>
          <w:szCs w:val="14"/>
          <w:color w:val="auto"/>
        </w:rPr>
        <w:t>$13.7</w:t>
      </w:r>
      <w:r>
        <w:rPr>
          <w:sz w:val="20"/>
          <w:szCs w:val="20"/>
          <w:color w:val="auto"/>
        </w:rPr>
        <w:tab/>
      </w:r>
      <w:r>
        <w:rPr>
          <w:rFonts w:ascii="Courier New" w:cs="Courier New" w:eastAsia="Courier New" w:hAnsi="Courier New"/>
          <w:sz w:val="14"/>
          <w:szCs w:val="14"/>
          <w:color w:val="auto"/>
        </w:rPr>
        <w:t>$17.7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Reflected total contract sales price on closed land transactions.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Contributed development dollars, which are credited to cost of real estate sold.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The following income discussion summarizes a comparison of the three months ended March 31, 2006, to the three months ended March 31, 2005, by segment.</w:t>
      </w:r>
    </w:p>
    <w:p>
      <w:pPr>
        <w:spacing w:after="0" w:line="160" w:lineRule="exact"/>
        <w:rPr>
          <w:sz w:val="20"/>
          <w:szCs w:val="20"/>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REGULATED UTILITY contributed income of $13.0 million in 2006 ($12.9 million in 2005). Income was higher in 2006 due to the inclusion of kilowatthour sales from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our</w:t>
            </w:r>
          </w:p>
        </w:tc>
        <w:tc>
          <w:tcPr>
            <w:tcW w:w="26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Taconite  Harbor  generating</w:t>
            </w:r>
          </w:p>
        </w:tc>
        <w:tc>
          <w:tcPr>
            <w:tcW w:w="38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assets,  effective  January  1,  2006.  While</w:t>
            </w:r>
          </w:p>
        </w:tc>
      </w:tr>
      <w:tr>
        <w:trPr>
          <w:trHeight w:val="166"/>
        </w:trPr>
        <w:tc>
          <w:tcPr>
            <w:tcW w:w="5860" w:type="dxa"/>
            <w:vAlign w:val="bottom"/>
            <w:gridSpan w:val="7"/>
          </w:tcPr>
          <w:p>
            <w:pPr>
              <w:spacing w:after="0"/>
              <w:rPr>
                <w:sz w:val="20"/>
                <w:szCs w:val="20"/>
                <w:color w:val="auto"/>
              </w:rPr>
            </w:pPr>
            <w:r>
              <w:rPr>
                <w:rFonts w:ascii="Courier New" w:cs="Courier New" w:eastAsia="Courier New" w:hAnsi="Courier New"/>
                <w:sz w:val="14"/>
                <w:szCs w:val="14"/>
                <w:color w:val="auto"/>
              </w:rPr>
              <w:t>kilowatthour sales to other power suppliers increased 113 percent,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the increase</w:t>
            </w: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was</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attributable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to the inclusion</w:t>
            </w: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of Taconite</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w w:val="98"/>
              </w:rPr>
              <w:t>Harbor.</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Absent Taconite Harbor,</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income from sales</w:t>
            </w:r>
          </w:p>
        </w:tc>
        <w:tc>
          <w:tcPr>
            <w:tcW w:w="2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other power suppliers</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reflected</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decreased sales and lower</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prices  in 2006.</w:t>
            </w:r>
          </w:p>
        </w:tc>
        <w:tc>
          <w:tcPr>
            <w:tcW w:w="2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3  percent  increase</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kilowatthour  sales to</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industrial</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customers due to continued  healthy</w:t>
            </w:r>
          </w:p>
        </w:tc>
        <w:tc>
          <w:tcPr>
            <w:tcW w:w="38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economic  conditions  in Minnesota  Power's</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service territory</w:t>
            </w:r>
          </w:p>
        </w:tc>
        <w:tc>
          <w:tcPr>
            <w:tcW w:w="538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and customers operating at historically high production levels</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was offset by a 3</w:t>
            </w:r>
          </w:p>
        </w:tc>
        <w:tc>
          <w:tcPr>
            <w:tcW w:w="538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percent  decrease in  residential,  commercial  and  municipal</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sales due to warm</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weather in 2006.</w:t>
            </w:r>
          </w:p>
        </w:tc>
        <w:tc>
          <w:tcPr>
            <w:tcW w:w="38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Higher operating expenses in 2006, mostly due</w:t>
            </w:r>
          </w:p>
        </w:tc>
      </w:tr>
      <w:tr>
        <w:trPr>
          <w:trHeight w:val="166"/>
        </w:trPr>
        <w:tc>
          <w:tcPr>
            <w:tcW w:w="6900" w:type="dxa"/>
            <w:vAlign w:val="bottom"/>
            <w:gridSpan w:val="8"/>
          </w:tcPr>
          <w:p>
            <w:pPr>
              <w:spacing w:after="0"/>
              <w:rPr>
                <w:sz w:val="20"/>
                <w:szCs w:val="20"/>
                <w:color w:val="auto"/>
              </w:rPr>
            </w:pPr>
            <w:r>
              <w:rPr>
                <w:rFonts w:ascii="Courier New" w:cs="Courier New" w:eastAsia="Courier New" w:hAnsi="Courier New"/>
                <w:sz w:val="14"/>
                <w:szCs w:val="14"/>
                <w:color w:val="auto"/>
              </w:rPr>
              <w:t>to the inclusion of expenses related to Taconite Harbor, reduced income.</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1160" w:type="dxa"/>
            <w:vAlign w:val="bottom"/>
          </w:tcPr>
          <w:p>
            <w:pPr>
              <w:spacing w:after="0"/>
              <w:rPr>
                <w:sz w:val="24"/>
                <w:szCs w:val="24"/>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4"/>
                <w:szCs w:val="14"/>
                <w:color w:val="auto"/>
              </w:rPr>
              <w:t>ALLETE First</w:t>
            </w:r>
          </w:p>
        </w:tc>
        <w:tc>
          <w:tcPr>
            <w:tcW w:w="2840" w:type="dxa"/>
            <w:vAlign w:val="bottom"/>
            <w:gridSpan w:val="4"/>
          </w:tcPr>
          <w:p>
            <w:pPr>
              <w:spacing w:after="0"/>
              <w:rPr>
                <w:sz w:val="20"/>
                <w:szCs w:val="20"/>
                <w:color w:val="auto"/>
              </w:rPr>
            </w:pPr>
            <w:r>
              <w:rPr>
                <w:rFonts w:ascii="Courier New" w:cs="Courier New" w:eastAsia="Courier New" w:hAnsi="Courier New"/>
                <w:sz w:val="14"/>
                <w:szCs w:val="14"/>
                <w:color w:val="auto"/>
              </w:rPr>
              <w:t>Quarter 2006 Form 10-Q</w:t>
            </w:r>
          </w:p>
        </w:tc>
        <w:tc>
          <w:tcPr>
            <w:tcW w:w="1040" w:type="dxa"/>
            <w:vAlign w:val="bottom"/>
          </w:tcPr>
          <w:p>
            <w:pPr>
              <w:spacing w:after="0"/>
              <w:rPr>
                <w:sz w:val="24"/>
                <w:szCs w:val="24"/>
                <w:color w:val="auto"/>
              </w:rPr>
            </w:pPr>
          </w:p>
        </w:tc>
      </w:tr>
    </w:tbl>
    <w:p>
      <w:pPr>
        <w:sectPr>
          <w:pgSz w:w="11900" w:h="16838" w:orient="portrait"/>
          <w:cols w:equalWidth="0" w:num="1">
            <w:col w:w="11540"/>
          </w:cols>
          <w:pgMar w:left="220" w:top="616" w:right="13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NET INCOME (CONTINUED)</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NONREGULATED ENERGY OPERATIONS reported income of $0.9 million in 2006 ($1.6 million in 2005), reflecting the absence of income from Taconite Harbor ($2.3 million in 2005) which is now reported as part of Regulated Utility and operating losses from Kendall County ($1.9 million in 2005). The Kendall County power purchase agreement was assigned to Constellation Energy Commodities in April 2005.</w:t>
      </w:r>
    </w:p>
    <w:p>
      <w:pPr>
        <w:spacing w:after="0" w:line="32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REAL ESTATE contributed income of $5.0 million in 2006 ($6.9 million in 2005). Income was lower in 2006 due to the timing and mix of land sale transaction closings. The timing of the closing of real estate sales varies from period to period and impacts comparisons between years.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2005, we began selling property from our Town Center development project in northeast Florida. Since land is being sold before completion of the project infrastructure, revenue and cost of real estate sold are recorded using the percentage-of-completion method. As of March 31, 2006, we had $7.8 million of deferred profit on sales of real estate, before taxes and minority interest, on our balance sheet, the majority of which relates to Town Center. We expect most of this deferred profit will be reflected in income by the end of 2006.</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 March 31, 2006, total pending land sales under contract were $85.3 million and are anticipated to close at various times through 2012. Pricing on these contracts range from $20 to $50 per commercial square foot, $15,000 to $40,000 per residential unit and $8,700 to $524,000 per acre for all other properties. The majority of the other properties under contract are zoned commercial or mixed use. Prices per acre are stated on a gross acreage basis and are dependent on the type and location of the properties sold. In addition to minimum base price contracts, certain contracts allow us to receive participation revenue to the extent that an agreed upon percentage of gross revenue from land sales by our purchaser exceeds the minimum base price.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7"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4"/>
          <w:szCs w:val="14"/>
          <w:color w:val="auto"/>
        </w:rPr>
        <w:t>PENDING CONTRACTS</w:t>
      </w:r>
      <w:r>
        <w:rPr>
          <w:sz w:val="20"/>
          <w:szCs w:val="20"/>
          <w:color w:val="auto"/>
        </w:rPr>
        <w:tab/>
      </w:r>
      <w:r>
        <w:rPr>
          <w:rFonts w:ascii="Courier New" w:cs="Courier New" w:eastAsia="Courier New" w:hAnsi="Courier New"/>
          <w:sz w:val="14"/>
          <w:szCs w:val="14"/>
          <w:color w:val="auto"/>
        </w:rPr>
        <w:t>CONTRACT</w:t>
      </w:r>
    </w:p>
    <w:p>
      <w:pPr>
        <w:spacing w:after="0" w:line="7" w:lineRule="exact"/>
        <w:rPr>
          <w:sz w:val="20"/>
          <w:szCs w:val="20"/>
          <w:color w:val="auto"/>
        </w:rPr>
      </w:pPr>
    </w:p>
    <w:p>
      <w:pPr>
        <w:spacing w:after="0"/>
        <w:tabs>
          <w:tab w:leader="none" w:pos="4300" w:val="left"/>
          <w:tab w:leader="none" w:pos="5840" w:val="left"/>
        </w:tabs>
        <w:rPr>
          <w:sz w:val="20"/>
          <w:szCs w:val="20"/>
          <w:color w:val="auto"/>
        </w:rPr>
      </w:pPr>
      <w:r>
        <w:rPr>
          <w:rFonts w:ascii="Courier New" w:cs="Courier New" w:eastAsia="Courier New" w:hAnsi="Courier New"/>
          <w:sz w:val="14"/>
          <w:szCs w:val="14"/>
          <w:color w:val="auto"/>
        </w:rPr>
        <w:t>AT MARCH 31, 2006</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SALES PRICE</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1,149,200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2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2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Acres</w:t>
            </w: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bl>
    <w:p>
      <w:pPr>
        <w:spacing w:after="0" w:line="4"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$85.3</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reflected a loss of $0.1 million in 2006 (a $4.0 million loss in 2005). In 2006, a $0.6 million increase in earnings on excess cash offset equity losses related to emerging technology investments ($0.5 million in 2006; $0.1 million in 2005). In 2005, the Company recorded $3.3 million of impairments related to two privately-held emerging technology investments.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DISCONTINUED OPERATIONS included our Water Services businesses that we sold over the three-year period 2003 to 2005, and our telecommunications business that we sold in December 2005. In 2005, $0.6 million of income from Enventis Telecom operations was offset by $0.6 million of administrative and other expenses incurred to support Florida Water transfer proceedings. (See Note 7.)</w:t>
      </w:r>
    </w:p>
    <w:p>
      <w:pPr>
        <w:spacing w:after="0" w:line="165"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239"/>
          </w:cols>
          <w:pgMar w:left="220" w:top="61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COMPARISON OF THE QUARTERS ENDED MARCH 31, 2006 AND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OPERATING REVENUE was up $14.8 million, or 10 percent, from 2005. Revenue and kilowatthour sales from other power suppliers were up $11.4 million and</w:t>
      </w:r>
    </w:p>
    <w:p>
      <w:pPr>
        <w:spacing w:after="0" w:line="1" w:lineRule="exact"/>
        <w:rPr>
          <w:sz w:val="20"/>
          <w:szCs w:val="20"/>
          <w:color w:val="auto"/>
        </w:rPr>
      </w:pPr>
    </w:p>
    <w:p>
      <w:pPr>
        <w:jc w:val="both"/>
        <w:ind w:left="440" w:right="3339" w:hanging="1"/>
        <w:spacing w:after="0" w:line="251" w:lineRule="auto"/>
        <w:tabs>
          <w:tab w:leader="none" w:pos="87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 respectively, from 2005, primarily due to the addition of Taconite Harbor sales to the Regulated Utility segment effective January 1, 2006. Absent Taconite Harbor, revenue from sales to other power suppliers reflected decreased sales and lower prices in 2006. Revenue from sales to retail and municipal customers was up $3.5 million, primarily due to higher fuel clause recoveries in 2006. (See operating expenses below.) Kilowatthour sales to industrial customers were up 3 percent due to continued strong economic conditions, offset by a 3 percent decrease in residential, commercial and municipal sales due to warm weather in January and a mild March in 2006. Gas revenue was up $0.4 million from 2005 reflecting new gas rates effective in May 2005, offset by decreased usage due to warmer weather in 2006.</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Revenue from electric sales to taconite customers accounted for 24 percent of consolidated operating revenue in 2006 (23 percent in 2005). Revenue from electric sales to paper and pulp mills accounted for 9 percent of consolidated operating revenue in 2006 (8 percent in 2005).</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EXPENSES were up $13.9 million, or 11 percent, from 2005.</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FUEL AND PURCHASED POWER EXPENSE. Fuel and purchased power expense was up $9.4 million from 2005, reflecting the inclusion of Taconite Harbor operations beginning in 2006 ($5.3 million) and increased expenses related to other Company generating facilities ($2.8 million). In addition, expenses related to outages at Boswell Unit 4 and Square Butte in late 2005 were recognized in the first quarter of 2006 due to the timing of recovery through the fuel clause. Additional purchased power expense incurred while Boswell Unit 3 was down for maintenance following a cooling tower failure in February and March 2005 was not recognized until second quarter 2005.</w:t>
      </w:r>
    </w:p>
    <w:p>
      <w:pPr>
        <w:spacing w:after="0" w:line="164"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OTHER OPERATING EXPENSES. In total, other operating expenses were up $4.5 million from 2005. Employee compensation was up $1.9 million primarily due to the inclusion of Taconite Harbor, annual wage increases and the inclusion of union employees in our results sharing compensation awards program. Depreciation expense increased $1.3 million primarily due to capitalized projects completed in 2005. Vegetation management was up $0.9 million reflecting more performed in 2006. Pension expense increased $0.6 million due to a reduction in the discount rate. Purchased gas costs were up $0.3 million due to higher prices in 2006. In total, plant maintenance expense decreased $0.4 million from 2005. The decrease reflected a $2.8 million reduction in expenses at Boswell Unit 3 partially offset by the inclusion of Taconite Harbor maintenance in 2006 ($1.5 million) and increased maintenance expense at other Company generating facilities. In 2005, planned maintenance was performed at Boswell Unit 3 while the unit was down due to a cooling tower failure.</w:t>
      </w:r>
    </w:p>
    <w:p>
      <w:pPr>
        <w:spacing w:after="0" w:line="172"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up $0.8 million, or 19 percent, from 2005, due to the inclusion of Taconite Harbor in 2006.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$11.6 million, or 42 percent, from 2005 due to the absence of revenue from Taconite Harbor ($11.4 million in 2005) and Kendall County ($3.1 million in 2005). Effective January 1, 2006, Taconite Harbor is reported as part of Regulated Utility. Kendall County operations ceased April 1, 2005, when the Company assigned the power purchase agreement to Constellation Energy Commodities. Revenue from other nonregulated generation was up $0.8 million from 2005 primarily due to recovery of higher purchased gas costs. Coal revenue, realized under a cost-plus contract, was up $0.5 million from 2005 reflecting a 10 percent increase in the delivery price per ton due to higher coal production expenses. (See operating expenses below.)</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$9.5 million, or 38 percent, from 2005. The decrease was due to the absence of expenses related to Taconite Harbor ($5.8 million in 2005) and Kendall County ($6.3 million in 2005). Expenses for other nonregulated generation were up $0.6 million due to higher prices for purchased gas in 2006. Expenses related to coal operations were up $0.3 million, mainly due to increased lease expenses in 2006.</w:t>
      </w:r>
    </w:p>
    <w:p>
      <w:pPr>
        <w:spacing w:after="0" w:line="164"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down $0.8 million, or 62 percent, from 2005 due to the absence of Taconite Harbor in 2006.</w:t>
      </w:r>
    </w:p>
    <w:p>
      <w:pPr>
        <w:spacing w:after="0" w:line="16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COMPARISON OF THE QUARTERS ENDED MARCH 31, 2006 AND 2005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$4.0 million, or 23 percent, from 2005, due to the timing and mix of land sale transaction closings. Revenue from land sales was $12.5 million in 2006 which included $1.5 million of previously deferred revenue. In 2005, revenue from land sales was $17.0 million. In 2006, 456 acres of other land were sold (483 acres and 7 lots in 2005). Sales at Town Center represented the rights to build up to 80,000 square feet of commercial space in 2006. The first land sales for Town Center were recorded in June 2005. At March 31, 2006, revenue of $10.7 million was deferred, of which $8.1 million relates to Town Center, and will be recognized on a percentage-of-completion basis as development obligations are completed.</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$1.1 million, or 24 percent, from 2005 reflecting a $0.7 million decrease in the cost of real estate sold ($1.9 million in 2006; $2.6 million in 2005), and a $0.4 million decrease in selling expenses due to the mix of land sold. At March 31, 2006, cost of real estate sold totaling $2.6 million and selling expenses of $0.3 million were deferred and will be recognized on a percentage-of-completion basis as development obligations are completed. The majority of the deferred expenses relate to Town Center.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EXPENSES were up $0.6 million, or 100 percent, from 2005, reflecting higher general and administrative expenses in 2006.</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INTEREST EXPENSE was down $0.4 million, or 33 percent, from 2005, reflecting the positive impact of first mortgage bonds refinanced at lower interest rates in August 2005 ($35 million) and March 2006 ($50 million).</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(EXPENSE) reflected $5.8 million more income in 2006 due to a $1.1 million increase in earnings on excess cash and the absence of emerging technology impairments. In 2005, the Company recorded $5.1 million of impairments related to two privately-held emerging technology investments. Other income (expense) also reflected equity losses related to emerging technology investments of $0.8 million in 2006 ($0.2 million in 2005).</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March 31, 2006, the effective rate for income taxes was 36.6 percent (38.2 percent for the quarter ended March 31, 2005). The decrease in the effective rate was primarily due to state tax planning initiatives. The effective tax rate of 36.6 percent for the quarter ended March 31, 2006, deviated from the statutory rate, primarily due to state tax planning initiatives, investment tax credits, and deductions for Medicare health subsidies and depletion.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impairment of long-lived assets, pension and postretirement health and life actuarial assumptions, valuation of investments and provisions for environmental remediation. These policies are reviewed with the Audit Committee of our Board of Directors on a regular basis and summarized in our 2005 Form 10-K.</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239"/>
          </w:cols>
          <w:pgMar w:left="220" w:top="616"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EARNINGS GUIDANCE. We continue to expect ALLETE's earnings per share from continuing operations to grow by 15 percent to 20 percent in 2006. The growth is expected to come from continued strong electric sales, increased real estate sales, the elimination of projected operating losses from Kendall County, the elimination of impairments related to our emerging technology investments, and our investment in ATC.</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ENERGY. Over the next several years, we believe electric utilities will be facing the unfolding impacts of three major developments that occurred in 2005--changes in regional transmission operation, the development of rulemaking on the enactment of stricter environmental regulations and federal legislation impacting the structure and organization of the electric utility industry. We believe our energy businesses are well positioned to successfully deal with these issues and to compete successfully. Our access to and ownership of low-cost power are our greatest strengths. We anticipate that we will have ready access to sufficient capital for general business purposes.</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RESOURCE PLAN. In 2006, the MPUC approved our Integrated Resource Plan (Resource Plan). The Resource Plan detailed our retail energy demand projections and our energy sourcing options to meet projected demand. One of the key components of the Resource Plan was the redirection of our Taconite Harbor generating facility from nonregulated energy operations to regulated utility operations effective January 1, 2006. The Taconite Harbor generation will be supplemented with a 50-MW long-term power purchase agreement with Manitoba Hydro. Expansion of our renewable generating assets to meet Minnesota's Renewable Energy Objective that seeks a 10 percent supply of qualified renewable energy resources in the state by 2015 for each Minnesota utility was also approved. In April 2006, construction began on a 50-MW wind facility in North Dakota and is expected to be completed in the fall of 2006. We will purchase the output from this wind facility under a 25-year power purchase agreement with an affiliate of FPL Energy, LLC. We predict that retail demand by customers in our service territory will increase at an average annual rate of 1.5 percent to 2019. We project a load growth of approximately 150 MW by 2010 with another 200 MW of growth anticipated by 2015.</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LARGE POWER CONTRACTS. In March and April 2006, the MPUC approved new all-requirements agreements with Stora Enso Oyj's Duluth mills through August 31, 2013, and UPM-Kymmene Corporation's Blandin Paper mill in Grand Rapids through April 30, 2010. Three other long-term agreements were approved by the MPUC in 2005, extending contracts for an additional four to eight years. The extension of our electric supply contracts is an important achievement for both our large power customers and Minnesota Power. Electric power is a key component in the production of taconite and paper, and these industries represent more than half of Minnesota Power's regulated utility electric sales. These agreements help to provide planning certainty for both our customers and us.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MISO AND FUEL CLAUSE. On February 24, 2006, the MPUC issued an order that granted rehearing of the MISO Day 2 docket and suspended the refund obligation. The Company is working with other Minnesota utilities, the DOC and other stakeholders to prepare a joint recommendation, required by the MPUC in its February 24, 2006 order, of which costs should be recovered on a current basis through the fuel clause and which costs are more appropriately deferred for potential recovery through base rates. The parties have until June 22, 2006, to report to the MPUC. (See Note 11.)</w:t>
      </w:r>
    </w:p>
    <w:p>
      <w:pPr>
        <w:spacing w:after="0" w:line="164" w:lineRule="exact"/>
        <w:rPr>
          <w:sz w:val="20"/>
          <w:szCs w:val="20"/>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INVESTMENT IN ATC. On May 4, 2006, the PSCW reviewed and approved the request that allows us to invest $60 million in ATC. We anticipate having $60 million invested in ATC by the end of 2006, with our first investment expected to occur in May.</w:t>
      </w:r>
    </w:p>
    <w:p>
      <w:pPr>
        <w:spacing w:after="0" w:line="32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RATE CASE. On May 1, 2006, SWL&amp;P filed an application with the PSCW for authority to increase retail utility rates an average of 5.2 percent and is requesting an 11.7 percent return on common equity. The Company expects that hearings will be conducted in late 2006 and new rates will become effective in January 2007.</w:t>
      </w:r>
    </w:p>
    <w:p>
      <w:pPr>
        <w:spacing w:after="0" w:line="32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REAL ESTATE. Progress continues on our three major planned development projects in Florida--Town Center, which will be a new downtown for Palm Coast; Palm Coast Park, which is located in northwest Palm Coast; and Ormond Crossings, which is located in Ormond Beach along Interstate 95.</w:t>
      </w:r>
    </w:p>
    <w:p>
      <w:pPr>
        <w:spacing w:after="0" w:line="16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TOWN CENTER. We began selling property from our Town Center development project in northeast Florida in 2005. Developers who have purchased land from us have started construction of buildings. Since land is being sold before completion of the project infrastructure, revenue and cost of real estate sold are recorded using a percentage-of-completion method. Pending land sales under contract for properties at Town Center totaled $62.0 million at March 31, 2006.</w:t>
      </w:r>
    </w:p>
    <w:p>
      <w:pPr>
        <w:spacing w:after="0" w:line="164"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PALM COAST PARK. At March 31, 2006, pending land sales under contract for properties at Palm Coast Park totaled $7.5 million. On May 4, 2006, we entered into a contract for a $52.5 million sale of land. Under this contract, land will be purchased in four phases, with closings to occur in 2007 through 2009. We will have the opportunity to receive participation revenue as part of these sales contracts. Sales negotiations continue on one other residential development tract.</w:t>
      </w:r>
    </w:p>
    <w:p>
      <w:pPr>
        <w:spacing w:after="0" w:line="330" w:lineRule="exact"/>
        <w:rPr>
          <w:sz w:val="20"/>
          <w:szCs w:val="20"/>
          <w:color w:val="auto"/>
        </w:rPr>
      </w:pPr>
    </w:p>
    <w:p>
      <w:pPr>
        <w:jc w:val="both"/>
        <w:ind w:right="3620"/>
        <w:spacing w:after="0" w:line="252" w:lineRule="auto"/>
        <w:rPr>
          <w:sz w:val="20"/>
          <w:szCs w:val="20"/>
          <w:color w:val="auto"/>
        </w:rPr>
      </w:pPr>
      <w:r>
        <w:rPr>
          <w:rFonts w:ascii="Courier New" w:cs="Courier New" w:eastAsia="Courier New" w:hAnsi="Courier New"/>
          <w:sz w:val="14"/>
          <w:szCs w:val="14"/>
          <w:color w:val="auto"/>
        </w:rPr>
        <w:t>As of March 31, 2006, we had $7.8 million of deferred profit on sales of real estate, before taxes and minority interest, on our balance sheet. We expect most of this deferred profit will be reflected in income by the end of 2006.</w:t>
      </w:r>
    </w:p>
    <w:p>
      <w:pPr>
        <w:spacing w:after="0" w:line="163" w:lineRule="exact"/>
        <w:rPr>
          <w:sz w:val="20"/>
          <w:szCs w:val="20"/>
          <w:color w:val="auto"/>
        </w:rPr>
      </w:pPr>
    </w:p>
    <w:p>
      <w:pPr>
        <w:jc w:val="both"/>
        <w:ind w:right="3620"/>
        <w:spacing w:after="0" w:line="252" w:lineRule="auto"/>
        <w:rPr>
          <w:sz w:val="20"/>
          <w:szCs w:val="20"/>
          <w:color w:val="auto"/>
        </w:rPr>
      </w:pPr>
      <w:r>
        <w:rPr>
          <w:rFonts w:ascii="Courier New" w:cs="Courier New" w:eastAsia="Courier New" w:hAnsi="Courier New"/>
          <w:sz w:val="14"/>
          <w:szCs w:val="14"/>
          <w:color w:val="auto"/>
        </w:rPr>
        <w:t>ALLETE Properties occasionally provides seller financing, and outstanding finance receivables were $6.6 million at March 31, 2006, with maturities ranging up to seven years. Outstanding finance receivables accrue interest at market-based rates. These finance receivables are collateralized by the financed properties.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960"/>
        <w:spacing w:after="0" w:line="250" w:lineRule="auto"/>
        <w:rPr>
          <w:sz w:val="20"/>
          <w:szCs w:val="20"/>
          <w:color w:val="auto"/>
        </w:rPr>
      </w:pPr>
      <w:r>
        <w:rPr>
          <w:rFonts w:ascii="Courier New" w:cs="Courier New" w:eastAsia="Courier New" w:hAnsi="Courier New"/>
          <w:sz w:val="14"/>
          <w:szCs w:val="14"/>
          <w:color w:val="auto"/>
        </w:rPr>
        <w:t>SUMMARY OF DEVELOPMENT PROJECTS INVENTORY RESIDENTIAL COMMERCIAL FOR THE QUARTER ENDED MARCH 31, 2006 OWNERSHIP UNITS SQ. FT.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at Palm Coast</w:t>
            </w:r>
          </w:p>
        </w:tc>
        <w:tc>
          <w:tcPr>
            <w:tcW w:w="436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80%</w:t>
            </w:r>
          </w:p>
        </w:tc>
        <w:tc>
          <w:tcPr>
            <w:tcW w:w="1540" w:type="dxa"/>
            <w:vAlign w:val="bottom"/>
          </w:tcPr>
          <w:p>
            <w:pPr>
              <w:spacing w:after="0"/>
              <w:rPr>
                <w:sz w:val="14"/>
                <w:szCs w:val="14"/>
                <w:color w:val="auto"/>
              </w:rPr>
            </w:pPr>
          </w:p>
        </w:tc>
      </w:tr>
      <w:tr>
        <w:trPr>
          <w:trHeight w:val="166"/>
        </w:trPr>
        <w:tc>
          <w:tcPr>
            <w:tcW w:w="3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4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2,833</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2,927,700</w:t>
            </w:r>
          </w:p>
        </w:tc>
      </w:tr>
      <w:tr>
        <w:trPr>
          <w:trHeight w:val="166"/>
        </w:trPr>
        <w:tc>
          <w:tcPr>
            <w:tcW w:w="3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Property Sold</w:t>
            </w:r>
          </w:p>
        </w:tc>
        <w:tc>
          <w:tcPr>
            <w:tcW w:w="4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(80,000)</w:t>
            </w: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Change</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in Estimate</w:t>
            </w:r>
          </w:p>
        </w:tc>
        <w:tc>
          <w:tcPr>
            <w:tcW w:w="4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2,913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2,847,700</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29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3,600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3,200,000</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Ormond Crossings</w:t>
            </w:r>
          </w:p>
        </w:tc>
        <w:tc>
          <w:tcPr>
            <w:tcW w:w="29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900"/>
        <w:spacing w:after="0"/>
        <w:tabs>
          <w:tab w:leader="none" w:pos="8680" w:val="left"/>
        </w:tabs>
        <w:rPr>
          <w:sz w:val="20"/>
          <w:szCs w:val="20"/>
          <w:color w:val="auto"/>
        </w:rPr>
      </w:pPr>
      <w:r>
        <w:rPr>
          <w:rFonts w:ascii="Courier New" w:cs="Courier New" w:eastAsia="Courier New" w:hAnsi="Courier New"/>
          <w:sz w:val="14"/>
          <w:szCs w:val="14"/>
          <w:color w:val="auto"/>
        </w:rPr>
        <w:t>6,513</w:t>
      </w:r>
      <w:r>
        <w:rPr>
          <w:sz w:val="20"/>
          <w:szCs w:val="20"/>
          <w:color w:val="auto"/>
        </w:rPr>
        <w:tab/>
      </w:r>
      <w:r>
        <w:rPr>
          <w:rFonts w:ascii="Courier New" w:cs="Courier New" w:eastAsia="Courier New" w:hAnsi="Courier New"/>
          <w:sz w:val="14"/>
          <w:szCs w:val="14"/>
          <w:color w:val="auto"/>
        </w:rPr>
        <w:t>6,047,700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20" w:hanging="344"/>
        <w:spacing w:after="0" w:line="247" w:lineRule="auto"/>
        <w:rPr>
          <w:sz w:val="20"/>
          <w:szCs w:val="20"/>
          <w:color w:val="auto"/>
        </w:rPr>
      </w:pPr>
      <w:r>
        <w:rPr>
          <w:rFonts w:ascii="Courier New" w:cs="Courier New" w:eastAsia="Courier New" w:hAnsi="Courier New"/>
          <w:sz w:val="14"/>
          <w:szCs w:val="14"/>
          <w:color w:val="auto"/>
        </w:rPr>
        <w:t>Estimated and includes minority interest. The actual property breakdown at full</w:t>
      </w:r>
      <w:r>
        <w:rPr>
          <w:sz w:val="20"/>
          <w:szCs w:val="20"/>
          <w:color w:val="auto"/>
        </w:rPr>
        <w:t xml:space="preserve"> </w:t>
      </w:r>
      <w:r>
        <w:rPr>
          <w:rFonts w:ascii="Courier New" w:cs="Courier New" w:eastAsia="Courier New" w:hAnsi="Courier New"/>
          <w:sz w:val="14"/>
          <w:szCs w:val="14"/>
          <w:color w:val="auto"/>
        </w:rPr>
        <w:t>build-out may be different than these estimates.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Includes industrial, office and retail square footage.</w:t>
      </w:r>
    </w:p>
    <w:p>
      <w:pPr>
        <w:spacing w:after="0" w:line="7" w:lineRule="exact"/>
        <w:rPr>
          <w:sz w:val="20"/>
          <w:szCs w:val="20"/>
          <w:color w:val="auto"/>
        </w:rPr>
      </w:pPr>
    </w:p>
    <w:p>
      <w:pPr>
        <w:ind w:left="440" w:right="180" w:hanging="339"/>
        <w:spacing w:after="0" w:line="252" w:lineRule="auto"/>
        <w:tabs>
          <w:tab w:leader="none" w:pos="420" w:val="left"/>
        </w:tabs>
        <w:rPr>
          <w:sz w:val="20"/>
          <w:szCs w:val="20"/>
          <w:color w:val="auto"/>
        </w:rPr>
      </w:pPr>
      <w:r>
        <w:rPr>
          <w:rFonts w:ascii="Courier New" w:cs="Courier New" w:eastAsia="Courier New" w:hAnsi="Courier New"/>
          <w:sz w:val="14"/>
          <w:szCs w:val="14"/>
          <w:color w:val="auto"/>
        </w:rPr>
        <w:t>The</w:t>
        <w:tab/>
        <w:t>Development of Regional Impact Application for Development Approval submitted in August 2005 proposed 4,400 residential units and 5 million square feet of commercial space, and is subject to approval by regulating governmental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LAND 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7" w:lineRule="exact"/>
        <w:rPr>
          <w:sz w:val="20"/>
          <w:szCs w:val="20"/>
          <w:color w:val="auto"/>
        </w:rPr>
      </w:pPr>
    </w:p>
    <w:p>
      <w:pPr>
        <w:spacing w:after="0"/>
        <w:tabs>
          <w:tab w:leader="none" w:pos="3260" w:val="left"/>
          <w:tab w:leader="none" w:pos="4560" w:val="left"/>
          <w:tab w:leader="none" w:pos="5420" w:val="left"/>
          <w:tab w:leader="none" w:pos="6540" w:val="left"/>
          <w:tab w:leader="none" w:pos="7740" w:val="left"/>
          <w:tab w:leader="none" w:pos="8860" w:val="left"/>
        </w:tabs>
        <w:rPr>
          <w:sz w:val="20"/>
          <w:szCs w:val="20"/>
          <w:color w:val="auto"/>
        </w:rPr>
      </w:pPr>
      <w:r>
        <w:rPr>
          <w:rFonts w:ascii="Courier New" w:cs="Courier New" w:eastAsia="Courier New" w:hAnsi="Courier New"/>
          <w:sz w:val="14"/>
          <w:szCs w:val="14"/>
          <w:color w:val="auto"/>
        </w:rPr>
        <w:t>MARCH 31, 2006</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MIXED USE</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AGRICULTURAL</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Palm Coast Holdings</w:t>
            </w:r>
          </w:p>
        </w:tc>
        <w:tc>
          <w:tcPr>
            <w:tcW w:w="248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80%</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2,566</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1,692</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346</w:t>
            </w:r>
          </w:p>
        </w:tc>
        <w:tc>
          <w:tcPr>
            <w:tcW w:w="1200" w:type="dxa"/>
            <w:vAlign w:val="bottom"/>
          </w:tcPr>
          <w:p>
            <w:pPr>
              <w:ind w:left="460"/>
              <w:spacing w:after="0"/>
              <w:rPr>
                <w:sz w:val="20"/>
                <w:szCs w:val="20"/>
                <w:color w:val="auto"/>
              </w:rPr>
            </w:pPr>
            <w:r>
              <w:rPr>
                <w:rFonts w:ascii="Courier New" w:cs="Courier New" w:eastAsia="Courier New" w:hAnsi="Courier New"/>
                <w:sz w:val="14"/>
                <w:szCs w:val="14"/>
                <w:color w:val="auto"/>
              </w:rPr>
              <w:t>281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4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(66)</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60"/>
              <w:spacing w:after="0"/>
              <w:rPr>
                <w:sz w:val="20"/>
                <w:szCs w:val="20"/>
                <w:color w:val="auto"/>
              </w:rPr>
            </w:pPr>
            <w:r>
              <w:rPr>
                <w:rFonts w:ascii="Courier New" w:cs="Courier New" w:eastAsia="Courier New" w:hAnsi="Courier New"/>
                <w:sz w:val="14"/>
                <w:szCs w:val="14"/>
                <w:color w:val="auto"/>
              </w:rPr>
              <w:t>(18)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580" w:val="left"/>
          <w:tab w:leader="none" w:pos="6880" w:val="left"/>
          <w:tab w:leader="none" w:pos="8080" w:val="left"/>
          <w:tab w:leader="none" w:pos="9200" w:val="left"/>
        </w:tabs>
        <w:rPr>
          <w:sz w:val="20"/>
          <w:szCs w:val="20"/>
          <w:color w:val="auto"/>
        </w:rPr>
      </w:pPr>
      <w:r>
        <w:rPr>
          <w:rFonts w:ascii="Courier New" w:cs="Courier New" w:eastAsia="Courier New" w:hAnsi="Courier New"/>
          <w:sz w:val="14"/>
          <w:szCs w:val="14"/>
          <w:color w:val="auto"/>
        </w:rPr>
        <w:t>2,500</w:t>
      </w:r>
      <w:r>
        <w:rPr>
          <w:sz w:val="20"/>
          <w:szCs w:val="20"/>
          <w:color w:val="auto"/>
        </w:rPr>
        <w:tab/>
      </w:r>
      <w:r>
        <w:rPr>
          <w:rFonts w:ascii="Courier New" w:cs="Courier New" w:eastAsia="Courier New" w:hAnsi="Courier New"/>
          <w:sz w:val="14"/>
          <w:szCs w:val="14"/>
          <w:color w:val="auto"/>
        </w:rPr>
        <w:t>1,645</w:t>
      </w:r>
      <w:r>
        <w:rPr>
          <w:sz w:val="20"/>
          <w:szCs w:val="20"/>
          <w:color w:val="auto"/>
        </w:rPr>
        <w:tab/>
      </w:r>
      <w:r>
        <w:rPr>
          <w:rFonts w:ascii="Courier New" w:cs="Courier New" w:eastAsia="Courier New" w:hAnsi="Courier New"/>
          <w:sz w:val="14"/>
          <w:szCs w:val="14"/>
          <w:color w:val="auto"/>
        </w:rPr>
        <w:t>346</w:t>
      </w:r>
      <w:r>
        <w:rPr>
          <w:sz w:val="20"/>
          <w:szCs w:val="20"/>
          <w:color w:val="auto"/>
        </w:rPr>
        <w:tab/>
      </w:r>
      <w:r>
        <w:rPr>
          <w:rFonts w:ascii="Courier New" w:cs="Courier New" w:eastAsia="Courier New" w:hAnsi="Courier New"/>
          <w:sz w:val="14"/>
          <w:szCs w:val="14"/>
          <w:color w:val="auto"/>
        </w:rPr>
        <w:t>263</w:t>
      </w:r>
      <w:r>
        <w:rPr>
          <w:sz w:val="20"/>
          <w:szCs w:val="20"/>
          <w:color w:val="auto"/>
        </w:rPr>
        <w:tab/>
      </w:r>
      <w:r>
        <w:rPr>
          <w:rFonts w:ascii="Courier New" w:cs="Courier New" w:eastAsia="Courier New" w:hAnsi="Courier New"/>
          <w:sz w:val="14"/>
          <w:szCs w:val="14"/>
          <w:color w:val="auto"/>
        </w:rPr>
        <w:t>246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Lehigh</w:t>
            </w:r>
          </w:p>
        </w:tc>
        <w:tc>
          <w:tcPr>
            <w:tcW w:w="254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5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613</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940" w:val="left"/>
          <w:tab w:leader="none" w:pos="6880" w:val="left"/>
          <w:tab w:leader="none" w:pos="8180" w:val="left"/>
          <w:tab w:leader="none" w:pos="938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Cape Coral</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944</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580" w:val="left"/>
          <w:tab w:leader="none" w:pos="6880" w:val="left"/>
          <w:tab w:leader="none" w:pos="8080" w:val="left"/>
          <w:tab w:leader="none" w:pos="9040" w:val="left"/>
        </w:tabs>
        <w:rPr>
          <w:sz w:val="20"/>
          <w:szCs w:val="20"/>
          <w:color w:val="auto"/>
        </w:rPr>
      </w:pPr>
      <w:r>
        <w:rPr>
          <w:rFonts w:ascii="Courier New" w:cs="Courier New" w:eastAsia="Courier New" w:hAnsi="Courier New"/>
          <w:sz w:val="14"/>
          <w:szCs w:val="14"/>
          <w:color w:val="auto"/>
        </w:rPr>
        <w:t>3,708</w:t>
      </w:r>
      <w:r>
        <w:rPr>
          <w:sz w:val="20"/>
          <w:szCs w:val="20"/>
          <w:color w:val="auto"/>
        </w:rPr>
        <w:tab/>
      </w:r>
      <w:r>
        <w:rPr>
          <w:rFonts w:ascii="Courier New" w:cs="Courier New" w:eastAsia="Courier New" w:hAnsi="Courier New"/>
          <w:sz w:val="14"/>
          <w:szCs w:val="14"/>
          <w:color w:val="auto"/>
        </w:rPr>
        <w:t>1,645</w:t>
      </w:r>
      <w:r>
        <w:rPr>
          <w:sz w:val="20"/>
          <w:szCs w:val="20"/>
          <w:color w:val="auto"/>
        </w:rPr>
        <w:tab/>
      </w:r>
      <w:r>
        <w:rPr>
          <w:rFonts w:ascii="Courier New" w:cs="Courier New" w:eastAsia="Courier New" w:hAnsi="Courier New"/>
          <w:sz w:val="14"/>
          <w:szCs w:val="14"/>
          <w:color w:val="auto"/>
        </w:rPr>
        <w:t>487</w:t>
      </w:r>
      <w:r>
        <w:rPr>
          <w:sz w:val="20"/>
          <w:szCs w:val="20"/>
          <w:color w:val="auto"/>
        </w:rPr>
        <w:tab/>
      </w:r>
      <w:r>
        <w:rPr>
          <w:rFonts w:ascii="Courier New" w:cs="Courier New" w:eastAsia="Courier New" w:hAnsi="Courier New"/>
          <w:sz w:val="14"/>
          <w:szCs w:val="14"/>
          <w:color w:val="auto"/>
        </w:rPr>
        <w:t>377</w:t>
      </w:r>
      <w:r>
        <w:rPr>
          <w:sz w:val="20"/>
          <w:szCs w:val="20"/>
          <w:color w:val="auto"/>
        </w:rPr>
        <w:tab/>
      </w:r>
      <w:r>
        <w:rPr>
          <w:rFonts w:ascii="Courier New" w:cs="Courier New" w:eastAsia="Courier New" w:hAnsi="Courier New"/>
          <w:sz w:val="14"/>
          <w:szCs w:val="14"/>
          <w:color w:val="auto"/>
        </w:rPr>
        <w:t>1,199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40" w:type="dxa"/>
            <w:vAlign w:val="bottom"/>
          </w:tcPr>
          <w:p>
            <w:pPr>
              <w:spacing w:after="0"/>
              <w:rPr>
                <w:sz w:val="20"/>
                <w:szCs w:val="20"/>
                <w:color w:val="auto"/>
              </w:rPr>
            </w:pPr>
            <w:r>
              <w:rPr>
                <w:rFonts w:ascii="Courier New" w:cs="Courier New" w:eastAsia="Courier New" w:hAnsi="Courier New"/>
                <w:sz w:val="14"/>
                <w:szCs w:val="14"/>
                <w:color w:val="auto"/>
              </w:rPr>
              <w:t>Acreage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amounts are</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approximate and</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shown  on  a gross  basis,  including</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wetlands  and   minority</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interest.</w:t>
            </w:r>
          </w:p>
        </w:tc>
      </w:tr>
      <w:tr>
        <w:trPr>
          <w:trHeight w:val="166"/>
        </w:trPr>
        <w:tc>
          <w:tcPr>
            <w:tcW w:w="17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Acreage amounts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may vary</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due to</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platting or surveying activity. Wetland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amounts vary by property</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and are often</w:t>
            </w:r>
          </w:p>
        </w:tc>
      </w:tr>
      <w:tr>
        <w:trPr>
          <w:trHeight w:val="166"/>
        </w:trPr>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not</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formally  determined</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prior</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to  sale. The actual property breakdown</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full build-out may be different than</w:t>
            </w:r>
          </w:p>
        </w:tc>
      </w:tr>
      <w:tr>
        <w:trPr>
          <w:trHeight w:val="166"/>
        </w:trPr>
        <w:tc>
          <w:tcPr>
            <w:tcW w:w="17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these estimates.</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ectPr>
          <w:pgSz w:w="11900" w:h="16838" w:orient="portrait"/>
          <w:cols w:equalWidth="0" w:num="1">
            <w:col w:w="10520"/>
          </w:cols>
          <w:pgMar w:left="220" w:top="616" w:right="1159" w:bottom="0" w:gutter="0" w:footer="0" w:header="0"/>
        </w:sectPr>
      </w:pPr>
    </w:p>
    <w:bookmarkStart w:id="28" w:name="page29"/>
    <w:bookmarkEnd w:id="28"/>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ectPr>
          <w:pgSz w:w="11900" w:h="16838" w:orient="portrait"/>
          <w:cols w:equalWidth="0" w:num="1">
            <w:col w:w="9019"/>
          </w:cols>
          <w:pgMar w:left="1440" w:top="473"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 primary goal of our strategic plan is to improve cash flow from operations. Our strategy includes growing our businesses both internally by expanding facilities, services and operations (see Capital Requirements), and externally through acquisitions.</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jc w:val="both"/>
        <w:spacing w:after="0" w:line="252" w:lineRule="auto"/>
        <w:rPr>
          <w:sz w:val="20"/>
          <w:szCs w:val="20"/>
          <w:color w:val="auto"/>
        </w:rPr>
      </w:pPr>
      <w:r>
        <w:rPr>
          <w:rFonts w:ascii="Courier New" w:cs="Courier New" w:eastAsia="Courier New" w:hAnsi="Courier New"/>
          <w:sz w:val="14"/>
          <w:szCs w:val="14"/>
          <w:color w:val="auto"/>
        </w:rPr>
        <w:t>We believe our financial condition is strong, equivalents and short-term investments of $236.5 capital ratio of 39 percent at March 31, 2006.</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spacing w:after="0"/>
        <w:tabs>
          <w:tab w:leader="none" w:pos="320" w:val="left"/>
        </w:tabs>
        <w:rPr>
          <w:sz w:val="20"/>
          <w:szCs w:val="20"/>
          <w:color w:val="auto"/>
        </w:rPr>
      </w:pPr>
      <w:r>
        <w:rPr>
          <w:rFonts w:ascii="Courier New" w:cs="Courier New" w:eastAsia="Courier New" w:hAnsi="Courier New"/>
          <w:sz w:val="14"/>
          <w:szCs w:val="14"/>
          <w:color w:val="auto"/>
        </w:rPr>
        <w:t>as</w:t>
        <w:tab/>
        <w:t>evidenced by cash and cash</w:t>
      </w:r>
    </w:p>
    <w:p>
      <w:pPr>
        <w:spacing w:after="0" w:line="7" w:lineRule="exact"/>
        <w:rPr>
          <w:sz w:val="20"/>
          <w:szCs w:val="20"/>
          <w:color w:val="auto"/>
        </w:rPr>
      </w:pPr>
    </w:p>
    <w:p>
      <w:pPr>
        <w:jc w:val="right"/>
        <w:ind w:right="3339"/>
        <w:spacing w:after="0"/>
        <w:tabs>
          <w:tab w:leader="none" w:pos="1620" w:val="left"/>
        </w:tabs>
        <w:rPr>
          <w:sz w:val="20"/>
          <w:szCs w:val="20"/>
          <w:color w:val="auto"/>
        </w:rPr>
      </w:pPr>
      <w:r>
        <w:rPr>
          <w:rFonts w:ascii="Courier New" w:cs="Courier New" w:eastAsia="Courier New" w:hAnsi="Courier New"/>
          <w:sz w:val="14"/>
          <w:szCs w:val="14"/>
          <w:color w:val="auto"/>
        </w:rPr>
        <w:t>million,</w:t>
        <w:tab/>
        <w:t>and a debt to total</w:t>
      </w:r>
    </w:p>
    <w:p>
      <w:pPr>
        <w:spacing w:after="0" w:line="338" w:lineRule="exact"/>
        <w:rPr>
          <w:sz w:val="20"/>
          <w:szCs w:val="20"/>
          <w:color w:val="auto"/>
        </w:rPr>
      </w:pPr>
    </w:p>
    <w:p>
      <w:pPr>
        <w:sectPr>
          <w:pgSz w:w="11900" w:h="16838" w:orient="portrait"/>
          <w:cols w:equalWidth="0" w:num="2">
            <w:col w:w="4220" w:space="100"/>
            <w:col w:w="5919"/>
          </w:cols>
          <w:pgMar w:left="220" w:top="616" w:right="1440" w:bottom="1440" w:gutter="0" w:footer="0" w:header="0"/>
          <w:type w:val="continuous"/>
        </w:sectPr>
      </w:pPr>
    </w:p>
    <w:p>
      <w:pPr>
        <w:jc w:val="both"/>
        <w:ind w:right="3339"/>
        <w:spacing w:after="0" w:line="250" w:lineRule="auto"/>
        <w:rPr>
          <w:sz w:val="20"/>
          <w:szCs w:val="20"/>
          <w:color w:val="auto"/>
        </w:rPr>
      </w:pPr>
      <w:r>
        <w:rPr>
          <w:rFonts w:ascii="Courier New" w:cs="Courier New" w:eastAsia="Courier New" w:hAnsi="Courier New"/>
          <w:sz w:val="14"/>
          <w:szCs w:val="14"/>
          <w:color w:val="auto"/>
        </w:rPr>
        <w:t>OPERATING ACTIVITIES. Cash flow from operating activities was $44.2 million for the quarter ended March 31, 2006 ($31.1 million for the quarter ended March 31, 2005). Cash from operating activities was higher in 2006, primarily due to a $13.1 million change in deferred fuel costs (included in Prepayments and Other) caused by the timing of outages at our generating facilities. Deferred fuel costs related to outages in late 2005 were collected in our fuel adjustment clause during 2006, while deferred fuel costs related to outages in the first quarter of 2005 were not collected until the second quarter of 2005. In 2005, cash for operating activities reflected payment of a $9.1 million arbitration award related to our discontinued operations. Cash from operating activities was lower in 2006, due to a $6.1 million change in accounts payable which was also caused primarily by the timing of outages at our generating facilities. Purchased power accruals related to outages in late 2005 were paid in the first quarter of 2006 while purchased power accruals related to outages in the first quarter of 2005 were not paid until the second quarter of 2005.</w:t>
      </w:r>
    </w:p>
    <w:p>
      <w:pPr>
        <w:spacing w:after="0" w:line="17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INVESTING ACTIVITIES. Cash flow for investing activities was $49.2 million for the quarter ended March 31, 2006 (cash flow from investing activities of $107.0 million for the quarter ended March 31, 2005). Cash for investing activities was higher in 2006 than 2005, primarily due to activities within our short-term investments. In 2006, net purchases of $44.6 million were used for short-term investments, while 2005 included $117.2 million of net proceeds that were received from the sale of short-term investments. Gross proceeds from the sale of available-for-sale securities were $126.3 million in 2006 ($210.5 million in 2005) and purchases were $170.9 million ($93.3 million in 2005). Cash for investing activities in 2006 was also $4.7 million higher due to additions to property, plant and equipment which vary from year to year.</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FINANCING ACTIVITIES. Cash flow for financing activities was $9.6 million for the quarter ended March 31, 2006 ($1.8 million for the quarter ended March 31, 2005). The increase in cash for financing activities was primarily attributed to a $3.4 million decrease in book overdrafts. Cash for financing activities also increased in 2006 due to an additional $2.5 million of dividends paid because of more shares outstanding and an increase in the dividend rate. In 2006, we refinanced $50 million of first mortgage bonds at a lower rate. The new bonds will mature in 2036.</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We have 0.7 million original issue shares of our common stock available for issuance through INVEST DIRECT, our direct stock purchase and dividend reinvestment plan. We have bank lines of credit aggregating $170.0 million, the majority of which expire in January 2011. In January 2006, we renewed, increased and extended a committed, syndicated, unsecured revolving credit facility with LaSalle Bank National Association, as Agent, for $150 million (Line). The Line matures on January 11, 2011. At our request and subject to certain conditions, the Line may be increased to $200 million and extended for two additional 12-month periods. We may prepay amounts outstanding under the Line in whole or in part at our discretion. Additionally, we may irrevocably terminate or reduce the size of the Line prior to maturity. The Line may be used for general corporate purposes, working capital and to provide liquidity in support of our commercial paper program.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33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type w:val="continuous"/>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above-mentioned securities will be made only by means of a prospectus meeting the requirements of the Securities Act of 1933 and the rules and regulations thereunder.</w:t>
      </w:r>
    </w:p>
    <w:p>
      <w:pPr>
        <w:spacing w:after="0" w:line="32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March 2006, we issued $50 million in principal amount of First Mortgage Bonds, 5.69% Series due March 1, 2036. Proceeds were used to redeem $50 million in principal amount of First Mortgage Bonds, 7% Series due March 1, 2008.</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Long-term debt due within one year includes $60 million of first mortgage bonds due February 2007 that cannot be redeemed prior to maturity. We intend to refinance this debt on a long-term basis.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Off-balance sheet arrangements are summarized in our 2005 Form 10-K, with additional disclosure discussed in Note 11 of this Form 10-Q.</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REQUIREMENTS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March 31, 2006, capital expenditures for continuing operations totaled $13.6 million ($8.9 million in 2005). Expenditures for the quarter ended March 31, 2006, included $13.3 million for Regulated Utility and $0.3 million for Nonregulated Energy Operations. Internally-generated funds were the source of funding for these expenditures.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development expenditures are and will be funded with a revolving development loan and tax-exempt bonds issued by community development districts. The Town Center at Palm Coast Community Development District issued $26.4 million of tax-exempt bonds in 2005. Approximately $21 million of the bond proceeds will be used for construction of infrastructure improvements at Town Center, with the remaining funds to be used for capitalized interest, a debt service reserve fund and costs of issuance. We anticipate that the Palm Coast Park Community Development District will issue tax-exempt bonds to fund construction of infrastructure improvements for our Palm Coast Park project in mid-2006. Company expenditures related to our real estate developments in Florida increase the value of our land assets, which are classified as Investments on our consolidated balance sheet.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 AND OTHER</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previously discussed in our Critical Accounting Policies section, our businesses are subject to regulation of environmental matters by various federal, state and local authorities. Due to future stricter environmental requirements through legislation and/or rulemaking, we anticipate that potential expenditures for environmental matters will be material and will require significant capital investments. We are unable to predict the outcome of the issues discussed in Note 11.</w:t>
      </w:r>
    </w:p>
    <w:p>
      <w:pPr>
        <w:spacing w:after="0" w:line="330"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ectPr>
          <w:pgSz w:w="11900" w:h="16838" w:orient="portrait"/>
          <w:cols w:equalWidth="0" w:num="1">
            <w:col w:w="10239"/>
          </w:cols>
          <w:pgMar w:left="220" w:top="616" w:right="1440" w:bottom="1440" w:gutter="0" w:footer="0" w:header="0"/>
        </w:sectPr>
      </w:pPr>
    </w:p>
    <w:bookmarkStart w:id="31" w:name="page32"/>
    <w:bookmarkEnd w:id="31"/>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INVESTMENTS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AVAILABLE-FOR-SALE SECURITIES. Our available-for-sale securities portfolio consists of securities in a grantor trust established to fund certain employee benefits included in Investments, and various auction rate bonds and variable rate demand notes included as Short-Term Investments. Available-for-sale securities are recorded at fair value with unrealized gains and losses included in accumulated other comprehensive income (loss), net of tax. Unrealized losses that are other than temporary are recognized in earnings. Our short-term investments classified as available-for-sale securities, however, are recorded at cost, which approximates fair market value due to their variable interest rates that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 Our available-for-sale securities portfolio had a fair value of $184.5 million at March 31, 2006 ($139.5 million at December 31, 2005) and a total unrealized after-tax gain of $2.4 million at March 31, 2006 ($2.1 million at December 31, 2005).</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use the specific identification method as the basis for determining the cost of securities sold. Our policy is to review on a quarterly basis available-for-sale securities for other than temporary impairment by assessing such factors as the share price trends and the impact of overall market conditions. As a result of our periodic assessments, we did not record any impairment of available-for-sale securities for the quarter ended March 31, 2006.</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 in privately-held companies under the cost method because of our ownership percentage. The total carrying value of our emerging technology portfolio was $8.7 million at March 31, 2006 ($9.2 million at December 31, 2005). Our policy is to review these investments quarterly for impairment by assessing such factors as continued commercial viability of products, cash flow and earnings. Any impairment would reduce the carrying value of the investment. Our basis in direct investments in privately-held companies included in the emerging technology portfolio was zero at March 31, 2006, and December 31, 2005.</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RISK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16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32" w:name="page33"/>
    <w:bookmarkEnd w:id="32"/>
    <w:p>
      <w:pPr>
        <w:spacing w:after="0"/>
        <w:tabs>
          <w:tab w:leader="none" w:pos="76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power marketing activities consist of (1) purchasing energy in the wholesale market for resale in our regulated service territories when retail energy requirements exceed generation output, and (2) selling excess available generation and purchased power.</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From time to time, our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MISO market at market prices.</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Approximately 200 MW of generation from our Taconite Harbor facility in northern Minnesota has been sold through various long-term capacity and energy contracts. Long-term, we have entered into two capacity and energy sales 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50-MW capacity and energy sales contract that extends through April 2008. The 50-MW capacity and energy sales contract had fixed pricing through January 2006, with formula pricing based on variable production cost of a combustion-turbine, natural gas unit thereafter.</w:t>
      </w:r>
    </w:p>
    <w:p>
      <w:pPr>
        <w:spacing w:after="0" w:line="33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CONTROLS AND PROCEDURES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While we continue to enhance our internal control over financial reporting,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2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ectPr>
          <w:pgSz w:w="11900" w:h="16838" w:orient="portrait"/>
          <w:cols w:equalWidth="0" w:num="1">
            <w:col w:w="10239"/>
          </w:cols>
          <w:pgMar w:left="220" w:top="616"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LEGAL PROCEEDINGS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Other Information in Part II, Item 5 and/or Note 11, and are incorporated by reference herein.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1A. RISK FACTORS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Other than the risk factors below, there have been no material changes from the risk factors disclosed under the heading "Risk Factors" in Part I, Item 1A of our 2005 Form 10-K.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DEPENDENT ON GOOD LABOR RELATIONS.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our relations to be good with our approximately 1,500 employees. Approximately 700 of these employees are members of either the International Brotherhood of Electrical Workers (IBEW) Local 31 or Local 1593. Failure to successfully renegotiate labor agreements could adversely affect the services we provide and our results of operations. On February 28, 2006, members of the IBEW Local No. 31 ratified a new three-year labor agreement with SWL&amp;P and Minnesota Power that is retroactive to February 1, 2006. Wage increases are 3.1 percent for 2006 and 2007, and 3.0 percent for 2008. The agreement also includes union employees in the results sharing compensation awards program starting in 2006. The labor agreement with Local 1593 at BNI Coal expires on March 31, 2008.</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RISKS ASSOCIATED WITH ACQUISITIONS MAY HINDER OUR ABILITY TO INCREASE REVENUE AND EARNINGS.</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pursuing a strategy of acquiring other businesses, we face risks commonly encountered with growth through acquisitions. These risks include, but are not limited to:</w:t>
      </w:r>
    </w:p>
    <w:p>
      <w:pPr>
        <w:spacing w:after="0" w:line="163" w:lineRule="exact"/>
        <w:rPr>
          <w:sz w:val="20"/>
          <w:szCs w:val="20"/>
          <w:color w:val="auto"/>
        </w:rPr>
      </w:pPr>
    </w:p>
    <w:p>
      <w:pPr>
        <w:ind w:left="440" w:hanging="259"/>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incurring significantly higher capital expenditures and operating expenses;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review or approval;</w:t>
      </w:r>
    </w:p>
    <w:p>
      <w:pPr>
        <w:spacing w:after="0" w:line="7" w:lineRule="exact"/>
        <w:rPr>
          <w:rFonts w:ascii="Courier New" w:cs="Courier New" w:eastAsia="Courier New" w:hAnsi="Courier New"/>
          <w:sz w:val="14"/>
          <w:szCs w:val="14"/>
          <w:color w:val="auto"/>
        </w:rPr>
      </w:pPr>
    </w:p>
    <w:p>
      <w:pPr>
        <w:ind w:left="440" w:right="3339" w:hanging="259"/>
        <w:spacing w:after="0" w:line="250"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failing to assimilate the operations and personnel of the acquired businesses;</w:t>
      </w:r>
    </w:p>
    <w:p>
      <w:pPr>
        <w:ind w:left="440" w:hanging="259"/>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entering new, unfamiliar markets;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undiscovered liabilities at acquired businesses;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disrupting our ongoing business;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diverting our limited management resources;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failing to maintain uniform standards, controls and policies;</w:t>
      </w:r>
    </w:p>
    <w:p>
      <w:pPr>
        <w:spacing w:after="0" w:line="7" w:lineRule="exact"/>
        <w:rPr>
          <w:rFonts w:ascii="Courier New" w:cs="Courier New" w:eastAsia="Courier New" w:hAnsi="Courier New"/>
          <w:sz w:val="14"/>
          <w:szCs w:val="14"/>
          <w:color w:val="auto"/>
        </w:rPr>
      </w:pPr>
    </w:p>
    <w:p>
      <w:pPr>
        <w:ind w:left="440" w:right="3339" w:hanging="259"/>
        <w:spacing w:after="0" w:line="250"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impairing relationships with employees and customers as a result of changes in management; and</w:t>
      </w:r>
    </w:p>
    <w:p>
      <w:pPr>
        <w:ind w:left="440" w:right="3339" w:hanging="259"/>
        <w:spacing w:after="0" w:line="255"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expenses for support services and computer systems, as well as integration difficulties.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may not adequately anticipate all of the demands that our growth will impose on our systems, procedures and structures, including our financial and reporting control systems, data processing systems and management structure. If we cannot adequately anticipate and respond to these demands, our business could be materially harmed.</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Although we conduct what we believe to be a prudent level of investigation regarding the operating condition of the businesses we purchase, in light of the circumstances of each transaction, an unavoidable level of risk remains regarding the actual operating condition of these businesses. Until we actually assume operating control of such business assets, we may not be able to ascertain the actual value of the acquired entity.</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ITEM 1A. RISK FACTORS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EXPOSED TO RISKS ASSOCIATED WITH REAL ESTATE DEVELOPMENT.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real estate development activities entail risks that include construction delays or cost overruns, which may increase project development costs. In addition, the effects of the rebuilding efforts due to destructive weather, including hurricanes, could cause increased prices for construction materials and create labor shortages which could increase our development costs.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real estate development activities require significant capital expenditures. We obtain funds for our capital expenditures through cash flow from operations and financings, including the financings of the community development districts in which our development projects are located. We cannot be certain that the funds available from these sources will be sufficient to fund our required or desired capital expenditures for development. If we are unable to obtain sufficient funds, we may have to defer or otherwise limit our development activities. If we are unsuccessful in our selling efforts, we may not be able to recover these capital expenditures.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 FOR LAND COULD ADVERSELY AFFECT OUR REAL ESTATE BUSINESS.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Over the past few years, we have experienced an increase in competition for suitable land in the Florida real estate market. The availability of undeveloped land for purchase that meets our internal criteria depends on a number of factors outside our control, including land availability in general, competition with other developers and land buyers for desirable property, inflation in land prices, zoning, allowable development density and other regulatory requirements. Our long-term ability to acquire land suitable for development at reasonable prices in locations where we feel there is a viable market is crucial in maintaining our business success.</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UNREGISTERED SALES OF EQUITY SECURITIES AND USE OF PROCEEDS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OTHER INFORMATION</w:t>
            </w:r>
          </w:p>
        </w:tc>
        <w:tc>
          <w:tcPr>
            <w:tcW w:w="35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Reference</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is made to our 2005  Form  10-K  for</w:t>
            </w:r>
          </w:p>
        </w:tc>
        <w:tc>
          <w:tcPr>
            <w:tcW w:w="3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background  information  on the</w:t>
            </w:r>
          </w:p>
        </w:tc>
        <w:tc>
          <w:tcPr>
            <w:tcW w:w="1800" w:type="dxa"/>
            <w:vAlign w:val="bottom"/>
          </w:tcPr>
          <w:p>
            <w:pPr>
              <w:spacing w:after="0"/>
              <w:rPr>
                <w:sz w:val="24"/>
                <w:szCs w:val="24"/>
                <w:color w:val="auto"/>
              </w:rPr>
            </w:pP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following updates. Unless otherwise indicated,</w:t>
            </w:r>
          </w:p>
        </w:tc>
        <w:tc>
          <w:tcPr>
            <w:tcW w:w="3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cited references are to our 2005</w:t>
            </w:r>
          </w:p>
        </w:tc>
        <w:tc>
          <w:tcPr>
            <w:tcW w:w="180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Form 10-K.</w:t>
            </w:r>
          </w:p>
        </w:tc>
        <w:tc>
          <w:tcPr>
            <w:tcW w:w="31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7680" w:type="dxa"/>
            <w:vAlign w:val="bottom"/>
            <w:gridSpan w:val="3"/>
          </w:tcPr>
          <w:p>
            <w:pPr>
              <w:spacing w:after="0"/>
              <w:rPr>
                <w:sz w:val="20"/>
                <w:szCs w:val="20"/>
                <w:color w:val="auto"/>
              </w:rPr>
            </w:pPr>
            <w:r>
              <w:rPr>
                <w:rFonts w:ascii="Courier New" w:cs="Courier New" w:eastAsia="Courier New" w:hAnsi="Courier New"/>
                <w:sz w:val="14"/>
                <w:szCs w:val="14"/>
                <w:color w:val="auto"/>
              </w:rPr>
              <w:t>Ref. Page 7 - Minimum Revenue and Demand Under Contract Table</w:t>
            </w:r>
          </w:p>
        </w:tc>
        <w:tc>
          <w:tcPr>
            <w:tcW w:w="1800" w:type="dxa"/>
            <w:vAlign w:val="bottom"/>
          </w:tcPr>
          <w:p>
            <w:pPr>
              <w:spacing w:after="0"/>
              <w:rPr>
                <w:sz w:val="24"/>
                <w:szCs w:val="24"/>
                <w:color w:val="auto"/>
              </w:rPr>
            </w:pPr>
          </w:p>
        </w:tc>
      </w:tr>
      <w:tr>
        <w:trPr>
          <w:trHeight w:val="663"/>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MINIMUM REVENUE AND DEMAND UNDER CONTRACT</w:t>
            </w:r>
          </w:p>
        </w:tc>
        <w:tc>
          <w:tcPr>
            <w:tcW w:w="3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MINIMUM</w:t>
            </w: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w w:val="98"/>
              </w:rPr>
              <w:t>MONTHLY</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AS OF APRIL 1, 2006</w:t>
            </w:r>
          </w:p>
        </w:tc>
        <w:tc>
          <w:tcPr>
            <w:tcW w:w="35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ANNUAL REVENUE</w:t>
            </w:r>
          </w:p>
        </w:tc>
        <w:tc>
          <w:tcPr>
            <w:tcW w:w="1800" w:type="dxa"/>
            <w:vAlign w:val="bottom"/>
          </w:tcPr>
          <w:p>
            <w:pPr>
              <w:ind w:left="420"/>
              <w:spacing w:after="0"/>
              <w:rPr>
                <w:sz w:val="20"/>
                <w:szCs w:val="20"/>
                <w:color w:val="auto"/>
              </w:rPr>
            </w:pPr>
            <w:r>
              <w:rPr>
                <w:rFonts w:ascii="Courier New" w:cs="Courier New" w:eastAsia="Courier New" w:hAnsi="Courier New"/>
                <w:sz w:val="14"/>
                <w:szCs w:val="14"/>
                <w:color w:val="auto"/>
              </w:rPr>
              <w:t>MEGAWATTS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20" w:type="dxa"/>
            <w:vAlign w:val="bottom"/>
          </w:tcPr>
          <w:p>
            <w:pPr>
              <w:jc w:val="right"/>
              <w:ind w:right="2608"/>
              <w:spacing w:after="0"/>
              <w:rPr>
                <w:sz w:val="20"/>
                <w:szCs w:val="20"/>
                <w:color w:val="auto"/>
              </w:rPr>
            </w:pPr>
            <w:r>
              <w:rPr>
                <w:rFonts w:ascii="Courier New" w:cs="Courier New" w:eastAsia="Courier New" w:hAnsi="Courier New"/>
                <w:sz w:val="14"/>
                <w:szCs w:val="14"/>
                <w:color w:val="auto"/>
                <w:w w:val="95"/>
              </w:rPr>
              <w:t>2006</w:t>
            </w:r>
          </w:p>
        </w:tc>
        <w:tc>
          <w:tcPr>
            <w:tcW w:w="4680" w:type="dxa"/>
            <w:vAlign w:val="bottom"/>
            <w:gridSpan w:val="2"/>
          </w:tcPr>
          <w:p>
            <w:pPr>
              <w:ind w:left="2660"/>
              <w:spacing w:after="0"/>
              <w:rPr>
                <w:sz w:val="20"/>
                <w:szCs w:val="20"/>
                <w:color w:val="auto"/>
              </w:rPr>
            </w:pPr>
            <w:r>
              <w:rPr>
                <w:rFonts w:ascii="Courier New" w:cs="Courier New" w:eastAsia="Courier New" w:hAnsi="Courier New"/>
                <w:sz w:val="14"/>
                <w:szCs w:val="14"/>
                <w:color w:val="auto"/>
              </w:rPr>
              <w:t>$95.4 million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r>
      <w:tr>
        <w:trPr>
          <w:trHeight w:val="166"/>
        </w:trPr>
        <w:tc>
          <w:tcPr>
            <w:tcW w:w="3020" w:type="dxa"/>
            <w:vAlign w:val="bottom"/>
          </w:tcPr>
          <w:p>
            <w:pPr>
              <w:jc w:val="right"/>
              <w:ind w:right="2608"/>
              <w:spacing w:after="0"/>
              <w:rPr>
                <w:sz w:val="20"/>
                <w:szCs w:val="20"/>
                <w:color w:val="auto"/>
              </w:rPr>
            </w:pPr>
            <w:r>
              <w:rPr>
                <w:rFonts w:ascii="Courier New" w:cs="Courier New" w:eastAsia="Courier New" w:hAnsi="Courier New"/>
                <w:sz w:val="14"/>
                <w:szCs w:val="14"/>
                <w:color w:val="auto"/>
                <w:w w:val="95"/>
              </w:rPr>
              <w:t>2007</w:t>
            </w:r>
          </w:p>
        </w:tc>
        <w:tc>
          <w:tcPr>
            <w:tcW w:w="3140" w:type="dxa"/>
            <w:vAlign w:val="bottom"/>
          </w:tcPr>
          <w:p>
            <w:pPr>
              <w:ind w:left="2660"/>
              <w:spacing w:after="0"/>
              <w:rPr>
                <w:sz w:val="20"/>
                <w:szCs w:val="20"/>
                <w:color w:val="auto"/>
              </w:rPr>
            </w:pPr>
            <w:r>
              <w:rPr>
                <w:rFonts w:ascii="Courier New" w:cs="Courier New" w:eastAsia="Courier New" w:hAnsi="Courier New"/>
                <w:sz w:val="14"/>
                <w:szCs w:val="14"/>
                <w:color w:val="auto"/>
              </w:rPr>
              <w:t>$38.0</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206</w:t>
            </w:r>
          </w:p>
        </w:tc>
      </w:tr>
      <w:tr>
        <w:trPr>
          <w:trHeight w:val="166"/>
        </w:trPr>
        <w:tc>
          <w:tcPr>
            <w:tcW w:w="3020" w:type="dxa"/>
            <w:vAlign w:val="bottom"/>
          </w:tcPr>
          <w:p>
            <w:pPr>
              <w:jc w:val="right"/>
              <w:ind w:right="2608"/>
              <w:spacing w:after="0"/>
              <w:rPr>
                <w:sz w:val="20"/>
                <w:szCs w:val="20"/>
                <w:color w:val="auto"/>
              </w:rPr>
            </w:pPr>
            <w:r>
              <w:rPr>
                <w:rFonts w:ascii="Courier New" w:cs="Courier New" w:eastAsia="Courier New" w:hAnsi="Courier New"/>
                <w:sz w:val="14"/>
                <w:szCs w:val="14"/>
                <w:color w:val="auto"/>
                <w:w w:val="95"/>
              </w:rPr>
              <w:t>2008</w:t>
            </w:r>
          </w:p>
        </w:tc>
        <w:tc>
          <w:tcPr>
            <w:tcW w:w="3140" w:type="dxa"/>
            <w:vAlign w:val="bottom"/>
          </w:tcPr>
          <w:p>
            <w:pPr>
              <w:ind w:left="2660"/>
              <w:spacing w:after="0"/>
              <w:rPr>
                <w:sz w:val="20"/>
                <w:szCs w:val="20"/>
                <w:color w:val="auto"/>
              </w:rPr>
            </w:pPr>
            <w:r>
              <w:rPr>
                <w:rFonts w:ascii="Courier New" w:cs="Courier New" w:eastAsia="Courier New" w:hAnsi="Courier New"/>
                <w:sz w:val="14"/>
                <w:szCs w:val="14"/>
                <w:color w:val="auto"/>
              </w:rPr>
              <w:t>$27.7</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6"/>
        </w:trPr>
        <w:tc>
          <w:tcPr>
            <w:tcW w:w="3020" w:type="dxa"/>
            <w:vAlign w:val="bottom"/>
          </w:tcPr>
          <w:p>
            <w:pPr>
              <w:jc w:val="right"/>
              <w:ind w:right="2608"/>
              <w:spacing w:after="0"/>
              <w:rPr>
                <w:sz w:val="20"/>
                <w:szCs w:val="20"/>
                <w:color w:val="auto"/>
              </w:rPr>
            </w:pPr>
            <w:r>
              <w:rPr>
                <w:rFonts w:ascii="Courier New" w:cs="Courier New" w:eastAsia="Courier New" w:hAnsi="Courier New"/>
                <w:sz w:val="14"/>
                <w:szCs w:val="14"/>
                <w:color w:val="auto"/>
                <w:w w:val="95"/>
              </w:rPr>
              <w:t>2009</w:t>
            </w:r>
          </w:p>
        </w:tc>
        <w:tc>
          <w:tcPr>
            <w:tcW w:w="3140" w:type="dxa"/>
            <w:vAlign w:val="bottom"/>
          </w:tcPr>
          <w:p>
            <w:pPr>
              <w:ind w:left="2660"/>
              <w:spacing w:after="0"/>
              <w:rPr>
                <w:sz w:val="20"/>
                <w:szCs w:val="20"/>
                <w:color w:val="auto"/>
              </w:rPr>
            </w:pPr>
            <w:r>
              <w:rPr>
                <w:rFonts w:ascii="Courier New" w:cs="Courier New" w:eastAsia="Courier New" w:hAnsi="Courier New"/>
                <w:sz w:val="14"/>
                <w:szCs w:val="14"/>
                <w:color w:val="auto"/>
              </w:rPr>
              <w:t>$25.9</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r>
        <w:trPr>
          <w:trHeight w:val="166"/>
        </w:trPr>
        <w:tc>
          <w:tcPr>
            <w:tcW w:w="3020" w:type="dxa"/>
            <w:vAlign w:val="bottom"/>
          </w:tcPr>
          <w:p>
            <w:pPr>
              <w:jc w:val="right"/>
              <w:ind w:right="2608"/>
              <w:spacing w:after="0"/>
              <w:rPr>
                <w:sz w:val="20"/>
                <w:szCs w:val="20"/>
                <w:color w:val="auto"/>
              </w:rPr>
            </w:pPr>
            <w:r>
              <w:rPr>
                <w:rFonts w:ascii="Courier New" w:cs="Courier New" w:eastAsia="Courier New" w:hAnsi="Courier New"/>
                <w:sz w:val="14"/>
                <w:szCs w:val="14"/>
                <w:color w:val="auto"/>
                <w:w w:val="95"/>
              </w:rPr>
              <w:t>2010</w:t>
            </w:r>
          </w:p>
        </w:tc>
        <w:tc>
          <w:tcPr>
            <w:tcW w:w="3140" w:type="dxa"/>
            <w:vAlign w:val="bottom"/>
          </w:tcPr>
          <w:p>
            <w:pPr>
              <w:ind w:left="2660"/>
              <w:spacing w:after="0"/>
              <w:rPr>
                <w:sz w:val="20"/>
                <w:szCs w:val="20"/>
                <w:color w:val="auto"/>
              </w:rPr>
            </w:pPr>
            <w:r>
              <w:rPr>
                <w:rFonts w:ascii="Courier New" w:cs="Courier New" w:eastAsia="Courier New" w:hAnsi="Courier New"/>
                <w:sz w:val="14"/>
                <w:szCs w:val="14"/>
                <w:color w:val="auto"/>
              </w:rPr>
              <w:t>$17.8</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tabs>
          <w:tab w:leader="none" w:pos="2660" w:val="left"/>
        </w:tabs>
        <w:rPr>
          <w:sz w:val="20"/>
          <w:szCs w:val="20"/>
          <w:color w:val="auto"/>
        </w:rPr>
      </w:pPr>
      <w:r>
        <w:rPr>
          <w:rFonts w:ascii="Courier New" w:cs="Courier New" w:eastAsia="Courier New" w:hAnsi="Courier New"/>
          <w:sz w:val="14"/>
          <w:szCs w:val="14"/>
          <w:color w:val="auto"/>
        </w:rPr>
        <w:t>Based on past experience, we</w:t>
        <w:tab/>
        <w:t>believe revenue from our large power customers will be substantially in excess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the minimum contract amounts.</w:t>
      </w:r>
    </w:p>
    <w:p>
      <w:pPr>
        <w:spacing w:after="0" w:line="7" w:lineRule="exact"/>
        <w:rPr>
          <w:sz w:val="20"/>
          <w:szCs w:val="20"/>
          <w:color w:val="auto"/>
        </w:rPr>
      </w:pPr>
    </w:p>
    <w:p>
      <w:pPr>
        <w:ind w:left="100"/>
        <w:spacing w:after="0"/>
        <w:tabs>
          <w:tab w:leader="none" w:pos="3780" w:val="left"/>
          <w:tab w:leader="none" w:pos="5500" w:val="left"/>
        </w:tabs>
        <w:rPr>
          <w:sz w:val="20"/>
          <w:szCs w:val="20"/>
          <w:color w:val="auto"/>
        </w:rPr>
      </w:pPr>
      <w:r>
        <w:rPr>
          <w:rFonts w:ascii="Courier New" w:cs="Courier New" w:eastAsia="Courier New" w:hAnsi="Courier New"/>
          <w:sz w:val="14"/>
          <w:szCs w:val="14"/>
          <w:color w:val="auto"/>
        </w:rPr>
        <w:t>Although several contracts have a feature</w:t>
        <w:tab/>
        <w:t>that allows demand</w:t>
        <w:tab/>
        <w:t>to go to zero after a two-year advance notice</w:t>
      </w:r>
    </w:p>
    <w:p>
      <w:pPr>
        <w:spacing w:after="0" w:line="7" w:lineRule="exact"/>
        <w:rPr>
          <w:sz w:val="20"/>
          <w:szCs w:val="20"/>
          <w:color w:val="auto"/>
        </w:rPr>
      </w:pPr>
    </w:p>
    <w:p>
      <w:pPr>
        <w:ind w:left="440"/>
        <w:spacing w:after="0"/>
        <w:tabs>
          <w:tab w:leader="none" w:pos="940" w:val="left"/>
          <w:tab w:leader="none" w:pos="1880" w:val="left"/>
          <w:tab w:leader="none" w:pos="3180" w:val="left"/>
          <w:tab w:leader="none" w:pos="5320" w:val="left"/>
          <w:tab w:leader="none" w:pos="6880" w:val="left"/>
          <w:tab w:leader="none" w:pos="8340" w:val="left"/>
        </w:tabs>
        <w:rPr>
          <w:sz w:val="20"/>
          <w:szCs w:val="20"/>
          <w:color w:val="auto"/>
        </w:rPr>
      </w:pPr>
      <w:r>
        <w:rPr>
          <w:rFonts w:ascii="Courier New" w:cs="Courier New" w:eastAsia="Courier New" w:hAnsi="Courier New"/>
          <w:sz w:val="14"/>
          <w:szCs w:val="14"/>
          <w:color w:val="auto"/>
        </w:rPr>
        <w:t>of a</w:t>
        <w:tab/>
        <w:t>permanent</w:t>
        <w:tab/>
        <w:t>closure, this</w:t>
        <w:tab/>
        <w:t>minimum revenue summary</w:t>
        <w:tab/>
        <w:t>does not reflect</w:t>
        <w:tab/>
        <w:t>this occurrence</w:t>
        <w:tab/>
        <w:t>happening in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forecasted period because we believe it is unlikely.</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ALLETE First Quarter 2006 Form 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2">
            <w:col w:w="6000" w:space="720"/>
            <w:col w:w="3519"/>
          </w:cols>
          <w:pgMar w:left="220" w:top="616" w:right="1440" w:bottom="1440" w:gutter="0" w:footer="0" w:header="0"/>
          <w:type w:val="continuous"/>
        </w:sectPr>
      </w:pPr>
    </w:p>
    <w:bookmarkStart w:id="35" w:name="page36"/>
    <w:bookmarkEnd w:id="35"/>
    <w:p>
      <w:pPr>
        <w:spacing w:after="0"/>
        <w:tabs>
          <w:tab w:leader="none" w:pos="760" w:val="left"/>
        </w:tabs>
        <w:rPr>
          <w:sz w:val="20"/>
          <w:szCs w:val="20"/>
          <w:color w:val="auto"/>
        </w:rPr>
      </w:pPr>
      <w:r>
        <w:rPr>
          <w:rFonts w:ascii="Courier New" w:cs="Courier New" w:eastAsia="Courier New" w:hAnsi="Courier New"/>
          <w:sz w:val="14"/>
          <w:szCs w:val="14"/>
          <w:color w:val="auto"/>
        </w:rPr>
        <w:t>ITEM 5.</w:t>
        <w:tab/>
        <w:t>OTHER INFORMATION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10 - Eighth Full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February 24, 2006, the MPUC issued an order documenting the February 9, 2006, hearing that granted rehearing of the MISO Day 2 docket and suspended the refund obligation. The Company is working with the other Minnesota utilities, the DOC and other stakeholders to prepare a joint recommendation, required by the MPUC in its February 24, 2006 order, of which costs should be recovered on a current basis through the fuel clause and which costs are more appropriately deferred for potential recovery through base rates. The parties had 60 days to report their recommendations to the MPUC. On April 24, 2006, the MPUC approved an extension for the parties to file their recommendations by June 22, 2006. The Company is unable to predict the outcome of this matter.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11 - First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LARGE POWER CONTRACTS. On March 7, 2006, the MPUC approved Minnesota Power's new electric service agreement with Stora Enso Oyj's Duluth mills through August 31, 2013. On April 7, 2006, the MPUC approved Minnesota Power's new electric service agreement with UPM-Kymmene Corporation's Blandin Paper mill in Grand Rapids through April 30, 2010.</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11 - Second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RESOURCE PLAN. In 2006, the MPUC approved our Integrated Resource Plan (Resource Plan). The Resource Plan detailed our retail energy demand projections and our energy sourcing options to meet projected demand. Key components of the Resource Plan included redirection of our Taconite Harbor generating facility from nonregulated energy operations to regulated utility operations effective January 1, 2006. The Taconite Harbor generation will be supplemented with a 50-MW long-term power purchase agreement with Manitoba Hydro. Expansion of our renewable generating assets to meet Minnesota's Renewable Energy Objective that seeks a 10 percent supply of qualified renewable energy resources in the state by 2015 for each Minnesota utility was also approved.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11 - Sixth Paragraph and Page 20 - Second Full Paragraph</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SQUARE BUTTE GENERATING FACILITY. On April 24, 2006, Minnkota Power announced it has reached a settlement agreement with the EPA and the State of North Dakota regarding emissions at the M.R. Young Station, which includes the Square Butte generating unit. In June 2002, Minnkota Power, the operator of Square Butte, received a Notice of Violation from the EPA regarding alleged New Source Review violations at the M.R. Young Station. The EPA claimed certain capital projects completed by Minnkota Power should have been reviewed pursuant to the New Source Review regulations, potentially resulting in new air permit operating conditions. The current Square Butte flue gas desulfurization (FGD) system will be upgraded in 2010 to increase its removal efficiency from 70 percent to 90 percent. Capital expenditures for the emission control additions and modifications on Square Butte are estimated at $35 million. These estimated capital expenditures may be significantly offset by the sale of surplus SO2 allowance credits created with the early upgrade of the FGD system, which is being upgraded two years earlier than required by Federal rules. We expect such capital expenditures to be debt financed. Our future cost of purchased power would include our pro rata share of this additional debt service. On April 24, 2006, a Complaint and a Consent Decree with respect to this settlement agreement were filed in U.S. District Court for the District of North Dakota (Court). The Consent Decree is open to public comment for 30 days after which, if entered as an order by the Court, will constitute a final settlement of this issue. If finalized, the Consent Decree settlement would also require Square Butte to pay approximately $0.6 million in administrative costs and penalties in 2006, and $3.3 million toward additional environmental projects including wind power installations or power purchase agreements.</w:t>
      </w:r>
    </w:p>
    <w:p>
      <w:pPr>
        <w:spacing w:after="0" w:line="34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36" w:name="page37"/>
    <w:bookmarkEnd w:id="36"/>
    <w:p>
      <w:pPr>
        <w:spacing w:after="0"/>
        <w:tabs>
          <w:tab w:leader="none" w:pos="760" w:val="left"/>
        </w:tabs>
        <w:rPr>
          <w:sz w:val="20"/>
          <w:szCs w:val="20"/>
          <w:color w:val="auto"/>
        </w:rPr>
      </w:pPr>
      <w:r>
        <w:rPr>
          <w:rFonts w:ascii="Courier New" w:cs="Courier New" w:eastAsia="Courier New" w:hAnsi="Courier New"/>
          <w:sz w:val="14"/>
          <w:szCs w:val="14"/>
          <w:color w:val="auto"/>
        </w:rPr>
        <w:t>ITEM 5.</w:t>
        <w:tab/>
        <w:t>OTHER INFORMATION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12 - Fifth Full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May 1, 2006, SWL&amp;P filed an application with the PSCW for authority to increase retail utility rates an average of 5.2 percent. This average increase is comprised of a 4.6 percent increase in electric rates, a 2.4 percent increase in gas rates and a 19.8 percent increase in water rates. The proposed increases are due to increased operating costs and the need to construct additional water storage. SWL&amp;P is requesting an 11.7 percent return on common equity. The Company expects that hearings will be conducted in late 2006 and new rates will become effective in January 2007.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14 - Fourth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December 2005, we entered into an agreement with Wisconsin Public Service Corporation and WPS Investments, LLC that provides for our Wisconsin subsidiary, Rainy River Energy Corporation - Wisconsin, to invest $60 million in ATC. Our investment is expected to represent an estimated 9 percent ownership interest in ATC. On May 4, 2006, the PSCW reviewed and approved the request that allows us to invest in ATC. We anticipate having $60 million invested in ATC by the end of 2006. Our first investment is expected to occur in May 2006.</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16 - Third Full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May 4, 2006, ALLETE Properties entered into a $52.5 million contract for the sale of residential and commercial land at its Palm Coast Park development project. Under this contract, land will be purchased in four phases, with closings to occur in 2007 through 2009, and includes the opportunity to receive participation revenue. The development will include 1,459 residential housing units, a championship golf course, and neighborhood retail and office space, along with a community park and school site.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20 - Insert before First Full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49 - Fifth Paragraph</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On April 27, 2006, an agreement was announced by Minnesota Governor Tim Pawlenty on language for a proposed utility mercury emission reduction bill in Minnesota. Minnesota Power, along with Xcel Energy Inc., the MPCA, the Minnesota Chamber of Commerce, the DOC and an umbrella organization of environmental groups called Mercury Free Minnesota, had been meeting for several months in negotiation on bill language at the request of the Governor. The bill was presented to and approved by the Minnesota House of Representatives on May 1, 2006. The Minnesota Senate passed the bill on May 4, 2006. The bill is now ready for the Governor's signature and he is expected to sign it in the near future. This legislation would require Minnesota Power to file mercury emission reduction plans for its Boswell Units 3 and 4, with one plan due December 31, 2007, and the other plan due July 1, 2011, with installation of mercury emission reduction technology and equipment by December 31, 2010, and December 31, 2014, respectively. The plans must include one in which the mercury reduction goal is 90 percent. Alternate plans, with the percentage of reduction elected by the utility, are also required to be filed. Minnesota Power may apply mercury emissions achieved under its Arrowhead Regional Emission Abatement plan at Taconite Harbor toward the reduction goal required under approved plans for Boswell Units 3 and 4. Filed plans must be reviewed and approved by the MPCA and the MPUC under criteria that include, among other things, technical feasibility, environmental benefit, cost effectiveness and rate impact. The legislation encourages multi-emission reduction plans and also extends a statutory provision for current cost recovery outside of a rate case for approved emission reduction expenditures, including mercury and other types of emissions, from 2006 through 2013. The draft legislation generally comports with Minnesota Power's plans for its Boswell Units 3 and 4 mercury and other emission retrofits. Mercury emission reduction expenditures planned for Boswell Unit 3 are estimated at $200 million and are included in the $280 million we expect to spend for environmental upgrades from 2007 through 2010. Minnesota Power anticipates that costs for these expenditures will be recovered from customers on a current basis, subject to approval by the MPUC. The Company plans to make a filing with the MPUC for current cost recovery on these Boswell Unit 3 costs later this year.</w:t>
      </w:r>
    </w:p>
    <w:p>
      <w:pPr>
        <w:spacing w:after="0" w:line="345"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2006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ectPr>
          <w:pgSz w:w="11900" w:h="16838" w:orient="portrait"/>
          <w:cols w:equalWidth="0" w:num="1">
            <w:col w:w="10239"/>
          </w:cols>
          <w:pgMar w:left="220" w:top="616" w:right="1440" w:bottom="1440" w:gutter="0" w:footer="0" w:header="0"/>
        </w:sectPr>
      </w:pPr>
    </w:p>
    <w:bookmarkStart w:id="37" w:name="page38"/>
    <w:bookmarkEnd w:id="37"/>
    <w:p>
      <w:pPr>
        <w:spacing w:after="0"/>
        <w:tabs>
          <w:tab w:leader="none" w:pos="760" w:val="left"/>
        </w:tabs>
        <w:rPr>
          <w:sz w:val="20"/>
          <w:szCs w:val="20"/>
          <w:color w:val="auto"/>
        </w:rPr>
      </w:pPr>
      <w:r>
        <w:rPr>
          <w:rFonts w:ascii="Courier New" w:cs="Courier New" w:eastAsia="Courier New" w:hAnsi="Courier New"/>
          <w:sz w:val="14"/>
          <w:szCs w:val="14"/>
          <w:color w:val="auto"/>
        </w:rPr>
        <w:t>ITEM 5.</w:t>
        <w:tab/>
        <w:t>OTHER INFORMATION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21 - Sixth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February 28, 2006, members of the International Brotherhood of Electrical Workers (IBEW) Local No. 31 ratified a new three-year labor agreement with SWL&amp;P and Minnesota Power that is retroactive to February 1, 2006. Wage increases are 3.1 percent for 2006 and 2007, and 3.0 percent for 2008. The agreement also includes union employees in the results sharing compensation awards program starting in 2006.</w:t>
      </w:r>
    </w:p>
    <w:p>
      <w:pPr>
        <w:spacing w:after="0" w:line="33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p>
      <w:pPr>
        <w:jc w:val="both"/>
        <w:ind w:left="780" w:right="3339" w:hanging="259"/>
        <w:spacing w:after="0" w:line="252" w:lineRule="auto"/>
        <w:tabs>
          <w:tab w:leader="none" w:pos="760" w:val="left"/>
        </w:tabs>
        <w:rPr>
          <w:sz w:val="20"/>
          <w:szCs w:val="20"/>
          <w:color w:val="auto"/>
        </w:rPr>
      </w:pPr>
      <w:r>
        <w:rPr>
          <w:rFonts w:ascii="Courier New" w:cs="Courier New" w:eastAsia="Courier New" w:hAnsi="Courier New"/>
          <w:sz w:val="14"/>
          <w:szCs w:val="14"/>
          <w:color w:val="auto"/>
        </w:rPr>
        <w:t>4</w:t>
        <w:tab/>
        <w:t>Twenty-fifth Supplemental Indenture, dated as of December 1, 2005, between ALLETE and The Bank of New York and Douglas J. MacInnes, as Trustees.</w:t>
      </w:r>
    </w:p>
    <w:p>
      <w:pPr>
        <w:spacing w:after="0" w:line="163" w:lineRule="exact"/>
        <w:rPr>
          <w:sz w:val="20"/>
          <w:szCs w:val="20"/>
          <w:color w:val="auto"/>
        </w:rPr>
      </w:pPr>
    </w:p>
    <w:p>
      <w:pPr>
        <w:ind w:left="780" w:right="3339" w:hanging="599"/>
        <w:spacing w:after="0" w:line="255" w:lineRule="auto"/>
        <w:tabs>
          <w:tab w:leader="none" w:pos="760" w:val="left"/>
        </w:tabs>
        <w:rPr>
          <w:sz w:val="20"/>
          <w:szCs w:val="20"/>
          <w:color w:val="auto"/>
        </w:rPr>
      </w:pPr>
      <w:r>
        <w:rPr>
          <w:rFonts w:ascii="Courier New" w:cs="Courier New" w:eastAsia="Courier New" w:hAnsi="Courier New"/>
          <w:sz w:val="14"/>
          <w:szCs w:val="14"/>
          <w:color w:val="auto"/>
        </w:rPr>
        <w:t>31(a)</w:t>
        <w:tab/>
        <w:t>Rule 13a-14(a)/15d-14(a) Certification by the Chief Executive Officer Pursuant to Section 302 of the Sarbanes-Oxley Act of 2002.</w:t>
      </w:r>
    </w:p>
    <w:p>
      <w:pPr>
        <w:spacing w:after="0" w:line="160" w:lineRule="exact"/>
        <w:rPr>
          <w:sz w:val="20"/>
          <w:szCs w:val="20"/>
          <w:color w:val="auto"/>
        </w:rPr>
      </w:pPr>
    </w:p>
    <w:p>
      <w:pPr>
        <w:ind w:left="780" w:right="3339" w:hanging="599"/>
        <w:spacing w:after="0" w:line="255" w:lineRule="auto"/>
        <w:tabs>
          <w:tab w:leader="none" w:pos="760" w:val="left"/>
        </w:tabs>
        <w:rPr>
          <w:sz w:val="20"/>
          <w:szCs w:val="20"/>
          <w:color w:val="auto"/>
        </w:rPr>
      </w:pPr>
      <w:r>
        <w:rPr>
          <w:rFonts w:ascii="Courier New" w:cs="Courier New" w:eastAsia="Courier New" w:hAnsi="Courier New"/>
          <w:sz w:val="14"/>
          <w:szCs w:val="14"/>
          <w:color w:val="auto"/>
        </w:rPr>
        <w:t>31(b)</w:t>
        <w:tab/>
        <w:t>Rule 13a-14(a)/15d-14(a) Certification by the Chief Financial Officer Pursuant to Section 302 of the Sarbanes-Oxley Act of 2002.</w:t>
      </w:r>
    </w:p>
    <w:p>
      <w:pPr>
        <w:spacing w:after="0" w:line="160" w:lineRule="exact"/>
        <w:rPr>
          <w:sz w:val="20"/>
          <w:szCs w:val="20"/>
          <w:color w:val="auto"/>
        </w:rPr>
      </w:pPr>
    </w:p>
    <w:p>
      <w:pPr>
        <w:jc w:val="both"/>
        <w:ind w:left="780" w:right="3339" w:hanging="341"/>
        <w:spacing w:after="0" w:line="252" w:lineRule="auto"/>
        <w:tabs>
          <w:tab w:leader="none" w:pos="7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38" w:name="page39"/>
    <w:bookmarkEnd w:id="38"/>
    <w:p>
      <w:pPr>
        <w:ind w:left="302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782" w:right="1440" w:bottom="1440" w:gutter="0" w:footer="0" w:header="0"/>
        </w:sectPr>
      </w:pPr>
    </w:p>
    <w:p>
      <w:pPr>
        <w:spacing w:after="0" w:line="338"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0"/>
        <w:spacing w:after="0"/>
        <w:tabs>
          <w:tab w:leader="none" w:pos="920" w:val="left"/>
          <w:tab w:leader="none" w:pos="1620" w:val="left"/>
          <w:tab w:leader="none" w:pos="2220" w:val="left"/>
        </w:tabs>
        <w:rPr>
          <w:sz w:val="20"/>
          <w:szCs w:val="20"/>
          <w:color w:val="auto"/>
        </w:rPr>
      </w:pPr>
      <w:r>
        <w:rPr>
          <w:rFonts w:ascii="Courier New" w:cs="Courier New" w:eastAsia="Courier New" w:hAnsi="Courier New"/>
          <w:sz w:val="14"/>
          <w:szCs w:val="14"/>
          <w:color w:val="auto"/>
        </w:rPr>
        <w:t>Exchange</w:t>
        <w:tab/>
        <w:t>Act of</w:t>
        <w:tab/>
        <w:t>1934,</w:t>
        <w:tab/>
        <w:t>the</w:t>
      </w:r>
    </w:p>
    <w:p>
      <w:pPr>
        <w:spacing w:after="0" w:line="7" w:lineRule="exact"/>
        <w:rPr>
          <w:sz w:val="20"/>
          <w:szCs w:val="20"/>
          <w:color w:val="auto"/>
        </w:rPr>
      </w:pPr>
    </w:p>
    <w:p>
      <w:pPr>
        <w:spacing w:after="0"/>
        <w:tabs>
          <w:tab w:leader="none" w:pos="680" w:val="left"/>
          <w:tab w:leader="none" w:pos="1360" w:val="left"/>
        </w:tabs>
        <w:rPr>
          <w:sz w:val="20"/>
          <w:szCs w:val="20"/>
          <w:color w:val="auto"/>
        </w:rPr>
      </w:pPr>
      <w:r>
        <w:rPr>
          <w:rFonts w:ascii="Courier New" w:cs="Courier New" w:eastAsia="Courier New" w:hAnsi="Courier New"/>
          <w:sz w:val="14"/>
          <w:szCs w:val="14"/>
          <w:color w:val="auto"/>
        </w:rPr>
        <w:t>signed</w:t>
        <w:tab/>
        <w:t>on its</w:t>
        <w:tab/>
        <w:t>behalf by the</w:t>
      </w:r>
    </w:p>
    <w:p>
      <w:pPr>
        <w:spacing w:after="0" w:line="375" w:lineRule="exact"/>
        <w:rPr>
          <w:sz w:val="20"/>
          <w:szCs w:val="20"/>
          <w:color w:val="auto"/>
        </w:rPr>
      </w:pPr>
    </w:p>
    <w:p>
      <w:pPr>
        <w:sectPr>
          <w:pgSz w:w="11900" w:h="16838" w:orient="portrait"/>
          <w:cols w:equalWidth="0" w:num="2">
            <w:col w:w="4320" w:space="80"/>
            <w:col w:w="5839"/>
          </w:cols>
          <w:pgMar w:left="220" w:top="782" w:right="1440"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May 8, 2006</w:t>
      </w:r>
      <w:r>
        <w:rPr>
          <w:sz w:val="20"/>
          <w:szCs w:val="20"/>
          <w:color w:val="auto"/>
        </w:rPr>
        <w:tab/>
      </w:r>
      <w:r>
        <w:rPr>
          <w:rFonts w:ascii="Courier New" w:cs="Courier New" w:eastAsia="Courier New" w:hAnsi="Courier New"/>
          <w:sz w:val="14"/>
          <w:szCs w:val="14"/>
          <w:color w:val="auto"/>
        </w:rPr>
        <w:t>James K. Vizanko</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May 8, 2006</w:t>
      </w:r>
      <w:r>
        <w:rPr>
          <w:sz w:val="20"/>
          <w:szCs w:val="20"/>
          <w:color w:val="auto"/>
        </w:rPr>
        <w:tab/>
      </w:r>
      <w:r>
        <w:rPr>
          <w:rFonts w:ascii="Courier New" w:cs="Courier New" w:eastAsia="Courier New" w:hAnsi="Courier New"/>
          <w:sz w:val="14"/>
          <w:szCs w:val="14"/>
          <w:color w:val="auto"/>
        </w:rPr>
        <w:t>Mark A. Schober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Senior Vice President and Controller</w:t>
      </w:r>
    </w:p>
    <w:p>
      <w:pPr>
        <w:spacing w:after="0" w:line="338" w:lineRule="exact"/>
        <w:rPr>
          <w:sz w:val="20"/>
          <w:szCs w:val="20"/>
          <w:color w:val="auto"/>
        </w:rPr>
      </w:pPr>
    </w:p>
    <w:p>
      <w:pPr>
        <w:jc w:val="right"/>
        <w:ind w:right="3339"/>
        <w:spacing w:after="0"/>
        <w:tabs>
          <w:tab w:leader="none" w:pos="160" w:val="left"/>
        </w:tabs>
        <w:rPr>
          <w:sz w:val="20"/>
          <w:szCs w:val="20"/>
          <w:color w:val="auto"/>
        </w:rPr>
      </w:pPr>
      <w:r>
        <w:rPr>
          <w:rFonts w:ascii="Courier New" w:cs="Courier New" w:eastAsia="Courier New" w:hAnsi="Courier New"/>
          <w:sz w:val="14"/>
          <w:szCs w:val="14"/>
          <w:color w:val="auto"/>
        </w:rPr>
        <w:t>ALLETE First Quarter 2006 Form 10-Q</w:t>
      </w:r>
      <w:r>
        <w:rPr>
          <w:sz w:val="20"/>
          <w:szCs w:val="20"/>
          <w:color w:val="auto"/>
        </w:rPr>
        <w:tab/>
      </w:r>
      <w:r>
        <w:rPr>
          <w:rFonts w:ascii="Courier New" w:cs="Courier New" w:eastAsia="Courier New" w:hAnsi="Courier New"/>
          <w:sz w:val="14"/>
          <w:szCs w:val="14"/>
          <w:color w:val="auto"/>
        </w:rPr>
        <w:t>36</w:t>
      </w:r>
    </w:p>
    <w:p>
      <w:pPr>
        <w:sectPr>
          <w:pgSz w:w="11900" w:h="16838" w:orient="portrait"/>
          <w:cols w:equalWidth="0" w:num="1">
            <w:col w:w="10239"/>
          </w:cols>
          <w:pgMar w:left="220" w:top="782" w:right="1440" w:bottom="1440" w:gutter="0" w:footer="0" w:header="0"/>
          <w:type w:val="continuous"/>
        </w:sectPr>
      </w:pPr>
    </w:p>
    <w:bookmarkStart w:id="39" w:name="page40"/>
    <w:bookmarkEnd w:id="39"/>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960" w:right="3339" w:hanging="435"/>
        <w:spacing w:after="0" w:line="252" w:lineRule="auto"/>
        <w:tabs>
          <w:tab w:leader="none" w:pos="9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Twenty-fifth Supplemental Indenture, dated as of December 1, 2005, between ALLETE and The Bank of New York and Douglas J. MacInnes, as Trustees.</w:t>
      </w:r>
    </w:p>
    <w:p>
      <w:pPr>
        <w:spacing w:after="0" w:line="163" w:lineRule="exact"/>
        <w:rPr>
          <w:sz w:val="20"/>
          <w:szCs w:val="20"/>
          <w:color w:val="auto"/>
        </w:rPr>
      </w:pPr>
    </w:p>
    <w:p>
      <w:pPr>
        <w:ind w:left="960" w:right="3339" w:hanging="779"/>
        <w:spacing w:after="0" w:line="255" w:lineRule="auto"/>
        <w:tabs>
          <w:tab w:leader="none" w:pos="940" w:val="left"/>
        </w:tabs>
        <w:rPr>
          <w:sz w:val="20"/>
          <w:szCs w:val="20"/>
          <w:color w:val="auto"/>
        </w:rPr>
      </w:pPr>
      <w:r>
        <w:rPr>
          <w:rFonts w:ascii="Courier New" w:cs="Courier New" w:eastAsia="Courier New" w:hAnsi="Courier New"/>
          <w:sz w:val="14"/>
          <w:szCs w:val="14"/>
          <w:color w:val="auto"/>
        </w:rPr>
        <w:t>31(a)</w:t>
      </w:r>
      <w:r>
        <w:rPr>
          <w:sz w:val="20"/>
          <w:szCs w:val="20"/>
          <w:color w:val="auto"/>
        </w:rPr>
        <w:tab/>
      </w:r>
      <w:r>
        <w:rPr>
          <w:rFonts w:ascii="Courier New" w:cs="Courier New" w:eastAsia="Courier New" w:hAnsi="Courier New"/>
          <w:sz w:val="14"/>
          <w:szCs w:val="14"/>
          <w:color w:val="auto"/>
        </w:rPr>
        <w:t>Rule 13a-14(a)/15d-14(a) Certification by the Chief Executive Officer Pursuant to Section 302 of the Sarbanes-Oxley Act of 2002.</w:t>
      </w:r>
    </w:p>
    <w:p>
      <w:pPr>
        <w:spacing w:after="0" w:line="160" w:lineRule="exact"/>
        <w:rPr>
          <w:sz w:val="20"/>
          <w:szCs w:val="20"/>
          <w:color w:val="auto"/>
        </w:rPr>
      </w:pPr>
    </w:p>
    <w:p>
      <w:pPr>
        <w:ind w:left="960" w:right="3339" w:hanging="779"/>
        <w:spacing w:after="0" w:line="255" w:lineRule="auto"/>
        <w:tabs>
          <w:tab w:leader="none" w:pos="940" w:val="left"/>
        </w:tabs>
        <w:rPr>
          <w:sz w:val="20"/>
          <w:szCs w:val="20"/>
          <w:color w:val="auto"/>
        </w:rPr>
      </w:pPr>
      <w:r>
        <w:rPr>
          <w:rFonts w:ascii="Courier New" w:cs="Courier New" w:eastAsia="Courier New" w:hAnsi="Courier New"/>
          <w:sz w:val="14"/>
          <w:szCs w:val="14"/>
          <w:color w:val="auto"/>
        </w:rPr>
        <w:t>31(b)</w:t>
      </w:r>
      <w:r>
        <w:rPr>
          <w:sz w:val="20"/>
          <w:szCs w:val="20"/>
          <w:color w:val="auto"/>
        </w:rPr>
        <w:tab/>
      </w:r>
      <w:r>
        <w:rPr>
          <w:rFonts w:ascii="Courier New" w:cs="Courier New" w:eastAsia="Courier New" w:hAnsi="Courier New"/>
          <w:sz w:val="14"/>
          <w:szCs w:val="14"/>
          <w:color w:val="auto"/>
        </w:rPr>
        <w:t>Rule 13a-14(a)/15d-14(a) Certification by the Chief Financial Officer Pursuant to Section 302 of the Sarbanes-Oxley Act of 2002.</w:t>
      </w:r>
    </w:p>
    <w:p>
      <w:pPr>
        <w:spacing w:after="0" w:line="160" w:lineRule="exact"/>
        <w:rPr>
          <w:sz w:val="20"/>
          <w:szCs w:val="20"/>
          <w:color w:val="auto"/>
        </w:rPr>
      </w:pPr>
    </w:p>
    <w:p>
      <w:pPr>
        <w:jc w:val="both"/>
        <w:ind w:left="960" w:right="3339" w:hanging="521"/>
        <w:spacing w:after="0" w:line="252" w:lineRule="auto"/>
        <w:tabs>
          <w:tab w:leader="none" w:pos="9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329"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616" w:right="1440" w:bottom="1440" w:gutter="0" w:footer="0" w:header="0"/>
        </w:sectPr>
      </w:pPr>
    </w:p>
    <w:bookmarkStart w:id="40" w:name="page41"/>
    <w:bookmarkEnd w:id="40"/>
    <w:p>
      <w:pPr>
        <w:ind w:left="6120"/>
        <w:spacing w:after="0"/>
        <w:rPr>
          <w:sz w:val="20"/>
          <w:szCs w:val="20"/>
          <w:color w:val="auto"/>
        </w:rPr>
      </w:pPr>
      <w:r>
        <w:rPr>
          <w:rFonts w:ascii="Courier New" w:cs="Courier New" w:eastAsia="Courier New" w:hAnsi="Courier New"/>
          <w:sz w:val="14"/>
          <w:szCs w:val="14"/>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(formerly Minnesota Power &amp; Light Company</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and formerly Minnesota Power,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BANK OF NEW YORK</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(formerly Irving Trust Company)</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DOUGLAS J. MACINNES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(successor to Richard H. West, J. A. Austin,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 J. McCabe, D. W. May, J. A. Vaughan and W. T. Cunningham)</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As Trustees under ALLETE, Inc.'s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Mortgage and Deed of Trust dated as of</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September 1, 1945</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Twenty-fifth Supplemental Indenture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Providing among other things for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First Mortgage Bonds, 5.69% Series due March 1, 2036</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(Thirty-first Series)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DATED AS OF DECEMBER 1,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307" w:right="1440" w:bottom="1440" w:gutter="0" w:footer="0" w:header="0"/>
        </w:sectPr>
      </w:pPr>
    </w:p>
    <w:bookmarkStart w:id="41" w:name="page42"/>
    <w:bookmarkEnd w:id="41"/>
    <w:p>
      <w:pPr>
        <w:ind w:left="1980"/>
        <w:spacing w:after="0"/>
        <w:rPr>
          <w:sz w:val="20"/>
          <w:szCs w:val="20"/>
          <w:color w:val="auto"/>
        </w:rPr>
      </w:pPr>
      <w:r>
        <w:rPr>
          <w:rFonts w:ascii="Courier New" w:cs="Courier New" w:eastAsia="Courier New" w:hAnsi="Courier New"/>
          <w:sz w:val="14"/>
          <w:szCs w:val="14"/>
          <w:color w:val="auto"/>
        </w:rPr>
        <w:t>TWENTY-FIFTH SUPPLEMENTAL INDENTURE</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THIS INDENTURE, dated as of December 1, 2005, by and between ALLETE, INC. (formerly Minnesota Power &amp; Light Company and formerly Minnesota Power, Inc.), a corporation of the State of Minnesota, whose post office address is 30 West Superior Street, Duluth, Minnesota 55802 (hereinafter sometimes called the "Company"), and THE BANK OF NEW YORK (formerly Irving Trust Company), a corporation of the State of New York, whose post office address is 101 Barclay Street, New York, New York 10286 (hereinafter sometimes called the "Corporate Trustee"), and DOUGLAS J. MACINNES (successor to Richard H. West, J. A. Austin, E. J. McCabe, D. W. May, J. A. Vaughan and W. T. Cunningham), whose post office address is 1784 W. McGalliard Avenue, Hamilton, New Jersey 08610 (said Douglas J. MacInnes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"Twenty-fifth Supplemental Indenture") being supplemental thereto:</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WHEREAS, the Mortgage was filed and recorded in various official records in the State of Minnesota; and</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under the Sixth Supplemental Indenture, dated as of August 1, 1975, to which reference is hereinafter made, D. W. May in turn succeeded E. J. McCabe as Co-Trustee under the Mortgage; and</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ectPr>
          <w:pgSz w:w="11900" w:h="16838" w:orient="portrait"/>
          <w:cols w:equalWidth="0" w:num="1">
            <w:col w:w="10239"/>
          </w:cols>
          <w:pgMar w:left="220" w:top="616" w:right="1440" w:bottom="1440" w:gutter="0" w:footer="0" w:header="0"/>
        </w:sectPr>
      </w:pPr>
    </w:p>
    <w:bookmarkStart w:id="42" w:name="page43"/>
    <w:bookmarkEnd w:id="42"/>
    <w:p>
      <w:pPr>
        <w:ind w:left="33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on May 8, 2001, the Company filed Amended and Restated Articles of Incorporation with the Secretary of State of the State of Minnesota changing its name from Minnesota Power, Inc. to ALLETE, Inc.; and</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64" w:lineRule="exact"/>
        <w:rPr>
          <w:sz w:val="20"/>
          <w:szCs w:val="20"/>
          <w:color w:val="auto"/>
        </w:rPr>
      </w:pPr>
    </w:p>
    <w:p>
      <w:pPr>
        <w:ind w:left="440"/>
        <w:spacing w:after="0"/>
        <w:tabs>
          <w:tab w:leader="none" w:pos="1280" w:val="left"/>
          <w:tab w:leader="none" w:pos="1720" w:val="left"/>
          <w:tab w:leader="none" w:pos="2220" w:val="left"/>
          <w:tab w:leader="none" w:pos="3180" w:val="left"/>
          <w:tab w:leader="none" w:pos="3780" w:val="left"/>
          <w:tab w:leader="none" w:pos="4560" w:val="left"/>
          <w:tab w:leader="none" w:pos="4980" w:val="left"/>
          <w:tab w:leader="none" w:pos="5760" w:val="left"/>
          <w:tab w:leader="none" w:pos="6620" w:val="left"/>
        </w:tabs>
        <w:rPr>
          <w:sz w:val="20"/>
          <w:szCs w:val="20"/>
          <w:color w:val="auto"/>
        </w:rPr>
      </w:pPr>
      <w:r>
        <w:rPr>
          <w:rFonts w:ascii="Courier New" w:cs="Courier New" w:eastAsia="Courier New" w:hAnsi="Courier New"/>
          <w:sz w:val="14"/>
          <w:szCs w:val="14"/>
          <w:color w:val="auto"/>
        </w:rPr>
        <w:t>WHEREAS,</w:t>
        <w:tab/>
        <w:t>for</w:t>
        <w:tab/>
        <w:t>said</w:t>
        <w:tab/>
        <w:t>purposes,</w:t>
        <w:tab/>
        <w:t>among</w:t>
        <w:tab/>
        <w:t>others,</w:t>
        <w:tab/>
        <w:t>the</w:t>
        <w:tab/>
        <w:t>Company</w:t>
        <w:tab/>
        <w:t>executed</w:t>
        <w:tab/>
        <w:t>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delivered the following indentures supplemental to the Mortgage:</w:t>
      </w:r>
    </w:p>
    <w:p>
      <w:pPr>
        <w:spacing w:after="0" w:line="173" w:lineRule="exact"/>
        <w:rPr>
          <w:sz w:val="20"/>
          <w:szCs w:val="20"/>
          <w:color w:val="auto"/>
        </w:rPr>
      </w:pPr>
    </w:p>
    <w:p>
      <w:pPr>
        <w:ind w:left="1040"/>
        <w:spacing w:after="0"/>
        <w:tabs>
          <w:tab w:leader="none" w:pos="5320" w:val="left"/>
        </w:tabs>
        <w:rPr>
          <w:sz w:val="20"/>
          <w:szCs w:val="20"/>
          <w:color w:val="auto"/>
        </w:rPr>
      </w:pPr>
      <w:r>
        <w:rPr>
          <w:rFonts w:ascii="Courier New" w:cs="Courier New" w:eastAsia="Courier New" w:hAnsi="Courier New"/>
          <w:sz w:val="14"/>
          <w:szCs w:val="14"/>
          <w:color w:val="auto"/>
        </w:rPr>
        <w:t>DESIGNATION</w:t>
      </w:r>
      <w:r>
        <w:rPr>
          <w:sz w:val="20"/>
          <w:szCs w:val="20"/>
          <w:color w:val="auto"/>
        </w:rPr>
        <w:tab/>
      </w:r>
      <w:r>
        <w:rPr>
          <w:rFonts w:ascii="Courier New" w:cs="Courier New" w:eastAsia="Courier New" w:hAnsi="Courier New"/>
          <w:sz w:val="14"/>
          <w:szCs w:val="14"/>
          <w:color w:val="auto"/>
        </w:rPr>
        <w:t>DATED AS OF</w:t>
      </w:r>
    </w:p>
    <w:p>
      <w:pPr>
        <w:spacing w:after="0" w:line="7" w:lineRule="exact"/>
        <w:rPr>
          <w:sz w:val="20"/>
          <w:szCs w:val="20"/>
          <w:color w:val="auto"/>
        </w:rPr>
      </w:pPr>
    </w:p>
    <w:p>
      <w:pPr>
        <w:ind w:left="1040"/>
        <w:spacing w:after="0"/>
        <w:tabs>
          <w:tab w:leader="none" w:pos="5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First Supplemental Indenture</w:t>
      </w:r>
      <w:r>
        <w:rPr>
          <w:sz w:val="20"/>
          <w:szCs w:val="20"/>
          <w:color w:val="auto"/>
        </w:rPr>
        <w:tab/>
      </w:r>
      <w:r>
        <w:rPr>
          <w:rFonts w:ascii="Courier New" w:cs="Courier New" w:eastAsia="Courier New" w:hAnsi="Courier New"/>
          <w:sz w:val="14"/>
          <w:szCs w:val="14"/>
          <w:color w:val="auto"/>
        </w:rPr>
        <w:t>March 1, 1949</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Second Supplemental Indenture</w:t>
      </w:r>
      <w:r>
        <w:rPr>
          <w:sz w:val="20"/>
          <w:szCs w:val="20"/>
          <w:color w:val="auto"/>
        </w:rPr>
        <w:tab/>
      </w:r>
      <w:r>
        <w:rPr>
          <w:rFonts w:ascii="Courier New" w:cs="Courier New" w:eastAsia="Courier New" w:hAnsi="Courier New"/>
          <w:sz w:val="14"/>
          <w:szCs w:val="14"/>
          <w:color w:val="auto"/>
        </w:rPr>
        <w:t>July 1, 1951</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Third Supplemental Indenture</w:t>
      </w:r>
      <w:r>
        <w:rPr>
          <w:sz w:val="20"/>
          <w:szCs w:val="20"/>
          <w:color w:val="auto"/>
        </w:rPr>
        <w:tab/>
      </w:r>
      <w:r>
        <w:rPr>
          <w:rFonts w:ascii="Courier New" w:cs="Courier New" w:eastAsia="Courier New" w:hAnsi="Courier New"/>
          <w:sz w:val="14"/>
          <w:szCs w:val="14"/>
          <w:color w:val="auto"/>
        </w:rPr>
        <w:t>March 1, 1957</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Fourth Supplemental Indenture</w:t>
      </w:r>
      <w:r>
        <w:rPr>
          <w:sz w:val="20"/>
          <w:szCs w:val="20"/>
          <w:color w:val="auto"/>
        </w:rPr>
        <w:tab/>
      </w:r>
      <w:r>
        <w:rPr>
          <w:rFonts w:ascii="Courier New" w:cs="Courier New" w:eastAsia="Courier New" w:hAnsi="Courier New"/>
          <w:sz w:val="14"/>
          <w:szCs w:val="14"/>
          <w:color w:val="auto"/>
        </w:rPr>
        <w:t>January 1, 1968</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Fifth Supplemental Indenture</w:t>
      </w:r>
      <w:r>
        <w:rPr>
          <w:sz w:val="20"/>
          <w:szCs w:val="20"/>
          <w:color w:val="auto"/>
        </w:rPr>
        <w:tab/>
      </w:r>
      <w:r>
        <w:rPr>
          <w:rFonts w:ascii="Courier New" w:cs="Courier New" w:eastAsia="Courier New" w:hAnsi="Courier New"/>
          <w:sz w:val="14"/>
          <w:szCs w:val="14"/>
          <w:color w:val="auto"/>
        </w:rPr>
        <w:t>April 1, 1971</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Sixth Supplemental Indenture</w:t>
      </w:r>
      <w:r>
        <w:rPr>
          <w:sz w:val="20"/>
          <w:szCs w:val="20"/>
          <w:color w:val="auto"/>
        </w:rPr>
        <w:tab/>
      </w:r>
      <w:r>
        <w:rPr>
          <w:rFonts w:ascii="Courier New" w:cs="Courier New" w:eastAsia="Courier New" w:hAnsi="Courier New"/>
          <w:sz w:val="14"/>
          <w:szCs w:val="14"/>
          <w:color w:val="auto"/>
        </w:rPr>
        <w:t>August 1, 1975</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Seventh Supplemental Indenture</w:t>
      </w:r>
      <w:r>
        <w:rPr>
          <w:sz w:val="20"/>
          <w:szCs w:val="20"/>
          <w:color w:val="auto"/>
        </w:rPr>
        <w:tab/>
      </w:r>
      <w:r>
        <w:rPr>
          <w:rFonts w:ascii="Courier New" w:cs="Courier New" w:eastAsia="Courier New" w:hAnsi="Courier New"/>
          <w:sz w:val="14"/>
          <w:szCs w:val="14"/>
          <w:color w:val="auto"/>
        </w:rPr>
        <w:t>September 1, 1976</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Eighth Supplemental Indenture</w:t>
      </w:r>
      <w:r>
        <w:rPr>
          <w:sz w:val="20"/>
          <w:szCs w:val="20"/>
          <w:color w:val="auto"/>
        </w:rPr>
        <w:tab/>
      </w:r>
      <w:r>
        <w:rPr>
          <w:rFonts w:ascii="Courier New" w:cs="Courier New" w:eastAsia="Courier New" w:hAnsi="Courier New"/>
          <w:sz w:val="14"/>
          <w:szCs w:val="14"/>
          <w:color w:val="auto"/>
        </w:rPr>
        <w:t>September 1, 1977</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Ninth Supplemental Indenture</w:t>
      </w:r>
      <w:r>
        <w:rPr>
          <w:sz w:val="20"/>
          <w:szCs w:val="20"/>
          <w:color w:val="auto"/>
        </w:rPr>
        <w:tab/>
      </w:r>
      <w:r>
        <w:rPr>
          <w:rFonts w:ascii="Courier New" w:cs="Courier New" w:eastAsia="Courier New" w:hAnsi="Courier New"/>
          <w:sz w:val="14"/>
          <w:szCs w:val="14"/>
          <w:color w:val="auto"/>
        </w:rPr>
        <w:t>April 1, 1978</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Tenth Supplemental Indenture</w:t>
      </w:r>
      <w:r>
        <w:rPr>
          <w:sz w:val="20"/>
          <w:szCs w:val="20"/>
          <w:color w:val="auto"/>
        </w:rPr>
        <w:tab/>
      </w:r>
      <w:r>
        <w:rPr>
          <w:rFonts w:ascii="Courier New" w:cs="Courier New" w:eastAsia="Courier New" w:hAnsi="Courier New"/>
          <w:sz w:val="14"/>
          <w:szCs w:val="14"/>
          <w:color w:val="auto"/>
        </w:rPr>
        <w:t>August 1, 1978</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Eleventh Supplemental Indenture</w:t>
      </w:r>
      <w:r>
        <w:rPr>
          <w:sz w:val="20"/>
          <w:szCs w:val="20"/>
          <w:color w:val="auto"/>
        </w:rPr>
        <w:tab/>
      </w:r>
      <w:r>
        <w:rPr>
          <w:rFonts w:ascii="Courier New" w:cs="Courier New" w:eastAsia="Courier New" w:hAnsi="Courier New"/>
          <w:sz w:val="14"/>
          <w:szCs w:val="14"/>
          <w:color w:val="auto"/>
        </w:rPr>
        <w:t>December 1, 1982</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Twelfth Supplemental Indenture</w:t>
      </w:r>
      <w:r>
        <w:rPr>
          <w:sz w:val="20"/>
          <w:szCs w:val="20"/>
          <w:color w:val="auto"/>
        </w:rPr>
        <w:tab/>
      </w:r>
      <w:r>
        <w:rPr>
          <w:rFonts w:ascii="Courier New" w:cs="Courier New" w:eastAsia="Courier New" w:hAnsi="Courier New"/>
          <w:sz w:val="14"/>
          <w:szCs w:val="14"/>
          <w:color w:val="auto"/>
        </w:rPr>
        <w:t>April 1, 1987</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Thirteenth Supplemental Indenture</w:t>
      </w:r>
      <w:r>
        <w:rPr>
          <w:sz w:val="20"/>
          <w:szCs w:val="20"/>
          <w:color w:val="auto"/>
        </w:rPr>
        <w:tab/>
      </w:r>
      <w:r>
        <w:rPr>
          <w:rFonts w:ascii="Courier New" w:cs="Courier New" w:eastAsia="Courier New" w:hAnsi="Courier New"/>
          <w:sz w:val="14"/>
          <w:szCs w:val="14"/>
          <w:color w:val="auto"/>
        </w:rPr>
        <w:t>March 1, 1992</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Fourteenth Supplemental Indenture</w:t>
      </w:r>
      <w:r>
        <w:rPr>
          <w:sz w:val="20"/>
          <w:szCs w:val="20"/>
          <w:color w:val="auto"/>
        </w:rPr>
        <w:tab/>
      </w:r>
      <w:r>
        <w:rPr>
          <w:rFonts w:ascii="Courier New" w:cs="Courier New" w:eastAsia="Courier New" w:hAnsi="Courier New"/>
          <w:sz w:val="14"/>
          <w:szCs w:val="14"/>
          <w:color w:val="auto"/>
        </w:rPr>
        <w:t>June 1, 1992</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Fifteenth Supplemental Indenture</w:t>
      </w:r>
      <w:r>
        <w:rPr>
          <w:sz w:val="20"/>
          <w:szCs w:val="20"/>
          <w:color w:val="auto"/>
        </w:rPr>
        <w:tab/>
      </w:r>
      <w:r>
        <w:rPr>
          <w:rFonts w:ascii="Courier New" w:cs="Courier New" w:eastAsia="Courier New" w:hAnsi="Courier New"/>
          <w:sz w:val="14"/>
          <w:szCs w:val="14"/>
          <w:color w:val="auto"/>
        </w:rPr>
        <w:t>July 1, 1992</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Sixteenth Supplemental Indenture</w:t>
      </w:r>
      <w:r>
        <w:rPr>
          <w:sz w:val="20"/>
          <w:szCs w:val="20"/>
          <w:color w:val="auto"/>
        </w:rPr>
        <w:tab/>
      </w:r>
      <w:r>
        <w:rPr>
          <w:rFonts w:ascii="Courier New" w:cs="Courier New" w:eastAsia="Courier New" w:hAnsi="Courier New"/>
          <w:sz w:val="14"/>
          <w:szCs w:val="14"/>
          <w:color w:val="auto"/>
        </w:rPr>
        <w:t>July 1, 1992</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Seventeenth Supplemental Indenture</w:t>
      </w:r>
      <w:r>
        <w:rPr>
          <w:sz w:val="20"/>
          <w:szCs w:val="20"/>
          <w:color w:val="auto"/>
        </w:rPr>
        <w:tab/>
      </w:r>
      <w:r>
        <w:rPr>
          <w:rFonts w:ascii="Courier New" w:cs="Courier New" w:eastAsia="Courier New" w:hAnsi="Courier New"/>
          <w:sz w:val="14"/>
          <w:szCs w:val="14"/>
          <w:color w:val="auto"/>
        </w:rPr>
        <w:t>February 1, 1993</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Eighteenth Supplemental Indenture</w:t>
      </w:r>
      <w:r>
        <w:rPr>
          <w:sz w:val="20"/>
          <w:szCs w:val="20"/>
          <w:color w:val="auto"/>
        </w:rPr>
        <w:tab/>
      </w:r>
      <w:r>
        <w:rPr>
          <w:rFonts w:ascii="Courier New" w:cs="Courier New" w:eastAsia="Courier New" w:hAnsi="Courier New"/>
          <w:sz w:val="14"/>
          <w:szCs w:val="14"/>
          <w:color w:val="auto"/>
        </w:rPr>
        <w:t>July 1, 1993</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Nineteenth Supplemental Indenture</w:t>
      </w:r>
      <w:r>
        <w:rPr>
          <w:sz w:val="20"/>
          <w:szCs w:val="20"/>
          <w:color w:val="auto"/>
        </w:rPr>
        <w:tab/>
      </w:r>
      <w:r>
        <w:rPr>
          <w:rFonts w:ascii="Courier New" w:cs="Courier New" w:eastAsia="Courier New" w:hAnsi="Courier New"/>
          <w:sz w:val="14"/>
          <w:szCs w:val="14"/>
          <w:color w:val="auto"/>
        </w:rPr>
        <w:t>February 1, 1997</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Twentieth Supplemental Indenture</w:t>
      </w:r>
      <w:r>
        <w:rPr>
          <w:sz w:val="20"/>
          <w:szCs w:val="20"/>
          <w:color w:val="auto"/>
        </w:rPr>
        <w:tab/>
      </w:r>
      <w:r>
        <w:rPr>
          <w:rFonts w:ascii="Courier New" w:cs="Courier New" w:eastAsia="Courier New" w:hAnsi="Courier New"/>
          <w:sz w:val="14"/>
          <w:szCs w:val="14"/>
          <w:color w:val="auto"/>
        </w:rPr>
        <w:t>November 1, 1997</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Twenty-first Supplemental Indenture</w:t>
      </w:r>
      <w:r>
        <w:rPr>
          <w:sz w:val="20"/>
          <w:szCs w:val="20"/>
          <w:color w:val="auto"/>
        </w:rPr>
        <w:tab/>
      </w:r>
      <w:r>
        <w:rPr>
          <w:rFonts w:ascii="Courier New" w:cs="Courier New" w:eastAsia="Courier New" w:hAnsi="Courier New"/>
          <w:sz w:val="14"/>
          <w:szCs w:val="14"/>
          <w:color w:val="auto"/>
        </w:rPr>
        <w:t>October 1, 2000</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Twenty-second Supplemental Indenture</w:t>
      </w:r>
      <w:r>
        <w:rPr>
          <w:sz w:val="20"/>
          <w:szCs w:val="20"/>
          <w:color w:val="auto"/>
        </w:rPr>
        <w:tab/>
      </w:r>
      <w:r>
        <w:rPr>
          <w:rFonts w:ascii="Courier New" w:cs="Courier New" w:eastAsia="Courier New" w:hAnsi="Courier New"/>
          <w:sz w:val="14"/>
          <w:szCs w:val="14"/>
          <w:color w:val="auto"/>
        </w:rPr>
        <w:t>July 1, 2003</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Twenty-third Supplemental Indenture</w:t>
      </w:r>
      <w:r>
        <w:rPr>
          <w:sz w:val="20"/>
          <w:szCs w:val="20"/>
          <w:color w:val="auto"/>
        </w:rPr>
        <w:tab/>
      </w:r>
      <w:r>
        <w:rPr>
          <w:rFonts w:ascii="Courier New" w:cs="Courier New" w:eastAsia="Courier New" w:hAnsi="Courier New"/>
          <w:sz w:val="14"/>
          <w:szCs w:val="14"/>
          <w:color w:val="auto"/>
        </w:rPr>
        <w:t>August 1, 2004</w:t>
      </w:r>
    </w:p>
    <w:p>
      <w:pPr>
        <w:spacing w:after="0" w:line="7" w:lineRule="exact"/>
        <w:rPr>
          <w:sz w:val="20"/>
          <w:szCs w:val="20"/>
          <w:color w:val="auto"/>
        </w:rPr>
      </w:pPr>
    </w:p>
    <w:p>
      <w:pPr>
        <w:ind w:left="440"/>
        <w:spacing w:after="0"/>
        <w:tabs>
          <w:tab w:leader="dot" w:pos="5320" w:val="left"/>
        </w:tabs>
        <w:rPr>
          <w:sz w:val="20"/>
          <w:szCs w:val="20"/>
          <w:color w:val="auto"/>
        </w:rPr>
      </w:pPr>
      <w:r>
        <w:rPr>
          <w:rFonts w:ascii="Courier New" w:cs="Courier New" w:eastAsia="Courier New" w:hAnsi="Courier New"/>
          <w:sz w:val="14"/>
          <w:szCs w:val="14"/>
          <w:color w:val="auto"/>
        </w:rPr>
        <w:t>Twenty-fourth Supplemental Indenture</w:t>
      </w:r>
      <w:r>
        <w:rPr>
          <w:sz w:val="20"/>
          <w:szCs w:val="20"/>
          <w:color w:val="auto"/>
        </w:rPr>
        <w:tab/>
      </w:r>
      <w:r>
        <w:rPr>
          <w:rFonts w:ascii="Courier New" w:cs="Courier New" w:eastAsia="Courier New" w:hAnsi="Courier New"/>
          <w:sz w:val="14"/>
          <w:szCs w:val="14"/>
          <w:color w:val="auto"/>
        </w:rPr>
        <w:t>March 1, 2005</w:t>
      </w:r>
    </w:p>
    <w:p>
      <w:pPr>
        <w:sectPr>
          <w:pgSz w:w="11900" w:h="16838" w:orient="portrait"/>
          <w:cols w:equalWidth="0" w:num="1">
            <w:col w:w="10239"/>
          </w:cols>
          <w:pgMar w:left="220" w:top="616" w:right="1440" w:bottom="1440" w:gutter="0" w:footer="0" w:header="0"/>
        </w:sectPr>
      </w:pPr>
    </w:p>
    <w:bookmarkStart w:id="43" w:name="page44"/>
    <w:bookmarkEnd w:id="43"/>
    <w:p>
      <w:pPr>
        <w:jc w:val="center"/>
        <w:ind w:right="341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which supplemental indentures were filed and recorded in various official records in the State of Minnesota; and</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the Company has heretofore issued, in accordance with the provisions of the Mortgage, as heretofore supplemented, the following series of First Mortgage Bonds: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PRINCIPAL</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ind w:left="400"/>
              <w:spacing w:after="0"/>
              <w:rPr>
                <w:sz w:val="20"/>
                <w:szCs w:val="20"/>
                <w:color w:val="auto"/>
              </w:rPr>
            </w:pPr>
            <w:r>
              <w:rPr>
                <w:rFonts w:ascii="Courier New" w:cs="Courier New" w:eastAsia="Courier New" w:hAnsi="Courier New"/>
                <w:sz w:val="14"/>
                <w:szCs w:val="14"/>
                <w:color w:val="auto"/>
              </w:rPr>
              <w:t>AMOUNT</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SERIES</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ind w:left="400"/>
              <w:spacing w:after="0"/>
              <w:rPr>
                <w:sz w:val="20"/>
                <w:szCs w:val="20"/>
                <w:color w:val="auto"/>
              </w:rPr>
            </w:pPr>
            <w:r>
              <w:rPr>
                <w:rFonts w:ascii="Courier New" w:cs="Courier New" w:eastAsia="Courier New" w:hAnsi="Courier New"/>
                <w:sz w:val="14"/>
                <w:szCs w:val="14"/>
                <w:color w:val="auto"/>
              </w:rPr>
              <w:t>ISSUED</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OUTSTANDING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3-1/8%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1975.......................</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3-1/8%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1979.......................</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3-5/8%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1981.......................</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4-3/4%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1987.......................</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6-1/2%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1998.......................</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8-1/8%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2001.......................</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80" w:type="dxa"/>
            <w:vAlign w:val="bottom"/>
            <w:gridSpan w:val="3"/>
          </w:tcPr>
          <w:p>
            <w:pPr>
              <w:spacing w:after="0"/>
              <w:rPr>
                <w:sz w:val="20"/>
                <w:szCs w:val="20"/>
                <w:color w:val="auto"/>
              </w:rPr>
            </w:pPr>
            <w:r>
              <w:rPr>
                <w:rFonts w:ascii="Courier New" w:cs="Courier New" w:eastAsia="Courier New" w:hAnsi="Courier New"/>
                <w:sz w:val="14"/>
                <w:szCs w:val="14"/>
                <w:color w:val="auto"/>
              </w:rPr>
              <w:t>10-1/2% Series due 2005</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8.70% Series due 2006........................</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8.35% Series due 2007........................</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9-1/4%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2008.......................</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Series A...................</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80" w:type="dxa"/>
            <w:vAlign w:val="bottom"/>
            <w:gridSpan w:val="3"/>
          </w:tcPr>
          <w:p>
            <w:pPr>
              <w:spacing w:after="0"/>
              <w:rPr>
                <w:sz w:val="20"/>
                <w:szCs w:val="20"/>
                <w:color w:val="auto"/>
              </w:rPr>
            </w:pPr>
            <w:r>
              <w:rPr>
                <w:rFonts w:ascii="Courier New" w:cs="Courier New" w:eastAsia="Courier New" w:hAnsi="Courier New"/>
                <w:sz w:val="14"/>
                <w:szCs w:val="14"/>
                <w:color w:val="auto"/>
              </w:rPr>
              <w:t>Industrial Development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Series A..............</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80" w:type="dxa"/>
            <w:vAlign w:val="bottom"/>
            <w:gridSpan w:val="3"/>
          </w:tcPr>
          <w:p>
            <w:pPr>
              <w:spacing w:after="0"/>
              <w:rPr>
                <w:sz w:val="20"/>
                <w:szCs w:val="20"/>
                <w:color w:val="auto"/>
              </w:rPr>
            </w:pPr>
            <w:r>
              <w:rPr>
                <w:rFonts w:ascii="Courier New" w:cs="Courier New" w:eastAsia="Courier New" w:hAnsi="Courier New"/>
                <w:sz w:val="14"/>
                <w:szCs w:val="14"/>
                <w:color w:val="auto"/>
              </w:rPr>
              <w:t>Industrial Development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Series B..............</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80" w:type="dxa"/>
            <w:vAlign w:val="bottom"/>
            <w:gridSpan w:val="3"/>
          </w:tcPr>
          <w:p>
            <w:pPr>
              <w:spacing w:after="0"/>
              <w:rPr>
                <w:sz w:val="20"/>
                <w:szCs w:val="20"/>
                <w:color w:val="auto"/>
              </w:rPr>
            </w:pPr>
            <w:r>
              <w:rPr>
                <w:rFonts w:ascii="Courier New" w:cs="Courier New" w:eastAsia="Courier New" w:hAnsi="Courier New"/>
                <w:sz w:val="14"/>
                <w:szCs w:val="14"/>
                <w:color w:val="auto"/>
              </w:rPr>
              <w:t>Industrial Development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Series C..............</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Series B...................</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13,500,000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Series C...................</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Series D...................</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7-3/4%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1994.......................</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7-3/8%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March 1, 1997..............</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7-3/4%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June</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1, 2007...............</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7-1/2%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August 1, 2007 ............</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Series E...................</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 Series due</w:t>
            </w:r>
          </w:p>
        </w:tc>
        <w:tc>
          <w:tcPr>
            <w:tcW w:w="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March 1,</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50,000,000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50,000,000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6-1/4% Series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due</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July</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1, 2003...............</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 Series due</w:t>
            </w:r>
          </w:p>
        </w:tc>
        <w:tc>
          <w:tcPr>
            <w:tcW w:w="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February</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15, 2007..............</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60,000,000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60,000,000</w:t>
            </w:r>
          </w:p>
        </w:tc>
      </w:tr>
      <w:tr>
        <w:trPr>
          <w:trHeight w:val="166"/>
        </w:trPr>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6.68% Series due November 15, 2007...........</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20,000,000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Floating Rate</w:t>
            </w:r>
          </w:p>
        </w:tc>
        <w:tc>
          <w:tcPr>
            <w:tcW w:w="2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Series due October 20, 2003....</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Collateral Series</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255,000,000</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Series F...................</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111,000,000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111,000,000</w:t>
            </w:r>
          </w:p>
        </w:tc>
      </w:tr>
      <w:tr>
        <w:trPr>
          <w:trHeight w:val="166"/>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5.28% Series due</w:t>
            </w: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August 1, 2020..............</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35,000,000</w:t>
            </w:r>
          </w:p>
        </w:tc>
      </w:tr>
      <w:tr>
        <w:trPr>
          <w:trHeight w:val="331"/>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which bonds are</w:t>
            </w:r>
          </w:p>
        </w:tc>
        <w:tc>
          <w:tcPr>
            <w:tcW w:w="24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also hereinafter  sometimes</w:t>
            </w:r>
          </w:p>
        </w:tc>
        <w:tc>
          <w:tcPr>
            <w:tcW w:w="3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called bonds of the First  through</w:t>
            </w:r>
          </w:p>
        </w:tc>
      </w:tr>
      <w:tr>
        <w:trPr>
          <w:trHeight w:val="166"/>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Thirtieth Series,</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respectively; and</w:t>
            </w: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44" w:name="page45"/>
    <w:bookmarkEnd w:id="44"/>
    <w:p>
      <w:pPr>
        <w:ind w:left="33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WHEREAS, the Company now desires to create a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the execution and delivery by the Company of this Twenty-fifth Supplemental Indenture, and the terms of the bonds of the Thirty-first Series, hereinafter referred to, have been duly authorized by the Board of Directors of the Company by appropriate resolutions of said Board of Directors;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and DOUGLAS J. MACINNES, as Trustees under the Mortgage, and to their successor or successors in said</w:t>
      </w:r>
    </w:p>
    <w:p>
      <w:pPr>
        <w:sectPr>
          <w:pgSz w:w="11900" w:h="16838" w:orient="portrait"/>
          <w:cols w:equalWidth="0" w:num="1">
            <w:col w:w="10239"/>
          </w:cols>
          <w:pgMar w:left="220" w:top="616" w:right="1440" w:bottom="1440" w:gutter="0" w:footer="0" w:header="0"/>
        </w:sectPr>
      </w:pPr>
    </w:p>
    <w:bookmarkStart w:id="45" w:name="page46"/>
    <w:bookmarkEnd w:id="45"/>
    <w:p>
      <w:pPr>
        <w:jc w:val="center"/>
        <w:ind w:right="3419"/>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Twenty-fifth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34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w:t>
      </w:r>
    </w:p>
    <w:p>
      <w:pPr>
        <w:sectPr>
          <w:pgSz w:w="11900" w:h="16838" w:orient="portrait"/>
          <w:cols w:equalWidth="0" w:num="1">
            <w:col w:w="10239"/>
          </w:cols>
          <w:pgMar w:left="220" w:top="616" w:right="1440" w:bottom="1440" w:gutter="0" w:footer="0" w:header="0"/>
        </w:sectPr>
      </w:pPr>
    </w:p>
    <w:bookmarkStart w:id="46" w:name="page47"/>
    <w:bookmarkEnd w:id="46"/>
    <w:p>
      <w:pPr>
        <w:jc w:val="center"/>
        <w:ind w:right="3419"/>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lien hereof and the lien of the Mortgage as if such property, rights and franchises were now owned by the Company and were specifically described herein or in the Mortgage and conveyed hereby or thereby.</w:t>
      </w:r>
    </w:p>
    <w:p>
      <w:pPr>
        <w:spacing w:after="0" w:line="16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Twenty-fifth Supplemental Indenture and from the lien and operation of the Mortgage, namely:</w:t>
      </w:r>
    </w:p>
    <w:p>
      <w:pPr>
        <w:spacing w:after="0" w:line="2" w:lineRule="exact"/>
        <w:rPr>
          <w:sz w:val="20"/>
          <w:szCs w:val="20"/>
          <w:color w:val="auto"/>
        </w:rPr>
      </w:pPr>
    </w:p>
    <w:p>
      <w:pPr>
        <w:jc w:val="both"/>
        <w:ind w:right="3339" w:firstLine="8"/>
        <w:spacing w:after="0" w:line="250" w:lineRule="auto"/>
        <w:tabs>
          <w:tab w:leader="none" w:pos="34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Twenty-fifth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34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 TRUST NEVERTHELESS, for the same purposes and upon the same terms, trusts and conditions and subject to and with the same provisos and covenants as are set forth in the Mortgage, as supplemented, this Twenty-fifth Supplemental Indenture being supplemental thereto.</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w:t>
      </w:r>
    </w:p>
    <w:p>
      <w:pPr>
        <w:sectPr>
          <w:pgSz w:w="11900" w:h="16838" w:orient="portrait"/>
          <w:cols w:equalWidth="0" w:num="1">
            <w:col w:w="10239"/>
          </w:cols>
          <w:pgMar w:left="220" w:top="616" w:right="1440" w:bottom="1440" w:gutter="0" w:footer="0" w:header="0"/>
        </w:sectPr>
      </w:pPr>
    </w:p>
    <w:bookmarkStart w:id="47" w:name="page48"/>
    <w:bookmarkEnd w:id="47"/>
    <w:p>
      <w:pPr>
        <w:jc w:val="center"/>
        <w:ind w:right="3419"/>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62"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Company further covenants and agrees to and with the Trustees and their successors in said trust under the Mortgage as follows:</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THIRTY-FIRST SERIES OF BONDS</w:t>
      </w:r>
    </w:p>
    <w:p>
      <w:pPr>
        <w:spacing w:after="0" w:line="338"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1. There shall be a series of bonds designated "5.69% Series due March 1, 2036" (herein sometimes referred to as the "Thirty-first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Thirty-first Series shall be dated as in Section 10 of the Mortgage provided, mature on March 1, 2036, be issued as fully registered bonds in denominations of One Thousand Dollars and, at the option of the Company, in any multiple or multiples of One Thousand Dollars (the exercise of such option to be evidenced by the execution and delivery thereof) and bear interest from March 1, 2006 at the rate of 5.69% per annum, payable semi-annually on March 1 and September 1 of each year, commencing September 1, 2006,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3" w:lineRule="exact"/>
        <w:rPr>
          <w:sz w:val="20"/>
          <w:szCs w:val="20"/>
          <w:color w:val="auto"/>
        </w:rPr>
      </w:pPr>
    </w:p>
    <w:p>
      <w:pPr>
        <w:jc w:val="both"/>
        <w:ind w:right="3339" w:firstLine="439"/>
        <w:spacing w:after="0" w:line="250" w:lineRule="auto"/>
        <w:tabs>
          <w:tab w:leader="none" w:pos="94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PREPAYMENT. The Company may, at its option, upon notice as provided below, prepay at any time all, or from time to time any part of, the bonds of the Thirty-first Series at 100% of the principal amount so prepaid, and the Make-Whole Amount determined for the Settlement Date specified by the Company in such notice with respect to such principal amount. The Company will give each registered owner of Bonds of the Thirty-first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Thirty-first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Thirty-first Series (by first class mail or by such other method as may be agreed upon by the Company and such registered owner) a certificate signed by a Senior Financial Officer specifying the calculation of such</w:t>
      </w:r>
    </w:p>
    <w:p>
      <w:pPr>
        <w:sectPr>
          <w:pgSz w:w="11900" w:h="16838" w:orient="portrait"/>
          <w:cols w:equalWidth="0" w:num="1">
            <w:col w:w="10239"/>
          </w:cols>
          <w:pgMar w:left="220" w:top="616" w:right="1440" w:bottom="1440" w:gutter="0" w:footer="0" w:header="0"/>
        </w:sectPr>
      </w:pPr>
    </w:p>
    <w:bookmarkStart w:id="48" w:name="page49"/>
    <w:bookmarkEnd w:id="48"/>
    <w:p>
      <w:pPr>
        <w:jc w:val="center"/>
        <w:ind w:right="3419"/>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Thirty-first Series are not otherwise subject to voluntary or optional prepayment.</w:t>
      </w:r>
    </w:p>
    <w:p>
      <w:pPr>
        <w:spacing w:after="0" w:line="330" w:lineRule="exact"/>
        <w:rPr>
          <w:sz w:val="20"/>
          <w:szCs w:val="20"/>
          <w:color w:val="auto"/>
        </w:rPr>
      </w:pPr>
    </w:p>
    <w:p>
      <w:pPr>
        <w:jc w:val="both"/>
        <w:ind w:right="3339" w:firstLine="439"/>
        <w:spacing w:after="0" w:line="251" w:lineRule="auto"/>
        <w:tabs>
          <w:tab w:leader="none" w:pos="94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OF PARTIAL PREPAYMENTS. In the case of each partial prepayment of the bonds of the Thirty-first Series, the principal amount of the Bonds of the Thirty-first Series to be prepaid shall be allocated by the Company among all of the Bonds of the Thirty-first Series at the time outstanding in proportion, as nearly as practicable, to the respective unpaid principal amounts thereof not theretofore called for prepayment.</w:t>
      </w:r>
    </w:p>
    <w:p>
      <w:pPr>
        <w:spacing w:after="0" w:line="164" w:lineRule="exact"/>
        <w:rPr>
          <w:sz w:val="20"/>
          <w:szCs w:val="20"/>
          <w:color w:val="auto"/>
        </w:rPr>
      </w:pPr>
    </w:p>
    <w:p>
      <w:pPr>
        <w:jc w:val="both"/>
        <w:ind w:right="3339" w:firstLine="439"/>
        <w:spacing w:after="0" w:line="250" w:lineRule="auto"/>
        <w:tabs>
          <w:tab w:leader="none" w:pos="94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MATURITY; SURRENDER, ETC. In the case of each notice of prepayment of bonds of the Thirty-first Series pursuant to this 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Thirty-first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Corporate Trustee before payment of such cash by the Corporate Trustee, for a substitute bond in the principal amount remaining unpaid.</w:t>
      </w:r>
    </w:p>
    <w:p>
      <w:pPr>
        <w:spacing w:after="0" w:line="34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(IV)</w:t>
        <w:tab/>
        <w:t>MAKE-WHOLE AMOUNT.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"Make-Whole Amount" means, with respect to any bond of the Thirty-first Series, an amount equal to the excess, if any, of the Discounted Value of the Remaining Scheduled Payments with respect to the Called Principal of such bond of the Thirty-first Series over the amount of such Called Principal, provided that the Make-Whole Amount may in no event be less than zero. For the purposes of determining the Make-Whole Amount, the following terms have the following meanings:</w:t>
      </w:r>
    </w:p>
    <w:p>
      <w:pPr>
        <w:sectPr>
          <w:pgSz w:w="11900" w:h="16838" w:orient="portrait"/>
          <w:cols w:equalWidth="0" w:num="1">
            <w:col w:w="10239"/>
          </w:cols>
          <w:pgMar w:left="220" w:top="616" w:right="1440" w:bottom="1440" w:gutter="0" w:footer="0" w:header="0"/>
        </w:sectPr>
      </w:pPr>
    </w:p>
    <w:bookmarkStart w:id="49" w:name="page50"/>
    <w:bookmarkEnd w:id="49"/>
    <w:p>
      <w:pPr>
        <w:ind w:left="33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"Business Day" means any day other than a Saturday, a Sunday or a day on which commercial banks in New York City are required or authorized to be closed.</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"Called Principal" means, with respect to any bond of the Thirty-first Series, the principal of such bond that is to be prepaid pursuant to subsection (I) of this section.</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"Discounted Value" means, with respect to the Called Principal of any bond of the Thirty-first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Thirty-first Series is payable) equal to the Reinvestment Yield with respect to such Called Principal.</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"Reinvestment Yield" means, with respect to the Called Principal of any bond of the Thirty-first Series, 0.5% over the yield to maturity implied by (i) the yields reported as of 10:00 a.m. (New York City time) on the second Business Day preceding the Settlement Date with respect to such Called Principal, on the display designated as "Page PX1" (or such other display as may replace Page PX1 on Bloomberg Financial Markets ("Bloomberg") or, if Page PX1 (or its successor screen on Bloomberg) is unavailable, the Telerate Access Service screen which corresponds most closely to Page PX1 for the most recently issued actively traded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actively traded U.S. Treasury security with the maturity closest to and greater than such Remaining Average Life and (2) the actively traded U.S. Treasury security with the maturity closest to and less than such Remaining Average Life. The Reinvestment Yield shall be rounded to the number of decimal places as appears in the interest rate of the applicable bond of the Thirty-first Series.</w:t>
      </w:r>
    </w:p>
    <w:p>
      <w:pPr>
        <w:spacing w:after="0" w:line="17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"Remaining Scheduled Payments" means, with respect to the Called Principal of any Bond of the Thirty-first Series, all payments of such Called Principal and interest thereon that would be due after the Settlement Date with respect to such Called Principal if no payment of such Called Principal</w:t>
      </w:r>
    </w:p>
    <w:p>
      <w:pPr>
        <w:sectPr>
          <w:pgSz w:w="11900" w:h="16838" w:orient="portrait"/>
          <w:cols w:equalWidth="0" w:num="1">
            <w:col w:w="10239"/>
          </w:cols>
          <w:pgMar w:left="220" w:top="616" w:right="1440" w:bottom="1440" w:gutter="0" w:footer="0" w:header="0"/>
        </w:sectPr>
      </w:pPr>
    </w:p>
    <w:bookmarkStart w:id="50" w:name="page51"/>
    <w:bookmarkEnd w:id="50"/>
    <w:p>
      <w:pPr>
        <w:jc w:val="center"/>
        <w:ind w:right="3339"/>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were made prior to its scheduled due date, provided that if such Settlement Date is not a date on which interest payments are due to be made under the terms of the Bonds of the Thirty-first Series, then the amount of the next succeeding scheduled interest payment will be reduced by the amount of interest accrued to such Settlement Date and required to be paid on such Settlement Date pursuant to subsection (I) of this section.</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"Settlement Date" means, with respect to the Called Principal of any Bond of the Thirty-first Series, the date on which such Called Principal is to be prepaid pursuant to subsection (I) of this section.</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"Senior Financial Officer" means the chief financial officer, principal accounting officer, treasurer or comptroller of the Company.</w:t>
      </w:r>
    </w:p>
    <w:p>
      <w:pPr>
        <w:spacing w:after="0" w:line="160" w:lineRule="exact"/>
        <w:rPr>
          <w:sz w:val="20"/>
          <w:szCs w:val="20"/>
          <w:color w:val="auto"/>
        </w:rPr>
      </w:pPr>
    </w:p>
    <w:p>
      <w:pPr>
        <w:jc w:val="both"/>
        <w:ind w:right="3339" w:firstLine="439"/>
        <w:spacing w:after="0" w:line="251" w:lineRule="auto"/>
        <w:tabs>
          <w:tab w:leader="none" w:pos="77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option of the registered owner, any bonds of the Thirty-first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Bonds of the Thirty-first Series shall be transferable (subject to the provisions of Section 12 of the Mortgage) at the office or agency of the Company in the Borough of Manhattan, The City of New York. The Company shall not be required to make transfers or exchanges of bonds of the Thirty-first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Upon any exchange or transfer of bonds of the Thirty-first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Thirty-first Series.</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After the delivery of this Twenty-fifth Supplemental Indenture and upon compliance with the applicable provisions of the Mortgage and receipt of consideration therefor by the Company, there shall be an initial issue of bonds of the Thirty-first Series for the aggregate principal amount of $50,000,000.</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MISCELLANEOUS PROVISIONS</w:t>
      </w:r>
    </w:p>
    <w:p>
      <w:pPr>
        <w:spacing w:after="0" w:line="33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2. Section 126 of the Mortgage, as heretofore amended, is hereby further amended by adding the words "and March 1, 2036," after the words "and August 1, 2020."</w:t>
      </w:r>
    </w:p>
    <w:p>
      <w:pPr>
        <w:sectPr>
          <w:pgSz w:w="11900" w:h="16838" w:orient="portrait"/>
          <w:cols w:equalWidth="0" w:num="1">
            <w:col w:w="10239"/>
          </w:cols>
          <w:pgMar w:left="220" w:top="616" w:right="1440" w:bottom="1440" w:gutter="0" w:footer="0" w:header="0"/>
        </w:sectPr>
      </w:pPr>
    </w:p>
    <w:bookmarkStart w:id="51" w:name="page52"/>
    <w:bookmarkEnd w:id="51"/>
    <w:p>
      <w:pPr>
        <w:ind w:left="33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3. Subject to the amendments provided for in this Twenty-fifth Supplemental Indenture, the terms defined in the Mortgage, as heretofore supplemented, shall, for all purposes of this Twenty-fifth Supplemental Indenture, have the meanings specified in the Mortgage, as heretofore supplemented.</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4. The holders of bonds of the Thirty-first Series consent that the Company may, but shall not be obligated to, fix a record date for the purpose of determining the holders of bonds of the Thirty-first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5. The Trustees hereby accept the trusts herein declared, provided, created or supplemented and agree to perform the same upon the terms and conditions herein and in the Mortgage set forth and upon the following terms and conditions: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Trustees shall not be responsible in any manner whatsoever for or in respect of the validity or sufficiency of this Twenty-fifth Supplemental Indenture or for or in respect of the recitals contained herein, all of which recitals are made by the Company solely. In general, each and every term and condition contained in Article XVII of the Mortgage shall apply to and form part of this Twenty-fifth Supplemental Indenture with the same force and effect as if the same were herein set forth in full with such omissions, variations and insertions, if any, as may be appropriate to make the same conform to the provisions of this Twenty-fifth Supplemental Indenture.</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6. Whenever in this Twenty-fifth Supplemental Indenture any party hereto is named or referred to, this shall, subject to the provisions of Articles XVI and XVII of the Mortgage, as heretofore supplemented, be deemed to include the successors or assigns of such party, and all the covenants and agreements in this Twenty-fifth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7. Nothing in this Twenty-fifth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Twenty-fifth Supplemental Indenture or any covenant, condition, stipulation, promise or agreement hereof, and all the covenants, conditions, stipulations, promises and agreements in this Twenty-fifth Supplemental Indenture contained by and on behalf of the Company shall be for the sole and exclusive benefit of the parties hereto, and of the holders of the bonds and of the coupons Outstanding under the Mortgage.</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8. This Twenty-fifth Supplemental Indenture shall be executed in several counterparts, each of which shall be an original and all of which shall constitute but one and the same instrument.</w:t>
      </w:r>
    </w:p>
    <w:p>
      <w:pPr>
        <w:sectPr>
          <w:pgSz w:w="11900" w:h="16838" w:orient="portrait"/>
          <w:cols w:equalWidth="0" w:num="1">
            <w:col w:w="10239"/>
          </w:cols>
          <w:pgMar w:left="220" w:top="616" w:right="1440" w:bottom="1440" w:gutter="0" w:footer="0" w:header="0"/>
        </w:sectPr>
      </w:pPr>
    </w:p>
    <w:bookmarkStart w:id="52" w:name="page53"/>
    <w:bookmarkEnd w:id="52"/>
    <w:p>
      <w:pPr>
        <w:ind w:left="33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9. The Company, the mortgagor named herein, by its execution hereof acknowledges receipt of a full, true and complete copy of this Twenty-fifth Supplemental Indenture.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WITNESS WHEREOF, ALLETE, Inc. has caused its corporate name to be hereunto affixed, and this instrument to be signed and sealed by its President or one of its Vice Presidents, and its corporate seal to be attested by its Secretary or one of its Assistant Secretaries for and in its behalf, all in the City of Duluth, Minnesota, and The Bank of New York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Douglas J. MacInnes has hereunto set his hand and affixed his seal, all in The City of New York, as of the day and year first above written.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James K. Vizanko</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Senior Vice President and Chief</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Financial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Deborah A. Amberg</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Deborah A. Amberg</w:t>
      </w:r>
    </w:p>
    <w:p>
      <w:pPr>
        <w:spacing w:after="0" w:line="7" w:lineRule="exact"/>
        <w:rPr>
          <w:rFonts w:ascii="Courier New" w:cs="Courier New" w:eastAsia="Courier New" w:hAnsi="Courier New"/>
          <w:sz w:val="14"/>
          <w:szCs w:val="14"/>
          <w:color w:val="auto"/>
        </w:rPr>
      </w:pPr>
    </w:p>
    <w:p>
      <w:pPr>
        <w:ind w:left="620" w:right="7559" w:hanging="603"/>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General Counsel and Secretary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sealed and delivered by 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in the presence 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Dawn LaPointe Garbo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Jodi Nash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bookmarkStart w:id="53" w:name="page54"/>
    <w:bookmarkEnd w:id="53"/>
    <w:p>
      <w:pPr>
        <w:ind w:left="33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BANK OF NEW YORK,</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as Trustee</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Ming Ryan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Printed Name: Ming Ryan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 Vice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Geovanni Barris</w:t>
      </w:r>
    </w:p>
    <w:p>
      <w:pPr>
        <w:spacing w:after="0" w:line="7"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Printed Name: Giovanni Barris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 Vice President</w:t>
      </w:r>
    </w:p>
    <w:p>
      <w:pPr>
        <w:spacing w:after="0" w:line="338" w:lineRule="exact"/>
        <w:rPr>
          <w:sz w:val="20"/>
          <w:szCs w:val="20"/>
          <w:color w:val="auto"/>
        </w:rPr>
      </w:pPr>
    </w:p>
    <w:p>
      <w:pPr>
        <w:jc w:val="right"/>
        <w:ind w:right="3339"/>
        <w:spacing w:after="0"/>
        <w:tabs>
          <w:tab w:leader="none" w:pos="320" w:val="left"/>
        </w:tabs>
        <w:rPr>
          <w:sz w:val="20"/>
          <w:szCs w:val="20"/>
          <w:color w:val="auto"/>
        </w:rPr>
      </w:pPr>
      <w:r>
        <w:rPr>
          <w:rFonts w:ascii="Courier New" w:cs="Courier New" w:eastAsia="Courier New" w:hAnsi="Courier New"/>
          <w:sz w:val="14"/>
          <w:szCs w:val="14"/>
          <w:color w:val="auto"/>
        </w:rPr>
        <w:t>/s/ Douglas J. MacInnes</w:t>
      </w:r>
      <w:r>
        <w:rPr>
          <w:sz w:val="20"/>
          <w:szCs w:val="20"/>
          <w:color w:val="auto"/>
        </w:rPr>
        <w:tab/>
      </w:r>
      <w:r>
        <w:rPr>
          <w:rFonts w:ascii="Courier New" w:cs="Courier New" w:eastAsia="Courier New" w:hAnsi="Courier New"/>
          <w:sz w:val="14"/>
          <w:szCs w:val="14"/>
          <w:color w:val="auto"/>
        </w:rPr>
        <w:t>L.S.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DOUGLAS J. MACINNES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sealed and delivered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 and DOUGLAS J.</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MACINNES in the presence 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Stacey Poindexter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Beta Hryniewicki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bookmarkStart w:id="54" w:name="page55"/>
    <w:bookmarkEnd w:id="54"/>
    <w:p>
      <w:pPr>
        <w:ind w:left="33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STATE OF MINNESOTA</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980" w:hanging="249"/>
        <w:spacing w:after="0"/>
        <w:tabs>
          <w:tab w:leader="none" w:pos="19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COUNTY OF ST. LOUIS )</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this 15 day of December, 2005, before me, a Notary Public within and for said County, personally appeared JAMES K. VIZANKO and DEBORAH A. AMBERG, to me personally known, who, being each by me duly sworn, did say that they are respectively the Senior Vice President and Chief Financial Officer and the Vice President, General Counsel and Secretary of ALLETE, INC. of the State of Minnesota, the corporation named in the foregoing instrument; that the seal affixed to the foregoing instrument is the corporate seal of said corporation; that said instrument was signed and sealed in behalf of said corporation by authority of its Board of Directors; and said JAMES K. VIZANKO and DEBORAH A. AMBERG acknowledged said instrument to be the free act and deed of said corporation.</w:t>
      </w:r>
    </w:p>
    <w:p>
      <w:pPr>
        <w:spacing w:after="0" w:line="16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Personally came before me on this 15 day of December, 2005, JAMES K. VIZANKO, to me known to be the Senior Vice President and Chief Financial Officer, and DEBORAH A. AMBERG, to me known to be the Vice President, General Counsel and Secretary of the above named ALLETE, INC.,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Senior Vice President and Chief Financial Officer and the Vice President, General Counsel and Secretary of said corporation; that the seal affixed to said instrument is the corporate seal of said corporation; and that they signed, sealed and delivered said instrument in the name and on behalf of said corporation by authority of its Board of Directors and stockholders, and said JAMES K. VIZANKO and DEBORAH A. AMBERG then and there acknowledged said instrument to be the free act and deed of said corporation and that such corporation executed the same.</w:t>
      </w:r>
    </w:p>
    <w:p>
      <w:pPr>
        <w:spacing w:after="0" w:line="17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the 15 day of December, 2005, before me personally came JAMES K. VIZANKO and DEBORAH A. AMBERG, to me known, who, being by me duly sworn, did depose and say that they respectively reside at 1340 Mississippi Avenue, Duluth, Minnesota, and 1923 West Kent Road, Duluth, Minnesota; that they are respectively the Vice President and Chief Financial Officer and the Vice President, General Counsel and Secretary of ALLETE, INC.,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GIVEN under my hand and notarial seal this 15 day of December, 2005.</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[NOTARY STAMP]</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 JODI M. NASH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JODI M. NASH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NOTARY PUBLIC -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 1/31/2010</w:t>
      </w:r>
    </w:p>
    <w:p>
      <w:pPr>
        <w:sectPr>
          <w:pgSz w:w="11900" w:h="16838" w:orient="portrait"/>
          <w:cols w:equalWidth="0" w:num="2">
            <w:col w:w="3500" w:space="720"/>
            <w:col w:w="6019"/>
          </w:cols>
          <w:pgMar w:left="220" w:top="616" w:right="1440" w:bottom="1440" w:gutter="0" w:footer="0" w:header="0"/>
          <w:type w:val="continuous"/>
        </w:sectPr>
      </w:pPr>
    </w:p>
    <w:bookmarkStart w:id="55" w:name="page56"/>
    <w:bookmarkEnd w:id="55"/>
    <w:p>
      <w:pPr>
        <w:ind w:left="33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STATE OF NEW YORK</w:t>
        <w:tab/>
        <w:t>)</w:t>
      </w:r>
    </w:p>
    <w:p>
      <w:pPr>
        <w:spacing w:after="0" w:line="7" w:lineRule="exact"/>
        <w:rPr>
          <w:sz w:val="20"/>
          <w:szCs w:val="20"/>
          <w:color w:val="auto"/>
        </w:rPr>
      </w:pPr>
    </w:p>
    <w:p>
      <w:pPr>
        <w:ind w:left="1900" w:hanging="255"/>
        <w:spacing w:after="0"/>
        <w:tabs>
          <w:tab w:leader="none" w:pos="19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COUNTY OF NEW YORK )</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this 29th day of December, 2005, before me, a Notary Public within and for said County, personally appeared Ming Ryan and Geovanni Barris, to me personally known, who, being each by me duly sworn, did say that they are respectively a Vice President and a Vice President of THE BANK OF NEW YORK of the State of New York, the corporation named in the foregoing instrument; that the seal affixed to the foregoing instrument is the corporate seal of said corporation; that said instrument was signed and sealed in behalf of said corporation by authority of its Board of Directors; and said MING RYAN and GEOVANNI BARRIS acknowledged said instrument to be the free act and deed of said corporation.</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Personally came before me on this 29th day of December, 2005, Ming Ryan, to me known to be a Vice President, and Geovanni Barris, to me known to be a Vice President, of the above named THE BANK OF NEW YORK,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a Vice President and a Vice President of said corporation; that the seal affixed to said instrument is the corporate seal of said corporation; and that they signed, sealed and delivered said instrument in the name and on behalf of said corporation by authority of its Board of Directors, and said MING RYAN and GEOVANNI BARRIS then and there acknowledged said instrument to be the free act and deed of said corporation and that such corporation executed the same.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the 29th day of December, 2005, before me personally came Ming Ryan and Geovanni Barris, to me known, who, being by me duly sworn, did depose and say that they respectively reside at 19 Belaire Court, Roseland, NJ 07068, and 14 Huber Court, Hightstown, NJ 08520; that they are respectively a Vice President and a Vice President of THE BANK OF NEW YORK,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GIVEN under my hand and notarial seal this 29th day of December, 2005.</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William J. Cassels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Notary Public, State of New York</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WILLIAM J. CASSELS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Notary Public, State of New York</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No. 01CA5027729</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Qualified in Bronx County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Commission Expires May 18, 2006</w:t>
      </w:r>
    </w:p>
    <w:p>
      <w:pPr>
        <w:sectPr>
          <w:pgSz w:w="11900" w:h="16838" w:orient="portrait"/>
          <w:cols w:equalWidth="0" w:num="1">
            <w:col w:w="10239"/>
          </w:cols>
          <w:pgMar w:left="220" w:top="616" w:right="1440" w:bottom="1440" w:gutter="0" w:footer="0" w:header="0"/>
        </w:sectPr>
      </w:pPr>
    </w:p>
    <w:bookmarkStart w:id="56" w:name="page57"/>
    <w:bookmarkEnd w:id="56"/>
    <w:p>
      <w:pPr>
        <w:ind w:left="33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STATE OF NEW YORK</w:t>
        <w:tab/>
        <w:t>)</w:t>
      </w:r>
    </w:p>
    <w:p>
      <w:pPr>
        <w:spacing w:after="0" w:line="7" w:lineRule="exact"/>
        <w:rPr>
          <w:sz w:val="20"/>
          <w:szCs w:val="20"/>
          <w:color w:val="auto"/>
        </w:rPr>
      </w:pPr>
    </w:p>
    <w:p>
      <w:pPr>
        <w:ind w:left="1900" w:hanging="255"/>
        <w:spacing w:after="0"/>
        <w:tabs>
          <w:tab w:leader="none" w:pos="19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COUNTY OF NEW YORK )</w:t>
      </w:r>
    </w:p>
    <w:p>
      <w:pPr>
        <w:spacing w:after="0" w:line="173" w:lineRule="exact"/>
        <w:rPr>
          <w:sz w:val="20"/>
          <w:szCs w:val="20"/>
          <w:color w:val="auto"/>
        </w:rPr>
      </w:pPr>
    </w:p>
    <w:p>
      <w:pPr>
        <w:ind w:left="440"/>
        <w:spacing w:after="0"/>
        <w:tabs>
          <w:tab w:leader="none" w:pos="3080" w:val="left"/>
          <w:tab w:leader="none" w:pos="5500" w:val="left"/>
        </w:tabs>
        <w:rPr>
          <w:sz w:val="20"/>
          <w:szCs w:val="20"/>
          <w:color w:val="auto"/>
        </w:rPr>
      </w:pPr>
      <w:r>
        <w:rPr>
          <w:rFonts w:ascii="Courier New" w:cs="Courier New" w:eastAsia="Courier New" w:hAnsi="Courier New"/>
          <w:sz w:val="14"/>
          <w:szCs w:val="14"/>
          <w:color w:val="auto"/>
        </w:rPr>
        <w:t>On this 29th day of December,</w:t>
        <w:tab/>
        <w:t>2005, before me personally</w:t>
        <w:tab/>
        <w:t>appeared DOUGLAS</w:t>
      </w:r>
    </w:p>
    <w:p>
      <w:pPr>
        <w:spacing w:after="0" w:line="7" w:lineRule="exact"/>
        <w:rPr>
          <w:sz w:val="20"/>
          <w:szCs w:val="20"/>
          <w:color w:val="auto"/>
        </w:rPr>
      </w:pPr>
    </w:p>
    <w:p>
      <w:pPr>
        <w:jc w:val="both"/>
        <w:ind w:right="3339" w:firstLine="8"/>
        <w:spacing w:after="0" w:line="252" w:lineRule="auto"/>
        <w:tabs>
          <w:tab w:leader="none" w:pos="34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MACINNES, to me known to be the person described in and who executed the foregoing instrument, and acknowledged that he executed the same as his free act and deed.</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Personally came before me this 29th day of December, 2005, the above named DOUGLAS J. MACINNES, to me known to be the person who executed the foregoing instrument, and acknowledged the same.</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On the 29th day of December, 2005, before me personally came DOUGLAS J. MACINNES, to me known to be the person described in and who executed the foregoing instrument, and acknowledged that he executed the same.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GIVEN under my hand and notarial seal this 29th day of December, 2005.</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William J. Cassels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Notary Public, State of New York</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WILLIAM J. CASSELS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Notary Public, State of New York</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No. 01CA5027729</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Qualified in Bronx County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Commission Expires May 18, 2006</w:t>
      </w:r>
    </w:p>
    <w:p>
      <w:pPr>
        <w:sectPr>
          <w:pgSz w:w="11900" w:h="16838" w:orient="portrait"/>
          <w:cols w:equalWidth="0" w:num="1">
            <w:col w:w="10239"/>
          </w:cols>
          <w:pgMar w:left="220" w:top="616" w:right="1440" w:bottom="1440" w:gutter="0" w:footer="0" w:header="0"/>
        </w:sectPr>
      </w:pPr>
    </w:p>
    <w:bookmarkStart w:id="57" w:name="page58"/>
    <w:bookmarkEnd w:id="57"/>
    <w:p>
      <w:pPr>
        <w:jc w:val="right"/>
        <w:ind w:right="3339"/>
        <w:spacing w:after="0"/>
        <w:rPr>
          <w:sz w:val="20"/>
          <w:szCs w:val="20"/>
          <w:color w:val="auto"/>
        </w:rPr>
      </w:pPr>
      <w:r>
        <w:rPr>
          <w:rFonts w:ascii="Courier New" w:cs="Courier New" w:eastAsia="Courier New" w:hAnsi="Courier New"/>
          <w:sz w:val="14"/>
          <w:szCs w:val="14"/>
          <w:color w:val="auto"/>
        </w:rPr>
        <w:t>EXHIBIT 31(a)</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38" w:lineRule="exact"/>
        <w:rPr>
          <w:sz w:val="20"/>
          <w:szCs w:val="20"/>
          <w:color w:val="auto"/>
        </w:rPr>
      </w:pPr>
    </w:p>
    <w:p>
      <w:pPr>
        <w:ind w:left="440"/>
        <w:spacing w:after="0"/>
        <w:tabs>
          <w:tab w:leader="none" w:pos="3260" w:val="left"/>
          <w:tab w:leader="none" w:pos="4560" w:val="left"/>
          <w:tab w:leader="none" w:pos="6020" w:val="left"/>
        </w:tabs>
        <w:rPr>
          <w:sz w:val="20"/>
          <w:szCs w:val="20"/>
          <w:color w:val="auto"/>
        </w:rPr>
      </w:pPr>
      <w:r>
        <w:rPr>
          <w:rFonts w:ascii="Courier New" w:cs="Courier New" w:eastAsia="Courier New" w:hAnsi="Courier New"/>
          <w:sz w:val="14"/>
          <w:szCs w:val="14"/>
          <w:color w:val="auto"/>
        </w:rPr>
        <w:t>I, Donald J. Shippar, Chairman,</w:t>
        <w:tab/>
        <w:t>President and</w:t>
        <w:tab/>
        <w:t>Chief Executive</w:t>
        <w:tab/>
        <w:t>Officer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March 31, 2006,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4, 2006</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 Executive Officer</w:t>
      </w:r>
    </w:p>
    <w:p>
      <w:pPr>
        <w:spacing w:after="0" w:line="200" w:lineRule="exact"/>
        <w:rPr>
          <w:sz w:val="20"/>
          <w:szCs w:val="20"/>
          <w:color w:val="auto"/>
        </w:rPr>
      </w:pPr>
    </w:p>
    <w:p>
      <w:pPr>
        <w:sectPr>
          <w:pgSz w:w="11900" w:h="16838" w:orient="portrait"/>
          <w:cols w:equalWidth="0" w:num="3">
            <w:col w:w="440" w:space="180"/>
            <w:col w:w="1520" w:space="720"/>
            <w:col w:w="7379"/>
          </w:cols>
          <w:pgMar w:left="220" w:top="307" w:right="1440" w:bottom="1440" w:gutter="0" w:footer="0" w:header="0"/>
          <w:type w:val="continuous"/>
        </w:sectPr>
      </w:pPr>
    </w:p>
    <w:p>
      <w:pPr>
        <w:spacing w:after="0" w:line="1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307" w:right="1440" w:bottom="1440" w:gutter="0" w:footer="0" w:header="0"/>
          <w:type w:val="continuous"/>
        </w:sectPr>
      </w:pPr>
    </w:p>
    <w:bookmarkStart w:id="58" w:name="page59"/>
    <w:bookmarkEnd w:id="58"/>
    <w:p>
      <w:pPr>
        <w:jc w:val="right"/>
        <w:ind w:right="3339"/>
        <w:spacing w:after="0"/>
        <w:rPr>
          <w:sz w:val="20"/>
          <w:szCs w:val="20"/>
          <w:color w:val="auto"/>
        </w:rPr>
      </w:pPr>
      <w:r>
        <w:rPr>
          <w:rFonts w:ascii="Courier New" w:cs="Courier New" w:eastAsia="Courier New" w:hAnsi="Courier New"/>
          <w:sz w:val="14"/>
          <w:szCs w:val="14"/>
          <w:color w:val="auto"/>
        </w:rPr>
        <w:t>EXHIBIT 31(b)</w:t>
      </w:r>
    </w:p>
    <w:p>
      <w:pPr>
        <w:spacing w:after="0" w:line="338" w:lineRule="exact"/>
        <w:rPr>
          <w:sz w:val="20"/>
          <w:szCs w:val="20"/>
          <w:color w:val="auto"/>
        </w:rPr>
      </w:pPr>
    </w:p>
    <w:p>
      <w:pPr>
        <w:ind w:left="960" w:right="3779" w:hanging="439"/>
        <w:spacing w:after="0" w:line="255" w:lineRule="auto"/>
        <w:tabs>
          <w:tab w:leader="none" w:pos="940" w:val="left"/>
        </w:tabs>
        <w:rPr>
          <w:sz w:val="20"/>
          <w:szCs w:val="20"/>
          <w:color w:val="auto"/>
        </w:rPr>
      </w:pPr>
      <w:r>
        <w:rPr>
          <w:rFonts w:ascii="Courier New" w:cs="Courier New" w:eastAsia="Courier New" w:hAnsi="Courier New"/>
          <w:sz w:val="14"/>
          <w:szCs w:val="14"/>
          <w:color w:val="auto"/>
        </w:rPr>
        <w:t>RULE</w:t>
        <w:tab/>
        <w:t>13a-14(a)/15d-14(a) CERTIFICATION BY THE CHIEF FINANCIAL OFFICER PURSUANT TO SECTION 302 OF THE SARBANES-OXLEY ACT OF 2002</w:t>
      </w:r>
    </w:p>
    <w:p>
      <w:pPr>
        <w:spacing w:after="0" w:line="326" w:lineRule="exact"/>
        <w:rPr>
          <w:sz w:val="20"/>
          <w:szCs w:val="20"/>
          <w:color w:val="auto"/>
        </w:rPr>
      </w:pPr>
    </w:p>
    <w:p>
      <w:pPr>
        <w:ind w:left="440"/>
        <w:spacing w:after="0"/>
        <w:tabs>
          <w:tab w:leader="none" w:pos="4200" w:val="left"/>
          <w:tab w:leader="none" w:pos="6020" w:val="left"/>
        </w:tabs>
        <w:rPr>
          <w:sz w:val="20"/>
          <w:szCs w:val="20"/>
          <w:color w:val="auto"/>
        </w:rPr>
      </w:pPr>
      <w:r>
        <w:rPr>
          <w:rFonts w:ascii="Courier New" w:cs="Courier New" w:eastAsia="Courier New" w:hAnsi="Courier New"/>
          <w:sz w:val="14"/>
          <w:szCs w:val="14"/>
          <w:color w:val="auto"/>
        </w:rPr>
        <w:t>I, James K. Vizanko, Senior Vice President</w:t>
        <w:tab/>
        <w:t>and Chief Financial</w:t>
        <w:tab/>
        <w:t>Officer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March 31, 2006,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4, 2006</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ectPr>
          <w:pgSz w:w="11900" w:h="16838" w:orient="portrait"/>
          <w:cols w:equalWidth="0" w:num="3">
            <w:col w:w="440" w:space="180"/>
            <w:col w:w="1340" w:space="720"/>
            <w:col w:w="7559"/>
          </w:cols>
          <w:pgMar w:left="220" w:top="307" w:right="1440" w:bottom="1440" w:gutter="0" w:footer="0" w:header="0"/>
          <w:type w:val="continuous"/>
        </w:sectPr>
      </w:pPr>
    </w:p>
    <w:p>
      <w:pPr>
        <w:spacing w:after="0" w:line="1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307" w:right="1440" w:bottom="1440" w:gutter="0" w:footer="0" w:header="0"/>
          <w:type w:val="continuous"/>
        </w:sectPr>
      </w:pPr>
    </w:p>
    <w:bookmarkStart w:id="59" w:name="page60"/>
    <w:bookmarkEnd w:id="59"/>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1350 CERTIFICATION OF PERIODIC REPORT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Section 906 of the Sarbanes-Oxley Act of 2002, 18 U.S.C. Section 1350, each of the undersigned officers of ALLETE, Inc. (ALLETE), does hereby certify that:</w:t>
      </w:r>
    </w:p>
    <w:p>
      <w:pPr>
        <w:spacing w:after="0" w:line="163" w:lineRule="exact"/>
        <w:rPr>
          <w:sz w:val="20"/>
          <w:szCs w:val="20"/>
          <w:color w:val="auto"/>
        </w:rPr>
      </w:pPr>
    </w:p>
    <w:p>
      <w:pPr>
        <w:jc w:val="both"/>
        <w:ind w:left="440" w:right="3339" w:hanging="432"/>
        <w:spacing w:after="0" w:line="252"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of ALLETE for the quarterly period ended March 31, 2006,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May 4, 2006</w:t>
            </w: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Donald J. Shippar</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Donald J. Shippar</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President and Chief Executive Officer</w:t>
            </w:r>
          </w:p>
        </w:tc>
      </w:tr>
      <w:tr>
        <w:trPr>
          <w:trHeight w:val="497"/>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May 4, 2006</w:t>
            </w: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James K. Vizanko</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James K. Vizanko</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Senior Vice President and Chief Financial Officer</w:t>
            </w:r>
          </w:p>
        </w:tc>
      </w:tr>
    </w:tbl>
    <w:p>
      <w:pPr>
        <w:spacing w:after="0" w:line="33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33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First Quarter 2006 Form 10-Q</w:t>
      </w:r>
    </w:p>
    <w:p>
      <w:pPr>
        <w:sectPr>
          <w:pgSz w:w="11900" w:h="16838" w:orient="portrait"/>
          <w:cols w:equalWidth="0" w:num="1">
            <w:col w:w="10239"/>
          </w:cols>
          <w:pgMar w:left="220" w:top="307" w:right="1440"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13"/>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32"/>
    </w:lvl>
  </w:abstractNum>
  <w:abstractNum w:abstractNumId="40">
    <w:nsid w:val="32FFF902"/>
    <w:multiLevelType w:val="hybridMultilevel"/>
    <w:lvl w:ilvl="0">
      <w:lvlJc w:val="left"/>
      <w:lvlText w:val="4"/>
      <w:numFmt w:val="bullet"/>
      <w:start w:val="1"/>
    </w:lvl>
  </w:abstractNum>
  <w:abstractNum w:abstractNumId="41">
    <w:nsid w:val="684A481A"/>
    <w:multiLevelType w:val="hybridMultilevel"/>
    <w:lvl w:ilvl="0">
      <w:lvlJc w:val="left"/>
      <w:lvlText w:val="%1"/>
      <w:numFmt w:val="decimal"/>
      <w:start w:val="32"/>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upperLetter"/>
      <w:start w:val="9"/>
    </w:lvl>
  </w:abstractNum>
  <w:abstractNum w:abstractNumId="44">
    <w:nsid w:val="3DC240FB"/>
    <w:multiLevelType w:val="hybridMultilevel"/>
    <w:lvl w:ilvl="0">
      <w:lvlJc w:val="left"/>
      <w:lvlText w:val="(%1)"/>
      <w:numFmt w:val="upperLetter"/>
      <w:start w:val="35"/>
    </w:lvl>
  </w:abstractNum>
  <w:abstractNum w:abstractNumId="45">
    <w:nsid w:val="1BA026FA"/>
    <w:multiLevelType w:val="hybridMultilevel"/>
    <w:lvl w:ilvl="0">
      <w:lvlJc w:val="left"/>
      <w:lvlText w:val="(%1)"/>
      <w:numFmt w:val="upperLetter"/>
      <w:start w:val="61"/>
    </w:lvl>
  </w:abstractNum>
  <w:abstractNum w:abstractNumId="46">
    <w:nsid w:val="79A1DEAA"/>
    <w:multiLevelType w:val="hybridMultilevel"/>
    <w:lvl w:ilvl="0">
      <w:lvlJc w:val="left"/>
      <w:lvlText w:val="(%1)"/>
      <w:numFmt w:val="upperLetter"/>
      <w:start w:val="22"/>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upperLetter"/>
      <w:start w:val="10"/>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2019-12-12T10:08:41Z</dcterms:created>
  <dcterms:modified xsi:type="dcterms:W3CDTF">2019-12-12T10:08:41Z</dcterms:modified>
</cp:coreProperties>
</file>