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4" w:lineRule="exact"/>
        <w:rPr>
          <w:sz w:val="24"/>
          <w:szCs w:val="24"/>
          <w:color w:val="auto"/>
        </w:rPr>
      </w:pPr>
    </w:p>
    <w:p>
      <w:pPr>
        <w:ind w:right="4180" w:firstLine="26"/>
        <w:spacing w:after="0" w:line="367" w:lineRule="auto"/>
        <w:tabs>
          <w:tab w:leader="none" w:pos="6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04" w:lineRule="exact"/>
        <w:rPr>
          <w:sz w:val="24"/>
          <w:szCs w:val="24"/>
          <w:color w:val="auto"/>
        </w:rPr>
      </w:pPr>
    </w:p>
    <w:p>
      <w:pPr>
        <w:ind w:left="660" w:right="4140" w:hanging="634"/>
        <w:spacing w:after="0" w:line="293"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1039" w:right="339" w:bottom="1440" w:gutter="0" w:footer="0" w:header="0"/>
        </w:sectPr>
      </w:pPr>
    </w:p>
    <w:p>
      <w:pPr>
        <w:spacing w:after="0" w:line="14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41-0418150</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7"/>
          <w:szCs w:val="17"/>
          <w:color w:val="auto"/>
        </w:rPr>
        <w:t>(IRS Employer Identification No.)</w:t>
      </w:r>
    </w:p>
    <w:p>
      <w:pPr>
        <w:spacing w:after="0" w:line="124" w:lineRule="exact"/>
        <w:rPr>
          <w:sz w:val="24"/>
          <w:szCs w:val="24"/>
          <w:color w:val="auto"/>
        </w:rPr>
      </w:pPr>
    </w:p>
    <w:p>
      <w:pPr>
        <w:sectPr>
          <w:pgSz w:w="11900" w:h="16838" w:orient="portrait"/>
          <w:cols w:equalWidth="0" w:num="2">
            <w:col w:w="6360" w:space="720"/>
            <w:col w:w="4160"/>
          </w:cols>
          <w:pgMar w:left="320" w:top="1039"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ectPr>
          <w:pgSz w:w="11900" w:h="16838" w:orient="portrait"/>
          <w:cols w:equalWidth="0" w:num="1">
            <w:col w:w="11240"/>
          </w:cols>
          <w:pgMar w:left="320" w:top="1039" w:right="339" w:bottom="1440" w:gutter="0" w:footer="0" w:header="0"/>
          <w:type w:val="continuous"/>
        </w:sectPr>
      </w:pP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1039" w:right="339" w:bottom="1440" w:gutter="0" w:footer="0" w:header="0"/>
          <w:type w:val="continuous"/>
        </w:sectPr>
      </w:pPr>
    </w:p>
    <w:p>
      <w:pPr>
        <w:spacing w:after="0" w:line="73" w:lineRule="exact"/>
        <w:rPr>
          <w:sz w:val="24"/>
          <w:szCs w:val="24"/>
          <w:color w:val="auto"/>
        </w:rPr>
      </w:pPr>
    </w:p>
    <w:p>
      <w:pPr>
        <w:jc w:val="center"/>
        <w:ind w:left="20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left="200"/>
        <w:spacing w:after="0"/>
        <w:rPr>
          <w:sz w:val="20"/>
          <w:szCs w:val="20"/>
          <w:color w:val="auto"/>
        </w:rPr>
      </w:pPr>
      <w:r>
        <w:rPr>
          <w:rFonts w:ascii="Arial" w:cs="Arial" w:eastAsia="Arial" w:hAnsi="Arial"/>
          <w:sz w:val="16"/>
          <w:szCs w:val="16"/>
          <w:b w:val="1"/>
          <w:bCs w:val="1"/>
          <w:color w:val="auto"/>
        </w:rPr>
        <w:t>Common Stock, without par value</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Trading symbol</w:t>
      </w:r>
    </w:p>
    <w:p>
      <w:pPr>
        <w:spacing w:after="0" w:line="46"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ALE</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New York Stock Exchange</w:t>
      </w:r>
    </w:p>
    <w:p>
      <w:pPr>
        <w:spacing w:after="0" w:line="116" w:lineRule="exact"/>
        <w:rPr>
          <w:sz w:val="24"/>
          <w:szCs w:val="24"/>
          <w:color w:val="auto"/>
        </w:rPr>
      </w:pPr>
    </w:p>
    <w:p>
      <w:pPr>
        <w:sectPr>
          <w:pgSz w:w="11900" w:h="16838" w:orient="portrait"/>
          <w:cols w:equalWidth="0" w:num="3">
            <w:col w:w="4320" w:space="720"/>
            <w:col w:w="1620" w:space="720"/>
            <w:col w:w="3860"/>
          </w:cols>
          <w:pgMar w:left="320" w:top="1039" w:right="339" w:bottom="1440" w:gutter="0" w:footer="0" w:header="0"/>
          <w:type w:val="continuous"/>
        </w:sect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1"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0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39" w:right="339" w:bottom="1440" w:gutter="0" w:footer="0" w:header="0"/>
          <w:type w:val="continuous"/>
        </w:sectPr>
      </w:pPr>
    </w:p>
    <w:p>
      <w:pPr>
        <w:spacing w:after="0" w:line="43" w:lineRule="exact"/>
        <w:rPr>
          <w:sz w:val="24"/>
          <w:szCs w:val="24"/>
          <w:color w:val="auto"/>
        </w:rPr>
      </w:pPr>
    </w:p>
    <w:p>
      <w:pPr>
        <w:ind w:left="420"/>
        <w:spacing w:after="0" w:line="250"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2">
            <w:col w:w="4880" w:space="180"/>
            <w:col w:w="6180"/>
          </w:cols>
          <w:pgMar w:left="320" w:top="1039" w:right="339" w:bottom="1440" w:gutter="0" w:footer="0" w:header="0"/>
          <w:type w:val="continuous"/>
        </w:sectPr>
      </w:pPr>
    </w:p>
    <w:p>
      <w:pPr>
        <w:ind w:left="1320"/>
        <w:spacing w:after="0" w:line="196" w:lineRule="exact"/>
        <w:tabs>
          <w:tab w:leader="none" w:pos="35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9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without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52,268,119 shares outstanding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as of June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gridSpan w:val="6"/>
          </w:tcPr>
          <w:p>
            <w:pPr>
              <w:ind w:left="120"/>
              <w:spacing w:after="0"/>
              <w:rPr>
                <w:sz w:val="20"/>
                <w:szCs w:val="20"/>
                <w:color w:val="auto"/>
              </w:rPr>
            </w:pPr>
            <w:r>
              <w:rPr>
                <w:rFonts w:ascii="Arial" w:cs="Arial" w:eastAsia="Arial" w:hAnsi="Arial"/>
                <w:sz w:val="18"/>
                <w:szCs w:val="18"/>
                <w:b w:val="1"/>
                <w:bCs w:val="1"/>
                <w:color w:val="auto"/>
              </w:rPr>
              <w:t>Index</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860" w:type="dxa"/>
            <w:vAlign w:val="bottom"/>
            <w:gridSpan w:val="5"/>
          </w:tcPr>
          <w:p>
            <w:pPr>
              <w:spacing w:after="0"/>
              <w:rPr>
                <w:rFonts w:ascii="Arial" w:cs="Arial" w:eastAsia="Arial" w:hAnsi="Arial"/>
                <w:sz w:val="18"/>
                <w:szCs w:val="18"/>
                <w:color w:val="0000FF"/>
                <w:w w:val="99"/>
              </w:rPr>
            </w:pPr>
            <w:hyperlink w:anchor="page2">
              <w:r>
                <w:rPr>
                  <w:rFonts w:ascii="Arial" w:cs="Arial" w:eastAsia="Arial" w:hAnsi="Arial"/>
                  <w:sz w:val="18"/>
                  <w:szCs w:val="18"/>
                  <w:color w:val="0000FF"/>
                  <w:w w:val="99"/>
                </w:rPr>
                <w:t>Definitions</w:t>
              </w:r>
            </w:hyperlink>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60" w:type="dxa"/>
            <w:vAlign w:val="bottom"/>
            <w:gridSpan w:val="4"/>
          </w:tcPr>
          <w:p>
            <w:pPr>
              <w:jc w:val="right"/>
              <w:ind w:right="2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120" w:type="dxa"/>
            <w:vAlign w:val="bottom"/>
            <w:gridSpan w:val="11"/>
            <w:shd w:val="clear" w:color="auto" w:fill="CCEEFF"/>
          </w:tcPr>
          <w:p>
            <w:pPr>
              <w:spacing w:after="0" w:line="189" w:lineRule="exact"/>
              <w:rPr>
                <w:rFonts w:ascii="Arial" w:cs="Arial" w:eastAsia="Arial" w:hAnsi="Arial"/>
                <w:sz w:val="18"/>
                <w:szCs w:val="18"/>
                <w:color w:val="0000FF"/>
                <w:w w:val="90"/>
              </w:rPr>
            </w:pPr>
            <w:hyperlink w:anchor="page4">
              <w:r>
                <w:rPr>
                  <w:rFonts w:ascii="Arial" w:cs="Arial" w:eastAsia="Arial" w:hAnsi="Arial"/>
                  <w:sz w:val="18"/>
                  <w:szCs w:val="18"/>
                  <w:color w:val="0000FF"/>
                  <w:w w:val="90"/>
                </w:rPr>
                <w:t>Forward-Looking Statements</w:t>
              </w:r>
            </w:hyperlink>
          </w:p>
        </w:tc>
        <w:tc>
          <w:tcPr>
            <w:tcW w:w="6200" w:type="dxa"/>
            <w:vAlign w:val="bottom"/>
            <w:gridSpan w:val="27"/>
            <w:shd w:val="clear" w:color="auto" w:fill="CCEEFF"/>
          </w:tcPr>
          <w:p>
            <w:pPr>
              <w:spacing w:after="0"/>
              <w:rPr>
                <w:sz w:val="16"/>
                <w:szCs w:val="16"/>
                <w:color w:val="auto"/>
              </w:rPr>
            </w:pPr>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gridSpan w:val="5"/>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Part I.</w:t>
              </w:r>
            </w:hyperlink>
          </w:p>
        </w:tc>
        <w:tc>
          <w:tcPr>
            <w:tcW w:w="7460" w:type="dxa"/>
            <w:vAlign w:val="bottom"/>
            <w:gridSpan w:val="33"/>
          </w:tcPr>
          <w:p>
            <w:pPr>
              <w:ind w:left="2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Financial Information</w:t>
              </w:r>
            </w:hyperlink>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rFonts w:ascii="Arial" w:cs="Arial" w:eastAsia="Arial" w:hAnsi="Arial"/>
                <w:sz w:val="18"/>
                <w:szCs w:val="18"/>
                <w:color w:val="0000FF"/>
                <w:w w:val="87"/>
              </w:rPr>
            </w:pPr>
            <w:hyperlink w:anchor="page6">
              <w:r>
                <w:rPr>
                  <w:rFonts w:ascii="Arial" w:cs="Arial" w:eastAsia="Arial" w:hAnsi="Arial"/>
                  <w:sz w:val="18"/>
                  <w:szCs w:val="18"/>
                  <w:color w:val="0000FF"/>
                  <w:w w:val="87"/>
                </w:rPr>
                <w:t>Item 1.</w:t>
              </w:r>
            </w:hyperlink>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Consolidated Financial Statements - Unaudited</w:t>
              </w:r>
            </w:hyperlink>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0" w:type="dxa"/>
            <w:vAlign w:val="bottom"/>
            <w:gridSpan w:val="22"/>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Consolidated Balance Sheet</w:t>
              </w:r>
            </w:hyperlink>
          </w:p>
        </w:tc>
        <w:tc>
          <w:tcPr>
            <w:tcW w:w="3060" w:type="dxa"/>
            <w:vAlign w:val="bottom"/>
            <w:gridSpan w:val="6"/>
          </w:tcPr>
          <w:p>
            <w:pPr>
              <w:spacing w:after="0"/>
              <w:rPr>
                <w:sz w:val="16"/>
                <w:szCs w:val="16"/>
                <w:color w:val="auto"/>
              </w:rPr>
            </w:pPr>
          </w:p>
        </w:tc>
        <w:tc>
          <w:tcPr>
            <w:tcW w:w="2860" w:type="dxa"/>
            <w:vAlign w:val="bottom"/>
            <w:gridSpan w:val="4"/>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500" w:type="dxa"/>
            <w:vAlign w:val="bottom"/>
            <w:gridSpan w:val="18"/>
            <w:shd w:val="clear" w:color="auto" w:fill="CCEEFF"/>
          </w:tcPr>
          <w:p>
            <w:pPr>
              <w:spacing w:after="0" w:line="189" w:lineRule="exact"/>
              <w:rPr>
                <w:rFonts w:ascii="Arial" w:cs="Arial" w:eastAsia="Arial" w:hAnsi="Arial"/>
                <w:sz w:val="18"/>
                <w:szCs w:val="18"/>
                <w:color w:val="0000FF"/>
                <w:w w:val="89"/>
              </w:rPr>
            </w:pPr>
            <w:hyperlink w:anchor="page6">
              <w:r>
                <w:rPr>
                  <w:rFonts w:ascii="Arial" w:cs="Arial" w:eastAsia="Arial" w:hAnsi="Arial"/>
                  <w:sz w:val="18"/>
                  <w:szCs w:val="18"/>
                  <w:color w:val="0000FF"/>
                  <w:w w:val="89"/>
                </w:rPr>
                <w:t>Consolidated Statement of Income</w:t>
              </w:r>
            </w:hyperlink>
          </w:p>
        </w:tc>
        <w:tc>
          <w:tcPr>
            <w:tcW w:w="3760" w:type="dxa"/>
            <w:vAlign w:val="bottom"/>
            <w:gridSpan w:val="10"/>
            <w:shd w:val="clear" w:color="auto" w:fill="CCEEFF"/>
          </w:tcPr>
          <w:p>
            <w:pPr>
              <w:spacing w:after="0"/>
              <w:rPr>
                <w:sz w:val="16"/>
                <w:szCs w:val="16"/>
                <w:color w:val="auto"/>
              </w:rPr>
            </w:pPr>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28"/>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Consolidated Statement of Comprehensive Income</w:t>
              </w:r>
            </w:hyperlink>
          </w:p>
        </w:tc>
        <w:tc>
          <w:tcPr>
            <w:tcW w:w="2860" w:type="dxa"/>
            <w:vAlign w:val="bottom"/>
            <w:gridSpan w:val="4"/>
          </w:tcPr>
          <w:p>
            <w:pPr>
              <w:jc w:val="right"/>
              <w:ind w:right="20"/>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0" w:type="dxa"/>
            <w:vAlign w:val="bottom"/>
            <w:gridSpan w:val="20"/>
            <w:shd w:val="clear" w:color="auto" w:fill="CCEEFF"/>
          </w:tcPr>
          <w:p>
            <w:pPr>
              <w:spacing w:after="0" w:line="189" w:lineRule="exact"/>
              <w:rPr>
                <w:rFonts w:ascii="Arial" w:cs="Arial" w:eastAsia="Arial" w:hAnsi="Arial"/>
                <w:sz w:val="18"/>
                <w:szCs w:val="18"/>
                <w:color w:val="0000FF"/>
                <w:w w:val="89"/>
              </w:rPr>
            </w:pPr>
            <w:hyperlink w:anchor="page8">
              <w:r>
                <w:rPr>
                  <w:rFonts w:ascii="Arial" w:cs="Arial" w:eastAsia="Arial" w:hAnsi="Arial"/>
                  <w:sz w:val="18"/>
                  <w:szCs w:val="18"/>
                  <w:color w:val="0000FF"/>
                  <w:w w:val="89"/>
                </w:rPr>
                <w:t>Consolidated Statement of Cash Flows</w:t>
              </w:r>
            </w:hyperlink>
          </w:p>
        </w:tc>
        <w:tc>
          <w:tcPr>
            <w:tcW w:w="3460" w:type="dxa"/>
            <w:vAlign w:val="bottom"/>
            <w:gridSpan w:val="8"/>
            <w:shd w:val="clear" w:color="auto" w:fill="CCEEFF"/>
          </w:tcPr>
          <w:p>
            <w:pPr>
              <w:spacing w:after="0"/>
              <w:rPr>
                <w:sz w:val="16"/>
                <w:szCs w:val="16"/>
                <w:color w:val="auto"/>
              </w:rPr>
            </w:pPr>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20"/>
          </w:tcPr>
          <w:p>
            <w:pPr>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Consolidated Statement of Equity</w:t>
              </w:r>
            </w:hyperlink>
          </w:p>
        </w:tc>
        <w:tc>
          <w:tcPr>
            <w:tcW w:w="3460" w:type="dxa"/>
            <w:vAlign w:val="bottom"/>
            <w:gridSpan w:val="8"/>
          </w:tcPr>
          <w:p>
            <w:pPr>
              <w:spacing w:after="0"/>
              <w:rPr>
                <w:sz w:val="16"/>
                <w:szCs w:val="16"/>
                <w:color w:val="auto"/>
              </w:rPr>
            </w:pPr>
          </w:p>
        </w:tc>
        <w:tc>
          <w:tcPr>
            <w:tcW w:w="2860" w:type="dxa"/>
            <w:vAlign w:val="bottom"/>
            <w:gridSpan w:val="4"/>
          </w:tcPr>
          <w:p>
            <w:pPr>
              <w:jc w:val="right"/>
              <w:ind w:right="20"/>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10</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8"/>
            <w:shd w:val="clear" w:color="auto" w:fill="CCEEFF"/>
          </w:tcPr>
          <w:p>
            <w:pPr>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Notes to Consolidated Financial Statements</w:t>
              </w:r>
            </w:hyperlink>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11</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Note 1. Operations and Significant Accounting Policies</w:t>
              </w:r>
            </w:hyperlink>
          </w:p>
        </w:tc>
        <w:tc>
          <w:tcPr>
            <w:tcW w:w="2860" w:type="dxa"/>
            <w:vAlign w:val="bottom"/>
            <w:gridSpan w:val="4"/>
          </w:tcPr>
          <w:p>
            <w:pPr>
              <w:jc w:val="right"/>
              <w:ind w:right="20"/>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11</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Note 2. Regulatory Matters</w:t>
              </w:r>
            </w:hyperlink>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13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rFonts w:ascii="Arial" w:cs="Arial" w:eastAsia="Arial" w:hAnsi="Arial"/>
                <w:sz w:val="18"/>
                <w:szCs w:val="18"/>
                <w:color w:val="0000FF"/>
              </w:rPr>
            </w:pPr>
            <w:hyperlink w:anchor="page16">
              <w:r>
                <w:rPr>
                  <w:rFonts w:ascii="Arial" w:cs="Arial" w:eastAsia="Arial" w:hAnsi="Arial"/>
                  <w:sz w:val="18"/>
                  <w:szCs w:val="18"/>
                  <w:color w:val="0000FF"/>
                </w:rPr>
                <w:t>Note 3. Equity Investments</w:t>
              </w:r>
            </w:hyperlink>
          </w:p>
        </w:tc>
        <w:tc>
          <w:tcPr>
            <w:tcW w:w="2860" w:type="dxa"/>
            <w:vAlign w:val="bottom"/>
            <w:gridSpan w:val="4"/>
          </w:tcPr>
          <w:p>
            <w:pPr>
              <w:jc w:val="right"/>
              <w:ind w:right="20"/>
              <w:spacing w:after="0" w:line="189" w:lineRule="exact"/>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rFonts w:ascii="Arial" w:cs="Arial" w:eastAsia="Arial" w:hAnsi="Arial"/>
                <w:sz w:val="18"/>
                <w:szCs w:val="18"/>
                <w:color w:val="0000FF"/>
              </w:rPr>
            </w:pPr>
            <w:hyperlink w:anchor="page17">
              <w:r>
                <w:rPr>
                  <w:rFonts w:ascii="Arial" w:cs="Arial" w:eastAsia="Arial" w:hAnsi="Arial"/>
                  <w:sz w:val="18"/>
                  <w:szCs w:val="18"/>
                  <w:color w:val="0000FF"/>
                </w:rPr>
                <w:t>Note 4. Fair Value</w:t>
              </w:r>
            </w:hyperlink>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17">
              <w:r>
                <w:rPr>
                  <w:rFonts w:ascii="Arial" w:cs="Arial" w:eastAsia="Arial" w:hAnsi="Arial"/>
                  <w:sz w:val="18"/>
                  <w:szCs w:val="18"/>
                  <w:color w:val="0000FF"/>
                </w:rPr>
                <w:t>17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Note 5. Short-Term and Long-Term Debt</w:t>
              </w:r>
            </w:hyperlink>
          </w:p>
        </w:tc>
        <w:tc>
          <w:tcPr>
            <w:tcW w:w="2860" w:type="dxa"/>
            <w:vAlign w:val="bottom"/>
            <w:gridSpan w:val="4"/>
          </w:tcPr>
          <w:p>
            <w:pPr>
              <w:jc w:val="right"/>
              <w:ind w:right="20"/>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19</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80" w:type="dxa"/>
            <w:vAlign w:val="bottom"/>
            <w:gridSpan w:val="22"/>
            <w:shd w:val="clear" w:color="auto" w:fill="CCEEFF"/>
          </w:tcPr>
          <w:p>
            <w:pPr>
              <w:spacing w:after="0" w:line="189" w:lineRule="exact"/>
              <w:rPr>
                <w:rFonts w:ascii="Arial" w:cs="Arial" w:eastAsia="Arial" w:hAnsi="Arial"/>
                <w:sz w:val="18"/>
                <w:szCs w:val="18"/>
                <w:color w:val="0000FF"/>
                <w:w w:val="89"/>
              </w:rPr>
            </w:pPr>
            <w:hyperlink w:anchor="page19">
              <w:r>
                <w:rPr>
                  <w:rFonts w:ascii="Arial" w:cs="Arial" w:eastAsia="Arial" w:hAnsi="Arial"/>
                  <w:sz w:val="18"/>
                  <w:szCs w:val="18"/>
                  <w:color w:val="0000FF"/>
                  <w:w w:val="89"/>
                </w:rPr>
                <w:t>Note 6. Commitments, Guarantees and Contingencies</w:t>
              </w:r>
            </w:hyperlink>
          </w:p>
        </w:tc>
        <w:tc>
          <w:tcPr>
            <w:tcW w:w="2140" w:type="dxa"/>
            <w:vAlign w:val="bottom"/>
            <w:gridSpan w:val="3"/>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w w:val="79"/>
              </w:rPr>
            </w:pPr>
            <w:hyperlink w:anchor="page19">
              <w:r>
                <w:rPr>
                  <w:rFonts w:ascii="Arial" w:cs="Arial" w:eastAsia="Arial" w:hAnsi="Arial"/>
                  <w:sz w:val="18"/>
                  <w:szCs w:val="18"/>
                  <w:color w:val="0000FF"/>
                  <w:w w:val="79"/>
                </w:rPr>
                <w:t>20</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gridSpan w:val="22"/>
          </w:tcPr>
          <w:p>
            <w:pPr>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Note 7. Earnings Per Share and Common Stock</w:t>
              </w:r>
            </w:hyperlink>
          </w:p>
        </w:tc>
        <w:tc>
          <w:tcPr>
            <w:tcW w:w="2140" w:type="dxa"/>
            <w:vAlign w:val="bottom"/>
            <w:gridSpan w:val="3"/>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3"/>
          </w:tcPr>
          <w:p>
            <w:pPr>
              <w:jc w:val="right"/>
              <w:ind w:right="20"/>
              <w:spacing w:after="0" w:line="189" w:lineRule="exact"/>
              <w:rPr>
                <w:rFonts w:ascii="Arial" w:cs="Arial" w:eastAsia="Arial" w:hAnsi="Arial"/>
                <w:sz w:val="18"/>
                <w:szCs w:val="18"/>
                <w:color w:val="0000FF"/>
                <w:w w:val="79"/>
              </w:rPr>
            </w:pPr>
            <w:hyperlink w:anchor="page25">
              <w:r>
                <w:rPr>
                  <w:rFonts w:ascii="Arial" w:cs="Arial" w:eastAsia="Arial" w:hAnsi="Arial"/>
                  <w:sz w:val="18"/>
                  <w:szCs w:val="18"/>
                  <w:color w:val="0000FF"/>
                  <w:w w:val="79"/>
                </w:rPr>
                <w:t>25</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Note 8. Income Tax Expense</w:t>
              </w:r>
            </w:hyperlink>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Note 9. Pension and Other Postretirement Benefit Plans</w:t>
              </w:r>
            </w:hyperlink>
          </w:p>
        </w:tc>
        <w:tc>
          <w:tcPr>
            <w:tcW w:w="2860" w:type="dxa"/>
            <w:vAlign w:val="bottom"/>
            <w:gridSpan w:val="4"/>
          </w:tcPr>
          <w:p>
            <w:pPr>
              <w:jc w:val="right"/>
              <w:ind w:right="20"/>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27</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Note 10. Business Segments</w:t>
              </w:r>
            </w:hyperlink>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tcPr>
          <w:p>
            <w:pPr>
              <w:ind w:left="20"/>
              <w:spacing w:after="0" w:line="189" w:lineRule="exact"/>
              <w:rPr>
                <w:rFonts w:ascii="Arial" w:cs="Arial" w:eastAsia="Arial" w:hAnsi="Arial"/>
                <w:sz w:val="18"/>
                <w:szCs w:val="18"/>
                <w:color w:val="0000FF"/>
              </w:rPr>
            </w:pPr>
            <w:hyperlink w:anchor="page28">
              <w:r>
                <w:rPr>
                  <w:rFonts w:ascii="Arial" w:cs="Arial" w:eastAsia="Arial" w:hAnsi="Arial"/>
                  <w:sz w:val="18"/>
                  <w:szCs w:val="18"/>
                  <w:color w:val="0000FF"/>
                </w:rPr>
                <w:t>Item 2.</w:t>
              </w:r>
            </w:hyperlink>
          </w:p>
        </w:tc>
        <w:tc>
          <w:tcPr>
            <w:tcW w:w="6640" w:type="dxa"/>
            <w:vAlign w:val="bottom"/>
            <w:gridSpan w:val="30"/>
          </w:tcPr>
          <w:p>
            <w:pPr>
              <w:ind w:left="180"/>
              <w:spacing w:after="0" w:line="189" w:lineRule="exact"/>
              <w:rPr>
                <w:rFonts w:ascii="Arial" w:cs="Arial" w:eastAsia="Arial" w:hAnsi="Arial"/>
                <w:sz w:val="18"/>
                <w:szCs w:val="18"/>
                <w:color w:val="0000FF"/>
                <w:w w:val="90"/>
              </w:rPr>
            </w:pPr>
            <w:hyperlink w:anchor="page28">
              <w:r>
                <w:rPr>
                  <w:rFonts w:ascii="Arial" w:cs="Arial" w:eastAsia="Arial" w:hAnsi="Arial"/>
                  <w:sz w:val="18"/>
                  <w:szCs w:val="18"/>
                  <w:color w:val="0000FF"/>
                  <w:w w:val="90"/>
                </w:rPr>
                <w:t>Management’s Discussion and Analysis of Financial Condition and Results of Operations</w:t>
              </w:r>
            </w:hyperlink>
          </w:p>
        </w:tc>
        <w:tc>
          <w:tcPr>
            <w:tcW w:w="2860" w:type="dxa"/>
            <w:vAlign w:val="bottom"/>
            <w:gridSpan w:val="4"/>
          </w:tcPr>
          <w:p>
            <w:pPr>
              <w:jc w:val="right"/>
              <w:ind w:right="20"/>
              <w:spacing w:after="0" w:line="189" w:lineRule="exact"/>
              <w:rPr>
                <w:rFonts w:ascii="Arial" w:cs="Arial" w:eastAsia="Arial" w:hAnsi="Arial"/>
                <w:sz w:val="18"/>
                <w:szCs w:val="18"/>
                <w:color w:val="0000FF"/>
              </w:rPr>
            </w:pPr>
            <w:hyperlink w:anchor="page28">
              <w:r>
                <w:rPr>
                  <w:rFonts w:ascii="Arial" w:cs="Arial" w:eastAsia="Arial" w:hAnsi="Arial"/>
                  <w:sz w:val="18"/>
                  <w:szCs w:val="18"/>
                  <w:color w:val="0000FF"/>
                </w:rPr>
                <w:t>29</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8"/>
            <w:shd w:val="clear" w:color="auto" w:fill="CCEEFF"/>
          </w:tcPr>
          <w:p>
            <w:pPr>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Comparison of the Quarters Ended</w:t>
              </w:r>
            </w:hyperlink>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31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28"/>
          </w:tcPr>
          <w:p>
            <w:pPr>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Comparison of the Six Months Ended</w:t>
              </w:r>
            </w:hyperlink>
          </w:p>
        </w:tc>
        <w:tc>
          <w:tcPr>
            <w:tcW w:w="2860" w:type="dxa"/>
            <w:vAlign w:val="bottom"/>
            <w:gridSpan w:val="4"/>
          </w:tcPr>
          <w:p>
            <w:pPr>
              <w:jc w:val="right"/>
              <w:ind w:right="20"/>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40" w:type="dxa"/>
            <w:vAlign w:val="bottom"/>
            <w:gridSpan w:val="12"/>
            <w:shd w:val="clear" w:color="auto" w:fill="CCEEFF"/>
          </w:tcPr>
          <w:p>
            <w:pPr>
              <w:spacing w:after="0" w:line="189" w:lineRule="exact"/>
              <w:rPr>
                <w:rFonts w:ascii="Arial" w:cs="Arial" w:eastAsia="Arial" w:hAnsi="Arial"/>
                <w:sz w:val="18"/>
                <w:szCs w:val="18"/>
                <w:color w:val="0000FF"/>
                <w:w w:val="93"/>
              </w:rPr>
            </w:pPr>
            <w:hyperlink w:anchor="page37">
              <w:r>
                <w:rPr>
                  <w:rFonts w:ascii="Arial" w:cs="Arial" w:eastAsia="Arial" w:hAnsi="Arial"/>
                  <w:sz w:val="18"/>
                  <w:szCs w:val="18"/>
                  <w:color w:val="0000FF"/>
                  <w:w w:val="93"/>
                </w:rPr>
                <w:t>Critical Accounting Policies</w:t>
              </w:r>
            </w:hyperlink>
          </w:p>
        </w:tc>
        <w:tc>
          <w:tcPr>
            <w:tcW w:w="4220" w:type="dxa"/>
            <w:vAlign w:val="bottom"/>
            <w:gridSpan w:val="16"/>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12"/>
          </w:tcPr>
          <w:p>
            <w:pPr>
              <w:spacing w:after="0" w:line="189" w:lineRule="exact"/>
              <w:rPr>
                <w:rFonts w:ascii="Arial" w:cs="Arial" w:eastAsia="Arial" w:hAnsi="Arial"/>
                <w:sz w:val="18"/>
                <w:szCs w:val="18"/>
                <w:color w:val="0000FF"/>
              </w:rPr>
            </w:pPr>
            <w:hyperlink w:anchor="page37">
              <w:r>
                <w:rPr>
                  <w:rFonts w:ascii="Arial" w:cs="Arial" w:eastAsia="Arial" w:hAnsi="Arial"/>
                  <w:sz w:val="18"/>
                  <w:szCs w:val="18"/>
                  <w:color w:val="0000FF"/>
                </w:rPr>
                <w:t>Outlook</w:t>
              </w:r>
            </w:hyperlink>
          </w:p>
        </w:tc>
        <w:tc>
          <w:tcPr>
            <w:tcW w:w="4220" w:type="dxa"/>
            <w:vAlign w:val="bottom"/>
            <w:gridSpan w:val="16"/>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3"/>
          </w:tcPr>
          <w:p>
            <w:pPr>
              <w:jc w:val="right"/>
              <w:ind w:right="20"/>
              <w:spacing w:after="0" w:line="189" w:lineRule="exact"/>
              <w:rPr>
                <w:rFonts w:ascii="Arial" w:cs="Arial" w:eastAsia="Arial" w:hAnsi="Arial"/>
                <w:sz w:val="18"/>
                <w:szCs w:val="18"/>
                <w:color w:val="0000FF"/>
                <w:w w:val="79"/>
              </w:rPr>
            </w:pPr>
            <w:hyperlink w:anchor="page37">
              <w:r>
                <w:rPr>
                  <w:rFonts w:ascii="Arial" w:cs="Arial" w:eastAsia="Arial" w:hAnsi="Arial"/>
                  <w:sz w:val="18"/>
                  <w:szCs w:val="18"/>
                  <w:color w:val="0000FF"/>
                  <w:w w:val="79"/>
                </w:rPr>
                <w:t>38</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8"/>
            <w:shd w:val="clear" w:color="auto" w:fill="CCEEFF"/>
          </w:tcPr>
          <w:p>
            <w:pPr>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Liquidity and Capital Resources</w:t>
              </w:r>
            </w:hyperlink>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16"/>
          </w:tcPr>
          <w:p>
            <w:pPr>
              <w:spacing w:after="0" w:line="189" w:lineRule="exact"/>
              <w:rPr>
                <w:rFonts w:ascii="Arial" w:cs="Arial" w:eastAsia="Arial" w:hAnsi="Arial"/>
                <w:sz w:val="18"/>
                <w:szCs w:val="18"/>
                <w:color w:val="0000FF"/>
              </w:rPr>
            </w:pPr>
            <w:hyperlink w:anchor="page47">
              <w:r>
                <w:rPr>
                  <w:rFonts w:ascii="Arial" w:cs="Arial" w:eastAsia="Arial" w:hAnsi="Arial"/>
                  <w:sz w:val="18"/>
                  <w:szCs w:val="18"/>
                  <w:color w:val="0000FF"/>
                </w:rPr>
                <w:t>Other</w:t>
              </w:r>
            </w:hyperlink>
          </w:p>
        </w:tc>
        <w:tc>
          <w:tcPr>
            <w:tcW w:w="3940" w:type="dxa"/>
            <w:vAlign w:val="bottom"/>
            <w:gridSpan w:val="12"/>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3"/>
          </w:tcPr>
          <w:p>
            <w:pPr>
              <w:jc w:val="right"/>
              <w:ind w:right="20"/>
              <w:spacing w:after="0" w:line="189" w:lineRule="exact"/>
              <w:rPr>
                <w:rFonts w:ascii="Arial" w:cs="Arial" w:eastAsia="Arial" w:hAnsi="Arial"/>
                <w:sz w:val="18"/>
                <w:szCs w:val="18"/>
                <w:color w:val="0000FF"/>
                <w:w w:val="79"/>
              </w:rPr>
            </w:pPr>
            <w:hyperlink w:anchor="page47">
              <w:r>
                <w:rPr>
                  <w:rFonts w:ascii="Arial" w:cs="Arial" w:eastAsia="Arial" w:hAnsi="Arial"/>
                  <w:sz w:val="18"/>
                  <w:szCs w:val="18"/>
                  <w:color w:val="0000FF"/>
                  <w:w w:val="79"/>
                </w:rPr>
                <w:t>48</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rFonts w:ascii="Arial" w:cs="Arial" w:eastAsia="Arial" w:hAnsi="Arial"/>
                <w:sz w:val="18"/>
                <w:szCs w:val="18"/>
                <w:color w:val="0000FF"/>
                <w:w w:val="87"/>
              </w:rPr>
            </w:pPr>
            <w:hyperlink w:anchor="page48">
              <w:r>
                <w:rPr>
                  <w:rFonts w:ascii="Arial" w:cs="Arial" w:eastAsia="Arial" w:hAnsi="Arial"/>
                  <w:sz w:val="18"/>
                  <w:szCs w:val="18"/>
                  <w:color w:val="0000FF"/>
                  <w:w w:val="87"/>
                </w:rPr>
                <w:t>Item 3.</w:t>
              </w:r>
            </w:hyperlink>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Quantitative and Qualitative Disclosures about Market Risk</w:t>
              </w:r>
            </w:hyperlink>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ind w:left="20"/>
              <w:spacing w:after="0" w:line="189" w:lineRule="exact"/>
              <w:rPr>
                <w:rFonts w:ascii="Arial" w:cs="Arial" w:eastAsia="Arial" w:hAnsi="Arial"/>
                <w:sz w:val="18"/>
                <w:szCs w:val="18"/>
                <w:color w:val="0000FF"/>
                <w:w w:val="87"/>
              </w:rPr>
            </w:pPr>
            <w:hyperlink w:anchor="page49">
              <w:r>
                <w:rPr>
                  <w:rFonts w:ascii="Arial" w:cs="Arial" w:eastAsia="Arial" w:hAnsi="Arial"/>
                  <w:sz w:val="18"/>
                  <w:szCs w:val="18"/>
                  <w:color w:val="0000FF"/>
                  <w:w w:val="87"/>
                </w:rPr>
                <w:t>Item 4.</w:t>
              </w:r>
            </w:hyperlink>
          </w:p>
        </w:tc>
        <w:tc>
          <w:tcPr>
            <w:tcW w:w="300" w:type="dxa"/>
            <w:vAlign w:val="bottom"/>
            <w:gridSpan w:val="2"/>
          </w:tcPr>
          <w:p>
            <w:pPr>
              <w:spacing w:after="0"/>
              <w:rPr>
                <w:sz w:val="16"/>
                <w:szCs w:val="16"/>
                <w:color w:val="auto"/>
              </w:rPr>
            </w:pPr>
          </w:p>
        </w:tc>
        <w:tc>
          <w:tcPr>
            <w:tcW w:w="6640" w:type="dxa"/>
            <w:vAlign w:val="bottom"/>
            <w:gridSpan w:val="30"/>
          </w:tcPr>
          <w:p>
            <w:pPr>
              <w:ind w:left="180"/>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Controls and Procedures</w:t>
              </w:r>
            </w:hyperlink>
          </w:p>
        </w:tc>
        <w:tc>
          <w:tcPr>
            <w:tcW w:w="2860" w:type="dxa"/>
            <w:vAlign w:val="bottom"/>
            <w:gridSpan w:val="4"/>
          </w:tcPr>
          <w:p>
            <w:pPr>
              <w:jc w:val="right"/>
              <w:ind w:right="20"/>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60" w:type="dxa"/>
            <w:vAlign w:val="bottom"/>
            <w:gridSpan w:val="5"/>
            <w:shd w:val="clear" w:color="auto" w:fill="CCEEFF"/>
          </w:tcPr>
          <w:p>
            <w:pPr>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Part II.</w:t>
              </w:r>
            </w:hyperlink>
          </w:p>
        </w:tc>
        <w:tc>
          <w:tcPr>
            <w:tcW w:w="7460" w:type="dxa"/>
            <w:vAlign w:val="bottom"/>
            <w:gridSpan w:val="33"/>
            <w:shd w:val="clear" w:color="auto" w:fill="CCEEFF"/>
          </w:tcPr>
          <w:p>
            <w:pPr>
              <w:ind w:left="20"/>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Other Information</w:t>
              </w:r>
            </w:hyperlink>
          </w:p>
        </w:tc>
        <w:tc>
          <w:tcPr>
            <w:tcW w:w="2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tcPr>
          <w:p>
            <w:pPr>
              <w:ind w:left="20"/>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Item 1.</w:t>
              </w:r>
            </w:hyperlink>
          </w:p>
        </w:tc>
        <w:tc>
          <w:tcPr>
            <w:tcW w:w="6640" w:type="dxa"/>
            <w:vAlign w:val="bottom"/>
            <w:gridSpan w:val="30"/>
          </w:tcPr>
          <w:p>
            <w:pPr>
              <w:ind w:left="180"/>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Legal Proceedings</w:t>
              </w:r>
            </w:hyperlink>
          </w:p>
        </w:tc>
        <w:tc>
          <w:tcPr>
            <w:tcW w:w="2860" w:type="dxa"/>
            <w:vAlign w:val="bottom"/>
            <w:gridSpan w:val="4"/>
          </w:tcPr>
          <w:p>
            <w:pPr>
              <w:jc w:val="right"/>
              <w:ind w:right="20"/>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ind w:left="20"/>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Item 1A.</w:t>
              </w:r>
            </w:hyperlink>
          </w:p>
        </w:tc>
        <w:tc>
          <w:tcPr>
            <w:tcW w:w="6640" w:type="dxa"/>
            <w:vAlign w:val="bottom"/>
            <w:gridSpan w:val="30"/>
            <w:shd w:val="clear" w:color="auto" w:fill="CCEEFF"/>
          </w:tcPr>
          <w:p>
            <w:pPr>
              <w:ind w:left="180"/>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Risk Factors</w:t>
              </w:r>
            </w:hyperlink>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50</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gridSpan w:val="2"/>
          </w:tcPr>
          <w:p>
            <w:pPr>
              <w:ind w:left="2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Item 2.</w:t>
              </w:r>
            </w:hyperlink>
          </w:p>
        </w:tc>
        <w:tc>
          <w:tcPr>
            <w:tcW w:w="180" w:type="dxa"/>
            <w:vAlign w:val="bottom"/>
          </w:tcPr>
          <w:p>
            <w:pPr>
              <w:spacing w:after="0"/>
              <w:rPr>
                <w:sz w:val="16"/>
                <w:szCs w:val="16"/>
                <w:color w:val="auto"/>
              </w:rPr>
            </w:pPr>
          </w:p>
        </w:tc>
        <w:tc>
          <w:tcPr>
            <w:tcW w:w="6640" w:type="dxa"/>
            <w:vAlign w:val="bottom"/>
            <w:gridSpan w:val="30"/>
          </w:tcPr>
          <w:p>
            <w:pPr>
              <w:ind w:left="18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Unregistered Sales of Equity Securities and Use of Proceeds</w:t>
              </w:r>
            </w:hyperlink>
          </w:p>
        </w:tc>
        <w:tc>
          <w:tcPr>
            <w:tcW w:w="2860" w:type="dxa"/>
            <w:vAlign w:val="bottom"/>
            <w:gridSpan w:val="4"/>
          </w:tcPr>
          <w:p>
            <w:pPr>
              <w:jc w:val="right"/>
              <w:ind w:right="2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rFonts w:ascii="Arial" w:cs="Arial" w:eastAsia="Arial" w:hAnsi="Arial"/>
                <w:sz w:val="18"/>
                <w:szCs w:val="18"/>
                <w:color w:val="0000FF"/>
                <w:w w:val="87"/>
              </w:rPr>
            </w:pPr>
            <w:hyperlink w:anchor="page50">
              <w:r>
                <w:rPr>
                  <w:rFonts w:ascii="Arial" w:cs="Arial" w:eastAsia="Arial" w:hAnsi="Arial"/>
                  <w:sz w:val="18"/>
                  <w:szCs w:val="18"/>
                  <w:color w:val="0000FF"/>
                  <w:w w:val="87"/>
                </w:rPr>
                <w:t>Item 3.</w:t>
              </w:r>
            </w:hyperlink>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Defaults Upon Senior Securities</w:t>
              </w:r>
            </w:hyperlink>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ind w:left="20"/>
              <w:spacing w:after="0" w:line="189" w:lineRule="exact"/>
              <w:rPr>
                <w:rFonts w:ascii="Arial" w:cs="Arial" w:eastAsia="Arial" w:hAnsi="Arial"/>
                <w:sz w:val="18"/>
                <w:szCs w:val="18"/>
                <w:color w:val="0000FF"/>
                <w:w w:val="87"/>
              </w:rPr>
            </w:pPr>
            <w:hyperlink w:anchor="page50">
              <w:r>
                <w:rPr>
                  <w:rFonts w:ascii="Arial" w:cs="Arial" w:eastAsia="Arial" w:hAnsi="Arial"/>
                  <w:sz w:val="18"/>
                  <w:szCs w:val="18"/>
                  <w:color w:val="0000FF"/>
                  <w:w w:val="87"/>
                </w:rPr>
                <w:t>Item 4.</w:t>
              </w:r>
            </w:hyperlink>
          </w:p>
        </w:tc>
        <w:tc>
          <w:tcPr>
            <w:tcW w:w="300" w:type="dxa"/>
            <w:vAlign w:val="bottom"/>
            <w:gridSpan w:val="2"/>
          </w:tcPr>
          <w:p>
            <w:pPr>
              <w:spacing w:after="0"/>
              <w:rPr>
                <w:sz w:val="16"/>
                <w:szCs w:val="16"/>
                <w:color w:val="auto"/>
              </w:rPr>
            </w:pPr>
          </w:p>
        </w:tc>
        <w:tc>
          <w:tcPr>
            <w:tcW w:w="6640" w:type="dxa"/>
            <w:vAlign w:val="bottom"/>
            <w:gridSpan w:val="30"/>
          </w:tcPr>
          <w:p>
            <w:pPr>
              <w:ind w:left="18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Mine Safety Disclosures</w:t>
              </w:r>
            </w:hyperlink>
          </w:p>
        </w:tc>
        <w:tc>
          <w:tcPr>
            <w:tcW w:w="2860" w:type="dxa"/>
            <w:vAlign w:val="bottom"/>
            <w:gridSpan w:val="4"/>
          </w:tcPr>
          <w:p>
            <w:pPr>
              <w:jc w:val="right"/>
              <w:ind w:right="2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rFonts w:ascii="Arial" w:cs="Arial" w:eastAsia="Arial" w:hAnsi="Arial"/>
                <w:sz w:val="18"/>
                <w:szCs w:val="18"/>
                <w:color w:val="0000FF"/>
                <w:w w:val="87"/>
              </w:rPr>
            </w:pPr>
            <w:hyperlink w:anchor="page50">
              <w:r>
                <w:rPr>
                  <w:rFonts w:ascii="Arial" w:cs="Arial" w:eastAsia="Arial" w:hAnsi="Arial"/>
                  <w:sz w:val="18"/>
                  <w:szCs w:val="18"/>
                  <w:color w:val="0000FF"/>
                  <w:w w:val="87"/>
                </w:rPr>
                <w:t>Item 5.</w:t>
              </w:r>
            </w:hyperlink>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Other Information</w:t>
              </w:r>
            </w:hyperlink>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51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ind w:left="20"/>
              <w:spacing w:after="0" w:line="189" w:lineRule="exact"/>
              <w:rPr>
                <w:rFonts w:ascii="Arial" w:cs="Arial" w:eastAsia="Arial" w:hAnsi="Arial"/>
                <w:sz w:val="18"/>
                <w:szCs w:val="18"/>
                <w:color w:val="0000FF"/>
                <w:w w:val="87"/>
              </w:rPr>
            </w:pPr>
            <w:hyperlink w:anchor="page51">
              <w:r>
                <w:rPr>
                  <w:rFonts w:ascii="Arial" w:cs="Arial" w:eastAsia="Arial" w:hAnsi="Arial"/>
                  <w:sz w:val="18"/>
                  <w:szCs w:val="18"/>
                  <w:color w:val="0000FF"/>
                  <w:w w:val="87"/>
                </w:rPr>
                <w:t>Item 6.</w:t>
              </w:r>
            </w:hyperlink>
          </w:p>
        </w:tc>
        <w:tc>
          <w:tcPr>
            <w:tcW w:w="300" w:type="dxa"/>
            <w:vAlign w:val="bottom"/>
            <w:gridSpan w:val="2"/>
          </w:tcPr>
          <w:p>
            <w:pPr>
              <w:spacing w:after="0"/>
              <w:rPr>
                <w:sz w:val="16"/>
                <w:szCs w:val="16"/>
                <w:color w:val="auto"/>
              </w:rPr>
            </w:pPr>
          </w:p>
        </w:tc>
        <w:tc>
          <w:tcPr>
            <w:tcW w:w="6640" w:type="dxa"/>
            <w:vAlign w:val="bottom"/>
            <w:gridSpan w:val="30"/>
          </w:tcPr>
          <w:p>
            <w:pPr>
              <w:ind w:left="180"/>
              <w:spacing w:after="0" w:line="189" w:lineRule="exact"/>
              <w:rPr>
                <w:rFonts w:ascii="Arial" w:cs="Arial" w:eastAsia="Arial" w:hAnsi="Arial"/>
                <w:sz w:val="18"/>
                <w:szCs w:val="18"/>
                <w:color w:val="0000FF"/>
              </w:rPr>
            </w:pPr>
            <w:hyperlink w:anchor="page51">
              <w:r>
                <w:rPr>
                  <w:rFonts w:ascii="Arial" w:cs="Arial" w:eastAsia="Arial" w:hAnsi="Arial"/>
                  <w:sz w:val="18"/>
                  <w:szCs w:val="18"/>
                  <w:color w:val="0000FF"/>
                </w:rPr>
                <w:t>Exhibits</w:t>
              </w:r>
            </w:hyperlink>
          </w:p>
        </w:tc>
        <w:tc>
          <w:tcPr>
            <w:tcW w:w="2860" w:type="dxa"/>
            <w:vAlign w:val="bottom"/>
            <w:gridSpan w:val="4"/>
          </w:tcPr>
          <w:p>
            <w:pPr>
              <w:jc w:val="right"/>
              <w:ind w:right="20"/>
              <w:spacing w:after="0" w:line="189" w:lineRule="exact"/>
              <w:rPr>
                <w:rFonts w:ascii="Arial" w:cs="Arial" w:eastAsia="Arial" w:hAnsi="Arial"/>
                <w:sz w:val="18"/>
                <w:szCs w:val="18"/>
                <w:color w:val="0000FF"/>
              </w:rPr>
            </w:pPr>
            <w:hyperlink w:anchor="page51">
              <w:r>
                <w:rPr>
                  <w:rFonts w:ascii="Arial" w:cs="Arial" w:eastAsia="Arial" w:hAnsi="Arial"/>
                  <w:sz w:val="18"/>
                  <w:szCs w:val="18"/>
                  <w:color w:val="0000FF"/>
                </w:rPr>
                <w:t>52</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60" w:type="dxa"/>
            <w:vAlign w:val="bottom"/>
            <w:gridSpan w:val="5"/>
            <w:shd w:val="clear" w:color="auto" w:fill="CCEEFF"/>
          </w:tcPr>
          <w:p>
            <w:pPr>
              <w:spacing w:after="0" w:line="189" w:lineRule="exact"/>
              <w:rPr>
                <w:rFonts w:ascii="Arial" w:cs="Arial" w:eastAsia="Arial" w:hAnsi="Arial"/>
                <w:sz w:val="18"/>
                <w:szCs w:val="18"/>
                <w:color w:val="0000FF"/>
                <w:w w:val="97"/>
              </w:rPr>
            </w:pPr>
            <w:hyperlink w:anchor="page52">
              <w:r>
                <w:rPr>
                  <w:rFonts w:ascii="Arial" w:cs="Arial" w:eastAsia="Arial" w:hAnsi="Arial"/>
                  <w:sz w:val="18"/>
                  <w:szCs w:val="18"/>
                  <w:color w:val="0000FF"/>
                  <w:w w:val="97"/>
                </w:rPr>
                <w:t>Signatures</w:t>
              </w:r>
            </w:hyperlink>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52">
              <w:r>
                <w:rPr>
                  <w:rFonts w:ascii="Arial" w:cs="Arial" w:eastAsia="Arial" w:hAnsi="Arial"/>
                  <w:sz w:val="18"/>
                  <w:szCs w:val="18"/>
                  <w:color w:val="0000FF"/>
                </w:rPr>
                <w:t>53</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08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Abbreviation or Acronym</w:t>
            </w:r>
          </w:p>
        </w:tc>
        <w:tc>
          <w:tcPr>
            <w:tcW w:w="814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Term</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AFUDC</w:t>
            </w:r>
          </w:p>
        </w:tc>
        <w:tc>
          <w:tcPr>
            <w:tcW w:w="8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8"/>
              </w:rPr>
              <w:t>Allowance for Funds Used During Construction – the cost of both debt and equity funds used to finance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regulated utility plant additions during construction periods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ALLETE</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Clean Energy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ALLETE Properties</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South Wind</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South Wind,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ALLETE Transmission Holdings</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Transmission Holdings,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ArcelorMittal</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ArcelorMittal S.A.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ATC</w:t>
            </w:r>
          </w:p>
        </w:tc>
        <w:tc>
          <w:tcPr>
            <w:tcW w:w="8120" w:type="dxa"/>
            <w:vAlign w:val="bottom"/>
            <w:gridSpan w:val="2"/>
          </w:tcPr>
          <w:p>
            <w:pPr>
              <w:spacing w:after="0"/>
              <w:rPr>
                <w:sz w:val="20"/>
                <w:szCs w:val="20"/>
                <w:color w:val="auto"/>
              </w:rPr>
            </w:pPr>
            <w:r>
              <w:rPr>
                <w:rFonts w:ascii="Arial" w:cs="Arial" w:eastAsia="Arial" w:hAnsi="Arial"/>
                <w:sz w:val="18"/>
                <w:szCs w:val="18"/>
                <w:color w:val="auto"/>
              </w:rPr>
              <w:t>American Transmission Company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Bison</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Bison Wind Energy Center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BNI Energy</w:t>
            </w:r>
          </w:p>
        </w:tc>
        <w:tc>
          <w:tcPr>
            <w:tcW w:w="8120" w:type="dxa"/>
            <w:vAlign w:val="bottom"/>
            <w:gridSpan w:val="2"/>
          </w:tcPr>
          <w:p>
            <w:pPr>
              <w:spacing w:after="0"/>
              <w:rPr>
                <w:sz w:val="20"/>
                <w:szCs w:val="20"/>
                <w:color w:val="auto"/>
              </w:rPr>
            </w:pPr>
            <w:r>
              <w:rPr>
                <w:rFonts w:ascii="Arial" w:cs="Arial" w:eastAsia="Arial" w:hAnsi="Arial"/>
                <w:sz w:val="18"/>
                <w:szCs w:val="18"/>
                <w:color w:val="auto"/>
              </w:rPr>
              <w:t>BNI Energy, Inc. and its subsidiary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Boswell</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Boswell Energy Center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Camp Ripley</w:t>
            </w:r>
          </w:p>
        </w:tc>
        <w:tc>
          <w:tcPr>
            <w:tcW w:w="8120" w:type="dxa"/>
            <w:vAlign w:val="bottom"/>
            <w:gridSpan w:val="2"/>
          </w:tcPr>
          <w:p>
            <w:pPr>
              <w:spacing w:after="0"/>
              <w:rPr>
                <w:sz w:val="20"/>
                <w:szCs w:val="20"/>
                <w:color w:val="auto"/>
              </w:rPr>
            </w:pPr>
            <w:r>
              <w:rPr>
                <w:rFonts w:ascii="Arial" w:cs="Arial" w:eastAsia="Arial" w:hAnsi="Arial"/>
                <w:sz w:val="18"/>
                <w:szCs w:val="18"/>
                <w:color w:val="auto"/>
              </w:rPr>
              <w:t>Camp Ripley Solar Array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Cliffs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Cleveland-Cliffs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Inc.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COVID-19</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novel coronavirus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CSAPR</w:t>
            </w:r>
          </w:p>
        </w:tc>
        <w:tc>
          <w:tcPr>
            <w:tcW w:w="8120" w:type="dxa"/>
            <w:vAlign w:val="bottom"/>
            <w:gridSpan w:val="2"/>
          </w:tcPr>
          <w:p>
            <w:pPr>
              <w:spacing w:after="0"/>
              <w:rPr>
                <w:sz w:val="20"/>
                <w:szCs w:val="20"/>
                <w:color w:val="auto"/>
              </w:rPr>
            </w:pPr>
            <w:r>
              <w:rPr>
                <w:rFonts w:ascii="Arial" w:cs="Arial" w:eastAsia="Arial" w:hAnsi="Arial"/>
                <w:sz w:val="18"/>
                <w:szCs w:val="18"/>
                <w:color w:val="auto"/>
              </w:rPr>
              <w:t>Cross-State Air Pollution Rule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Current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EIS</w:t>
            </w:r>
          </w:p>
        </w:tc>
        <w:tc>
          <w:tcPr>
            <w:tcW w:w="8120" w:type="dxa"/>
            <w:vAlign w:val="bottom"/>
            <w:gridSpan w:val="2"/>
          </w:tcPr>
          <w:p>
            <w:pPr>
              <w:spacing w:after="0"/>
              <w:rPr>
                <w:sz w:val="20"/>
                <w:szCs w:val="20"/>
                <w:color w:val="auto"/>
              </w:rPr>
            </w:pPr>
            <w:r>
              <w:rPr>
                <w:rFonts w:ascii="Arial" w:cs="Arial" w:eastAsia="Arial" w:hAnsi="Arial"/>
                <w:sz w:val="18"/>
                <w:szCs w:val="18"/>
                <w:color w:val="auto"/>
              </w:rPr>
              <w:t>Environmental Impact Statement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EPA</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Environmental Protection Agency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ESOP</w:t>
            </w:r>
          </w:p>
        </w:tc>
        <w:tc>
          <w:tcPr>
            <w:tcW w:w="8120" w:type="dxa"/>
            <w:vAlign w:val="bottom"/>
            <w:gridSpan w:val="2"/>
          </w:tcPr>
          <w:p>
            <w:pPr>
              <w:spacing w:after="0"/>
              <w:rPr>
                <w:sz w:val="20"/>
                <w:szCs w:val="20"/>
                <w:color w:val="auto"/>
              </w:rPr>
            </w:pPr>
            <w:r>
              <w:rPr>
                <w:rFonts w:ascii="Arial" w:cs="Arial" w:eastAsia="Arial" w:hAnsi="Arial"/>
                <w:sz w:val="18"/>
                <w:szCs w:val="18"/>
                <w:color w:val="auto"/>
              </w:rPr>
              <w:t>Employee Stock Ownership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FERC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Energy Regulatory Commission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Form 10-K</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Annual Report on Form 10-K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10-Q</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Quarterly Report on Form 10-Q</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GAAP</w:t>
            </w:r>
          </w:p>
        </w:tc>
        <w:tc>
          <w:tcPr>
            <w:tcW w:w="8120" w:type="dxa"/>
            <w:vAlign w:val="bottom"/>
            <w:gridSpan w:val="2"/>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GHG</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Greenhouse Gases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GNTL</w:t>
            </w:r>
          </w:p>
        </w:tc>
        <w:tc>
          <w:tcPr>
            <w:tcW w:w="8120" w:type="dxa"/>
            <w:vAlign w:val="bottom"/>
            <w:gridSpan w:val="2"/>
          </w:tcPr>
          <w:p>
            <w:pPr>
              <w:spacing w:after="0"/>
              <w:rPr>
                <w:sz w:val="20"/>
                <w:szCs w:val="20"/>
                <w:color w:val="auto"/>
              </w:rPr>
            </w:pPr>
            <w:r>
              <w:rPr>
                <w:rFonts w:ascii="Arial" w:cs="Arial" w:eastAsia="Arial" w:hAnsi="Arial"/>
                <w:sz w:val="18"/>
                <w:szCs w:val="18"/>
                <w:color w:val="auto"/>
              </w:rPr>
              <w:t>Great Northern Transmission Line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Hibbing Taconite</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Hibbing Taconite Co.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Husky Energy</w:t>
            </w:r>
          </w:p>
        </w:tc>
        <w:tc>
          <w:tcPr>
            <w:tcW w:w="8120" w:type="dxa"/>
            <w:vAlign w:val="bottom"/>
            <w:gridSpan w:val="2"/>
          </w:tcPr>
          <w:p>
            <w:pPr>
              <w:spacing w:after="0"/>
              <w:rPr>
                <w:sz w:val="20"/>
                <w:szCs w:val="20"/>
                <w:color w:val="auto"/>
              </w:rPr>
            </w:pPr>
            <w:r>
              <w:rPr>
                <w:rFonts w:ascii="Arial" w:cs="Arial" w:eastAsia="Arial" w:hAnsi="Arial"/>
                <w:sz w:val="18"/>
                <w:szCs w:val="18"/>
                <w:color w:val="auto"/>
              </w:rPr>
              <w:t>Husky Energy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 Direct</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ALLETE’s Direct Stock Purchase and Dividend Reinvestment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IRP</w:t>
            </w:r>
          </w:p>
        </w:tc>
        <w:tc>
          <w:tcPr>
            <w:tcW w:w="8120" w:type="dxa"/>
            <w:vAlign w:val="bottom"/>
            <w:gridSpan w:val="2"/>
          </w:tcPr>
          <w:p>
            <w:pPr>
              <w:spacing w:after="0"/>
              <w:rPr>
                <w:sz w:val="20"/>
                <w:szCs w:val="20"/>
                <w:color w:val="auto"/>
              </w:rPr>
            </w:pPr>
            <w:r>
              <w:rPr>
                <w:rFonts w:ascii="Arial" w:cs="Arial" w:eastAsia="Arial" w:hAnsi="Arial"/>
                <w:sz w:val="18"/>
                <w:szCs w:val="18"/>
                <w:color w:val="auto"/>
              </w:rPr>
              <w:t>Integrated Resource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___</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___ of this Form 10-Q</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kV</w:t>
            </w:r>
          </w:p>
        </w:tc>
        <w:tc>
          <w:tcPr>
            <w:tcW w:w="8120" w:type="dxa"/>
            <w:vAlign w:val="bottom"/>
            <w:gridSpan w:val="2"/>
          </w:tcPr>
          <w:p>
            <w:pPr>
              <w:spacing w:after="0"/>
              <w:rPr>
                <w:sz w:val="20"/>
                <w:szCs w:val="20"/>
                <w:color w:val="auto"/>
              </w:rPr>
            </w:pPr>
            <w:r>
              <w:rPr>
                <w:rFonts w:ascii="Arial" w:cs="Arial" w:eastAsia="Arial" w:hAnsi="Arial"/>
                <w:sz w:val="18"/>
                <w:szCs w:val="18"/>
                <w:color w:val="auto"/>
              </w:rPr>
              <w:t>Kilovolt(s)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kW / kWh</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Kilowatt(s) / Kilowatt-hour(s)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7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Laskin</w:t>
            </w:r>
          </w:p>
        </w:tc>
        <w:tc>
          <w:tcPr>
            <w:tcW w:w="8120" w:type="dxa"/>
            <w:vAlign w:val="bottom"/>
            <w:gridSpan w:val="2"/>
          </w:tcPr>
          <w:p>
            <w:pPr>
              <w:spacing w:after="0"/>
              <w:rPr>
                <w:sz w:val="20"/>
                <w:szCs w:val="20"/>
                <w:color w:val="auto"/>
              </w:rPr>
            </w:pPr>
            <w:r>
              <w:rPr>
                <w:rFonts w:ascii="Arial" w:cs="Arial" w:eastAsia="Arial" w:hAnsi="Arial"/>
                <w:sz w:val="18"/>
                <w:szCs w:val="18"/>
                <w:color w:val="auto"/>
              </w:rPr>
              <w:t>Laskin Energy Center</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Lampert Capital Markets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Lampert Capital Markets,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Manitoba Hydro</w:t>
            </w:r>
          </w:p>
        </w:tc>
        <w:tc>
          <w:tcPr>
            <w:tcW w:w="8120" w:type="dxa"/>
            <w:vAlign w:val="bottom"/>
            <w:gridSpan w:val="2"/>
          </w:tcPr>
          <w:p>
            <w:pPr>
              <w:spacing w:after="0"/>
              <w:rPr>
                <w:sz w:val="20"/>
                <w:szCs w:val="20"/>
                <w:color w:val="auto"/>
              </w:rPr>
            </w:pPr>
            <w:r>
              <w:rPr>
                <w:rFonts w:ascii="Arial" w:cs="Arial" w:eastAsia="Arial" w:hAnsi="Arial"/>
                <w:sz w:val="18"/>
                <w:szCs w:val="18"/>
                <w:color w:val="auto"/>
              </w:rPr>
              <w:t>Manitoba Hydro-Electric Board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Minnesota Power</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 operating division of ALLETE,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Minnkota Power</w:t>
            </w:r>
          </w:p>
        </w:tc>
        <w:tc>
          <w:tcPr>
            <w:tcW w:w="8120" w:type="dxa"/>
            <w:vAlign w:val="bottom"/>
            <w:gridSpan w:val="2"/>
          </w:tcPr>
          <w:p>
            <w:pPr>
              <w:spacing w:after="0"/>
              <w:rPr>
                <w:sz w:val="20"/>
                <w:szCs w:val="20"/>
                <w:color w:val="auto"/>
              </w:rPr>
            </w:pPr>
            <w:r>
              <w:rPr>
                <w:rFonts w:ascii="Arial" w:cs="Arial" w:eastAsia="Arial" w:hAnsi="Arial"/>
                <w:sz w:val="18"/>
                <w:szCs w:val="18"/>
                <w:color w:val="auto"/>
              </w:rPr>
              <w:t>Minnkota Power Cooperative,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MISO</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MMTP</w:t>
            </w:r>
          </w:p>
        </w:tc>
        <w:tc>
          <w:tcPr>
            <w:tcW w:w="8120" w:type="dxa"/>
            <w:vAlign w:val="bottom"/>
            <w:gridSpan w:val="2"/>
          </w:tcPr>
          <w:p>
            <w:pPr>
              <w:spacing w:after="0"/>
              <w:rPr>
                <w:sz w:val="20"/>
                <w:szCs w:val="20"/>
                <w:color w:val="auto"/>
              </w:rPr>
            </w:pPr>
            <w:r>
              <w:rPr>
                <w:rFonts w:ascii="Arial" w:cs="Arial" w:eastAsia="Arial" w:hAnsi="Arial"/>
                <w:sz w:val="18"/>
                <w:szCs w:val="18"/>
                <w:color w:val="auto"/>
              </w:rPr>
              <w:t>Manitoba-Minnesota Transmission Project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Moody’s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Moody’s Investors Service,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MPCA</w:t>
            </w:r>
          </w:p>
        </w:tc>
        <w:tc>
          <w:tcPr>
            <w:tcW w:w="8120" w:type="dxa"/>
            <w:vAlign w:val="bottom"/>
            <w:gridSpan w:val="2"/>
          </w:tcPr>
          <w:p>
            <w:pPr>
              <w:spacing w:after="0"/>
              <w:rPr>
                <w:sz w:val="20"/>
                <w:szCs w:val="20"/>
                <w:color w:val="auto"/>
              </w:rPr>
            </w:pPr>
            <w:r>
              <w:rPr>
                <w:rFonts w:ascii="Arial" w:cs="Arial" w:eastAsia="Arial" w:hAnsi="Arial"/>
                <w:sz w:val="18"/>
                <w:szCs w:val="18"/>
                <w:color w:val="auto"/>
              </w:rPr>
              <w:t>Minnesota Pollution Control Agency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720" w:type="dxa"/>
            <w:vAlign w:val="bottom"/>
            <w:gridSpan w:val="2"/>
          </w:tcPr>
          <w:p>
            <w:pPr>
              <w:ind w:left="720"/>
              <w:spacing w:after="0"/>
              <w:rPr>
                <w:sz w:val="20"/>
                <w:szCs w:val="20"/>
                <w:color w:val="auto"/>
              </w:rPr>
            </w:pPr>
            <w:r>
              <w:rPr>
                <w:rFonts w:ascii="Arial" w:cs="Arial" w:eastAsia="Arial" w:hAnsi="Arial"/>
                <w:sz w:val="14"/>
                <w:szCs w:val="14"/>
                <w:color w:val="auto"/>
              </w:rPr>
              <w:t>ALLETE, Inc. Second Quarter 2021 Form 10-Q</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120" w:type="dxa"/>
            <w:vAlign w:val="bottom"/>
            <w:gridSpan w:val="2"/>
          </w:tcPr>
          <w:p>
            <w:pPr>
              <w:ind w:left="2480"/>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7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Abbreviation or Acronym</w:t>
            </w:r>
          </w:p>
        </w:tc>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MPUC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Minnesota Public Utilities Commission</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MW / MWh</w:t>
            </w:r>
          </w:p>
        </w:tc>
        <w:tc>
          <w:tcPr>
            <w:tcW w:w="8120" w:type="dxa"/>
            <w:vAlign w:val="bottom"/>
            <w:gridSpan w:val="2"/>
          </w:tcPr>
          <w:p>
            <w:pPr>
              <w:spacing w:after="0"/>
              <w:rPr>
                <w:sz w:val="20"/>
                <w:szCs w:val="20"/>
                <w:color w:val="auto"/>
              </w:rPr>
            </w:pPr>
            <w:r>
              <w:rPr>
                <w:rFonts w:ascii="Arial" w:cs="Arial" w:eastAsia="Arial" w:hAnsi="Arial"/>
                <w:sz w:val="18"/>
                <w:szCs w:val="18"/>
                <w:color w:val="auto"/>
              </w:rPr>
              <w:t>Megawatt(s) / Megawatt-hour(s)</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NAAQS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National Ambient Air Quality Standards</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NDPSC</w:t>
            </w:r>
          </w:p>
        </w:tc>
        <w:tc>
          <w:tcPr>
            <w:tcW w:w="8120" w:type="dxa"/>
            <w:vAlign w:val="bottom"/>
            <w:gridSpan w:val="2"/>
          </w:tcPr>
          <w:p>
            <w:pPr>
              <w:spacing w:after="0"/>
              <w:rPr>
                <w:sz w:val="20"/>
                <w:szCs w:val="20"/>
                <w:color w:val="auto"/>
              </w:rPr>
            </w:pPr>
            <w:r>
              <w:rPr>
                <w:rFonts w:ascii="Arial" w:cs="Arial" w:eastAsia="Arial" w:hAnsi="Arial"/>
                <w:sz w:val="18"/>
                <w:szCs w:val="18"/>
                <w:color w:val="auto"/>
              </w:rPr>
              <w:t>North Dakota Public Service Commission</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Nobles 2</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Nobles 2 Power Partners, LLC</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NOL</w:t>
            </w:r>
          </w:p>
        </w:tc>
        <w:tc>
          <w:tcPr>
            <w:tcW w:w="8120" w:type="dxa"/>
            <w:vAlign w:val="bottom"/>
            <w:gridSpan w:val="2"/>
          </w:tcPr>
          <w:p>
            <w:pPr>
              <w:spacing w:after="0"/>
              <w:rPr>
                <w:sz w:val="20"/>
                <w:szCs w:val="20"/>
                <w:color w:val="auto"/>
              </w:rPr>
            </w:pPr>
            <w:r>
              <w:rPr>
                <w:rFonts w:ascii="Arial" w:cs="Arial" w:eastAsia="Arial" w:hAnsi="Arial"/>
                <w:sz w:val="18"/>
                <w:szCs w:val="18"/>
                <w:color w:val="auto"/>
              </w:rPr>
              <w:t>Net Operating Loss</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NO</w:t>
            </w:r>
            <w:r>
              <w:rPr>
                <w:rFonts w:ascii="Arial" w:cs="Arial" w:eastAsia="Arial" w:hAnsi="Arial"/>
                <w:sz w:val="23"/>
                <w:szCs w:val="23"/>
                <w:color w:val="auto"/>
                <w:vertAlign w:val="subscript"/>
              </w:rPr>
              <w:t>X</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Nitrogen Oxides</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Northshore Mining</w:t>
            </w:r>
          </w:p>
        </w:tc>
        <w:tc>
          <w:tcPr>
            <w:tcW w:w="8120" w:type="dxa"/>
            <w:vAlign w:val="bottom"/>
            <w:gridSpan w:val="2"/>
          </w:tcPr>
          <w:p>
            <w:pPr>
              <w:spacing w:after="0"/>
              <w:rPr>
                <w:sz w:val="20"/>
                <w:szCs w:val="20"/>
                <w:color w:val="auto"/>
              </w:rPr>
            </w:pPr>
            <w:r>
              <w:rPr>
                <w:rFonts w:ascii="Arial" w:cs="Arial" w:eastAsia="Arial" w:hAnsi="Arial"/>
                <w:sz w:val="18"/>
                <w:szCs w:val="18"/>
                <w:color w:val="auto"/>
              </w:rPr>
              <w:t>Northshore Mining Company, a wholly-owned subsidiary of Cleveland-Cliffs Inc.</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___</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NPDES</w:t>
            </w:r>
          </w:p>
        </w:tc>
        <w:tc>
          <w:tcPr>
            <w:tcW w:w="8120" w:type="dxa"/>
            <w:vAlign w:val="bottom"/>
            <w:gridSpan w:val="2"/>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NTEC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Nemadji Trail Energy Center</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Oliver Wind I</w:t>
            </w:r>
          </w:p>
        </w:tc>
        <w:tc>
          <w:tcPr>
            <w:tcW w:w="8120" w:type="dxa"/>
            <w:vAlign w:val="bottom"/>
            <w:gridSpan w:val="2"/>
          </w:tcPr>
          <w:p>
            <w:pPr>
              <w:spacing w:after="0"/>
              <w:rPr>
                <w:sz w:val="20"/>
                <w:szCs w:val="20"/>
                <w:color w:val="auto"/>
              </w:rPr>
            </w:pPr>
            <w:r>
              <w:rPr>
                <w:rFonts w:ascii="Arial" w:cs="Arial" w:eastAsia="Arial" w:hAnsi="Arial"/>
                <w:sz w:val="18"/>
                <w:szCs w:val="18"/>
                <w:color w:val="auto"/>
              </w:rPr>
              <w:t>Oliver Wind I Energy Center</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Oliver Wind II</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Oliver Wind II Energy Center</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PolyMet</w:t>
            </w:r>
          </w:p>
        </w:tc>
        <w:tc>
          <w:tcPr>
            <w:tcW w:w="8120" w:type="dxa"/>
            <w:vAlign w:val="bottom"/>
            <w:gridSpan w:val="2"/>
          </w:tcPr>
          <w:p>
            <w:pPr>
              <w:spacing w:after="0"/>
              <w:rPr>
                <w:sz w:val="20"/>
                <w:szCs w:val="20"/>
                <w:color w:val="auto"/>
              </w:rPr>
            </w:pPr>
            <w:r>
              <w:rPr>
                <w:rFonts w:ascii="Arial" w:cs="Arial" w:eastAsia="Arial" w:hAnsi="Arial"/>
                <w:sz w:val="18"/>
                <w:szCs w:val="18"/>
                <w:color w:val="auto"/>
              </w:rPr>
              <w:t>PolyMet Mining Corp.</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PPA / PSA</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Power Purchase Agreement / Power Sales Agreement</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PPACA</w:t>
            </w:r>
          </w:p>
        </w:tc>
        <w:tc>
          <w:tcPr>
            <w:tcW w:w="8120" w:type="dxa"/>
            <w:vAlign w:val="bottom"/>
            <w:gridSpan w:val="2"/>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PSCW</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Service Commission of Wisconsin</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SEC</w:t>
            </w:r>
          </w:p>
        </w:tc>
        <w:tc>
          <w:tcPr>
            <w:tcW w:w="812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Bay Power</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Bay Power Company, a wholly-owned subsidiary of Cleveland-Cliffs Inc.</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line="230" w:lineRule="exact"/>
              <w:rPr>
                <w:sz w:val="20"/>
                <w:szCs w:val="20"/>
                <w:color w:val="auto"/>
              </w:rPr>
            </w:pPr>
            <w:r>
              <w:rPr>
                <w:rFonts w:ascii="Arial" w:cs="Arial" w:eastAsia="Arial" w:hAnsi="Arial"/>
                <w:sz w:val="18"/>
                <w:szCs w:val="18"/>
                <w:color w:val="auto"/>
              </w:rPr>
              <w:t>SO</w:t>
            </w:r>
            <w:r>
              <w:rPr>
                <w:rFonts w:ascii="Arial" w:cs="Arial" w:eastAsia="Arial" w:hAnsi="Arial"/>
                <w:sz w:val="23"/>
                <w:szCs w:val="23"/>
                <w:color w:val="auto"/>
                <w:vertAlign w:val="subscript"/>
              </w:rPr>
              <w:t>2</w:t>
            </w:r>
          </w:p>
        </w:tc>
        <w:tc>
          <w:tcPr>
            <w:tcW w:w="8120" w:type="dxa"/>
            <w:vAlign w:val="bottom"/>
            <w:gridSpan w:val="2"/>
          </w:tcPr>
          <w:p>
            <w:pPr>
              <w:spacing w:after="0"/>
              <w:rPr>
                <w:sz w:val="20"/>
                <w:szCs w:val="20"/>
                <w:color w:val="auto"/>
              </w:rPr>
            </w:pPr>
            <w:r>
              <w:rPr>
                <w:rFonts w:ascii="Arial" w:cs="Arial" w:eastAsia="Arial" w:hAnsi="Arial"/>
                <w:sz w:val="18"/>
                <w:szCs w:val="18"/>
                <w:color w:val="auto"/>
              </w:rPr>
              <w:t>Sulfur Dioxide</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Square Butte</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Square Butte Electric Cooperative, a North Dakota cooperative corporation</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SWL&amp;P</w:t>
            </w:r>
          </w:p>
        </w:tc>
        <w:tc>
          <w:tcPr>
            <w:tcW w:w="8120" w:type="dxa"/>
            <w:vAlign w:val="bottom"/>
            <w:gridSpan w:val="2"/>
          </w:tcPr>
          <w:p>
            <w:pPr>
              <w:spacing w:after="0"/>
              <w:rPr>
                <w:sz w:val="20"/>
                <w:szCs w:val="20"/>
                <w:color w:val="auto"/>
              </w:rPr>
            </w:pPr>
            <w:r>
              <w:rPr>
                <w:rFonts w:ascii="Arial" w:cs="Arial" w:eastAsia="Arial" w:hAnsi="Arial"/>
                <w:sz w:val="18"/>
                <w:szCs w:val="18"/>
                <w:color w:val="auto"/>
              </w:rPr>
              <w:t>Superior Water, Light and Power Company</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Taconite Harbor</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Taconite Harbor Energy Center</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Town Center District</w:t>
            </w:r>
          </w:p>
        </w:tc>
        <w:tc>
          <w:tcPr>
            <w:tcW w:w="8120" w:type="dxa"/>
            <w:vAlign w:val="bottom"/>
            <w:gridSpan w:val="2"/>
          </w:tcPr>
          <w:p>
            <w:pPr>
              <w:spacing w:after="0"/>
              <w:rPr>
                <w:sz w:val="20"/>
                <w:szCs w:val="20"/>
                <w:color w:val="auto"/>
              </w:rPr>
            </w:pPr>
            <w:r>
              <w:rPr>
                <w:rFonts w:ascii="Arial" w:cs="Arial" w:eastAsia="Arial" w:hAnsi="Arial"/>
                <w:sz w:val="18"/>
                <w:szCs w:val="18"/>
                <w:color w:val="auto"/>
              </w:rPr>
              <w:t>Town Center at Palm Coast Community Development District in Florida</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USS Corporation</w:t>
            </w:r>
          </w:p>
        </w:tc>
        <w:tc>
          <w:tcPr>
            <w:tcW w:w="8120" w:type="dxa"/>
            <w:vAlign w:val="bottom"/>
            <w:gridSpan w:val="2"/>
          </w:tcPr>
          <w:p>
            <w:pPr>
              <w:spacing w:after="0"/>
              <w:rPr>
                <w:sz w:val="20"/>
                <w:szCs w:val="20"/>
                <w:color w:val="auto"/>
              </w:rPr>
            </w:pPr>
            <w:r>
              <w:rPr>
                <w:rFonts w:ascii="Arial" w:cs="Arial" w:eastAsia="Arial" w:hAnsi="Arial"/>
                <w:sz w:val="18"/>
                <w:szCs w:val="18"/>
                <w:color w:val="auto"/>
              </w:rPr>
              <w:t>United States Steel Corporation</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WTG</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Wind Turbine Generator</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219"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 including the ongoing COVID-19 pandemic;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bank financing and other financing sources;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raise revenues from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commodity prices on ALLETE and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skilled and experienced personnel;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cybersecurity attacks;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hanging="332"/>
        <w:spacing w:after="0" w:line="281"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businesses of climate change and future regulation to restrict the emissions of GHG;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increased deployment of distributed low-carbon electricity generation resources;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market conditions where our legacy Florida real estate investment is located may not improve;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efforts to realize value from, invest in, and develop new opportunities.</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 disclosures regarding factors that could cause our results or performance to differ from those anticipated by this report are discussed in Part I, Item 1A. Risk Factors of our 2020 Form 10-K and Part II, Item 1A. Risk Factors of this Form 10-Q.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4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832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41"/>
        </w:trPr>
        <w:tc>
          <w:tcPr>
            <w:tcW w:w="8320" w:type="dxa"/>
            <w:vAlign w:val="bottom"/>
          </w:tcPr>
          <w:p>
            <w:pPr>
              <w:jc w:val="center"/>
              <w:ind w:left="2830"/>
              <w:spacing w:after="0"/>
              <w:rPr>
                <w:sz w:val="20"/>
                <w:szCs w:val="20"/>
                <w:color w:val="auto"/>
              </w:rPr>
            </w:pPr>
            <w:r>
              <w:rPr>
                <w:rFonts w:ascii="Arial" w:cs="Arial" w:eastAsia="Arial" w:hAnsi="Arial"/>
                <w:sz w:val="18"/>
                <w:szCs w:val="18"/>
                <w:b w:val="1"/>
                <w:bCs w:val="1"/>
                <w:color w:val="auto"/>
              </w:rPr>
              <w:t>ALLETE</w:t>
            </w: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8320" w:type="dxa"/>
            <w:vAlign w:val="bottom"/>
          </w:tcPr>
          <w:p>
            <w:pPr>
              <w:jc w:val="center"/>
              <w:ind w:left="2850"/>
              <w:spacing w:after="0"/>
              <w:rPr>
                <w:sz w:val="20"/>
                <w:szCs w:val="20"/>
                <w:color w:val="auto"/>
              </w:rPr>
            </w:pPr>
            <w:r>
              <w:rPr>
                <w:rFonts w:ascii="Arial" w:cs="Arial" w:eastAsia="Arial" w:hAnsi="Arial"/>
                <w:sz w:val="18"/>
                <w:szCs w:val="18"/>
                <w:b w:val="1"/>
                <w:bCs w:val="1"/>
                <w:color w:val="auto"/>
                <w:w w:val="99"/>
              </w:rPr>
              <w:t>CONSOLIDATED BALANCE SHEET</w:t>
            </w:r>
          </w:p>
        </w:tc>
        <w:tc>
          <w:tcPr>
            <w:tcW w:w="14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8320" w:type="dxa"/>
            <w:vAlign w:val="bottom"/>
          </w:tcPr>
          <w:p>
            <w:pPr>
              <w:jc w:val="center"/>
              <w:ind w:left="2830"/>
              <w:spacing w:after="0"/>
              <w:rPr>
                <w:sz w:val="20"/>
                <w:szCs w:val="20"/>
                <w:color w:val="auto"/>
              </w:rPr>
            </w:pPr>
            <w:r>
              <w:rPr>
                <w:rFonts w:ascii="Arial" w:cs="Arial" w:eastAsia="Arial" w:hAnsi="Arial"/>
                <w:sz w:val="18"/>
                <w:szCs w:val="18"/>
                <w:b w:val="1"/>
                <w:bCs w:val="1"/>
                <w:color w:val="auto"/>
                <w:w w:val="90"/>
              </w:rPr>
              <w:t>Unaudited</w:t>
            </w:r>
          </w:p>
        </w:tc>
        <w:tc>
          <w:tcPr>
            <w:tcW w:w="14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8320" w:type="dxa"/>
            <w:vAlign w:val="bottom"/>
          </w:tcPr>
          <w:p>
            <w:pPr>
              <w:spacing w:after="0"/>
              <w:rPr>
                <w:sz w:val="24"/>
                <w:szCs w:val="24"/>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b w:val="1"/>
                <w:bCs w:val="1"/>
                <w:color w:val="auto"/>
              </w:rPr>
              <w:t>June 30,</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0"/>
        </w:trPr>
        <w:tc>
          <w:tcPr>
            <w:tcW w:w="8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$62.5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30"/>
        </w:trPr>
        <w:tc>
          <w:tcPr>
            <w:tcW w:w="8320" w:type="dxa"/>
            <w:vAlign w:val="bottom"/>
          </w:tcPr>
          <w:p>
            <w:pPr>
              <w:ind w:left="220"/>
              <w:spacing w:after="0"/>
              <w:rPr>
                <w:sz w:val="20"/>
                <w:szCs w:val="20"/>
                <w:color w:val="auto"/>
              </w:rPr>
            </w:pPr>
            <w:r>
              <w:rPr>
                <w:rFonts w:ascii="Arial" w:cs="Arial" w:eastAsia="Arial" w:hAnsi="Arial"/>
                <w:sz w:val="18"/>
                <w:szCs w:val="18"/>
                <w:color w:val="auto"/>
              </w:rPr>
              <w:t>Accounts Receivable (Less Allowance of $2.7 and $2.5)</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105.2</w:t>
            </w:r>
          </w:p>
        </w:tc>
        <w:tc>
          <w:tcPr>
            <w:tcW w:w="1360" w:type="dxa"/>
            <w:vAlign w:val="bottom"/>
          </w:tcPr>
          <w:p>
            <w:pPr>
              <w:jc w:val="right"/>
              <w:spacing w:after="0"/>
              <w:rPr>
                <w:sz w:val="20"/>
                <w:szCs w:val="20"/>
                <w:color w:val="auto"/>
              </w:rPr>
            </w:pPr>
            <w:r>
              <w:rPr>
                <w:rFonts w:ascii="Arial" w:cs="Arial" w:eastAsia="Arial" w:hAnsi="Arial"/>
                <w:sz w:val="18"/>
                <w:szCs w:val="18"/>
                <w:color w:val="auto"/>
              </w:rPr>
              <w:t>111.9</w:t>
            </w:r>
          </w:p>
        </w:tc>
      </w:tr>
      <w:tr>
        <w:trPr>
          <w:trHeight w:val="229"/>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 Net</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88.1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29"/>
        </w:trPr>
        <w:tc>
          <w:tcPr>
            <w:tcW w:w="8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Prepayments and Other</w:t>
            </w: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23.5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23"/>
        </w:trPr>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279.3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5,021.6</w:t>
            </w:r>
          </w:p>
        </w:tc>
        <w:tc>
          <w:tcPr>
            <w:tcW w:w="1360" w:type="dxa"/>
            <w:vAlign w:val="bottom"/>
          </w:tcPr>
          <w:p>
            <w:pPr>
              <w:jc w:val="right"/>
              <w:spacing w:after="0"/>
              <w:rPr>
                <w:sz w:val="20"/>
                <w:szCs w:val="20"/>
                <w:color w:val="auto"/>
              </w:rPr>
            </w:pPr>
            <w:r>
              <w:rPr>
                <w:rFonts w:ascii="Arial" w:cs="Arial" w:eastAsia="Arial" w:hAnsi="Arial"/>
                <w:sz w:val="18"/>
                <w:szCs w:val="18"/>
                <w:color w:val="auto"/>
              </w:rPr>
              <w:t>4,840.8</w:t>
            </w: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491.9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Equity Investments</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317.8</w:t>
            </w:r>
          </w:p>
        </w:tc>
        <w:tc>
          <w:tcPr>
            <w:tcW w:w="1360" w:type="dxa"/>
            <w:vAlign w:val="bottom"/>
          </w:tcPr>
          <w:p>
            <w:pPr>
              <w:jc w:val="right"/>
              <w:spacing w:after="0"/>
              <w:rPr>
                <w:sz w:val="20"/>
                <w:szCs w:val="20"/>
                <w:color w:val="auto"/>
              </w:rPr>
            </w:pPr>
            <w:r>
              <w:rPr>
                <w:rFonts w:ascii="Arial" w:cs="Arial" w:eastAsia="Arial" w:hAnsi="Arial"/>
                <w:sz w:val="18"/>
                <w:szCs w:val="18"/>
                <w:color w:val="auto"/>
              </w:rPr>
              <w:t>301.2</w:t>
            </w:r>
          </w:p>
        </w:tc>
      </w:tr>
      <w:tr>
        <w:trPr>
          <w:trHeight w:val="230"/>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182.7</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r>
      <w:tr>
        <w:trPr>
          <w:trHeight w:val="223"/>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$6,293.3</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$6,084.6</w:t>
            </w: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4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3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$100.0</w:t>
            </w:r>
          </w:p>
        </w:tc>
        <w:tc>
          <w:tcPr>
            <w:tcW w:w="136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29"/>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Taxes</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53.0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30"/>
        </w:trPr>
        <w:tc>
          <w:tcPr>
            <w:tcW w:w="8320" w:type="dxa"/>
            <w:vAlign w:val="bottom"/>
          </w:tcPr>
          <w:p>
            <w:pPr>
              <w:ind w:left="220"/>
              <w:spacing w:after="0"/>
              <w:rPr>
                <w:sz w:val="20"/>
                <w:szCs w:val="20"/>
                <w:color w:val="auto"/>
              </w:rPr>
            </w:pPr>
            <w:r>
              <w:rPr>
                <w:rFonts w:ascii="Arial" w:cs="Arial" w:eastAsia="Arial" w:hAnsi="Arial"/>
                <w:sz w:val="18"/>
                <w:szCs w:val="18"/>
                <w:color w:val="auto"/>
              </w:rPr>
              <w:t>Accrued Interest</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19.5</w:t>
            </w:r>
          </w:p>
        </w:tc>
        <w:tc>
          <w:tcPr>
            <w:tcW w:w="13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Due Within One Year</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362.6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r>
      <w:tr>
        <w:trPr>
          <w:trHeight w:val="230"/>
        </w:trPr>
        <w:tc>
          <w:tcPr>
            <w:tcW w:w="8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60.4</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r>
      <w:tr>
        <w:trPr>
          <w:trHeight w:val="223"/>
        </w:trPr>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595.5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1,664.6</w:t>
            </w:r>
          </w:p>
        </w:tc>
        <w:tc>
          <w:tcPr>
            <w:tcW w:w="1360" w:type="dxa"/>
            <w:vAlign w:val="bottom"/>
          </w:tcPr>
          <w:p>
            <w:pPr>
              <w:jc w:val="right"/>
              <w:spacing w:after="0"/>
              <w:rPr>
                <w:sz w:val="20"/>
                <w:szCs w:val="20"/>
                <w:color w:val="auto"/>
              </w:rPr>
            </w:pPr>
            <w:r>
              <w:rPr>
                <w:rFonts w:ascii="Arial" w:cs="Arial" w:eastAsia="Arial" w:hAnsi="Arial"/>
                <w:sz w:val="18"/>
                <w:szCs w:val="18"/>
                <w:color w:val="auto"/>
              </w:rPr>
              <w:t>1,593.2</w:t>
            </w: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188.7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Regulatory Liabilities</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514.9</w:t>
            </w:r>
          </w:p>
        </w:tc>
        <w:tc>
          <w:tcPr>
            <w:tcW w:w="1360" w:type="dxa"/>
            <w:vAlign w:val="bottom"/>
          </w:tcPr>
          <w:p>
            <w:pPr>
              <w:jc w:val="right"/>
              <w:spacing w:after="0"/>
              <w:rPr>
                <w:sz w:val="20"/>
                <w:szCs w:val="20"/>
                <w:color w:val="auto"/>
              </w:rPr>
            </w:pPr>
            <w:r>
              <w:rPr>
                <w:rFonts w:ascii="Arial" w:cs="Arial" w:eastAsia="Arial" w:hAnsi="Arial"/>
                <w:sz w:val="18"/>
                <w:szCs w:val="18"/>
                <w:color w:val="auto"/>
              </w:rPr>
              <w:t>524.8</w:t>
            </w: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Benefit Pension and Other Postretirement Benefit Plans</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210.7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r>
      <w:tr>
        <w:trPr>
          <w:trHeight w:val="230"/>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277.0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w:t>
            </w:r>
          </w:p>
        </w:tc>
      </w:tr>
      <w:tr>
        <w:trPr>
          <w:trHeight w:val="223"/>
        </w:trPr>
        <w:tc>
          <w:tcPr>
            <w:tcW w:w="83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3,451.4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3,284.4</w:t>
            </w:r>
          </w:p>
        </w:tc>
      </w:tr>
      <w:tr>
        <w:trPr>
          <w:trHeight w:val="223"/>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Commitments, Guarantees and Contingencies (Note 6)</w:t>
            </w:r>
          </w:p>
        </w:tc>
        <w:tc>
          <w:tcPr>
            <w:tcW w:w="1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14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ALLETE Equity</w:t>
            </w:r>
          </w:p>
        </w:tc>
        <w:tc>
          <w:tcPr>
            <w:tcW w:w="1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Common Stock Without Par Value, 80.0 Shares Authorized, 52.3 and 52.1 Shares Issued and Outstanding</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1,474.1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1,460.9</w:t>
            </w:r>
          </w:p>
        </w:tc>
      </w:tr>
      <w:tr>
        <w:trPr>
          <w:trHeight w:val="229"/>
        </w:trPr>
        <w:tc>
          <w:tcPr>
            <w:tcW w:w="832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(30.3)</w:t>
            </w:r>
          </w:p>
        </w:tc>
        <w:tc>
          <w:tcPr>
            <w:tcW w:w="136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30"/>
        </w:trPr>
        <w:tc>
          <w:tcPr>
            <w:tcW w:w="8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878.8</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864.8</w:t>
            </w:r>
          </w:p>
        </w:tc>
      </w:tr>
      <w:tr>
        <w:trPr>
          <w:trHeight w:val="223"/>
        </w:trPr>
        <w:tc>
          <w:tcPr>
            <w:tcW w:w="8320" w:type="dxa"/>
            <w:vAlign w:val="bottom"/>
          </w:tcPr>
          <w:p>
            <w:pPr>
              <w:ind w:left="480"/>
              <w:spacing w:after="0"/>
              <w:rPr>
                <w:sz w:val="20"/>
                <w:szCs w:val="20"/>
                <w:color w:val="auto"/>
              </w:rPr>
            </w:pPr>
            <w:r>
              <w:rPr>
                <w:rFonts w:ascii="Arial" w:cs="Arial" w:eastAsia="Arial" w:hAnsi="Arial"/>
                <w:sz w:val="18"/>
                <w:szCs w:val="18"/>
                <w:color w:val="auto"/>
              </w:rPr>
              <w:t>Total ALLETE Equity</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2,322.6</w:t>
            </w:r>
          </w:p>
        </w:tc>
        <w:tc>
          <w:tcPr>
            <w:tcW w:w="1360" w:type="dxa"/>
            <w:vAlign w:val="bottom"/>
          </w:tcPr>
          <w:p>
            <w:pPr>
              <w:jc w:val="right"/>
              <w:spacing w:after="0"/>
              <w:rPr>
                <w:sz w:val="20"/>
                <w:szCs w:val="20"/>
                <w:color w:val="auto"/>
              </w:rPr>
            </w:pPr>
            <w:r>
              <w:rPr>
                <w:rFonts w:ascii="Arial" w:cs="Arial" w:eastAsia="Arial" w:hAnsi="Arial"/>
                <w:sz w:val="18"/>
                <w:szCs w:val="18"/>
                <w:color w:val="auto"/>
              </w:rPr>
              <w:t>2,294.6</w:t>
            </w:r>
          </w:p>
        </w:tc>
      </w:tr>
      <w:tr>
        <w:trPr>
          <w:trHeight w:val="230"/>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 in Subsidiaries</w:t>
            </w:r>
          </w:p>
        </w:tc>
        <w:tc>
          <w:tcPr>
            <w:tcW w:w="1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519.3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w:t>
            </w:r>
          </w:p>
        </w:tc>
      </w:tr>
      <w:tr>
        <w:trPr>
          <w:trHeight w:val="223"/>
        </w:trPr>
        <w:tc>
          <w:tcPr>
            <w:tcW w:w="83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Equity</w:t>
            </w: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2,841.9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2,800.2</w:t>
            </w:r>
          </w:p>
        </w:tc>
      </w:tr>
      <w:tr>
        <w:trPr>
          <w:trHeight w:val="223"/>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$6,293.3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$6,084.6</w:t>
            </w:r>
          </w:p>
        </w:tc>
      </w:tr>
    </w:tbl>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19"/>
                <w:szCs w:val="19"/>
                <w:color w:val="auto"/>
              </w:rPr>
            </w:pPr>
          </w:p>
        </w:tc>
        <w:tc>
          <w:tcPr>
            <w:tcW w:w="35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Quarter Ended</w:t>
            </w:r>
          </w:p>
        </w:tc>
        <w:tc>
          <w:tcPr>
            <w:tcW w:w="20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5720" w:type="dxa"/>
            <w:vAlign w:val="bottom"/>
          </w:tcPr>
          <w:p>
            <w:pPr>
              <w:spacing w:after="0"/>
              <w:rPr>
                <w:sz w:val="19"/>
                <w:szCs w:val="19"/>
                <w:color w:val="auto"/>
              </w:rPr>
            </w:pPr>
          </w:p>
        </w:tc>
        <w:tc>
          <w:tcPr>
            <w:tcW w:w="352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June 30,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Pr>
          <w:p>
            <w:pPr>
              <w:spacing w:after="0"/>
              <w:rPr>
                <w:sz w:val="19"/>
                <w:szCs w:val="19"/>
                <w:color w:val="auto"/>
              </w:rPr>
            </w:pPr>
          </w:p>
        </w:tc>
      </w:tr>
      <w:tr>
        <w:trPr>
          <w:trHeight w:val="234"/>
        </w:trPr>
        <w:tc>
          <w:tcPr>
            <w:tcW w:w="57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4"/>
              </w:rPr>
              <w:t>2020</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2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2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Contracts with Customers – Utility</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$290.4</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$200.8</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$583.4</w:t>
            </w:r>
          </w:p>
        </w:tc>
        <w:tc>
          <w:tcPr>
            <w:tcW w:w="680" w:type="dxa"/>
            <w:vAlign w:val="bottom"/>
          </w:tcPr>
          <w:p>
            <w:pPr>
              <w:jc w:val="right"/>
              <w:spacing w:after="0"/>
              <w:rPr>
                <w:sz w:val="20"/>
                <w:szCs w:val="20"/>
                <w:color w:val="auto"/>
              </w:rPr>
            </w:pPr>
            <w:r>
              <w:rPr>
                <w:rFonts w:ascii="Arial" w:cs="Arial" w:eastAsia="Arial" w:hAnsi="Arial"/>
                <w:sz w:val="18"/>
                <w:szCs w:val="18"/>
                <w:color w:val="auto"/>
              </w:rPr>
              <w:t>$466.1</w:t>
            </w:r>
          </w:p>
        </w:tc>
      </w:tr>
      <w:tr>
        <w:trPr>
          <w:trHeight w:val="229"/>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Contracts with Customers – Non-utility</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42.3</w:t>
            </w: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39.6</w:t>
            </w: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85.7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r>
      <w:tr>
        <w:trPr>
          <w:trHeight w:val="229"/>
        </w:trPr>
        <w:tc>
          <w:tcPr>
            <w:tcW w:w="5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 Non-utility</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w:t>
            </w: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2.8</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 Operating Revenue</w:t>
            </w:r>
          </w:p>
        </w:tc>
        <w:tc>
          <w:tcPr>
            <w:tcW w:w="2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335.6</w:t>
            </w:r>
          </w:p>
        </w:tc>
        <w:tc>
          <w:tcPr>
            <w:tcW w:w="10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243.2</w:t>
            </w:r>
          </w:p>
        </w:tc>
        <w:tc>
          <w:tcPr>
            <w:tcW w:w="13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674.8</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554.8</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Fuel, Purchased Power and Gas – Utility</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128.9</w:t>
            </w: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69.3</w:t>
            </w: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249.3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r>
      <w:tr>
        <w:trPr>
          <w:trHeight w:val="229"/>
        </w:trPr>
        <w:tc>
          <w:tcPr>
            <w:tcW w:w="5720" w:type="dxa"/>
            <w:vAlign w:val="bottom"/>
          </w:tcPr>
          <w:p>
            <w:pPr>
              <w:ind w:left="360"/>
              <w:spacing w:after="0"/>
              <w:rPr>
                <w:sz w:val="20"/>
                <w:szCs w:val="20"/>
                <w:color w:val="auto"/>
              </w:rPr>
            </w:pPr>
            <w:r>
              <w:rPr>
                <w:rFonts w:ascii="Arial" w:cs="Arial" w:eastAsia="Arial" w:hAnsi="Arial"/>
                <w:sz w:val="18"/>
                <w:szCs w:val="18"/>
                <w:color w:val="auto"/>
              </w:rPr>
              <w:t>Transmission Services – Utility</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19.2</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16.4</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36.9</w:t>
            </w:r>
          </w:p>
        </w:tc>
        <w:tc>
          <w:tcPr>
            <w:tcW w:w="68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30"/>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Non-utility</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15.8</w:t>
            </w: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16.3</w:t>
            </w: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32.6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29"/>
        </w:trPr>
        <w:tc>
          <w:tcPr>
            <w:tcW w:w="5720" w:type="dxa"/>
            <w:vAlign w:val="bottom"/>
          </w:tcPr>
          <w:p>
            <w:pPr>
              <w:ind w:left="360"/>
              <w:spacing w:after="0"/>
              <w:rPr>
                <w:sz w:val="20"/>
                <w:szCs w:val="20"/>
                <w:color w:val="auto"/>
              </w:rPr>
            </w:pPr>
            <w:r>
              <w:rPr>
                <w:rFonts w:ascii="Arial" w:cs="Arial" w:eastAsia="Arial" w:hAnsi="Arial"/>
                <w:sz w:val="18"/>
                <w:szCs w:val="18"/>
                <w:color w:val="auto"/>
              </w:rPr>
              <w:t>Operating and Maintenance</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67.1</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59.0</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133.4</w:t>
            </w:r>
          </w:p>
        </w:tc>
        <w:tc>
          <w:tcPr>
            <w:tcW w:w="68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29"/>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57.9</w:t>
            </w: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54.5</w:t>
            </w: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115.9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r>
      <w:tr>
        <w:trPr>
          <w:trHeight w:val="230"/>
        </w:trPr>
        <w:tc>
          <w:tcPr>
            <w:tcW w:w="5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Taxes Other than Income Taxes</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18.5</w:t>
            </w: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15.0</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36.5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r>
      <w:tr>
        <w:trPr>
          <w:trHeight w:val="223"/>
        </w:trPr>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 Operating Expenses</w:t>
            </w:r>
          </w:p>
        </w:tc>
        <w:tc>
          <w:tcPr>
            <w:tcW w:w="2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307.4</w:t>
            </w:r>
          </w:p>
        </w:tc>
        <w:tc>
          <w:tcPr>
            <w:tcW w:w="10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230.5</w:t>
            </w:r>
          </w:p>
        </w:tc>
        <w:tc>
          <w:tcPr>
            <w:tcW w:w="13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604.6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481.9</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Income</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28.2</w:t>
            </w: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12.7</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70.2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57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460" w:type="dxa"/>
            <w:vAlign w:val="bottom"/>
          </w:tcPr>
          <w:p>
            <w:pPr>
              <w:jc w:val="right"/>
              <w:ind w:right="70"/>
              <w:spacing w:after="0"/>
              <w:rPr>
                <w:sz w:val="20"/>
                <w:szCs w:val="20"/>
                <w:color w:val="auto"/>
              </w:rPr>
            </w:pPr>
            <w:r>
              <w:rPr>
                <w:rFonts w:ascii="Arial" w:cs="Arial" w:eastAsia="Arial" w:hAnsi="Arial"/>
                <w:sz w:val="18"/>
                <w:szCs w:val="18"/>
                <w:color w:val="auto"/>
              </w:rPr>
              <w:t>(17.4)</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(15.9)</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(34.5)</w:t>
            </w:r>
          </w:p>
        </w:tc>
        <w:tc>
          <w:tcPr>
            <w:tcW w:w="68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29"/>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Earnings</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w:t>
            </w: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6.4</w:t>
            </w: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5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w:t>
            </w: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5.2</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 Other Expense</w:t>
            </w:r>
          </w:p>
        </w:tc>
        <w:tc>
          <w:tcPr>
            <w:tcW w:w="2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(10.5)</w:t>
            </w:r>
          </w:p>
        </w:tc>
        <w:tc>
          <w:tcPr>
            <w:tcW w:w="10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(4.3)</w:t>
            </w:r>
          </w:p>
        </w:tc>
        <w:tc>
          <w:tcPr>
            <w:tcW w:w="13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(19.5)</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17.7</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8.4</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50.7</w:t>
            </w:r>
          </w:p>
        </w:tc>
        <w:tc>
          <w:tcPr>
            <w:tcW w:w="680" w:type="dxa"/>
            <w:vAlign w:val="bottom"/>
          </w:tcPr>
          <w:p>
            <w:pPr>
              <w:jc w:val="right"/>
              <w:spacing w:after="0"/>
              <w:rPr>
                <w:sz w:val="20"/>
                <w:szCs w:val="20"/>
                <w:color w:val="auto"/>
              </w:rPr>
            </w:pPr>
            <w:r>
              <w:rPr>
                <w:rFonts w:ascii="Arial" w:cs="Arial" w:eastAsia="Arial" w:hAnsi="Arial"/>
                <w:sz w:val="18"/>
                <w:szCs w:val="18"/>
                <w:color w:val="auto"/>
              </w:rPr>
              <w:t>59.1</w:t>
            </w:r>
          </w:p>
        </w:tc>
      </w:tr>
      <w:tr>
        <w:trPr>
          <w:trHeight w:val="229"/>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Benefit</w:t>
            </w:r>
          </w:p>
        </w:tc>
        <w:tc>
          <w:tcPr>
            <w:tcW w:w="2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(4.0)</w:t>
            </w:r>
          </w:p>
        </w:tc>
        <w:tc>
          <w:tcPr>
            <w:tcW w:w="10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(8.5)</w:t>
            </w:r>
          </w:p>
        </w:tc>
        <w:tc>
          <w:tcPr>
            <w:tcW w:w="13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(14.4)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21.7</w:t>
            </w: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16.9</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65.1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r>
      <w:tr>
        <w:trPr>
          <w:trHeight w:val="223"/>
        </w:trPr>
        <w:tc>
          <w:tcPr>
            <w:tcW w:w="5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Net Loss Attributable to Non-Controlling Interest</w:t>
            </w:r>
          </w:p>
        </w:tc>
        <w:tc>
          <w:tcPr>
            <w:tcW w:w="2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(6.2)</w:t>
            </w:r>
          </w:p>
        </w:tc>
        <w:tc>
          <w:tcPr>
            <w:tcW w:w="10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(3.2)</w:t>
            </w:r>
          </w:p>
        </w:tc>
        <w:tc>
          <w:tcPr>
            <w:tcW w:w="13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(14.6)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$27.9</w:t>
            </w: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$79.7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2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Basic</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52.2</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51.8</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52.2</w:t>
            </w:r>
          </w:p>
        </w:tc>
        <w:tc>
          <w:tcPr>
            <w:tcW w:w="68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30"/>
        </w:trPr>
        <w:tc>
          <w:tcPr>
            <w:tcW w:w="57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52.3</w:t>
            </w:r>
          </w:p>
        </w:tc>
        <w:tc>
          <w:tcPr>
            <w:tcW w:w="10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51.9</w:t>
            </w:r>
          </w:p>
        </w:tc>
        <w:tc>
          <w:tcPr>
            <w:tcW w:w="13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52.2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$0.53</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$0.39</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$1.53</w:t>
            </w:r>
          </w:p>
        </w:tc>
        <w:tc>
          <w:tcPr>
            <w:tcW w:w="6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29"/>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2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$0.53</w:t>
            </w:r>
          </w:p>
        </w:tc>
        <w:tc>
          <w:tcPr>
            <w:tcW w:w="10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$0.39</w:t>
            </w:r>
          </w:p>
        </w:tc>
        <w:tc>
          <w:tcPr>
            <w:tcW w:w="13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$1.53</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19"/>
                <w:szCs w:val="19"/>
                <w:color w:val="auto"/>
              </w:rPr>
            </w:pPr>
          </w:p>
        </w:tc>
        <w:tc>
          <w:tcPr>
            <w:tcW w:w="322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Quarter Ended</w:t>
            </w:r>
          </w:p>
        </w:tc>
        <w:tc>
          <w:tcPr>
            <w:tcW w:w="20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594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Pr>
          <w:p>
            <w:pPr>
              <w:spacing w:after="0"/>
              <w:rPr>
                <w:sz w:val="19"/>
                <w:szCs w:val="19"/>
                <w:color w:val="auto"/>
              </w:rPr>
            </w:pPr>
          </w:p>
        </w:tc>
      </w:tr>
      <w:tr>
        <w:trPr>
          <w:trHeight w:val="234"/>
        </w:trPr>
        <w:tc>
          <w:tcPr>
            <w:tcW w:w="59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2020</w:t>
            </w:r>
          </w:p>
        </w:tc>
        <w:tc>
          <w:tcPr>
            <w:tcW w:w="13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2020</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$21.7</w:t>
            </w: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$16.9</w:t>
            </w:r>
          </w:p>
        </w:tc>
        <w:tc>
          <w:tcPr>
            <w:tcW w:w="13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$65.1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2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on Securities</w:t>
            </w:r>
          </w:p>
        </w:tc>
        <w:tc>
          <w:tcPr>
            <w:tcW w:w="2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Net of Income Tax Expense of $–, $0.1, $– and $–</w:t>
            </w:r>
          </w:p>
        </w:tc>
        <w:tc>
          <w:tcPr>
            <w:tcW w:w="22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0.4</w:t>
            </w: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Defined Benefit Pension and Other Postretirement Benefit Plans</w:t>
            </w:r>
          </w:p>
        </w:tc>
        <w:tc>
          <w:tcPr>
            <w:tcW w:w="2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59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Net of Income Tax Expense of $0.2, $–, $0.3 and $0.1</w:t>
            </w:r>
          </w:p>
        </w:tc>
        <w:tc>
          <w:tcPr>
            <w:tcW w:w="2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0.4</w:t>
            </w: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0.1</w:t>
            </w: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0.8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59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Other Comprehensive Income</w:t>
            </w:r>
          </w:p>
        </w:tc>
        <w:tc>
          <w:tcPr>
            <w:tcW w:w="22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0.4</w:t>
            </w: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0.5</w:t>
            </w:r>
          </w:p>
        </w:tc>
        <w:tc>
          <w:tcPr>
            <w:tcW w:w="13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0.8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260" w:type="dxa"/>
            <w:vAlign w:val="bottom"/>
          </w:tcPr>
          <w:p>
            <w:pPr>
              <w:jc w:val="right"/>
              <w:ind w:right="390"/>
              <w:spacing w:after="0"/>
              <w:rPr>
                <w:sz w:val="20"/>
                <w:szCs w:val="20"/>
                <w:color w:val="auto"/>
              </w:rPr>
            </w:pPr>
            <w:r>
              <w:rPr>
                <w:rFonts w:ascii="Arial" w:cs="Arial" w:eastAsia="Arial" w:hAnsi="Arial"/>
                <w:sz w:val="18"/>
                <w:szCs w:val="18"/>
                <w:color w:val="auto"/>
              </w:rPr>
              <w:t>22.1</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17.4</w:t>
            </w: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65.9</w:t>
            </w:r>
          </w:p>
        </w:tc>
        <w:tc>
          <w:tcPr>
            <w:tcW w:w="740" w:type="dxa"/>
            <w:vAlign w:val="bottom"/>
          </w:tcPr>
          <w:p>
            <w:pPr>
              <w:jc w:val="right"/>
              <w:spacing w:after="0"/>
              <w:rPr>
                <w:sz w:val="20"/>
                <w:szCs w:val="20"/>
                <w:color w:val="auto"/>
              </w:rPr>
            </w:pPr>
            <w:r>
              <w:rPr>
                <w:rFonts w:ascii="Arial" w:cs="Arial" w:eastAsia="Arial" w:hAnsi="Arial"/>
                <w:sz w:val="18"/>
                <w:szCs w:val="18"/>
                <w:color w:val="auto"/>
              </w:rPr>
              <w:t>81.7</w:t>
            </w:r>
          </w:p>
        </w:tc>
      </w:tr>
      <w:tr>
        <w:trPr>
          <w:trHeight w:val="229"/>
        </w:trPr>
        <w:tc>
          <w:tcPr>
            <w:tcW w:w="59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Net Loss Attributable to Non-Controlling Interest</w:t>
            </w:r>
          </w:p>
        </w:tc>
        <w:tc>
          <w:tcPr>
            <w:tcW w:w="22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(6.2)</w:t>
            </w: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(3.2)</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(14.6)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Comprehensive Income Attributable to ALLETE</w:t>
            </w:r>
          </w:p>
        </w:tc>
        <w:tc>
          <w:tcPr>
            <w:tcW w:w="2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$28.3</w:t>
            </w: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$20.6</w:t>
            </w: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$80.5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3340" w:type="dxa"/>
            <w:vAlign w:val="bottom"/>
            <w:gridSpan w:val="2"/>
          </w:tcPr>
          <w:p>
            <w:pPr>
              <w:jc w:val="right"/>
              <w:ind w:right="275"/>
              <w:spacing w:after="0"/>
              <w:rPr>
                <w:sz w:val="20"/>
                <w:szCs w:val="20"/>
                <w:color w:val="auto"/>
              </w:rPr>
            </w:pPr>
            <w:r>
              <w:rPr>
                <w:rFonts w:ascii="Arial" w:cs="Arial" w:eastAsia="Arial" w:hAnsi="Arial"/>
                <w:sz w:val="17"/>
                <w:szCs w:val="17"/>
                <w:b w:val="1"/>
                <w:bCs w:val="1"/>
                <w:color w:val="auto"/>
              </w:rPr>
              <w:t>Six Months Ended</w:t>
            </w:r>
          </w:p>
        </w:tc>
      </w:tr>
      <w:tr>
        <w:trPr>
          <w:trHeight w:val="216"/>
        </w:trPr>
        <w:tc>
          <w:tcPr>
            <w:tcW w:w="786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Arial" w:cs="Arial" w:eastAsia="Arial" w:hAnsi="Arial"/>
                <w:sz w:val="17"/>
                <w:szCs w:val="17"/>
                <w:b w:val="1"/>
                <w:bCs w:val="1"/>
                <w:color w:val="auto"/>
              </w:rPr>
              <w:t>June 30,</w:t>
            </w:r>
          </w:p>
        </w:tc>
        <w:tc>
          <w:tcPr>
            <w:tcW w:w="680" w:type="dxa"/>
            <w:vAlign w:val="bottom"/>
          </w:tcPr>
          <w:p>
            <w:pPr>
              <w:spacing w:after="0"/>
              <w:rPr>
                <w:sz w:val="18"/>
                <w:szCs w:val="18"/>
                <w:color w:val="auto"/>
              </w:rPr>
            </w:pPr>
          </w:p>
        </w:tc>
      </w:tr>
      <w:tr>
        <w:trPr>
          <w:trHeight w:val="222"/>
        </w:trPr>
        <w:tc>
          <w:tcPr>
            <w:tcW w:w="78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b w:val="1"/>
                <w:bCs w:val="1"/>
                <w:color w:val="auto"/>
              </w:rPr>
              <w:t>2021</w:t>
            </w:r>
          </w:p>
        </w:tc>
        <w:tc>
          <w:tcPr>
            <w:tcW w:w="6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w w:val="89"/>
              </w:rPr>
              <w:t>2020</w:t>
            </w:r>
          </w:p>
        </w:tc>
      </w:tr>
      <w:tr>
        <w:trPr>
          <w:trHeight w:val="212"/>
        </w:trPr>
        <w:tc>
          <w:tcPr>
            <w:tcW w:w="7860" w:type="dxa"/>
            <w:vAlign w:val="bottom"/>
          </w:tcPr>
          <w:p>
            <w:pPr>
              <w:ind w:left="20"/>
              <w:spacing w:after="0"/>
              <w:rPr>
                <w:sz w:val="20"/>
                <w:szCs w:val="20"/>
                <w:color w:val="auto"/>
              </w:rPr>
            </w:pPr>
            <w:r>
              <w:rPr>
                <w:rFonts w:ascii="Arial" w:cs="Arial" w:eastAsia="Arial" w:hAnsi="Arial"/>
                <w:sz w:val="17"/>
                <w:szCs w:val="17"/>
                <w:b w:val="1"/>
                <w:bCs w:val="1"/>
                <w:color w:val="auto"/>
              </w:rPr>
              <w:t>Millions</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2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786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2660" w:type="dxa"/>
            <w:vAlign w:val="bottom"/>
          </w:tcPr>
          <w:p>
            <w:pPr>
              <w:jc w:val="right"/>
              <w:ind w:right="395"/>
              <w:spacing w:after="0"/>
              <w:rPr>
                <w:sz w:val="20"/>
                <w:szCs w:val="20"/>
                <w:color w:val="auto"/>
              </w:rPr>
            </w:pPr>
            <w:r>
              <w:rPr>
                <w:rFonts w:ascii="Arial" w:cs="Arial" w:eastAsia="Arial" w:hAnsi="Arial"/>
                <w:sz w:val="17"/>
                <w:szCs w:val="17"/>
                <w:color w:val="auto"/>
              </w:rPr>
              <w:t>$65.1</w:t>
            </w:r>
          </w:p>
        </w:tc>
        <w:tc>
          <w:tcPr>
            <w:tcW w:w="680" w:type="dxa"/>
            <w:vAlign w:val="bottom"/>
          </w:tcPr>
          <w:p>
            <w:pPr>
              <w:jc w:val="right"/>
              <w:spacing w:after="0"/>
              <w:rPr>
                <w:sz w:val="20"/>
                <w:szCs w:val="20"/>
                <w:color w:val="auto"/>
              </w:rPr>
            </w:pPr>
            <w:r>
              <w:rPr>
                <w:rFonts w:ascii="Arial" w:cs="Arial" w:eastAsia="Arial" w:hAnsi="Arial"/>
                <w:sz w:val="17"/>
                <w:szCs w:val="17"/>
                <w:color w:val="auto"/>
              </w:rPr>
              <w:t>$81.4</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AFUDC – Equity</w:t>
            </w:r>
          </w:p>
        </w:tc>
        <w:tc>
          <w:tcPr>
            <w:tcW w:w="266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rPr>
              <w:t>(1.1)</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16"/>
        </w:trPr>
        <w:tc>
          <w:tcPr>
            <w:tcW w:w="7860" w:type="dxa"/>
            <w:vAlign w:val="bottom"/>
          </w:tcPr>
          <w:p>
            <w:pPr>
              <w:ind w:left="220"/>
              <w:spacing w:after="0"/>
              <w:rPr>
                <w:sz w:val="20"/>
                <w:szCs w:val="20"/>
                <w:color w:val="auto"/>
              </w:rPr>
            </w:pPr>
            <w:r>
              <w:rPr>
                <w:rFonts w:ascii="Arial" w:cs="Arial" w:eastAsia="Arial" w:hAnsi="Arial"/>
                <w:sz w:val="17"/>
                <w:szCs w:val="17"/>
                <w:color w:val="auto"/>
              </w:rPr>
              <w:t>Income from Equity Investments – Net of Dividends</w:t>
            </w:r>
          </w:p>
        </w:tc>
        <w:tc>
          <w:tcPr>
            <w:tcW w:w="2660" w:type="dxa"/>
            <w:vAlign w:val="bottom"/>
          </w:tcPr>
          <w:p>
            <w:pPr>
              <w:jc w:val="right"/>
              <w:ind w:right="395"/>
              <w:spacing w:after="0"/>
              <w:rPr>
                <w:sz w:val="20"/>
                <w:szCs w:val="20"/>
                <w:color w:val="auto"/>
              </w:rPr>
            </w:pPr>
            <w:r>
              <w:rPr>
                <w:rFonts w:ascii="Arial" w:cs="Arial" w:eastAsia="Arial" w:hAnsi="Arial"/>
                <w:sz w:val="17"/>
                <w:szCs w:val="17"/>
                <w:color w:val="auto"/>
              </w:rPr>
              <w:t>1.1</w:t>
            </w:r>
          </w:p>
        </w:tc>
        <w:tc>
          <w:tcPr>
            <w:tcW w:w="6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Realized and Unrealized (Gain) Loss on Investments and Property, Plant and Equipment</w:t>
            </w:r>
          </w:p>
        </w:tc>
        <w:tc>
          <w:tcPr>
            <w:tcW w:w="266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rPr>
              <w:t>(0.7)</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16"/>
        </w:trPr>
        <w:tc>
          <w:tcPr>
            <w:tcW w:w="7860" w:type="dxa"/>
            <w:vAlign w:val="bottom"/>
          </w:tcPr>
          <w:p>
            <w:pPr>
              <w:ind w:left="220"/>
              <w:spacing w:after="0"/>
              <w:rPr>
                <w:sz w:val="20"/>
                <w:szCs w:val="20"/>
                <w:color w:val="auto"/>
              </w:rPr>
            </w:pPr>
            <w:r>
              <w:rPr>
                <w:rFonts w:ascii="Arial" w:cs="Arial" w:eastAsia="Arial" w:hAnsi="Arial"/>
                <w:sz w:val="17"/>
                <w:szCs w:val="17"/>
                <w:color w:val="auto"/>
              </w:rPr>
              <w:t>Depreciation Expense</w:t>
            </w:r>
          </w:p>
        </w:tc>
        <w:tc>
          <w:tcPr>
            <w:tcW w:w="2660" w:type="dxa"/>
            <w:vAlign w:val="bottom"/>
          </w:tcPr>
          <w:p>
            <w:pPr>
              <w:jc w:val="right"/>
              <w:ind w:right="395"/>
              <w:spacing w:after="0"/>
              <w:rPr>
                <w:sz w:val="20"/>
                <w:szCs w:val="20"/>
                <w:color w:val="auto"/>
              </w:rPr>
            </w:pPr>
            <w:r>
              <w:rPr>
                <w:rFonts w:ascii="Arial" w:cs="Arial" w:eastAsia="Arial" w:hAnsi="Arial"/>
                <w:sz w:val="17"/>
                <w:szCs w:val="17"/>
                <w:color w:val="auto"/>
              </w:rPr>
              <w:t>115.8</w:t>
            </w:r>
          </w:p>
        </w:tc>
        <w:tc>
          <w:tcPr>
            <w:tcW w:w="680" w:type="dxa"/>
            <w:vAlign w:val="bottom"/>
          </w:tcPr>
          <w:p>
            <w:pPr>
              <w:jc w:val="right"/>
              <w:spacing w:after="0"/>
              <w:rPr>
                <w:sz w:val="20"/>
                <w:szCs w:val="20"/>
                <w:color w:val="auto"/>
              </w:rPr>
            </w:pPr>
            <w:r>
              <w:rPr>
                <w:rFonts w:ascii="Arial" w:cs="Arial" w:eastAsia="Arial" w:hAnsi="Arial"/>
                <w:sz w:val="17"/>
                <w:szCs w:val="17"/>
                <w:color w:val="auto"/>
              </w:rPr>
              <w:t>107.9</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PSAs</w:t>
            </w:r>
          </w:p>
        </w:tc>
        <w:tc>
          <w:tcPr>
            <w:tcW w:w="266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rPr>
              <w:t>(5.7)</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r>
      <w:tr>
        <w:trPr>
          <w:trHeight w:val="216"/>
        </w:trPr>
        <w:tc>
          <w:tcPr>
            <w:tcW w:w="7860" w:type="dxa"/>
            <w:vAlign w:val="bottom"/>
          </w:tcPr>
          <w:p>
            <w:pPr>
              <w:ind w:left="220"/>
              <w:spacing w:after="0"/>
              <w:rPr>
                <w:sz w:val="20"/>
                <w:szCs w:val="20"/>
                <w:color w:val="auto"/>
              </w:rPr>
            </w:pPr>
            <w:r>
              <w:rPr>
                <w:rFonts w:ascii="Arial" w:cs="Arial" w:eastAsia="Arial" w:hAnsi="Arial"/>
                <w:sz w:val="17"/>
                <w:szCs w:val="17"/>
                <w:color w:val="auto"/>
              </w:rPr>
              <w:t>Amortization of Other Intangible Assets and Other Assets</w:t>
            </w:r>
          </w:p>
        </w:tc>
        <w:tc>
          <w:tcPr>
            <w:tcW w:w="2660" w:type="dxa"/>
            <w:vAlign w:val="bottom"/>
          </w:tcPr>
          <w:p>
            <w:pPr>
              <w:jc w:val="right"/>
              <w:ind w:right="395"/>
              <w:spacing w:after="0"/>
              <w:rPr>
                <w:sz w:val="20"/>
                <w:szCs w:val="20"/>
                <w:color w:val="auto"/>
              </w:rPr>
            </w:pPr>
            <w:r>
              <w:rPr>
                <w:rFonts w:ascii="Arial" w:cs="Arial" w:eastAsia="Arial" w:hAnsi="Arial"/>
                <w:sz w:val="17"/>
                <w:szCs w:val="17"/>
                <w:color w:val="auto"/>
              </w:rPr>
              <w:t>5.1</w:t>
            </w:r>
          </w:p>
        </w:tc>
        <w:tc>
          <w:tcPr>
            <w:tcW w:w="6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Income Tax Benefit</w:t>
            </w:r>
          </w:p>
        </w:tc>
        <w:tc>
          <w:tcPr>
            <w:tcW w:w="266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rPr>
              <w:t>(14.4)</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r>
      <w:tr>
        <w:trPr>
          <w:trHeight w:val="216"/>
        </w:trPr>
        <w:tc>
          <w:tcPr>
            <w:tcW w:w="7860" w:type="dxa"/>
            <w:vAlign w:val="bottom"/>
          </w:tcPr>
          <w:p>
            <w:pPr>
              <w:ind w:left="220"/>
              <w:spacing w:after="0"/>
              <w:rPr>
                <w:sz w:val="20"/>
                <w:szCs w:val="20"/>
                <w:color w:val="auto"/>
              </w:rPr>
            </w:pPr>
            <w:r>
              <w:rPr>
                <w:rFonts w:ascii="Arial" w:cs="Arial" w:eastAsia="Arial" w:hAnsi="Arial"/>
                <w:sz w:val="17"/>
                <w:szCs w:val="17"/>
                <w:color w:val="auto"/>
              </w:rPr>
              <w:t>Share-Based and ESOP Compensation Expense</w:t>
            </w:r>
          </w:p>
        </w:tc>
        <w:tc>
          <w:tcPr>
            <w:tcW w:w="2660" w:type="dxa"/>
            <w:vAlign w:val="bottom"/>
          </w:tcPr>
          <w:p>
            <w:pPr>
              <w:jc w:val="right"/>
              <w:ind w:right="395"/>
              <w:spacing w:after="0"/>
              <w:rPr>
                <w:sz w:val="20"/>
                <w:szCs w:val="20"/>
                <w:color w:val="auto"/>
              </w:rPr>
            </w:pPr>
            <w:r>
              <w:rPr>
                <w:rFonts w:ascii="Arial" w:cs="Arial" w:eastAsia="Arial" w:hAnsi="Arial"/>
                <w:sz w:val="17"/>
                <w:szCs w:val="17"/>
                <w:color w:val="auto"/>
              </w:rPr>
              <w:t>3.1</w:t>
            </w:r>
          </w:p>
        </w:tc>
        <w:tc>
          <w:tcPr>
            <w:tcW w:w="68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Defined Benefit Pension and Postretirement Benefit Expense</w:t>
            </w:r>
          </w:p>
        </w:tc>
        <w:tc>
          <w:tcPr>
            <w:tcW w:w="266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2.2</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860" w:type="dxa"/>
            <w:vAlign w:val="bottom"/>
          </w:tcPr>
          <w:p>
            <w:pPr>
              <w:ind w:left="220"/>
              <w:spacing w:after="0"/>
              <w:rPr>
                <w:sz w:val="20"/>
                <w:szCs w:val="20"/>
                <w:color w:val="auto"/>
              </w:rPr>
            </w:pPr>
            <w:r>
              <w:rPr>
                <w:rFonts w:ascii="Arial" w:cs="Arial" w:eastAsia="Arial" w:hAnsi="Arial"/>
                <w:sz w:val="17"/>
                <w:szCs w:val="17"/>
                <w:color w:val="auto"/>
              </w:rPr>
              <w:t>Provision for Interim Rate Refund</w:t>
            </w:r>
          </w:p>
        </w:tc>
        <w:tc>
          <w:tcPr>
            <w:tcW w:w="2660" w:type="dxa"/>
            <w:vAlign w:val="bottom"/>
          </w:tcPr>
          <w:p>
            <w:pPr>
              <w:jc w:val="right"/>
              <w:ind w:right="395"/>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for Tax Reform Refund</w:t>
            </w:r>
          </w:p>
        </w:tc>
        <w:tc>
          <w:tcPr>
            <w:tcW w:w="266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6"/>
        </w:trPr>
        <w:tc>
          <w:tcPr>
            <w:tcW w:w="7860" w:type="dxa"/>
            <w:vAlign w:val="bottom"/>
          </w:tcPr>
          <w:p>
            <w:pPr>
              <w:ind w:left="220"/>
              <w:spacing w:after="0"/>
              <w:rPr>
                <w:sz w:val="20"/>
                <w:szCs w:val="20"/>
                <w:color w:val="auto"/>
              </w:rPr>
            </w:pPr>
            <w:r>
              <w:rPr>
                <w:rFonts w:ascii="Arial" w:cs="Arial" w:eastAsia="Arial" w:hAnsi="Arial"/>
                <w:sz w:val="17"/>
                <w:szCs w:val="17"/>
                <w:color w:val="auto"/>
              </w:rPr>
              <w:t>Bad Debt Expense</w:t>
            </w:r>
          </w:p>
        </w:tc>
        <w:tc>
          <w:tcPr>
            <w:tcW w:w="2660" w:type="dxa"/>
            <w:vAlign w:val="bottom"/>
          </w:tcPr>
          <w:p>
            <w:pPr>
              <w:jc w:val="right"/>
              <w:ind w:right="395"/>
              <w:spacing w:after="0"/>
              <w:rPr>
                <w:sz w:val="20"/>
                <w:szCs w:val="20"/>
                <w:color w:val="auto"/>
              </w:rPr>
            </w:pPr>
            <w:r>
              <w:rPr>
                <w:rFonts w:ascii="Arial" w:cs="Arial" w:eastAsia="Arial" w:hAnsi="Arial"/>
                <w:sz w:val="17"/>
                <w:szCs w:val="17"/>
                <w:color w:val="auto"/>
              </w:rPr>
              <w:t>0.6</w:t>
            </w:r>
          </w:p>
        </w:tc>
        <w:tc>
          <w:tcPr>
            <w:tcW w:w="6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2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7860" w:type="dxa"/>
            <w:vAlign w:val="bottom"/>
          </w:tcPr>
          <w:p>
            <w:pPr>
              <w:ind w:left="460"/>
              <w:spacing w:after="0"/>
              <w:rPr>
                <w:sz w:val="20"/>
                <w:szCs w:val="20"/>
                <w:color w:val="auto"/>
              </w:rPr>
            </w:pPr>
            <w:r>
              <w:rPr>
                <w:rFonts w:ascii="Arial" w:cs="Arial" w:eastAsia="Arial" w:hAnsi="Arial"/>
                <w:sz w:val="17"/>
                <w:szCs w:val="17"/>
                <w:color w:val="auto"/>
              </w:rPr>
              <w:t>Accounts Receivable</w:t>
            </w:r>
          </w:p>
        </w:tc>
        <w:tc>
          <w:tcPr>
            <w:tcW w:w="2660" w:type="dxa"/>
            <w:vAlign w:val="bottom"/>
          </w:tcPr>
          <w:p>
            <w:pPr>
              <w:jc w:val="right"/>
              <w:ind w:right="395"/>
              <w:spacing w:after="0"/>
              <w:rPr>
                <w:sz w:val="20"/>
                <w:szCs w:val="20"/>
                <w:color w:val="auto"/>
              </w:rPr>
            </w:pPr>
            <w:r>
              <w:rPr>
                <w:rFonts w:ascii="Arial" w:cs="Arial" w:eastAsia="Arial" w:hAnsi="Arial"/>
                <w:sz w:val="17"/>
                <w:szCs w:val="17"/>
                <w:color w:val="auto"/>
              </w:rPr>
              <w:t>5.7</w:t>
            </w:r>
          </w:p>
        </w:tc>
        <w:tc>
          <w:tcPr>
            <w:tcW w:w="68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216"/>
        </w:trPr>
        <w:tc>
          <w:tcPr>
            <w:tcW w:w="78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Inventories</w:t>
            </w:r>
          </w:p>
        </w:tc>
        <w:tc>
          <w:tcPr>
            <w:tcW w:w="266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rPr>
              <w:t>(13.9)</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r>
      <w:tr>
        <w:trPr>
          <w:trHeight w:val="216"/>
        </w:trPr>
        <w:tc>
          <w:tcPr>
            <w:tcW w:w="7860" w:type="dxa"/>
            <w:vAlign w:val="bottom"/>
          </w:tcPr>
          <w:p>
            <w:pPr>
              <w:ind w:left="460"/>
              <w:spacing w:after="0"/>
              <w:rPr>
                <w:sz w:val="20"/>
                <w:szCs w:val="20"/>
                <w:color w:val="auto"/>
              </w:rPr>
            </w:pPr>
            <w:r>
              <w:rPr>
                <w:rFonts w:ascii="Arial" w:cs="Arial" w:eastAsia="Arial" w:hAnsi="Arial"/>
                <w:sz w:val="17"/>
                <w:szCs w:val="17"/>
                <w:color w:val="auto"/>
              </w:rPr>
              <w:t>Prepayments and Other</w:t>
            </w:r>
          </w:p>
        </w:tc>
        <w:tc>
          <w:tcPr>
            <w:tcW w:w="2660" w:type="dxa"/>
            <w:vAlign w:val="bottom"/>
          </w:tcPr>
          <w:p>
            <w:pPr>
              <w:jc w:val="right"/>
              <w:ind w:right="395"/>
              <w:spacing w:after="0"/>
              <w:rPr>
                <w:sz w:val="20"/>
                <w:szCs w:val="20"/>
                <w:color w:val="auto"/>
              </w:rPr>
            </w:pPr>
            <w:r>
              <w:rPr>
                <w:rFonts w:ascii="Arial" w:cs="Arial" w:eastAsia="Arial" w:hAnsi="Arial"/>
                <w:sz w:val="17"/>
                <w:szCs w:val="17"/>
                <w:color w:val="auto"/>
              </w:rPr>
              <w:t>1.7</w:t>
            </w:r>
          </w:p>
        </w:tc>
        <w:tc>
          <w:tcPr>
            <w:tcW w:w="68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16"/>
        </w:trPr>
        <w:tc>
          <w:tcPr>
            <w:tcW w:w="78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Accounts Payable</w:t>
            </w:r>
          </w:p>
        </w:tc>
        <w:tc>
          <w:tcPr>
            <w:tcW w:w="266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rPr>
              <w:t>(1.2)</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r>
      <w:tr>
        <w:trPr>
          <w:trHeight w:val="216"/>
        </w:trPr>
        <w:tc>
          <w:tcPr>
            <w:tcW w:w="7860" w:type="dxa"/>
            <w:vAlign w:val="bottom"/>
          </w:tcPr>
          <w:p>
            <w:pPr>
              <w:ind w:left="460"/>
              <w:spacing w:after="0"/>
              <w:rPr>
                <w:sz w:val="20"/>
                <w:szCs w:val="20"/>
                <w:color w:val="auto"/>
              </w:rPr>
            </w:pPr>
            <w:r>
              <w:rPr>
                <w:rFonts w:ascii="Arial" w:cs="Arial" w:eastAsia="Arial" w:hAnsi="Arial"/>
                <w:sz w:val="17"/>
                <w:szCs w:val="17"/>
                <w:color w:val="auto"/>
              </w:rPr>
              <w:t>Other Current Liabilities</w:t>
            </w:r>
          </w:p>
        </w:tc>
        <w:tc>
          <w:tcPr>
            <w:tcW w:w="2660" w:type="dxa"/>
            <w:vAlign w:val="bottom"/>
          </w:tcPr>
          <w:p>
            <w:pPr>
              <w:jc w:val="right"/>
              <w:ind w:right="355"/>
              <w:spacing w:after="0"/>
              <w:rPr>
                <w:sz w:val="20"/>
                <w:szCs w:val="20"/>
                <w:color w:val="auto"/>
              </w:rPr>
            </w:pPr>
            <w:r>
              <w:rPr>
                <w:rFonts w:ascii="Arial" w:cs="Arial" w:eastAsia="Arial" w:hAnsi="Arial"/>
                <w:sz w:val="17"/>
                <w:szCs w:val="17"/>
                <w:color w:val="auto"/>
              </w:rPr>
              <w:t>(13.0)</w:t>
            </w:r>
          </w:p>
        </w:tc>
        <w:tc>
          <w:tcPr>
            <w:tcW w:w="68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Contributions to Defined Benefit Pension Plans</w:t>
            </w:r>
          </w:p>
        </w:tc>
        <w:tc>
          <w:tcPr>
            <w:tcW w:w="266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rPr>
              <w:t>(10.3)</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r>
      <w:tr>
        <w:trPr>
          <w:trHeight w:val="216"/>
        </w:trPr>
        <w:tc>
          <w:tcPr>
            <w:tcW w:w="7860" w:type="dxa"/>
            <w:vAlign w:val="bottom"/>
          </w:tcPr>
          <w:p>
            <w:pPr>
              <w:ind w:left="220"/>
              <w:spacing w:after="0"/>
              <w:rPr>
                <w:sz w:val="20"/>
                <w:szCs w:val="20"/>
                <w:color w:val="auto"/>
              </w:rPr>
            </w:pPr>
            <w:r>
              <w:rPr>
                <w:rFonts w:ascii="Arial" w:cs="Arial" w:eastAsia="Arial" w:hAnsi="Arial"/>
                <w:sz w:val="17"/>
                <w:szCs w:val="17"/>
                <w:color w:val="auto"/>
              </w:rPr>
              <w:t>Changes in Regulatory and Other Non-Current Assets</w:t>
            </w:r>
          </w:p>
        </w:tc>
        <w:tc>
          <w:tcPr>
            <w:tcW w:w="2660" w:type="dxa"/>
            <w:vAlign w:val="bottom"/>
          </w:tcPr>
          <w:p>
            <w:pPr>
              <w:jc w:val="right"/>
              <w:ind w:right="355"/>
              <w:spacing w:after="0"/>
              <w:rPr>
                <w:sz w:val="20"/>
                <w:szCs w:val="20"/>
                <w:color w:val="auto"/>
              </w:rPr>
            </w:pPr>
            <w:r>
              <w:rPr>
                <w:rFonts w:ascii="Arial" w:cs="Arial" w:eastAsia="Arial" w:hAnsi="Arial"/>
                <w:sz w:val="17"/>
                <w:szCs w:val="17"/>
                <w:color w:val="auto"/>
              </w:rPr>
              <w:t>(25.6)</w:t>
            </w:r>
          </w:p>
        </w:tc>
        <w:tc>
          <w:tcPr>
            <w:tcW w:w="680" w:type="dxa"/>
            <w:vAlign w:val="bottom"/>
          </w:tcPr>
          <w:p>
            <w:pPr>
              <w:jc w:val="right"/>
              <w:spacing w:after="0"/>
              <w:rPr>
                <w:sz w:val="20"/>
                <w:szCs w:val="20"/>
                <w:color w:val="auto"/>
              </w:rPr>
            </w:pPr>
            <w:r>
              <w:rPr>
                <w:rFonts w:ascii="Arial" w:cs="Arial" w:eastAsia="Arial" w:hAnsi="Arial"/>
                <w:sz w:val="17"/>
                <w:szCs w:val="17"/>
                <w:color w:val="auto"/>
              </w:rPr>
              <w:t>(16.8)</w:t>
            </w:r>
          </w:p>
        </w:tc>
      </w:tr>
      <w:tr>
        <w:trPr>
          <w:trHeight w:val="216"/>
        </w:trPr>
        <w:tc>
          <w:tcPr>
            <w:tcW w:w="7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Changes in Regulatory and Other Non-Current Liabilities</w:t>
            </w:r>
          </w:p>
        </w:tc>
        <w:tc>
          <w:tcPr>
            <w:tcW w:w="266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rPr>
              <w:t>(8.8)</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r>
      <w:tr>
        <w:trPr>
          <w:trHeight w:val="209"/>
        </w:trPr>
        <w:tc>
          <w:tcPr>
            <w:tcW w:w="786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Cash from Operating Activities</w:t>
            </w:r>
          </w:p>
        </w:tc>
        <w:tc>
          <w:tcPr>
            <w:tcW w:w="26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105.7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143.3</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2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7860" w:type="dxa"/>
            <w:vAlign w:val="bottom"/>
          </w:tcPr>
          <w:p>
            <w:pPr>
              <w:ind w:left="220"/>
              <w:spacing w:after="0"/>
              <w:rPr>
                <w:sz w:val="20"/>
                <w:szCs w:val="20"/>
                <w:color w:val="auto"/>
              </w:rPr>
            </w:pPr>
            <w:r>
              <w:rPr>
                <w:rFonts w:ascii="Arial" w:cs="Arial" w:eastAsia="Arial" w:hAnsi="Arial"/>
                <w:sz w:val="17"/>
                <w:szCs w:val="17"/>
                <w:color w:val="auto"/>
              </w:rPr>
              <w:t>Proceeds from Sale of Available-for-sale Securities</w:t>
            </w:r>
          </w:p>
        </w:tc>
        <w:tc>
          <w:tcPr>
            <w:tcW w:w="2660" w:type="dxa"/>
            <w:vAlign w:val="bottom"/>
          </w:tcPr>
          <w:p>
            <w:pPr>
              <w:jc w:val="right"/>
              <w:ind w:right="395"/>
              <w:spacing w:after="0"/>
              <w:rPr>
                <w:sz w:val="20"/>
                <w:szCs w:val="20"/>
                <w:color w:val="auto"/>
              </w:rPr>
            </w:pPr>
            <w:r>
              <w:rPr>
                <w:rFonts w:ascii="Arial" w:cs="Arial" w:eastAsia="Arial" w:hAnsi="Arial"/>
                <w:sz w:val="17"/>
                <w:szCs w:val="17"/>
                <w:color w:val="auto"/>
              </w:rPr>
              <w:t>2.6</w:t>
            </w:r>
          </w:p>
        </w:tc>
        <w:tc>
          <w:tcPr>
            <w:tcW w:w="6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for Purchase of Available-for-sale Securities</w:t>
            </w:r>
          </w:p>
        </w:tc>
        <w:tc>
          <w:tcPr>
            <w:tcW w:w="266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rPr>
              <w:t>(2.0)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16"/>
        </w:trPr>
        <w:tc>
          <w:tcPr>
            <w:tcW w:w="7860" w:type="dxa"/>
            <w:vAlign w:val="bottom"/>
          </w:tcPr>
          <w:p>
            <w:pPr>
              <w:ind w:left="220"/>
              <w:spacing w:after="0"/>
              <w:rPr>
                <w:sz w:val="20"/>
                <w:szCs w:val="20"/>
                <w:color w:val="auto"/>
              </w:rPr>
            </w:pPr>
            <w:r>
              <w:rPr>
                <w:rFonts w:ascii="Arial" w:cs="Arial" w:eastAsia="Arial" w:hAnsi="Arial"/>
                <w:sz w:val="17"/>
                <w:szCs w:val="17"/>
                <w:color w:val="auto"/>
              </w:rPr>
              <w:t>Payments for Equity Method Investments</w:t>
            </w:r>
          </w:p>
        </w:tc>
        <w:tc>
          <w:tcPr>
            <w:tcW w:w="2660" w:type="dxa"/>
            <w:vAlign w:val="bottom"/>
          </w:tcPr>
          <w:p>
            <w:pPr>
              <w:jc w:val="right"/>
              <w:ind w:right="355"/>
              <w:spacing w:after="0"/>
              <w:rPr>
                <w:sz w:val="20"/>
                <w:szCs w:val="20"/>
                <w:color w:val="auto"/>
              </w:rPr>
            </w:pPr>
            <w:r>
              <w:rPr>
                <w:rFonts w:ascii="Arial" w:cs="Arial" w:eastAsia="Arial" w:hAnsi="Arial"/>
                <w:sz w:val="17"/>
                <w:szCs w:val="17"/>
                <w:color w:val="auto"/>
              </w:rPr>
              <w:t>(17.1)</w:t>
            </w:r>
          </w:p>
        </w:tc>
        <w:tc>
          <w:tcPr>
            <w:tcW w:w="680" w:type="dxa"/>
            <w:vAlign w:val="bottom"/>
          </w:tcPr>
          <w:p>
            <w:pPr>
              <w:jc w:val="right"/>
              <w:spacing w:after="0"/>
              <w:rPr>
                <w:sz w:val="20"/>
                <w:szCs w:val="20"/>
                <w:color w:val="auto"/>
              </w:rPr>
            </w:pPr>
            <w:r>
              <w:rPr>
                <w:rFonts w:ascii="Arial" w:cs="Arial" w:eastAsia="Arial" w:hAnsi="Arial"/>
                <w:sz w:val="17"/>
                <w:szCs w:val="17"/>
                <w:color w:val="auto"/>
              </w:rPr>
              <w:t>(66.6)</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Additions to Property, Plant and Equipment</w:t>
            </w:r>
          </w:p>
        </w:tc>
        <w:tc>
          <w:tcPr>
            <w:tcW w:w="266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rPr>
              <w:t>(293.4)</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(419.9)</w:t>
            </w:r>
          </w:p>
        </w:tc>
      </w:tr>
      <w:tr>
        <w:trPr>
          <w:trHeight w:val="216"/>
        </w:trPr>
        <w:tc>
          <w:tcPr>
            <w:tcW w:w="78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Investing Activities</w:t>
            </w:r>
          </w:p>
        </w:tc>
        <w:tc>
          <w:tcPr>
            <w:tcW w:w="26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4.2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r>
      <w:tr>
        <w:trPr>
          <w:trHeight w:val="210"/>
        </w:trPr>
        <w:tc>
          <w:tcPr>
            <w:tcW w:w="78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Cash for Investing Activities</w:t>
            </w:r>
          </w:p>
        </w:tc>
        <w:tc>
          <w:tcPr>
            <w:tcW w:w="266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rPr>
              <w:t>(305.7)</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(486.2)</w:t>
            </w:r>
          </w:p>
        </w:tc>
      </w:tr>
      <w:tr>
        <w:trPr>
          <w:trHeight w:val="209"/>
        </w:trPr>
        <w:tc>
          <w:tcPr>
            <w:tcW w:w="786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Issuance of Common Stock</w:t>
            </w:r>
          </w:p>
        </w:tc>
        <w:tc>
          <w:tcPr>
            <w:tcW w:w="266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10.1</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216"/>
        </w:trPr>
        <w:tc>
          <w:tcPr>
            <w:tcW w:w="7860" w:type="dxa"/>
            <w:vAlign w:val="bottom"/>
          </w:tcPr>
          <w:p>
            <w:pPr>
              <w:ind w:left="220"/>
              <w:spacing w:after="0"/>
              <w:rPr>
                <w:sz w:val="20"/>
                <w:szCs w:val="20"/>
                <w:color w:val="auto"/>
              </w:rPr>
            </w:pPr>
            <w:r>
              <w:rPr>
                <w:rFonts w:ascii="Arial" w:cs="Arial" w:eastAsia="Arial" w:hAnsi="Arial"/>
                <w:sz w:val="17"/>
                <w:szCs w:val="17"/>
                <w:color w:val="auto"/>
              </w:rPr>
              <w:t>Proceeds from Issuance of Short-Term and Long-Term Debt</w:t>
            </w:r>
          </w:p>
        </w:tc>
        <w:tc>
          <w:tcPr>
            <w:tcW w:w="2660" w:type="dxa"/>
            <w:vAlign w:val="bottom"/>
          </w:tcPr>
          <w:p>
            <w:pPr>
              <w:jc w:val="right"/>
              <w:ind w:right="395"/>
              <w:spacing w:after="0"/>
              <w:rPr>
                <w:sz w:val="20"/>
                <w:szCs w:val="20"/>
                <w:color w:val="auto"/>
              </w:rPr>
            </w:pPr>
            <w:r>
              <w:rPr>
                <w:rFonts w:ascii="Arial" w:cs="Arial" w:eastAsia="Arial" w:hAnsi="Arial"/>
                <w:sz w:val="17"/>
                <w:szCs w:val="17"/>
                <w:color w:val="auto"/>
              </w:rPr>
              <w:t>379.0</w:t>
            </w:r>
          </w:p>
        </w:tc>
        <w:tc>
          <w:tcPr>
            <w:tcW w:w="680" w:type="dxa"/>
            <w:vAlign w:val="bottom"/>
          </w:tcPr>
          <w:p>
            <w:pPr>
              <w:jc w:val="right"/>
              <w:spacing w:after="0"/>
              <w:rPr>
                <w:sz w:val="20"/>
                <w:szCs w:val="20"/>
                <w:color w:val="auto"/>
              </w:rPr>
            </w:pPr>
            <w:r>
              <w:rPr>
                <w:rFonts w:ascii="Arial" w:cs="Arial" w:eastAsia="Arial" w:hAnsi="Arial"/>
                <w:sz w:val="17"/>
                <w:szCs w:val="17"/>
                <w:color w:val="auto"/>
              </w:rPr>
              <w:t>297.4</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Repayments of Short-Term and Long-Term Debt</w:t>
            </w:r>
          </w:p>
        </w:tc>
        <w:tc>
          <w:tcPr>
            <w:tcW w:w="266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rPr>
              <w:t>(149.3)</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r>
      <w:tr>
        <w:trPr>
          <w:trHeight w:val="216"/>
        </w:trPr>
        <w:tc>
          <w:tcPr>
            <w:tcW w:w="7860" w:type="dxa"/>
            <w:vAlign w:val="bottom"/>
          </w:tcPr>
          <w:p>
            <w:pPr>
              <w:ind w:left="220"/>
              <w:spacing w:after="0"/>
              <w:rPr>
                <w:sz w:val="20"/>
                <w:szCs w:val="20"/>
                <w:color w:val="auto"/>
              </w:rPr>
            </w:pPr>
            <w:r>
              <w:rPr>
                <w:rFonts w:ascii="Arial" w:cs="Arial" w:eastAsia="Arial" w:hAnsi="Arial"/>
                <w:sz w:val="17"/>
                <w:szCs w:val="17"/>
                <w:color w:val="auto"/>
              </w:rPr>
              <w:t>Proceeds from Non-Controlling Interest in Subsidiaries</w:t>
            </w:r>
          </w:p>
        </w:tc>
        <w:tc>
          <w:tcPr>
            <w:tcW w:w="2660" w:type="dxa"/>
            <w:vAlign w:val="bottom"/>
          </w:tcPr>
          <w:p>
            <w:pPr>
              <w:jc w:val="right"/>
              <w:ind w:right="395"/>
              <w:spacing w:after="0"/>
              <w:rPr>
                <w:sz w:val="20"/>
                <w:szCs w:val="20"/>
                <w:color w:val="auto"/>
              </w:rPr>
            </w:pPr>
            <w:r>
              <w:rPr>
                <w:rFonts w:ascii="Arial" w:cs="Arial" w:eastAsia="Arial" w:hAnsi="Arial"/>
                <w:sz w:val="17"/>
                <w:szCs w:val="17"/>
                <w:color w:val="auto"/>
              </w:rPr>
              <w:t>28.9</w:t>
            </w:r>
          </w:p>
        </w:tc>
        <w:tc>
          <w:tcPr>
            <w:tcW w:w="680" w:type="dxa"/>
            <w:vAlign w:val="bottom"/>
          </w:tcPr>
          <w:p>
            <w:pPr>
              <w:jc w:val="right"/>
              <w:spacing w:after="0"/>
              <w:rPr>
                <w:sz w:val="20"/>
                <w:szCs w:val="20"/>
                <w:color w:val="auto"/>
              </w:rPr>
            </w:pPr>
            <w:r>
              <w:rPr>
                <w:rFonts w:ascii="Arial" w:cs="Arial" w:eastAsia="Arial" w:hAnsi="Arial"/>
                <w:sz w:val="17"/>
                <w:szCs w:val="17"/>
                <w:color w:val="auto"/>
              </w:rPr>
              <w:t>67.8</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Dividends on Common Stock</w:t>
            </w:r>
          </w:p>
        </w:tc>
        <w:tc>
          <w:tcPr>
            <w:tcW w:w="266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rPr>
              <w:t>(65.7)</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w:t>
            </w:r>
          </w:p>
        </w:tc>
      </w:tr>
      <w:tr>
        <w:trPr>
          <w:trHeight w:val="216"/>
        </w:trPr>
        <w:tc>
          <w:tcPr>
            <w:tcW w:w="78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Financing Activities</w:t>
            </w:r>
          </w:p>
        </w:tc>
        <w:tc>
          <w:tcPr>
            <w:tcW w:w="26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(0.9)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r>
      <w:tr>
        <w:trPr>
          <w:trHeight w:val="209"/>
        </w:trPr>
        <w:tc>
          <w:tcPr>
            <w:tcW w:w="78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Cash from Financing Activities</w:t>
            </w:r>
          </w:p>
        </w:tc>
        <w:tc>
          <w:tcPr>
            <w:tcW w:w="266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rPr>
              <w:t>202.1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287.8</w:t>
            </w:r>
          </w:p>
        </w:tc>
      </w:tr>
      <w:tr>
        <w:trPr>
          <w:trHeight w:val="210"/>
        </w:trPr>
        <w:tc>
          <w:tcPr>
            <w:tcW w:w="7860" w:type="dxa"/>
            <w:vAlign w:val="bottom"/>
          </w:tcPr>
          <w:p>
            <w:pPr>
              <w:ind w:left="20"/>
              <w:spacing w:after="0"/>
              <w:rPr>
                <w:sz w:val="20"/>
                <w:szCs w:val="20"/>
                <w:color w:val="auto"/>
              </w:rPr>
            </w:pPr>
            <w:r>
              <w:rPr>
                <w:rFonts w:ascii="Arial" w:cs="Arial" w:eastAsia="Arial" w:hAnsi="Arial"/>
                <w:sz w:val="17"/>
                <w:szCs w:val="17"/>
                <w:b w:val="1"/>
                <w:bCs w:val="1"/>
                <w:color w:val="auto"/>
              </w:rPr>
              <w:t>Change in Cash, Cash Equivalents and Restricted Cash</w:t>
            </w:r>
          </w:p>
        </w:tc>
        <w:tc>
          <w:tcPr>
            <w:tcW w:w="2660" w:type="dxa"/>
            <w:vAlign w:val="bottom"/>
          </w:tcPr>
          <w:p>
            <w:pPr>
              <w:jc w:val="right"/>
              <w:ind w:right="395"/>
              <w:spacing w:after="0"/>
              <w:rPr>
                <w:sz w:val="20"/>
                <w:szCs w:val="20"/>
                <w:color w:val="auto"/>
              </w:rPr>
            </w:pPr>
            <w:r>
              <w:rPr>
                <w:rFonts w:ascii="Arial" w:cs="Arial" w:eastAsia="Arial" w:hAnsi="Arial"/>
                <w:sz w:val="17"/>
                <w:szCs w:val="17"/>
                <w:color w:val="auto"/>
              </w:rPr>
              <w:t>2.1</w:t>
            </w:r>
          </w:p>
        </w:tc>
        <w:tc>
          <w:tcPr>
            <w:tcW w:w="680" w:type="dxa"/>
            <w:vAlign w:val="bottom"/>
          </w:tcPr>
          <w:p>
            <w:pPr>
              <w:jc w:val="right"/>
              <w:spacing w:after="0"/>
              <w:rPr>
                <w:sz w:val="20"/>
                <w:szCs w:val="20"/>
                <w:color w:val="auto"/>
              </w:rPr>
            </w:pPr>
            <w:r>
              <w:rPr>
                <w:rFonts w:ascii="Arial" w:cs="Arial" w:eastAsia="Arial" w:hAnsi="Arial"/>
                <w:sz w:val="17"/>
                <w:szCs w:val="17"/>
                <w:color w:val="auto"/>
              </w:rPr>
              <w:t>(55.1)</w:t>
            </w:r>
          </w:p>
        </w:tc>
      </w:tr>
      <w:tr>
        <w:trPr>
          <w:trHeight w:val="216"/>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Cash Equivalents and Restricted Cash at Beginning of Period</w:t>
            </w:r>
          </w:p>
        </w:tc>
        <w:tc>
          <w:tcPr>
            <w:tcW w:w="266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rPr>
              <w:t>65.2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92.5</w:t>
            </w:r>
          </w:p>
        </w:tc>
      </w:tr>
      <w:tr>
        <w:trPr>
          <w:trHeight w:val="210"/>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26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$67.3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60" w:type="dxa"/>
            <w:vAlign w:val="bottom"/>
          </w:tcPr>
          <w:p>
            <w:pPr>
              <w:spacing w:after="0"/>
              <w:rPr>
                <w:sz w:val="19"/>
                <w:szCs w:val="19"/>
                <w:color w:val="auto"/>
              </w:rPr>
            </w:pPr>
          </w:p>
        </w:tc>
        <w:tc>
          <w:tcPr>
            <w:tcW w:w="348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Quarter Ended</w:t>
            </w:r>
          </w:p>
        </w:tc>
        <w:tc>
          <w:tcPr>
            <w:tcW w:w="21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566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19"/>
                <w:szCs w:val="19"/>
                <w:color w:val="auto"/>
              </w:rPr>
            </w:pPr>
          </w:p>
        </w:tc>
      </w:tr>
      <w:tr>
        <w:trPr>
          <w:trHeight w:val="234"/>
        </w:trPr>
        <w:tc>
          <w:tcPr>
            <w:tcW w:w="56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9"/>
              </w:rPr>
              <w:t>2020</w:t>
            </w: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2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2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2480" w:type="dxa"/>
            <w:vAlign w:val="bottom"/>
          </w:tcPr>
          <w:p>
            <w:pPr>
              <w:jc w:val="right"/>
              <w:ind w:right="330"/>
              <w:spacing w:after="0"/>
              <w:rPr>
                <w:sz w:val="20"/>
                <w:szCs w:val="20"/>
                <w:color w:val="auto"/>
              </w:rPr>
            </w:pPr>
            <w:r>
              <w:rPr>
                <w:rFonts w:ascii="Arial" w:cs="Arial" w:eastAsia="Arial" w:hAnsi="Arial"/>
                <w:sz w:val="18"/>
                <w:szCs w:val="18"/>
                <w:color w:val="auto"/>
              </w:rPr>
              <w:t>$1,467.6</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w w:val="94"/>
              </w:rPr>
              <w:t>$1,441.7</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$1,460.9</w:t>
            </w:r>
          </w:p>
        </w:tc>
        <w:tc>
          <w:tcPr>
            <w:tcW w:w="760" w:type="dxa"/>
            <w:vAlign w:val="bottom"/>
          </w:tcPr>
          <w:p>
            <w:pPr>
              <w:jc w:val="right"/>
              <w:spacing w:after="0"/>
              <w:rPr>
                <w:sz w:val="20"/>
                <w:szCs w:val="20"/>
                <w:color w:val="auto"/>
              </w:rPr>
            </w:pPr>
            <w:r>
              <w:rPr>
                <w:rFonts w:ascii="Arial" w:cs="Arial" w:eastAsia="Arial" w:hAnsi="Arial"/>
                <w:sz w:val="18"/>
                <w:szCs w:val="18"/>
                <w:color w:val="auto"/>
                <w:w w:val="94"/>
              </w:rPr>
              <w:t>$1,436.7</w:t>
            </w:r>
          </w:p>
        </w:tc>
      </w:tr>
      <w:tr>
        <w:trPr>
          <w:trHeight w:val="230"/>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Common Stock Issued</w:t>
            </w:r>
          </w:p>
        </w:tc>
        <w:tc>
          <w:tcPr>
            <w:tcW w:w="24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6.5</w:t>
            </w:r>
          </w:p>
        </w:tc>
        <w:tc>
          <w:tcPr>
            <w:tcW w:w="10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6.0</w:t>
            </w:r>
          </w:p>
        </w:tc>
        <w:tc>
          <w:tcPr>
            <w:tcW w:w="13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13.2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3"/>
        </w:trPr>
        <w:tc>
          <w:tcPr>
            <w:tcW w:w="5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Balance, End of Period</w:t>
            </w:r>
          </w:p>
        </w:tc>
        <w:tc>
          <w:tcPr>
            <w:tcW w:w="2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1,474.1</w:t>
            </w: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1,447.7</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1,474.1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1,447.7</w:t>
            </w:r>
          </w:p>
        </w:tc>
      </w:tr>
      <w:tr>
        <w:trPr>
          <w:trHeight w:val="250"/>
        </w:trPr>
        <w:tc>
          <w:tcPr>
            <w:tcW w:w="566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2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(30.7)</w:t>
            </w:r>
          </w:p>
        </w:tc>
        <w:tc>
          <w:tcPr>
            <w:tcW w:w="1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(23.8)</w:t>
            </w:r>
          </w:p>
        </w:tc>
        <w:tc>
          <w:tcPr>
            <w:tcW w:w="1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Other Comprehensive Income - Net of Income Taxes</w:t>
            </w:r>
          </w:p>
        </w:tc>
        <w:tc>
          <w:tcPr>
            <w:tcW w:w="2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on Debt Securities</w:t>
            </w:r>
          </w:p>
        </w:tc>
        <w:tc>
          <w:tcPr>
            <w:tcW w:w="24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0.4</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Defined Benefit Pension and Other Postretirement Plans</w:t>
            </w:r>
          </w:p>
        </w:tc>
        <w:tc>
          <w:tcPr>
            <w:tcW w:w="2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0.4</w:t>
            </w: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0.1</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56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2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(30.3)</w:t>
            </w:r>
          </w:p>
        </w:tc>
        <w:tc>
          <w:tcPr>
            <w:tcW w:w="10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(23.3)</w:t>
            </w: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(30.3)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50"/>
        </w:trPr>
        <w:tc>
          <w:tcPr>
            <w:tcW w:w="56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2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2480" w:type="dxa"/>
            <w:vAlign w:val="bottom"/>
          </w:tcPr>
          <w:p>
            <w:pPr>
              <w:jc w:val="right"/>
              <w:ind w:right="330"/>
              <w:spacing w:after="0"/>
              <w:rPr>
                <w:sz w:val="20"/>
                <w:szCs w:val="20"/>
                <w:color w:val="auto"/>
              </w:rPr>
            </w:pPr>
            <w:r>
              <w:rPr>
                <w:rFonts w:ascii="Arial" w:cs="Arial" w:eastAsia="Arial" w:hAnsi="Arial"/>
                <w:sz w:val="18"/>
                <w:szCs w:val="18"/>
                <w:color w:val="auto"/>
              </w:rPr>
              <w:t>883.8</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853.2</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864.8</w:t>
            </w:r>
          </w:p>
        </w:tc>
        <w:tc>
          <w:tcPr>
            <w:tcW w:w="760" w:type="dxa"/>
            <w:vAlign w:val="bottom"/>
          </w:tcPr>
          <w:p>
            <w:pPr>
              <w:jc w:val="right"/>
              <w:spacing w:after="0"/>
              <w:rPr>
                <w:sz w:val="20"/>
                <w:szCs w:val="20"/>
                <w:color w:val="auto"/>
              </w:rPr>
            </w:pPr>
            <w:r>
              <w:rPr>
                <w:rFonts w:ascii="Arial" w:cs="Arial" w:eastAsia="Arial" w:hAnsi="Arial"/>
                <w:sz w:val="18"/>
                <w:szCs w:val="18"/>
                <w:color w:val="auto"/>
              </w:rPr>
              <w:t>818.8</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ALLETE</w:t>
            </w:r>
          </w:p>
        </w:tc>
        <w:tc>
          <w:tcPr>
            <w:tcW w:w="24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27.9</w:t>
            </w:r>
          </w:p>
        </w:tc>
        <w:tc>
          <w:tcPr>
            <w:tcW w:w="1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20.1</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79.7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29"/>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Common Stock Dividends</w:t>
            </w:r>
          </w:p>
        </w:tc>
        <w:tc>
          <w:tcPr>
            <w:tcW w:w="2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(32.9)</w:t>
            </w: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(32.0)</w:t>
            </w: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(65.7)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r>
      <w:tr>
        <w:trPr>
          <w:trHeight w:val="223"/>
        </w:trPr>
        <w:tc>
          <w:tcPr>
            <w:tcW w:w="56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24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878.8</w:t>
            </w:r>
          </w:p>
        </w:tc>
        <w:tc>
          <w:tcPr>
            <w:tcW w:w="10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841.3</w:t>
            </w:r>
          </w:p>
        </w:tc>
        <w:tc>
          <w:tcPr>
            <w:tcW w:w="13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878.8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841.3</w:t>
            </w:r>
          </w:p>
        </w:tc>
      </w:tr>
      <w:tr>
        <w:trPr>
          <w:trHeight w:val="250"/>
        </w:trPr>
        <w:tc>
          <w:tcPr>
            <w:tcW w:w="56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Non-Controlling Interest in Subsidiaries</w:t>
            </w:r>
          </w:p>
        </w:tc>
        <w:tc>
          <w:tcPr>
            <w:tcW w:w="2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2480" w:type="dxa"/>
            <w:vAlign w:val="bottom"/>
          </w:tcPr>
          <w:p>
            <w:pPr>
              <w:jc w:val="right"/>
              <w:ind w:right="330"/>
              <w:spacing w:after="0"/>
              <w:rPr>
                <w:sz w:val="20"/>
                <w:szCs w:val="20"/>
                <w:color w:val="auto"/>
              </w:rPr>
            </w:pPr>
            <w:r>
              <w:rPr>
                <w:rFonts w:ascii="Arial" w:cs="Arial" w:eastAsia="Arial" w:hAnsi="Arial"/>
                <w:sz w:val="18"/>
                <w:szCs w:val="18"/>
                <w:color w:val="auto"/>
              </w:rPr>
              <w:t>525.7</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101.9</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505.6</w:t>
            </w:r>
          </w:p>
        </w:tc>
        <w:tc>
          <w:tcPr>
            <w:tcW w:w="760" w:type="dxa"/>
            <w:vAlign w:val="bottom"/>
          </w:tcPr>
          <w:p>
            <w:pPr>
              <w:jc w:val="right"/>
              <w:spacing w:after="0"/>
              <w:rPr>
                <w:sz w:val="20"/>
                <w:szCs w:val="20"/>
                <w:color w:val="auto"/>
              </w:rPr>
            </w:pPr>
            <w:r>
              <w:rPr>
                <w:rFonts w:ascii="Arial" w:cs="Arial" w:eastAsia="Arial" w:hAnsi="Arial"/>
                <w:sz w:val="18"/>
                <w:szCs w:val="18"/>
                <w:color w:val="auto"/>
              </w:rPr>
              <w:t>103.7</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Non-Controlling Interest in Subsidiaries</w:t>
            </w:r>
          </w:p>
        </w:tc>
        <w:tc>
          <w:tcPr>
            <w:tcW w:w="24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67.8</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28.9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2480" w:type="dxa"/>
            <w:vAlign w:val="bottom"/>
          </w:tcPr>
          <w:p>
            <w:pPr>
              <w:jc w:val="right"/>
              <w:ind w:right="290"/>
              <w:spacing w:after="0"/>
              <w:rPr>
                <w:sz w:val="20"/>
                <w:szCs w:val="20"/>
                <w:color w:val="auto"/>
              </w:rPr>
            </w:pPr>
            <w:r>
              <w:rPr>
                <w:rFonts w:ascii="Arial" w:cs="Arial" w:eastAsia="Arial" w:hAnsi="Arial"/>
                <w:sz w:val="18"/>
                <w:szCs w:val="18"/>
                <w:color w:val="auto"/>
              </w:rPr>
              <w:t>(6.2)</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(3.2)</w:t>
            </w: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(14.6)</w:t>
            </w: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Distributions to Non-Controlling Interest</w:t>
            </w:r>
          </w:p>
        </w:tc>
        <w:tc>
          <w:tcPr>
            <w:tcW w:w="2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(0.2)</w:t>
            </w:r>
          </w:p>
        </w:tc>
        <w:tc>
          <w:tcPr>
            <w:tcW w:w="10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Balance, End of Period</w:t>
            </w:r>
          </w:p>
        </w:tc>
        <w:tc>
          <w:tcPr>
            <w:tcW w:w="2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519.3</w:t>
            </w: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166.5</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519.3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w:t>
            </w:r>
          </w:p>
        </w:tc>
      </w:tr>
      <w:tr>
        <w:trPr>
          <w:trHeight w:val="250"/>
        </w:trPr>
        <w:tc>
          <w:tcPr>
            <w:tcW w:w="5660" w:type="dxa"/>
            <w:vAlign w:val="bottom"/>
            <w:tcBorders>
              <w:bottom w:val="single" w:sz="8" w:color="auto"/>
            </w:tcBorders>
            <w:shd w:val="clear" w:color="auto" w:fill="CCEEFF"/>
          </w:tcPr>
          <w:p>
            <w:pPr>
              <w:spacing w:after="0"/>
              <w:rPr>
                <w:sz w:val="21"/>
                <w:szCs w:val="21"/>
                <w:color w:val="auto"/>
              </w:rPr>
            </w:pPr>
          </w:p>
        </w:tc>
        <w:tc>
          <w:tcPr>
            <w:tcW w:w="2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r>
      <w:tr>
        <w:trPr>
          <w:trHeight w:val="22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Equity</w:t>
            </w:r>
          </w:p>
        </w:tc>
        <w:tc>
          <w:tcPr>
            <w:tcW w:w="2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$2,841.9</w:t>
            </w: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4"/>
              </w:rPr>
              <w:t>$2,432.2</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$2,841.9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$2,432.2</w:t>
            </w:r>
          </w:p>
        </w:tc>
      </w:tr>
      <w:tr>
        <w:trPr>
          <w:trHeight w:val="250"/>
        </w:trPr>
        <w:tc>
          <w:tcPr>
            <w:tcW w:w="566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29"/>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Dividends Per Share of Common Stock</w:t>
            </w:r>
          </w:p>
        </w:tc>
        <w:tc>
          <w:tcPr>
            <w:tcW w:w="2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$0.63</w:t>
            </w: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$0.6175</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$1.26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r>
      <w:tr>
        <w:trPr>
          <w:trHeight w:val="318"/>
        </w:trPr>
        <w:tc>
          <w:tcPr>
            <w:tcW w:w="8140" w:type="dxa"/>
            <w:vAlign w:val="bottom"/>
            <w:gridSpan w:val="2"/>
          </w:tcPr>
          <w:p>
            <w:pPr>
              <w:ind w:left="3300"/>
              <w:spacing w:after="0"/>
              <w:rPr>
                <w:sz w:val="20"/>
                <w:szCs w:val="20"/>
                <w:color w:val="auto"/>
              </w:rPr>
            </w:pPr>
            <w:r>
              <w:rPr>
                <w:rFonts w:ascii="Arial" w:cs="Arial" w:eastAsia="Arial" w:hAnsi="Arial"/>
                <w:sz w:val="18"/>
                <w:szCs w:val="18"/>
                <w:color w:val="auto"/>
                <w:w w:val="91"/>
              </w:rPr>
              <w:t>The accompanying notes are an integral part of these statements.</w:t>
            </w: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2020, Consolidated Balance Sheet was derived from audited financial statements, but does not include all disclosures required by GAAP. In management’s opinion, these unaudited financial statements include all adjustments necessary for a fair statement of financial results. All adjustments are of a normal, recurring nature, except as otherwise disclosed. Operating results for the six months ended June 30, 2021, are not necessarily indicative of results that may be expected for any other interim period or for the year ending December 31, 2021. For further information, refer to the Consolidated Financial Statements and notes included in our 2020 Form 10-K.</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Cash, Cash Equivalents and Restricted Cash. </w:t>
      </w:r>
      <w:r>
        <w:rPr>
          <w:rFonts w:ascii="Arial" w:cs="Arial" w:eastAsia="Arial" w:hAnsi="Arial"/>
          <w:sz w:val="18"/>
          <w:szCs w:val="18"/>
          <w:color w:val="auto"/>
        </w:rPr>
        <w:t>We consider all investments purchased with original maturities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As of June 30, 2021, restricted cash amounts included in Prepayments and Other on the Consolidated Balance Sheet include collateral deposits required under an ALLETE Clean Energy loan agreement. The restricted cash amounts included in Other Non-Current Assets represent collateral deposits required under ALLETE Clean Energy loan and tax equity financing agreements as well as PSAs. The following table provides a reconciliation of cash, cash equivalents and restricted cash reported within the Consolidated Balance Sheet that aggregate to the amounts presented in the Consolidated Statement of Cash Flows.</w:t>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June 30,</w:t>
            </w:r>
          </w:p>
        </w:tc>
        <w:tc>
          <w:tcPr>
            <w:tcW w:w="1760" w:type="dxa"/>
            <w:vAlign w:val="bottom"/>
          </w:tcPr>
          <w:p>
            <w:pPr>
              <w:jc w:val="right"/>
              <w:ind w:right="37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June 30,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7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$62.5</w:t>
            </w:r>
          </w:p>
        </w:tc>
        <w:tc>
          <w:tcPr>
            <w:tcW w:w="1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$44.3</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Restricted Cash included in Prepayments and Other</w:t>
            </w:r>
          </w:p>
        </w:tc>
        <w:tc>
          <w:tcPr>
            <w:tcW w:w="1460" w:type="dxa"/>
            <w:vAlign w:val="bottom"/>
          </w:tcPr>
          <w:p>
            <w:pPr>
              <w:jc w:val="right"/>
              <w:ind w:right="190"/>
              <w:spacing w:after="0"/>
              <w:rPr>
                <w:sz w:val="20"/>
                <w:szCs w:val="20"/>
                <w:color w:val="auto"/>
              </w:rPr>
            </w:pPr>
            <w:r>
              <w:rPr>
                <w:rFonts w:ascii="Arial" w:cs="Arial" w:eastAsia="Arial" w:hAnsi="Arial"/>
                <w:sz w:val="18"/>
                <w:szCs w:val="18"/>
                <w:color w:val="auto"/>
              </w:rPr>
              <w:t>1.6</w:t>
            </w:r>
          </w:p>
        </w:tc>
        <w:tc>
          <w:tcPr>
            <w:tcW w:w="1760" w:type="dxa"/>
            <w:vAlign w:val="bottom"/>
          </w:tcPr>
          <w:p>
            <w:pPr>
              <w:jc w:val="right"/>
              <w:ind w:right="430"/>
              <w:spacing w:after="0"/>
              <w:rPr>
                <w:sz w:val="20"/>
                <w:szCs w:val="20"/>
                <w:color w:val="auto"/>
              </w:rPr>
            </w:pPr>
            <w:r>
              <w:rPr>
                <w:rFonts w:ascii="Arial" w:cs="Arial" w:eastAsia="Arial" w:hAnsi="Arial"/>
                <w:sz w:val="18"/>
                <w:szCs w:val="18"/>
                <w:color w:val="auto"/>
              </w:rPr>
              <w:t>0.8</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7.3</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3.2</w:t>
            </w:r>
          </w:p>
        </w:tc>
        <w:tc>
          <w:tcPr>
            <w:tcW w:w="17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20.1</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169"/>
        </w:trPr>
        <w:tc>
          <w:tcPr>
            <w:tcW w:w="5280" w:type="dxa"/>
            <w:vAlign w:val="bottom"/>
          </w:tcPr>
          <w:p>
            <w:pPr>
              <w:ind w:left="20"/>
              <w:spacing w:after="0" w:line="169" w:lineRule="exact"/>
              <w:rPr>
                <w:sz w:val="20"/>
                <w:szCs w:val="20"/>
                <w:color w:val="auto"/>
              </w:rPr>
            </w:pPr>
            <w:r>
              <w:rPr>
                <w:rFonts w:ascii="Arial" w:cs="Arial" w:eastAsia="Arial" w:hAnsi="Arial"/>
                <w:sz w:val="18"/>
                <w:szCs w:val="18"/>
                <w:color w:val="auto"/>
                <w:w w:val="99"/>
              </w:rPr>
              <w:t>Cash, Cash Equivalents and Restricted Cash on the Consolidated</w:t>
            </w:r>
          </w:p>
        </w:tc>
        <w:tc>
          <w:tcPr>
            <w:tcW w:w="1460" w:type="dxa"/>
            <w:vAlign w:val="bottom"/>
            <w:vMerge w:val="restart"/>
          </w:tcPr>
          <w:p>
            <w:pPr>
              <w:jc w:val="right"/>
              <w:ind w:right="190"/>
              <w:spacing w:after="0"/>
              <w:rPr>
                <w:sz w:val="20"/>
                <w:szCs w:val="20"/>
                <w:color w:val="auto"/>
              </w:rPr>
            </w:pPr>
            <w:r>
              <w:rPr>
                <w:rFonts w:ascii="Arial" w:cs="Arial" w:eastAsia="Arial" w:hAnsi="Arial"/>
                <w:sz w:val="18"/>
                <w:szCs w:val="18"/>
                <w:color w:val="auto"/>
              </w:rPr>
              <w:t>$67.3</w:t>
            </w:r>
          </w:p>
        </w:tc>
        <w:tc>
          <w:tcPr>
            <w:tcW w:w="1760" w:type="dxa"/>
            <w:vAlign w:val="bottom"/>
            <w:vMerge w:val="restart"/>
          </w:tcPr>
          <w:p>
            <w:pPr>
              <w:jc w:val="right"/>
              <w:ind w:right="430"/>
              <w:spacing w:after="0"/>
              <w:rPr>
                <w:sz w:val="20"/>
                <w:szCs w:val="20"/>
                <w:color w:val="auto"/>
              </w:rPr>
            </w:pPr>
            <w:r>
              <w:rPr>
                <w:rFonts w:ascii="Arial" w:cs="Arial" w:eastAsia="Arial" w:hAnsi="Arial"/>
                <w:sz w:val="18"/>
                <w:szCs w:val="18"/>
                <w:color w:val="auto"/>
              </w:rPr>
              <w:t>$65.2</w:t>
            </w:r>
          </w:p>
        </w:tc>
        <w:tc>
          <w:tcPr>
            <w:tcW w:w="1360" w:type="dxa"/>
            <w:vAlign w:val="bottom"/>
            <w:vMerge w:val="restart"/>
          </w:tcPr>
          <w:p>
            <w:pPr>
              <w:jc w:val="right"/>
              <w:ind w:right="210"/>
              <w:spacing w:after="0"/>
              <w:rPr>
                <w:sz w:val="20"/>
                <w:szCs w:val="20"/>
                <w:color w:val="auto"/>
              </w:rPr>
            </w:pPr>
            <w:r>
              <w:rPr>
                <w:rFonts w:ascii="Arial" w:cs="Arial" w:eastAsia="Arial" w:hAnsi="Arial"/>
                <w:sz w:val="18"/>
                <w:szCs w:val="18"/>
                <w:color w:val="auto"/>
              </w:rPr>
              <w:t>$37.4</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Statement of Cash Flows</w:t>
            </w:r>
          </w:p>
        </w:tc>
        <w:tc>
          <w:tcPr>
            <w:tcW w:w="1460" w:type="dxa"/>
            <w:vAlign w:val="bottom"/>
            <w:tcBorders>
              <w:bottom w:val="single" w:sz="8" w:color="auto"/>
            </w:tcBorders>
            <w:vMerge w:val="continue"/>
          </w:tcPr>
          <w:p>
            <w:pPr>
              <w:spacing w:after="0"/>
              <w:rPr>
                <w:sz w:val="19"/>
                <w:szCs w:val="19"/>
                <w:color w:val="auto"/>
              </w:rPr>
            </w:pPr>
          </w:p>
        </w:tc>
        <w:tc>
          <w:tcPr>
            <w:tcW w:w="176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 Net. </w:t>
      </w:r>
      <w:r>
        <w:rPr>
          <w:rFonts w:ascii="Arial" w:cs="Arial" w:eastAsia="Arial" w:hAnsi="Arial"/>
          <w:sz w:val="18"/>
          <w:szCs w:val="18"/>
          <w:color w:val="auto"/>
        </w:rPr>
        <w:t>Inventories are stated at the lower of cost or net realizable value. Inventories in our Regulated Operations segment are carried at an</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cost or first-in, first-out basis. Inventories in our ALLETE Clean Energy segment and Corporate and Other businesses are carried at an average cost, first-in, first-out or specific identification basis.</w:t>
      </w:r>
    </w:p>
    <w:tbl>
      <w:tblPr>
        <w:tblLayout w:type="fixed"/>
        <w:tblInd w:w="0" w:type="dxa"/>
        <w:tblCellMar>
          <w:top w:w="0" w:type="dxa"/>
          <w:left w:w="0" w:type="dxa"/>
          <w:bottom w:w="0" w:type="dxa"/>
          <w:right w:w="0" w:type="dxa"/>
        </w:tblCellMar>
      </w:tblPr>
      <w:tr>
        <w:trPr>
          <w:trHeight w:val="181"/>
        </w:trPr>
        <w:tc>
          <w:tcPr>
            <w:tcW w:w="6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Inventories – Net</w:t>
            </w:r>
          </w:p>
        </w:tc>
        <w:tc>
          <w:tcPr>
            <w:tcW w:w="3840" w:type="dxa"/>
            <w:vAlign w:val="bottom"/>
          </w:tcPr>
          <w:p>
            <w:pPr>
              <w:jc w:val="right"/>
              <w:ind w:right="150"/>
              <w:spacing w:after="0" w:line="181" w:lineRule="exact"/>
              <w:rPr>
                <w:sz w:val="20"/>
                <w:szCs w:val="20"/>
                <w:color w:val="auto"/>
              </w:rPr>
            </w:pPr>
            <w:r>
              <w:rPr>
                <w:rFonts w:ascii="Arial" w:cs="Arial" w:eastAsia="Arial" w:hAnsi="Arial"/>
                <w:sz w:val="18"/>
                <w:szCs w:val="18"/>
                <w:b w:val="1"/>
                <w:bCs w:val="1"/>
                <w:color w:val="auto"/>
              </w:rPr>
              <w:t>June 30,</w:t>
            </w:r>
          </w:p>
        </w:tc>
        <w:tc>
          <w:tcPr>
            <w:tcW w:w="132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auto"/>
            </w:tcBorders>
            <w:vMerge w:val="continue"/>
          </w:tcPr>
          <w:p>
            <w:pPr>
              <w:spacing w:after="0"/>
              <w:rPr>
                <w:sz w:val="19"/>
                <w:szCs w:val="19"/>
                <w:color w:val="auto"/>
              </w:rPr>
            </w:pPr>
          </w:p>
        </w:tc>
        <w:tc>
          <w:tcPr>
            <w:tcW w:w="3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8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6"/>
                <w:szCs w:val="16"/>
                <w:i w:val="1"/>
                <w:iCs w:val="1"/>
                <w:color w:val="auto"/>
              </w:rPr>
              <w:t>(a)</w:t>
            </w:r>
          </w:p>
        </w:tc>
        <w:tc>
          <w:tcPr>
            <w:tcW w:w="3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$17.2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Materials and Supplies</w:t>
            </w:r>
          </w:p>
        </w:tc>
        <w:tc>
          <w:tcPr>
            <w:tcW w:w="3840" w:type="dxa"/>
            <w:vAlign w:val="bottom"/>
          </w:tcPr>
          <w:p>
            <w:pPr>
              <w:jc w:val="right"/>
              <w:ind w:right="210"/>
              <w:spacing w:after="0"/>
              <w:rPr>
                <w:sz w:val="20"/>
                <w:szCs w:val="20"/>
                <w:color w:val="auto"/>
              </w:rPr>
            </w:pPr>
            <w:r>
              <w:rPr>
                <w:rFonts w:ascii="Arial" w:cs="Arial" w:eastAsia="Arial" w:hAnsi="Arial"/>
                <w:sz w:val="18"/>
                <w:szCs w:val="18"/>
                <w:color w:val="auto"/>
              </w:rPr>
              <w:t>53.7</w:t>
            </w:r>
          </w:p>
        </w:tc>
        <w:tc>
          <w:tcPr>
            <w:tcW w:w="132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Construction of Wind Energy Facilities </w:t>
            </w:r>
            <w:r>
              <w:rPr>
                <w:rFonts w:ascii="Arial" w:cs="Arial" w:eastAsia="Arial" w:hAnsi="Arial"/>
                <w:sz w:val="16"/>
                <w:szCs w:val="16"/>
                <w:i w:val="1"/>
                <w:iCs w:val="1"/>
                <w:color w:val="auto"/>
              </w:rPr>
              <w:t>(b)</w:t>
            </w:r>
          </w:p>
        </w:tc>
        <w:tc>
          <w:tcPr>
            <w:tcW w:w="38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17.2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Inventories – Net</w:t>
            </w:r>
          </w:p>
        </w:tc>
        <w:tc>
          <w:tcPr>
            <w:tcW w:w="3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$88.1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Fuel consists primarily of coal inventory at Minnesota Power.</w:t>
      </w:r>
    </w:p>
    <w:p>
      <w:pPr>
        <w:spacing w:after="0" w:line="19" w:lineRule="exact"/>
        <w:rPr>
          <w:rFonts w:ascii="Arial" w:cs="Arial" w:eastAsia="Arial" w:hAnsi="Arial"/>
          <w:sz w:val="16"/>
          <w:szCs w:val="16"/>
          <w:i w:val="1"/>
          <w:iCs w:val="1"/>
          <w:color w:val="auto"/>
        </w:rPr>
      </w:pPr>
    </w:p>
    <w:p>
      <w:pPr>
        <w:ind w:left="340" w:hanging="332"/>
        <w:spacing w:after="0" w:line="257" w:lineRule="auto"/>
        <w:tabs>
          <w:tab w:leader="none" w:pos="245"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Project costs related to ALLETE Clean Energy’s Northern Wind and Red Barn wind projects which are expected be sold in late 2022. (See Outlook – ALLETE Clean Energy.)</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7860" w:type="dxa"/>
            <w:vAlign w:val="bottom"/>
            <w:gridSpan w:val="2"/>
          </w:tcPr>
          <w:p>
            <w:pPr>
              <w:ind w:left="100"/>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1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her Non-Current Assets</w:t>
            </w:r>
          </w:p>
        </w:tc>
        <w:tc>
          <w:tcPr>
            <w:tcW w:w="1840" w:type="dxa"/>
            <w:vAlign w:val="bottom"/>
          </w:tcPr>
          <w:p>
            <w:pPr>
              <w:jc w:val="right"/>
              <w:ind w:right="130"/>
              <w:spacing w:after="0"/>
              <w:rPr>
                <w:sz w:val="20"/>
                <w:szCs w:val="20"/>
                <w:color w:val="auto"/>
              </w:rPr>
            </w:pPr>
            <w:r>
              <w:rPr>
                <w:rFonts w:ascii="Arial" w:cs="Arial" w:eastAsia="Arial" w:hAnsi="Arial"/>
                <w:sz w:val="18"/>
                <w:szCs w:val="18"/>
                <w:b w:val="1"/>
                <w:bCs w:val="1"/>
                <w:color w:val="auto"/>
              </w:rPr>
              <w:t>June 30,</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7860" w:type="dxa"/>
            <w:vAlign w:val="bottom"/>
            <w:gridSpan w:val="2"/>
            <w:vMerge w:val="continue"/>
          </w:tcPr>
          <w:p>
            <w:pPr>
              <w:spacing w:after="0"/>
              <w:rPr>
                <w:sz w:val="19"/>
                <w:szCs w:val="19"/>
                <w:color w:val="auto"/>
              </w:rPr>
            </w:pPr>
          </w:p>
        </w:tc>
        <w:tc>
          <w:tcPr>
            <w:tcW w:w="1840" w:type="dxa"/>
            <w:vAlign w:val="bottom"/>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72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illions</w:t>
            </w:r>
          </w:p>
        </w:tc>
        <w:tc>
          <w:tcPr>
            <w:tcW w:w="18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ind w:left="40"/>
              <w:spacing w:after="0"/>
              <w:rPr>
                <w:sz w:val="20"/>
                <w:szCs w:val="20"/>
                <w:color w:val="auto"/>
              </w:rPr>
            </w:pPr>
            <w:r>
              <w:rPr>
                <w:rFonts w:ascii="Arial" w:cs="Arial" w:eastAsia="Arial" w:hAnsi="Arial"/>
                <w:sz w:val="18"/>
                <w:szCs w:val="18"/>
                <w:color w:val="auto"/>
              </w:rPr>
              <w:t xml:space="preserve">ntract Assets </w:t>
            </w:r>
            <w:r>
              <w:rPr>
                <w:rFonts w:ascii="Arial" w:cs="Arial" w:eastAsia="Arial" w:hAnsi="Arial"/>
                <w:sz w:val="16"/>
                <w:szCs w:val="16"/>
                <w:i w:val="1"/>
                <w:iCs w:val="1"/>
                <w:color w:val="auto"/>
              </w:rPr>
              <w:t>(a)</w:t>
            </w:r>
          </w:p>
        </w:tc>
        <w:tc>
          <w:tcPr>
            <w:tcW w:w="1840" w:type="dxa"/>
            <w:vAlign w:val="bottom"/>
          </w:tcPr>
          <w:p>
            <w:pPr>
              <w:jc w:val="right"/>
              <w:ind w:right="190"/>
              <w:spacing w:after="0"/>
              <w:rPr>
                <w:sz w:val="20"/>
                <w:szCs w:val="20"/>
                <w:color w:val="auto"/>
              </w:rPr>
            </w:pPr>
            <w:r>
              <w:rPr>
                <w:rFonts w:ascii="Arial" w:cs="Arial" w:eastAsia="Arial" w:hAnsi="Arial"/>
                <w:sz w:val="18"/>
                <w:szCs w:val="18"/>
                <w:color w:val="auto"/>
              </w:rPr>
              <w:t>$24.1</w:t>
            </w:r>
          </w:p>
        </w:tc>
        <w:tc>
          <w:tcPr>
            <w:tcW w:w="130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9"/>
        </w:trPr>
        <w:tc>
          <w:tcPr>
            <w:tcW w:w="7860" w:type="dxa"/>
            <w:vAlign w:val="bottom"/>
            <w:gridSpan w:val="2"/>
          </w:tcPr>
          <w:p>
            <w:pPr>
              <w:ind w:left="40"/>
              <w:spacing w:after="0"/>
              <w:rPr>
                <w:sz w:val="20"/>
                <w:szCs w:val="20"/>
                <w:color w:val="auto"/>
              </w:rPr>
            </w:pPr>
            <w:r>
              <w:rPr>
                <w:rFonts w:ascii="Arial" w:cs="Arial" w:eastAsia="Arial" w:hAnsi="Arial"/>
                <w:sz w:val="18"/>
                <w:szCs w:val="18"/>
                <w:color w:val="auto"/>
              </w:rPr>
              <w:t>erating Lease Right-of-use Assets</w:t>
            </w:r>
          </w:p>
        </w:tc>
        <w:tc>
          <w:tcPr>
            <w:tcW w:w="1840" w:type="dxa"/>
            <w:vAlign w:val="bottom"/>
          </w:tcPr>
          <w:p>
            <w:pPr>
              <w:jc w:val="right"/>
              <w:ind w:right="190"/>
              <w:spacing w:after="0"/>
              <w:rPr>
                <w:sz w:val="20"/>
                <w:szCs w:val="20"/>
                <w:color w:val="auto"/>
              </w:rPr>
            </w:pPr>
            <w:r>
              <w:rPr>
                <w:rFonts w:ascii="Arial" w:cs="Arial" w:eastAsia="Arial" w:hAnsi="Arial"/>
                <w:sz w:val="18"/>
                <w:szCs w:val="18"/>
                <w:color w:val="auto"/>
              </w:rPr>
              <w:t>18.9</w:t>
            </w:r>
          </w:p>
        </w:tc>
        <w:tc>
          <w:tcPr>
            <w:tcW w:w="130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LLETE Properties</w:t>
            </w:r>
          </w:p>
        </w:tc>
        <w:tc>
          <w:tcPr>
            <w:tcW w:w="1840" w:type="dxa"/>
            <w:vAlign w:val="bottom"/>
          </w:tcPr>
          <w:p>
            <w:pPr>
              <w:jc w:val="right"/>
              <w:ind w:right="190"/>
              <w:spacing w:after="0"/>
              <w:rPr>
                <w:sz w:val="20"/>
                <w:szCs w:val="20"/>
                <w:color w:val="auto"/>
              </w:rPr>
            </w:pPr>
            <w:r>
              <w:rPr>
                <w:rFonts w:ascii="Arial" w:cs="Arial" w:eastAsia="Arial" w:hAnsi="Arial"/>
                <w:sz w:val="18"/>
                <w:szCs w:val="18"/>
                <w:color w:val="auto"/>
              </w:rPr>
              <w:t>18.3</w:t>
            </w:r>
          </w:p>
        </w:tc>
        <w:tc>
          <w:tcPr>
            <w:tcW w:w="130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stricted Cash</w:t>
            </w:r>
          </w:p>
        </w:tc>
        <w:tc>
          <w:tcPr>
            <w:tcW w:w="1840" w:type="dxa"/>
            <w:vAlign w:val="bottom"/>
          </w:tcPr>
          <w:p>
            <w:pPr>
              <w:jc w:val="right"/>
              <w:ind w:right="190"/>
              <w:spacing w:after="0"/>
              <w:rPr>
                <w:sz w:val="20"/>
                <w:szCs w:val="20"/>
                <w:color w:val="auto"/>
              </w:rPr>
            </w:pPr>
            <w:r>
              <w:rPr>
                <w:rFonts w:ascii="Arial" w:cs="Arial" w:eastAsia="Arial" w:hAnsi="Arial"/>
                <w:sz w:val="18"/>
                <w:szCs w:val="18"/>
                <w:color w:val="auto"/>
              </w:rPr>
              <w:t>3.2</w:t>
            </w:r>
          </w:p>
        </w:tc>
        <w:tc>
          <w:tcPr>
            <w:tcW w:w="130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7860" w:type="dxa"/>
            <w:vAlign w:val="bottom"/>
            <w:gridSpan w:val="2"/>
          </w:tcPr>
          <w:p>
            <w:pPr>
              <w:spacing w:after="0"/>
              <w:rPr>
                <w:sz w:val="20"/>
                <w:szCs w:val="20"/>
                <w:color w:val="auto"/>
              </w:rPr>
            </w:pPr>
            <w:r>
              <w:rPr>
                <w:rFonts w:ascii="Arial" w:cs="Arial" w:eastAsia="Arial" w:hAnsi="Arial"/>
                <w:sz w:val="18"/>
                <w:szCs w:val="18"/>
                <w:color w:val="auto"/>
              </w:rPr>
              <w:t>her Postretirement Benefit Plans</w:t>
            </w:r>
          </w:p>
        </w:tc>
        <w:tc>
          <w:tcPr>
            <w:tcW w:w="1840" w:type="dxa"/>
            <w:vAlign w:val="bottom"/>
          </w:tcPr>
          <w:p>
            <w:pPr>
              <w:jc w:val="right"/>
              <w:ind w:right="190"/>
              <w:spacing w:after="0"/>
              <w:rPr>
                <w:sz w:val="20"/>
                <w:szCs w:val="20"/>
                <w:color w:val="auto"/>
              </w:rPr>
            </w:pPr>
            <w:r>
              <w:rPr>
                <w:rFonts w:ascii="Arial" w:cs="Arial" w:eastAsia="Arial" w:hAnsi="Arial"/>
                <w:sz w:val="18"/>
                <w:szCs w:val="18"/>
                <w:color w:val="auto"/>
              </w:rPr>
              <w:t>35.2</w:t>
            </w:r>
          </w:p>
        </w:tc>
        <w:tc>
          <w:tcPr>
            <w:tcW w:w="1300" w:type="dxa"/>
            <w:vAlign w:val="bottom"/>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her</w:t>
            </w:r>
          </w:p>
        </w:tc>
        <w:tc>
          <w:tcPr>
            <w:tcW w:w="1840" w:type="dxa"/>
            <w:vAlign w:val="bottom"/>
          </w:tcPr>
          <w:p>
            <w:pPr>
              <w:jc w:val="right"/>
              <w:ind w:right="190"/>
              <w:spacing w:after="0"/>
              <w:rPr>
                <w:sz w:val="20"/>
                <w:szCs w:val="20"/>
                <w:color w:val="auto"/>
              </w:rPr>
            </w:pPr>
            <w:r>
              <w:rPr>
                <w:rFonts w:ascii="Arial" w:cs="Arial" w:eastAsia="Arial" w:hAnsi="Arial"/>
                <w:sz w:val="18"/>
                <w:szCs w:val="18"/>
                <w:color w:val="auto"/>
              </w:rPr>
              <w:t>83.0</w:t>
            </w:r>
          </w:p>
        </w:tc>
        <w:tc>
          <w:tcPr>
            <w:tcW w:w="1300" w:type="dxa"/>
            <w:vAlign w:val="bottom"/>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72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tal Other Non-Current Assets</w:t>
            </w:r>
          </w:p>
        </w:tc>
        <w:tc>
          <w:tcPr>
            <w:tcW w:w="1840" w:type="dxa"/>
            <w:vAlign w:val="bottom"/>
          </w:tcPr>
          <w:p>
            <w:pPr>
              <w:jc w:val="right"/>
              <w:ind w:right="190"/>
              <w:spacing w:after="0"/>
              <w:rPr>
                <w:sz w:val="20"/>
                <w:szCs w:val="20"/>
                <w:color w:val="auto"/>
              </w:rPr>
            </w:pPr>
            <w:r>
              <w:rPr>
                <w:rFonts w:ascii="Arial" w:cs="Arial" w:eastAsia="Arial" w:hAnsi="Arial"/>
                <w:sz w:val="18"/>
                <w:szCs w:val="18"/>
                <w:color w:val="auto"/>
              </w:rPr>
              <w:t>$182.7</w:t>
            </w:r>
          </w:p>
        </w:tc>
        <w:tc>
          <w:tcPr>
            <w:tcW w:w="1300" w:type="dxa"/>
            <w:vAlign w:val="bottom"/>
          </w:tcPr>
          <w:p>
            <w:pPr>
              <w:jc w:val="right"/>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72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-1036320</wp:posOffset>
            </wp:positionV>
            <wp:extent cx="690054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00545" cy="146050"/>
                    </a:xfrm>
                    <a:prstGeom prst="rect">
                      <a:avLst/>
                    </a:prstGeom>
                    <a:noFill/>
                  </pic:spPr>
                </pic:pic>
              </a:graphicData>
            </a:graphic>
          </wp:anchor>
        </w:drawing>
        <w:drawing>
          <wp:anchor simplePos="0" relativeHeight="251657728" behindDoc="1" locked="0" layoutInCell="0" allowOverlap="1">
            <wp:simplePos x="0" y="0"/>
            <wp:positionH relativeFrom="column">
              <wp:posOffset>85725</wp:posOffset>
            </wp:positionH>
            <wp:positionV relativeFrom="paragraph">
              <wp:posOffset>-744855</wp:posOffset>
            </wp:positionV>
            <wp:extent cx="690054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00545" cy="146050"/>
                    </a:xfrm>
                    <a:prstGeom prst="rect">
                      <a:avLst/>
                    </a:prstGeom>
                    <a:noFill/>
                  </pic:spPr>
                </pic:pic>
              </a:graphicData>
            </a:graphic>
          </wp:anchor>
        </w:drawing>
        <w:drawing>
          <wp:anchor simplePos="0" relativeHeight="251657728" behindDoc="1" locked="0" layoutInCell="0" allowOverlap="1">
            <wp:simplePos x="0" y="0"/>
            <wp:positionH relativeFrom="column">
              <wp:posOffset>85725</wp:posOffset>
            </wp:positionH>
            <wp:positionV relativeFrom="paragraph">
              <wp:posOffset>-453390</wp:posOffset>
            </wp:positionV>
            <wp:extent cx="690054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00545" cy="145415"/>
                    </a:xfrm>
                    <a:prstGeom prst="rect">
                      <a:avLst/>
                    </a:prstGeom>
                    <a:noFill/>
                  </pic:spPr>
                </pic:pic>
              </a:graphicData>
            </a:graphic>
          </wp:anchor>
        </w:drawing>
        <w:drawing>
          <wp:anchor simplePos="0" relativeHeight="251657728" behindDoc="1" locked="0" layoutInCell="0" allowOverlap="1">
            <wp:simplePos x="0" y="0"/>
            <wp:positionH relativeFrom="column">
              <wp:posOffset>85725</wp:posOffset>
            </wp:positionH>
            <wp:positionV relativeFrom="paragraph">
              <wp:posOffset>-161925</wp:posOffset>
            </wp:positionV>
            <wp:extent cx="690054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00545" cy="154305"/>
                    </a:xfrm>
                    <a:prstGeom prst="rect">
                      <a:avLst/>
                    </a:prstGeom>
                    <a:noFill/>
                  </pic:spPr>
                </pic:pic>
              </a:graphicData>
            </a:graphic>
          </wp:anchor>
        </w:drawing>
      </w:r>
    </w:p>
    <w:p>
      <w:pPr>
        <w:spacing w:after="0" w:line="65" w:lineRule="exact"/>
        <w:rPr>
          <w:sz w:val="20"/>
          <w:szCs w:val="20"/>
          <w:color w:val="auto"/>
        </w:rPr>
      </w:pPr>
    </w:p>
    <w:p>
      <w:pPr>
        <w:ind w:left="440" w:hanging="332"/>
        <w:spacing w:after="0" w:line="275" w:lineRule="auto"/>
        <w:tabs>
          <w:tab w:leader="none" w:pos="494"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Contract Assets consist of payments made to customers as an incentive to execute or extend service agreements. The contract payments are being amortized over the term of the respective agreements as a reduction to revenue.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her Current Liabilities</w:t>
            </w:r>
          </w:p>
        </w:tc>
        <w:tc>
          <w:tcPr>
            <w:tcW w:w="4280" w:type="dxa"/>
            <w:vAlign w:val="bottom"/>
          </w:tcPr>
          <w:p>
            <w:pPr>
              <w:jc w:val="right"/>
              <w:ind w:right="130"/>
              <w:spacing w:after="0"/>
              <w:rPr>
                <w:sz w:val="20"/>
                <w:szCs w:val="20"/>
                <w:color w:val="auto"/>
              </w:rPr>
            </w:pPr>
            <w:r>
              <w:rPr>
                <w:rFonts w:ascii="Arial" w:cs="Arial" w:eastAsia="Arial" w:hAnsi="Arial"/>
                <w:sz w:val="18"/>
                <w:szCs w:val="18"/>
                <w:b w:val="1"/>
                <w:bCs w:val="1"/>
                <w:color w:val="auto"/>
              </w:rPr>
              <w:t>June 30,</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5420" w:type="dxa"/>
            <w:vAlign w:val="bottom"/>
            <w:gridSpan w:val="2"/>
            <w:vMerge w:val="continue"/>
          </w:tcPr>
          <w:p>
            <w:pPr>
              <w:spacing w:after="0"/>
              <w:rPr>
                <w:sz w:val="19"/>
                <w:szCs w:val="19"/>
                <w:color w:val="auto"/>
              </w:rPr>
            </w:pPr>
          </w:p>
        </w:tc>
        <w:tc>
          <w:tcPr>
            <w:tcW w:w="4280" w:type="dxa"/>
            <w:vAlign w:val="bottom"/>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3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llions</w:t>
            </w:r>
          </w:p>
        </w:tc>
        <w:tc>
          <w:tcPr>
            <w:tcW w:w="4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gridSpan w:val="2"/>
          </w:tcPr>
          <w:p>
            <w:pPr>
              <w:spacing w:after="0"/>
              <w:rPr>
                <w:sz w:val="20"/>
                <w:szCs w:val="20"/>
                <w:color w:val="auto"/>
              </w:rPr>
            </w:pPr>
            <w:r>
              <w:rPr>
                <w:rFonts w:ascii="Arial" w:cs="Arial" w:eastAsia="Arial" w:hAnsi="Arial"/>
                <w:sz w:val="18"/>
                <w:szCs w:val="18"/>
                <w:color w:val="auto"/>
              </w:rPr>
              <w:t>As</w:t>
            </w:r>
          </w:p>
        </w:tc>
        <w:tc>
          <w:tcPr>
            <w:tcW w:w="4280" w:type="dxa"/>
            <w:vAlign w:val="bottom"/>
          </w:tcPr>
          <w:p>
            <w:pPr>
              <w:jc w:val="right"/>
              <w:ind w:right="190"/>
              <w:spacing w:after="0"/>
              <w:rPr>
                <w:sz w:val="20"/>
                <w:szCs w:val="20"/>
                <w:color w:val="auto"/>
              </w:rPr>
            </w:pPr>
            <w:r>
              <w:rPr>
                <w:rFonts w:ascii="Arial" w:cs="Arial" w:eastAsia="Arial" w:hAnsi="Arial"/>
                <w:sz w:val="18"/>
                <w:szCs w:val="18"/>
                <w:color w:val="auto"/>
              </w:rPr>
              <w:t>$12.6</w:t>
            </w:r>
          </w:p>
        </w:tc>
        <w:tc>
          <w:tcPr>
            <w:tcW w:w="12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el Adjustment Clause</w:t>
            </w:r>
          </w:p>
        </w:tc>
        <w:tc>
          <w:tcPr>
            <w:tcW w:w="4280" w:type="dxa"/>
            <w:vAlign w:val="bottom"/>
          </w:tcPr>
          <w:p>
            <w:pPr>
              <w:jc w:val="right"/>
              <w:ind w:right="190"/>
              <w:spacing w:after="0"/>
              <w:rPr>
                <w:sz w:val="20"/>
                <w:szCs w:val="20"/>
                <w:color w:val="auto"/>
              </w:rPr>
            </w:pPr>
            <w:r>
              <w:rPr>
                <w:rFonts w:ascii="Arial" w:cs="Arial" w:eastAsia="Arial" w:hAnsi="Arial"/>
                <w:sz w:val="18"/>
                <w:szCs w:val="18"/>
                <w:color w:val="auto"/>
              </w:rPr>
              <w:t>3.7</w:t>
            </w: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erating Lease Liabilities</w:t>
            </w:r>
          </w:p>
        </w:tc>
        <w:tc>
          <w:tcPr>
            <w:tcW w:w="4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5420" w:type="dxa"/>
            <w:vAlign w:val="bottom"/>
            <w:gridSpan w:val="2"/>
          </w:tcPr>
          <w:p>
            <w:pPr>
              <w:spacing w:after="0"/>
              <w:rPr>
                <w:sz w:val="20"/>
                <w:szCs w:val="20"/>
                <w:color w:val="auto"/>
              </w:rPr>
            </w:pPr>
            <w:r>
              <w:rPr>
                <w:rFonts w:ascii="Arial" w:cs="Arial" w:eastAsia="Arial" w:hAnsi="Arial"/>
                <w:sz w:val="18"/>
                <w:szCs w:val="18"/>
                <w:color w:val="auto"/>
              </w:rPr>
              <w:t>her</w:t>
            </w:r>
          </w:p>
        </w:tc>
        <w:tc>
          <w:tcPr>
            <w:tcW w:w="4280" w:type="dxa"/>
            <w:vAlign w:val="bottom"/>
          </w:tcPr>
          <w:p>
            <w:pPr>
              <w:jc w:val="right"/>
              <w:ind w:right="190"/>
              <w:spacing w:after="0"/>
              <w:rPr>
                <w:sz w:val="20"/>
                <w:szCs w:val="20"/>
                <w:color w:val="auto"/>
              </w:rPr>
            </w:pPr>
            <w:r>
              <w:rPr>
                <w:rFonts w:ascii="Arial" w:cs="Arial" w:eastAsia="Arial" w:hAnsi="Arial"/>
                <w:sz w:val="18"/>
                <w:szCs w:val="18"/>
                <w:color w:val="auto"/>
              </w:rPr>
              <w:t>38.5</w:t>
            </w:r>
          </w:p>
        </w:tc>
        <w:tc>
          <w:tcPr>
            <w:tcW w:w="128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320" w:type="dxa"/>
            <w:vAlign w:val="bottom"/>
            <w:shd w:val="clear" w:color="auto" w:fill="000000"/>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color w:val="auto"/>
              </w:rPr>
              <w:t>tal Other Current Liabilities</w:t>
            </w:r>
          </w:p>
        </w:tc>
        <w:tc>
          <w:tcPr>
            <w:tcW w:w="4280" w:type="dxa"/>
            <w:vAlign w:val="bottom"/>
          </w:tcPr>
          <w:p>
            <w:pPr>
              <w:jc w:val="right"/>
              <w:ind w:right="190"/>
              <w:spacing w:after="0"/>
              <w:rPr>
                <w:sz w:val="20"/>
                <w:szCs w:val="20"/>
                <w:color w:val="auto"/>
              </w:rPr>
            </w:pPr>
            <w:r>
              <w:rPr>
                <w:rFonts w:ascii="Arial" w:cs="Arial" w:eastAsia="Arial" w:hAnsi="Arial"/>
                <w:sz w:val="18"/>
                <w:szCs w:val="18"/>
                <w:color w:val="auto"/>
              </w:rPr>
              <w:t>$60.4</w:t>
            </w:r>
          </w:p>
        </w:tc>
        <w:tc>
          <w:tcPr>
            <w:tcW w:w="1280" w:type="dxa"/>
            <w:vAlign w:val="bottom"/>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320" w:type="dxa"/>
            <w:vAlign w:val="bottom"/>
            <w:shd w:val="clear" w:color="auto" w:fill="000000"/>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-744855</wp:posOffset>
            </wp:positionV>
            <wp:extent cx="690943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09435" cy="14541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-162560</wp:posOffset>
            </wp:positionV>
            <wp:extent cx="690943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09435" cy="154305"/>
                    </a:xfrm>
                    <a:prstGeom prst="rect">
                      <a:avLst/>
                    </a:prstGeom>
                    <a:noFill/>
                  </pic:spPr>
                </pic:pic>
              </a:graphicData>
            </a:graphic>
          </wp:anchor>
        </w:drawing>
      </w:r>
    </w:p>
    <w:p>
      <w:pPr>
        <w:spacing w:after="0" w:line="300"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5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4100" w:type="dxa"/>
            <w:vAlign w:val="bottom"/>
          </w:tcPr>
          <w:p>
            <w:pPr>
              <w:jc w:val="right"/>
              <w:ind w:right="150"/>
              <w:spacing w:after="0"/>
              <w:rPr>
                <w:sz w:val="20"/>
                <w:szCs w:val="20"/>
                <w:color w:val="auto"/>
              </w:rPr>
            </w:pPr>
            <w:r>
              <w:rPr>
                <w:rFonts w:ascii="Arial" w:cs="Arial" w:eastAsia="Arial" w:hAnsi="Arial"/>
                <w:sz w:val="18"/>
                <w:szCs w:val="18"/>
                <w:b w:val="1"/>
                <w:bCs w:val="1"/>
                <w:color w:val="auto"/>
              </w:rPr>
              <w:t>June 30,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5800" w:type="dxa"/>
            <w:vAlign w:val="bottom"/>
            <w:tcBorders>
              <w:bottom w:val="single" w:sz="8" w:color="auto"/>
            </w:tcBorders>
            <w:vMerge w:val="continue"/>
          </w:tcPr>
          <w:p>
            <w:pPr>
              <w:spacing w:after="0"/>
              <w:rPr>
                <w:sz w:val="19"/>
                <w:szCs w:val="19"/>
                <w:color w:val="auto"/>
              </w:rPr>
            </w:pPr>
          </w:p>
        </w:tc>
        <w:tc>
          <w:tcPr>
            <w:tcW w:w="4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Asset Retirement Obligation </w:t>
            </w:r>
            <w:r>
              <w:rPr>
                <w:rFonts w:ascii="Arial" w:cs="Arial" w:eastAsia="Arial" w:hAnsi="Arial"/>
                <w:sz w:val="16"/>
                <w:szCs w:val="16"/>
                <w:i w:val="1"/>
                <w:iCs w:val="1"/>
                <w:color w:val="auto"/>
              </w:rPr>
              <w:t>(a)</w:t>
            </w:r>
          </w:p>
        </w:tc>
        <w:tc>
          <w:tcPr>
            <w:tcW w:w="4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$170.6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PSAs</w:t>
            </w:r>
          </w:p>
        </w:tc>
        <w:tc>
          <w:tcPr>
            <w:tcW w:w="4100" w:type="dxa"/>
            <w:vAlign w:val="bottom"/>
          </w:tcPr>
          <w:p>
            <w:pPr>
              <w:jc w:val="right"/>
              <w:ind w:right="210"/>
              <w:spacing w:after="0"/>
              <w:rPr>
                <w:sz w:val="20"/>
                <w:szCs w:val="20"/>
                <w:color w:val="auto"/>
              </w:rPr>
            </w:pPr>
            <w:r>
              <w:rPr>
                <w:rFonts w:ascii="Arial" w:cs="Arial" w:eastAsia="Arial" w:hAnsi="Arial"/>
                <w:sz w:val="18"/>
                <w:szCs w:val="18"/>
                <w:color w:val="auto"/>
              </w:rPr>
              <w:t>45.8</w:t>
            </w:r>
          </w:p>
        </w:tc>
        <w:tc>
          <w:tcPr>
            <w:tcW w:w="1320" w:type="dxa"/>
            <w:vAlign w:val="bottom"/>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4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47.2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3"/>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Other Non-Current Liabilities</w:t>
            </w:r>
          </w:p>
        </w:tc>
        <w:tc>
          <w:tcPr>
            <w:tcW w:w="4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$277.0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440" w:hanging="332"/>
        <w:spacing w:after="0" w:line="261" w:lineRule="auto"/>
        <w:tabs>
          <w:tab w:leader="none" w:pos="4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The asset retirement obligation is primarily related to our Regulated Operations and is funded through customer rates over the life of the related assets. Additionally, BNI Energy funds its obligation through its cost-plus coal supply agreements for which BNI Energy has recorded a receivable of $25.0 million in Other Non-Current Assets on the Consolidated Balance Sheet as of June 30, 2021 and December 31, 2020.</w:t>
      </w:r>
    </w:p>
    <w:p>
      <w:pPr>
        <w:spacing w:after="0" w:line="9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Other Income</w:t>
            </w:r>
          </w:p>
        </w:tc>
        <w:tc>
          <w:tcPr>
            <w:tcW w:w="30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3020" w:type="dxa"/>
            <w:vAlign w:val="bottom"/>
            <w:tcBorders>
              <w:bottom w:val="single" w:sz="8" w:color="auto"/>
            </w:tcBorders>
          </w:tcPr>
          <w:p>
            <w:pPr>
              <w:ind w:left="210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0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Pension and Other Postretirement Benefit Plan Non-Service Credits </w:t>
            </w:r>
            <w:r>
              <w:rPr>
                <w:rFonts w:ascii="Arial" w:cs="Arial" w:eastAsia="Arial" w:hAnsi="Arial"/>
                <w:sz w:val="16"/>
                <w:szCs w:val="16"/>
                <w:i w:val="1"/>
                <w:iCs w:val="1"/>
                <w:color w:val="auto"/>
              </w:rPr>
              <w:t>(a)</w:t>
            </w:r>
          </w:p>
        </w:tc>
        <w:tc>
          <w:tcPr>
            <w:tcW w:w="30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Interest and Investment Income (Loss)</w:t>
            </w:r>
          </w:p>
        </w:tc>
        <w:tc>
          <w:tcPr>
            <w:tcW w:w="3020" w:type="dxa"/>
            <w:vAlign w:val="bottom"/>
          </w:tcPr>
          <w:p>
            <w:pPr>
              <w:jc w:val="right"/>
              <w:ind w:right="530"/>
              <w:spacing w:after="0"/>
              <w:rPr>
                <w:sz w:val="20"/>
                <w:szCs w:val="20"/>
                <w:color w:val="auto"/>
              </w:rPr>
            </w:pPr>
            <w:r>
              <w:rPr>
                <w:rFonts w:ascii="Arial" w:cs="Arial" w:eastAsia="Arial" w:hAnsi="Arial"/>
                <w:sz w:val="18"/>
                <w:szCs w:val="18"/>
                <w:color w:val="auto"/>
              </w:rPr>
              <w:t>1.8</w:t>
            </w:r>
          </w:p>
        </w:tc>
        <w:tc>
          <w:tcPr>
            <w:tcW w:w="960" w:type="dxa"/>
            <w:vAlign w:val="bottom"/>
          </w:tcPr>
          <w:p>
            <w:pPr>
              <w:ind w:left="600"/>
              <w:spacing w:after="0"/>
              <w:rPr>
                <w:sz w:val="20"/>
                <w:szCs w:val="20"/>
                <w:color w:val="auto"/>
              </w:rPr>
            </w:pPr>
            <w:r>
              <w:rPr>
                <w:rFonts w:ascii="Arial" w:cs="Arial" w:eastAsia="Arial" w:hAnsi="Arial"/>
                <w:sz w:val="18"/>
                <w:szCs w:val="18"/>
                <w:color w:val="auto"/>
                <w:w w:val="91"/>
              </w:rPr>
              <w:t>(0.5)</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AFUDC - Equity</w:t>
            </w:r>
          </w:p>
        </w:tc>
        <w:tc>
          <w:tcPr>
            <w:tcW w:w="30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02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(0.6)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7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Other Income</w:t>
            </w:r>
          </w:p>
        </w:tc>
        <w:tc>
          <w:tcPr>
            <w:tcW w:w="30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$5.1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bl>
    <w:p>
      <w:pPr>
        <w:spacing w:after="0" w:line="71" w:lineRule="exact"/>
        <w:rPr>
          <w:sz w:val="20"/>
          <w:szCs w:val="20"/>
          <w:color w:val="auto"/>
        </w:rPr>
      </w:pPr>
    </w:p>
    <w:p>
      <w:pPr>
        <w:ind w:left="440" w:hanging="332"/>
        <w:spacing w:after="0" w:line="275" w:lineRule="auto"/>
        <w:tabs>
          <w:tab w:leader="none" w:pos="4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components of net periodic pension and other postretirement benefit cost other than service cost. (See Note 9. Pension and Other Postretirement Benefit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60960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89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59"/>
        </w:trPr>
        <w:tc>
          <w:tcPr>
            <w:tcW w:w="812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6"/>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2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81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 – Net of Amounts Capitalized</w:t>
            </w:r>
          </w:p>
        </w:tc>
        <w:tc>
          <w:tcPr>
            <w:tcW w:w="22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$33.8</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$30.9</w:t>
            </w: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in Accounts Payable for Capital Additions to Property, Plant and Equipment</w:t>
            </w:r>
          </w:p>
        </w:tc>
        <w:tc>
          <w:tcPr>
            <w:tcW w:w="2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30"/>
        </w:trPr>
        <w:tc>
          <w:tcPr>
            <w:tcW w:w="8120" w:type="dxa"/>
            <w:vAlign w:val="bottom"/>
          </w:tcPr>
          <w:p>
            <w:pPr>
              <w:ind w:left="220"/>
              <w:spacing w:after="0"/>
              <w:rPr>
                <w:sz w:val="20"/>
                <w:szCs w:val="20"/>
                <w:color w:val="auto"/>
              </w:rPr>
            </w:pPr>
            <w:r>
              <w:rPr>
                <w:rFonts w:ascii="Arial" w:cs="Arial" w:eastAsia="Arial" w:hAnsi="Arial"/>
                <w:sz w:val="18"/>
                <w:szCs w:val="18"/>
                <w:color w:val="auto"/>
              </w:rPr>
              <w:t>Capitalized Asset Retirement Costs</w:t>
            </w:r>
          </w:p>
        </w:tc>
        <w:tc>
          <w:tcPr>
            <w:tcW w:w="2200" w:type="dxa"/>
            <w:vAlign w:val="bottom"/>
          </w:tcPr>
          <w:p>
            <w:pPr>
              <w:jc w:val="right"/>
              <w:ind w:right="350"/>
              <w:spacing w:after="0"/>
              <w:rPr>
                <w:sz w:val="20"/>
                <w:szCs w:val="20"/>
                <w:color w:val="auto"/>
              </w:rPr>
            </w:pPr>
            <w:r>
              <w:rPr>
                <w:rFonts w:ascii="Arial" w:cs="Arial" w:eastAsia="Arial" w:hAnsi="Arial"/>
                <w:sz w:val="18"/>
                <w:szCs w:val="18"/>
                <w:color w:val="auto"/>
              </w:rPr>
              <w:t>$3.5</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$2.1</w:t>
            </w:r>
          </w:p>
        </w:tc>
      </w:tr>
      <w:tr>
        <w:trPr>
          <w:trHeight w:val="229"/>
        </w:trPr>
        <w:tc>
          <w:tcPr>
            <w:tcW w:w="8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AFUDC–Equity</w:t>
            </w:r>
          </w:p>
        </w:tc>
        <w:tc>
          <w:tcPr>
            <w:tcW w:w="22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$1.1</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r>
    </w:tbl>
    <w:p>
      <w:pPr>
        <w:spacing w:after="0" w:line="3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Non-Controlling Interest in Subsidiaries. </w:t>
      </w:r>
      <w:r>
        <w:rPr>
          <w:rFonts w:ascii="Arial" w:cs="Arial" w:eastAsia="Arial" w:hAnsi="Arial"/>
          <w:sz w:val="18"/>
          <w:szCs w:val="18"/>
          <w:color w:val="auto"/>
        </w:rPr>
        <w:t>Non-controlling interest in subsidiaries on the Consolidated Balance Sheet and net loss attributable to non-controlling interest on the Consolidated Statement of Income represent the portion of equity ownership and earnings, respectively, of subsidiaries that are not attributable to equity holders of ALLETE. These amounts are primarily related to the tax equity financing structures for ALLETE Clean Energy’s 106 MW Glen Ullin, 80 MW South Peak and 303 MW Diamond Spring wind energy facilities as well as ALLETE’s equity investment in the 250 MW Nobles 2 wind energy facility.</w:t>
      </w:r>
    </w:p>
    <w:p>
      <w:pPr>
        <w:spacing w:after="0" w:line="21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date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REGULATORY MATTERS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Regulatory matters are summarized in Note 4. Regulatory Matters to the Consolidated Financial Statements in our 2020 Form 10-K, with additional disclosure provided in the following paragraphs.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PSCW or FERC. As authorized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MPUC, Minnesota Power also recognizes revenue under cost recovery riders for transmission, renewable, and environmental investments and expenditures. Revenue from cost recovery riders was $22.1 million for the six months ended June 30, 2021 ($14.9 million for the six months ended June 30, 2020).</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2020 Minnesota General Rate Case. </w:t>
      </w:r>
      <w:r>
        <w:rPr>
          <w:rFonts w:ascii="Arial" w:cs="Arial" w:eastAsia="Arial" w:hAnsi="Arial"/>
          <w:sz w:val="17"/>
          <w:szCs w:val="17"/>
          <w:color w:val="auto"/>
        </w:rPr>
        <w:t>In November 2019, Minnesota Power filed a retail rate increase request with the MPUC seeking an average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approximately 10.6 percent for retail customers. The rate filing sought a return on equity of 10.05 percent and a 53.81 percent equity ratio. On an annualized basis, the requested final rate increase would have generated approximately $66 million in additional revenue. In December 2019 orders, the MPUC accepted the filing as complete and authorized an annual interim rate increase of $36.1 million beginning January 1, 2020.</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April 2020, Minnesota Power filed a request with the MPUC that proposed a resolution of Minnesota Power’s 2020 general rate case. Key components of our proposal included removing the power marketing margin credit in base rates and reflecting actual power marketing margins in the fuel adjustment clause effective May 1, 2020; refunding to customers interim rates collected through April 2020; increasing customer rates 4.1 percent compared to the 5.8 percent increase reflected in interim rates; and a provision that Minnesota Power would not file another rate case until at least November 1, 2021, unless certain events occur. In a June 2020 order, the MPUC approved Minnesota Power’s petition and proposal to resolve and withdraw the general rate case. Effective May 1, 2020, customer rates were set at an increase of 4.1 percent with the removal of the power marketing margin credit from base rates. Actual power marketing margins will be reflected in the fuel adjustment clause. Reserves for interim rates of $11.7 million were recorded in the second quarter of 2020 and refunded in the third and fourth quarters of 2020.</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Environmental Improvement Rider</w:t>
      </w:r>
      <w:r>
        <w:rPr>
          <w:rFonts w:ascii="Arial" w:cs="Arial" w:eastAsia="Arial" w:hAnsi="Arial"/>
          <w:sz w:val="18"/>
          <w:szCs w:val="18"/>
          <w:color w:val="auto"/>
        </w:rPr>
        <w:t>. Minnesota Power has an approved environmental improvement rider for investments and expenditures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of the Boswell Unit 4 mercury emissions reduction plan completed in 2015. Updated customer billing rates for the environmental improvement rider were approved by the MPUC in a November 2018 order. On January 19, 2021, Minnesota Power filed a petition seeking MPUC approval to end the environmental improvement rider, which was approved in an order dated April 20,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2.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Solar Cost Recovery Rider</w:t>
      </w:r>
      <w:r>
        <w:rPr>
          <w:rFonts w:ascii="Arial" w:cs="Arial" w:eastAsia="Arial" w:hAnsi="Arial"/>
          <w:sz w:val="18"/>
          <w:szCs w:val="18"/>
          <w:color w:val="auto"/>
        </w:rPr>
        <w:t>. In June 2020, Minnesota Power filed a petition seeking MPUC approval of a customer billing rate for solar costs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expenditures for meeting the state of Minnesota’s solar energy standard, which was approved by the MPUC in an order dated April 20, 2021. New customer billing rates for the solar cost recovery rider were implemented on June 1, 2021.</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Electric Vehicle Charging Infrastructure Petition. </w:t>
      </w:r>
      <w:r>
        <w:rPr>
          <w:rFonts w:ascii="Arial" w:cs="Arial" w:eastAsia="Arial" w:hAnsi="Arial"/>
          <w:sz w:val="18"/>
          <w:szCs w:val="18"/>
          <w:color w:val="auto"/>
        </w:rPr>
        <w:t>On April 8, 2021, Minnesota Power filed a petition seeking approval to install and own DC fast charger</w:t>
      </w:r>
      <w:r>
        <w:rPr>
          <w:rFonts w:ascii="Arial" w:cs="Arial" w:eastAsia="Arial" w:hAnsi="Arial"/>
          <w:sz w:val="18"/>
          <w:szCs w:val="18"/>
          <w:i w:val="1"/>
          <w:iCs w:val="1"/>
          <w:color w:val="auto"/>
        </w:rPr>
        <w:t xml:space="preserve"> </w:t>
      </w:r>
      <w:r>
        <w:rPr>
          <w:rFonts w:ascii="Arial" w:cs="Arial" w:eastAsia="Arial" w:hAnsi="Arial"/>
          <w:sz w:val="18"/>
          <w:szCs w:val="18"/>
          <w:color w:val="auto"/>
        </w:rPr>
        <w:t>stations for electric vehicles across its service territory, implement accompanying rates for those stations, and track and recover investments and expenses for the project.</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COVID-19 Related Deferred Accounting</w:t>
      </w:r>
      <w:r>
        <w:rPr>
          <w:rFonts w:ascii="Arial" w:cs="Arial" w:eastAsia="Arial" w:hAnsi="Arial"/>
          <w:sz w:val="16"/>
          <w:szCs w:val="16"/>
          <w:color w:val="auto"/>
        </w:rPr>
        <w:t>. In an order dated March 24, 2020, the PSCW authorized public utilities, including SWL&amp;P, to defer expenditures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by the utility resulting from its compliance with state government or regulator orders during Wisconsin’s declared public health emergency for COVID-19. On April 20, 2020, Minnesota Power along with other regulated electric and natural gas service providers in Minnesota filed a joint petition to request MPUC authorization to track incremental costs and expenses incurred as a result of the COVID-19 pandemic, and to defer and record such costs as a regulatory asset, subject to recovery in a future proceeding. In an order dated May 22, 2020, the MPUC approved the joint petition requiring the joint petitioners to track cost and revenue impacts resulting from the COVID-19 pandemic with review for recovery in a future rate proceeding. As of June 30, 2021, Minnesota Power has not deferred any costs or lost revenue, and SWL&amp;P has deferred an immaterial amount of costs.</w:t>
      </w:r>
    </w:p>
    <w:p>
      <w:pPr>
        <w:spacing w:after="0" w:line="19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Minnesota Power submitted a petition in November 2020 to the MPUC requesting authority to track and record as a regulatory asset lost large industrial customer revenue resulting from the idling of USS Corporation’s Keetac plant and Verso Corporation’s paper mill in Duluth, Minnesota. Keetac and Verso Corporation represent revenue of approximately $30 million annually, net of associated expense savings such as fuel costs. Minnesota Power proposed in this petition to defer any lost revenue related to the idling of the Keetac facility and the Verso Corporation paper mill to its next general rate case or other proceeding for review for recovery by the MPUC. In an order dated May 13, 2021, the MPUC denied Minnesota Power’s request.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Fuel Adjustment Clause</w:t>
      </w:r>
      <w:r>
        <w:rPr>
          <w:rFonts w:ascii="Arial" w:cs="Arial" w:eastAsia="Arial" w:hAnsi="Arial"/>
          <w:sz w:val="18"/>
          <w:szCs w:val="18"/>
          <w:color w:val="auto"/>
        </w:rPr>
        <w:t>. In March 2020, Minnesota Power filed its fuel adjustment clause report covering the period July 2018 through December 2019. In</w:t>
      </w:r>
      <w:r>
        <w:rPr>
          <w:rFonts w:ascii="Arial" w:cs="Arial" w:eastAsia="Arial" w:hAnsi="Arial"/>
          <w:sz w:val="18"/>
          <w:szCs w:val="18"/>
          <w:i w:val="1"/>
          <w:iCs w:val="1"/>
          <w:color w:val="auto"/>
        </w:rPr>
        <w:t xml:space="preserve"> </w:t>
      </w:r>
      <w:r>
        <w:rPr>
          <w:rFonts w:ascii="Arial" w:cs="Arial" w:eastAsia="Arial" w:hAnsi="Arial"/>
          <w:sz w:val="18"/>
          <w:szCs w:val="18"/>
          <w:color w:val="auto"/>
        </w:rPr>
        <w:t>a September 2020 order, the MPUC referred the review of Minnesota Power’s forced outage costs during the period of the report, which totaled approximately $8 million, to an administrative law judge for a contested case hearing to recommend to the MPUC if any of those costs should be returned to customers. A recommendation by the administrative law judge is expected in the third quarter of 2021. We cannot predict the outcome of this proceeding.</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Conservation Improvement Program. </w:t>
      </w:r>
      <w:r>
        <w:rPr>
          <w:rFonts w:ascii="Arial" w:cs="Arial" w:eastAsia="Arial" w:hAnsi="Arial"/>
          <w:sz w:val="18"/>
          <w:szCs w:val="18"/>
          <w:color w:val="auto"/>
        </w:rPr>
        <w:t>On April 1, 2021, Minnesota Power submitted its 2020 consolidated filing detailing Minnesota Power’s CIP</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results and requesting a CIP financial incentive of $2.4 million based upon MPUC procedures. CIP financial incentives are recognized in the period in which the MPUC approves the filing.</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2021 Integrated Resource Plan. </w:t>
      </w:r>
      <w:r>
        <w:rPr>
          <w:rFonts w:ascii="Arial" w:cs="Arial" w:eastAsia="Arial" w:hAnsi="Arial"/>
          <w:sz w:val="18"/>
          <w:szCs w:val="18"/>
          <w:color w:val="auto"/>
        </w:rPr>
        <w:t>On February 1, 2021, Minnesota Power filed its latest IRP with the MPUC, which outlines its clean-energy transition</w:t>
      </w:r>
      <w:r>
        <w:rPr>
          <w:rFonts w:ascii="Arial" w:cs="Arial" w:eastAsia="Arial" w:hAnsi="Arial"/>
          <w:sz w:val="18"/>
          <w:szCs w:val="18"/>
          <w:b w:val="1"/>
          <w:bCs w:val="1"/>
          <w:color w:val="auto"/>
        </w:rPr>
        <w:t xml:space="preserve"> </w:t>
      </w:r>
      <w:r>
        <w:rPr>
          <w:rFonts w:ascii="Arial" w:cs="Arial" w:eastAsia="Arial" w:hAnsi="Arial"/>
          <w:sz w:val="18"/>
          <w:szCs w:val="18"/>
          <w:color w:val="auto"/>
        </w:rPr>
        <w:t>plans through 2035. These plans include expanding its renewable energy supply, achieving coal-free operations at its facilities by 2035, and investing in a resilient and flexible transmission and distribution grid. As part of these plans, Minnesota Power anticipates adding approximately 400 MW of new wind and solar energy resources, retiring Boswell Unit 3 by 2030 and transforming Boswell Unit 4 to be coal-free by 2035. Minnesota Power’s plans recognize that advances in technology will play a significant role in completing its transition to carbon-free energy supply, reliably and affordably. A final decision on the IRP is expected in early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2. REGULATORY MATTERS (Continued)</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Nemadji Trail Energy Center. </w:t>
      </w:r>
      <w:r>
        <w:rPr>
          <w:rFonts w:ascii="Arial" w:cs="Arial" w:eastAsia="Arial" w:hAnsi="Arial"/>
          <w:sz w:val="17"/>
          <w:szCs w:val="17"/>
          <w:color w:val="auto"/>
        </w:rPr>
        <w:t>In 2017, Minnesota Power submitted a resource package to the MPUC which included requesting approval of a 250 MW</w:t>
      </w:r>
      <w:r>
        <w:rPr>
          <w:rFonts w:ascii="Arial" w:cs="Arial" w:eastAsia="Arial" w:hAnsi="Arial"/>
          <w:sz w:val="17"/>
          <w:szCs w:val="17"/>
          <w:b w:val="1"/>
          <w:bCs w:val="1"/>
          <w:color w:val="auto"/>
        </w:rPr>
        <w:t xml:space="preserve"> </w:t>
      </w:r>
      <w:r>
        <w:rPr>
          <w:rFonts w:ascii="Arial" w:cs="Arial" w:eastAsia="Arial" w:hAnsi="Arial"/>
          <w:sz w:val="17"/>
          <w:szCs w:val="17"/>
          <w:color w:val="auto"/>
        </w:rPr>
        <w:t>natural gas capacity dedication and other affiliated-interest agreements for NTEC, a proposed 525 MW to 550 MW combined-cycle natural gas-fired generating facility which will be jointly owned by Dairyland Power Cooperative and a subsidiary of ALLETE. Minnesota Power would purchase approximately 50 percent of the facility's output starting in 2025. In a January 2019 order, the MPUC approved Minnesota Power’s request for approval of the NTEC natural gas capacity dedication and other affiliated-interest agreements. In 2019, the Minnesota Court of Appeals reversed and remanded the MPUC’s decision to approve certain affiliated-interest agreements. The MPUC was ordered to determine whether NTEC may have the potential for significant environmental effects and, if so, to prepare an environmental assessment before reassessing the agreements. On January 22, 2020, Minnesota Power filed a petition for further review with the Minnesota Supreme Court requesting that it review and overturn the Minnesota Court of Appeals decision. On April 21, 2021, the Minnesota Supreme Court reversed the Minnesota Court of Appeal’s decision by ruling that the MPUC is not required to conduct a review under the Minnesota Environmental Policy Act before approving affiliated-interest agreements that govern construction and operation of a Wisconsin power plant by a Minnesota utility, and remanded the case back to the Minnesota Court of Appeals for review of remaining issues on appeal. In January 2019, an application for a certificate of public convenience and necessity for NTEC was submitted to the PSCW, which was approved by the PSCW at a hearing in January 2020. Construction of NTEC is subject to obtaining additional permits from local, state and federal authorities. The total project cost is estimated to be approximately $700 million, of which ALLETE’s portion is expected to be approximately $350 million. ALLETE’s portion of NTEC project costs incurred through June 30, 2021, is approximately $15 million.</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Regulatory Assets and Liabilities. </w:t>
      </w:r>
      <w:r>
        <w:rPr>
          <w:rFonts w:ascii="Arial" w:cs="Arial" w:eastAsia="Arial" w:hAnsi="Arial"/>
          <w:sz w:val="18"/>
          <w:szCs w:val="18"/>
          <w:color w:val="auto"/>
        </w:rPr>
        <w:t>Our regulated utility operations are subject to accounting guidance for the effect of certain types of regulation.</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With the exception of the regulatory asset for Boswell Units 1 and 2 net plant and equipment, no other regulatory assets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2.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Assets and Liabilities (Continued)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Regulatory Assets and Liabilities</w:t>
            </w:r>
          </w:p>
        </w:tc>
        <w:tc>
          <w:tcPr>
            <w:tcW w:w="296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auto"/>
            </w:tcBorders>
            <w:vMerge w:val="continue"/>
          </w:tcPr>
          <w:p>
            <w:pPr>
              <w:spacing w:after="0"/>
              <w:rPr>
                <w:sz w:val="19"/>
                <w:szCs w:val="19"/>
                <w:color w:val="auto"/>
              </w:rPr>
            </w:pPr>
          </w:p>
        </w:tc>
        <w:tc>
          <w:tcPr>
            <w:tcW w:w="2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Regulatory Assets</w:t>
            </w:r>
          </w:p>
        </w:tc>
        <w:tc>
          <w:tcPr>
            <w:tcW w:w="29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8"/>
                <w:szCs w:val="18"/>
                <w:color w:val="auto"/>
              </w:rPr>
              <w:t>Defined Benefit Pension and Other Postretirement Benefit Plans</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$252.0</w:t>
            </w:r>
          </w:p>
        </w:tc>
        <w:tc>
          <w:tcPr>
            <w:tcW w:w="1460" w:type="dxa"/>
            <w:vAlign w:val="bottom"/>
          </w:tcPr>
          <w:p>
            <w:pPr>
              <w:jc w:val="right"/>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109.4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Cost Recovery Riders</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63.2</w:t>
            </w:r>
          </w:p>
        </w:tc>
        <w:tc>
          <w:tcPr>
            <w:tcW w:w="1460" w:type="dxa"/>
            <w:vAlign w:val="bottom"/>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Retirement Obligations</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31.4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8"/>
                <w:szCs w:val="18"/>
                <w:color w:val="auto"/>
              </w:rPr>
              <w:t>Manufactured Gas Plant</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6.0</w:t>
            </w:r>
          </w:p>
        </w:tc>
        <w:tc>
          <w:tcPr>
            <w:tcW w:w="146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Fuel Adjustment Clause</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18.3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8"/>
                <w:szCs w:val="18"/>
                <w:color w:val="auto"/>
              </w:rPr>
              <w:t>PPACA Income Tax Deferral</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4.5</w:t>
            </w:r>
          </w:p>
        </w:tc>
        <w:tc>
          <w:tcPr>
            <w:tcW w:w="14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Boswell Units 1 and 2 Net Plant and Equipment</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4.9</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Non-Current Regulatory Assets</w:t>
            </w:r>
          </w:p>
        </w:tc>
        <w:tc>
          <w:tcPr>
            <w:tcW w:w="29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$491.9</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196"/>
        </w:trPr>
        <w:tc>
          <w:tcPr>
            <w:tcW w:w="67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Current Regulatory Liabilities </w:t>
            </w:r>
            <w:r>
              <w:rPr>
                <w:rFonts w:ascii="Arial" w:cs="Arial" w:eastAsia="Arial" w:hAnsi="Arial"/>
                <w:sz w:val="16"/>
                <w:szCs w:val="16"/>
                <w:i w:val="1"/>
                <w:iCs w:val="1"/>
                <w:color w:val="auto"/>
              </w:rPr>
              <w:t>(a)</w:t>
            </w:r>
          </w:p>
        </w:tc>
        <w:tc>
          <w:tcPr>
            <w:tcW w:w="29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8"/>
                <w:szCs w:val="18"/>
                <w:color w:val="auto"/>
              </w:rPr>
              <w:t>Fuel Adjustment Clause</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$3.7</w:t>
            </w: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Transmission Formula Rates Refund</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Current Regulatory Liabilities</w:t>
            </w:r>
          </w:p>
        </w:tc>
        <w:tc>
          <w:tcPr>
            <w:tcW w:w="29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6.2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Non-Current Regulatory Liabilities</w:t>
            </w:r>
          </w:p>
        </w:tc>
        <w:tc>
          <w:tcPr>
            <w:tcW w:w="2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364.5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8"/>
                <w:szCs w:val="18"/>
                <w:color w:val="auto"/>
              </w:rPr>
              <w:t>Wholesale and Retail Contra AFUDC</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85.1</w:t>
            </w:r>
          </w:p>
        </w:tc>
        <w:tc>
          <w:tcPr>
            <w:tcW w:w="1460" w:type="dxa"/>
            <w:vAlign w:val="bottom"/>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Plant Removal Obligations</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45.5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Defined Benefit Pension and Other Postretirement Benefit Plans</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2.4</w:t>
            </w:r>
          </w:p>
        </w:tc>
        <w:tc>
          <w:tcPr>
            <w:tcW w:w="14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North Dakota Investment Tax Credits</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8"/>
                <w:szCs w:val="18"/>
                <w:color w:val="auto"/>
              </w:rPr>
              <w:t>Conservation Improvement Program</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1.3</w:t>
            </w: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9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3.7</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Non-Current Regulatory Liabilities</w:t>
            </w:r>
          </w:p>
        </w:tc>
        <w:tc>
          <w:tcPr>
            <w:tcW w:w="2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514.9</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Regulatory Liabilities</w:t>
            </w:r>
          </w:p>
        </w:tc>
        <w:tc>
          <w:tcPr>
            <w:tcW w:w="29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$521.1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liabilities are presented within Other Current Liabilities on the Consolidated Balance Sheet.</w:t>
      </w:r>
    </w:p>
    <w:p>
      <w:pPr>
        <w:spacing w:after="0" w:line="16" w:lineRule="exact"/>
        <w:rPr>
          <w:rFonts w:ascii="Arial" w:cs="Arial" w:eastAsia="Arial" w:hAnsi="Arial"/>
          <w:sz w:val="16"/>
          <w:szCs w:val="16"/>
          <w:i w:val="1"/>
          <w:iCs w:val="1"/>
          <w:color w:val="auto"/>
        </w:rPr>
      </w:pPr>
    </w:p>
    <w:p>
      <w:pPr>
        <w:spacing w:after="0"/>
        <w:rPr>
          <w:rFonts w:ascii="Arial" w:cs="Arial" w:eastAsia="Arial" w:hAnsi="Arial"/>
          <w:sz w:val="16"/>
          <w:szCs w:val="16"/>
          <w:i w:val="1"/>
          <w:iCs w:val="1"/>
          <w:color w:val="auto"/>
        </w:rPr>
      </w:pPr>
      <w:r>
        <w:rPr>
          <w:rFonts w:ascii="Arial" w:cs="Arial" w:eastAsia="Arial" w:hAnsi="Arial"/>
          <w:sz w:val="18"/>
          <w:szCs w:val="18"/>
          <w:b w:val="1"/>
          <w:bCs w:val="1"/>
          <w:color w:val="auto"/>
        </w:rPr>
        <w:t>NOTE 3. EQUITY INVESTMENTS</w:t>
      </w:r>
    </w:p>
    <w:p>
      <w:pPr>
        <w:spacing w:after="0" w:line="23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Investment in ATC</w:t>
      </w:r>
      <w:r>
        <w:rPr>
          <w:rFonts w:ascii="Arial" w:cs="Arial" w:eastAsia="Arial" w:hAnsi="Arial"/>
          <w:sz w:val="18"/>
          <w:szCs w:val="18"/>
          <w:color w:val="auto"/>
        </w:rPr>
        <w:t>. Our wholly-owned subsidiary, ALLETE Transmission Holdings, owns approximately 8 percent of ATC, a Wisconsin-based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that owns and maintains electric transmission assets in portions of Wisconsin, Michigan, Minnesota and Illinois. We account for our investment in ATC under the equity method of accounting. We expect to make cash investments of approximately $2.0 million in 2021.</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ALLETE’s Investment in ATC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Millions</w:t>
            </w:r>
          </w:p>
        </w:tc>
        <w:tc>
          <w:tcPr>
            <w:tcW w:w="3600" w:type="dxa"/>
            <w:vAlign w:val="bottom"/>
            <w:tcBorders>
              <w:top w:val="single" w:sz="8" w:color="auto"/>
            </w:tcBorders>
          </w:tcPr>
          <w:p>
            <w:pPr>
              <w:spacing w:after="0"/>
              <w:rPr>
                <w:sz w:val="19"/>
                <w:szCs w:val="19"/>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Balance as of December 31, 2020</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Equity in ATC Earnings</w:t>
            </w:r>
          </w:p>
        </w:tc>
        <w:tc>
          <w:tcPr>
            <w:tcW w:w="36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Distributed ATC Earnings</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Amortization of the Remeasurement of Deferred Income Taxes</w:t>
            </w:r>
          </w:p>
        </w:tc>
        <w:tc>
          <w:tcPr>
            <w:tcW w:w="3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Investment Balance as of June 30, 2021</w:t>
            </w:r>
          </w:p>
        </w:tc>
        <w:tc>
          <w:tcPr>
            <w:tcW w:w="3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ATC’s authorized return on equity is 10.02 percent, or 10.52 percent including an incentive adder for participation in a regional transmission organization, based on a May 2020 FERC order that granted rehearing of a 2019 FERC order.</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Second Quarter 2021 Form 10-Q</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3. EQUITY INVESTMENTS (Continued)</w:t>
      </w:r>
    </w:p>
    <w:p>
      <w:pPr>
        <w:spacing w:after="0" w:line="306"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 xml:space="preserve">Investment in Nobles 2. </w:t>
      </w:r>
      <w:r>
        <w:rPr>
          <w:rFonts w:ascii="Arial" w:cs="Arial" w:eastAsia="Arial" w:hAnsi="Arial"/>
          <w:sz w:val="18"/>
          <w:szCs w:val="18"/>
          <w:color w:val="auto"/>
        </w:rPr>
        <w:t>Our subsidiary, ALLETE South Wind, owns 49 percent of Nobles 2, the entity that owns and operates the 250 MW wind energy</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in southwestern Minnesota pursuant to a 20-year PPA with Minnesota Power. We account for our investment in Nobles 2 under the equity method of accounting.</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ALLETE’s Investment in Nobles 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Millions</w:t>
            </w:r>
          </w:p>
        </w:tc>
        <w:tc>
          <w:tcPr>
            <w:tcW w:w="4000" w:type="dxa"/>
            <w:vAlign w:val="bottom"/>
            <w:tcBorders>
              <w:top w:val="single" w:sz="8" w:color="auto"/>
            </w:tcBorders>
          </w:tcPr>
          <w:p>
            <w:pPr>
              <w:spacing w:after="0"/>
              <w:rPr>
                <w:sz w:val="19"/>
                <w:szCs w:val="19"/>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Balance as of December 31, 2020</w:t>
            </w:r>
          </w:p>
        </w:tc>
        <w:tc>
          <w:tcPr>
            <w:tcW w:w="4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Cash Investments</w:t>
            </w:r>
          </w:p>
        </w:tc>
        <w:tc>
          <w:tcPr>
            <w:tcW w:w="400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Equity in Nobles 2 Earnings </w:t>
            </w:r>
            <w:r>
              <w:rPr>
                <w:rFonts w:ascii="Arial" w:cs="Arial" w:eastAsia="Arial" w:hAnsi="Arial"/>
                <w:sz w:val="16"/>
                <w:szCs w:val="16"/>
                <w:i w:val="1"/>
                <w:iCs w:val="1"/>
                <w:color w:val="auto"/>
              </w:rPr>
              <w:t>(a)</w:t>
            </w:r>
          </w:p>
        </w:tc>
        <w:tc>
          <w:tcPr>
            <w:tcW w:w="4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Distributed Nobles 2 Earnings</w:t>
            </w:r>
          </w:p>
        </w:tc>
        <w:tc>
          <w:tcPr>
            <w:tcW w:w="4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7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Investment Balance as of June 30, 2021</w:t>
            </w:r>
          </w:p>
        </w:tc>
        <w:tc>
          <w:tcPr>
            <w:tcW w:w="4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r>
    </w:tbl>
    <w:p>
      <w:pPr>
        <w:spacing w:after="0" w:line="8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Company also recorded net loss attributable to non-controlling interest of $3.4 million related to its investment in Nobles 2.</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6. Fair Value to the Consolidated Financial Statements in our 2020 Form 10-K.</w:t>
      </w:r>
    </w:p>
    <w:p>
      <w:pPr>
        <w:spacing w:after="0" w:line="2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June 30, 2021, and December 31, 2020.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Arial" w:cs="Arial" w:eastAsia="Arial" w:hAnsi="Arial"/>
                <w:sz w:val="18"/>
                <w:szCs w:val="18"/>
                <w:b w:val="1"/>
                <w:bCs w:val="1"/>
                <w:color w:val="auto"/>
              </w:rPr>
              <w:t>NOTE 4. FAIR VALUE (Continued)</w:t>
            </w:r>
          </w:p>
        </w:tc>
        <w:tc>
          <w:tcPr>
            <w:tcW w:w="16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2"/>
        </w:trPr>
        <w:tc>
          <w:tcPr>
            <w:tcW w:w="6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 as of June 30, 2021</w:t>
            </w:r>
          </w:p>
        </w:tc>
        <w:tc>
          <w:tcPr>
            <w:tcW w:w="760" w:type="dxa"/>
            <w:vAlign w:val="bottom"/>
          </w:tcPr>
          <w:p>
            <w:pPr>
              <w:spacing w:after="0"/>
              <w:rPr>
                <w:sz w:val="21"/>
                <w:szCs w:val="21"/>
                <w:color w:val="auto"/>
              </w:rPr>
            </w:pPr>
          </w:p>
        </w:tc>
      </w:tr>
      <w:tr>
        <w:trPr>
          <w:trHeight w:val="234"/>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Level 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 Equity Securities</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4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6220" w:type="dxa"/>
            <w:vAlign w:val="bottom"/>
          </w:tcPr>
          <w:p>
            <w:pPr>
              <w:ind w:left="220"/>
              <w:spacing w:after="0"/>
              <w:rPr>
                <w:sz w:val="20"/>
                <w:szCs w:val="20"/>
                <w:color w:val="auto"/>
              </w:rPr>
            </w:pPr>
            <w:r>
              <w:rPr>
                <w:rFonts w:ascii="Arial" w:cs="Arial" w:eastAsia="Arial" w:hAnsi="Arial"/>
                <w:sz w:val="18"/>
                <w:szCs w:val="18"/>
                <w:color w:val="auto"/>
              </w:rPr>
              <w:t xml:space="preserve">Available-for-sale – Corporate and Governmental Debt Securities </w:t>
            </w:r>
            <w:r>
              <w:rPr>
                <w:rFonts w:ascii="Arial" w:cs="Arial" w:eastAsia="Arial" w:hAnsi="Arial"/>
                <w:sz w:val="16"/>
                <w:szCs w:val="16"/>
                <w:i w:val="1"/>
                <w:iCs w:val="1"/>
                <w:color w:val="auto"/>
              </w:rPr>
              <w:t>(b)</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$8.5</w:t>
            </w:r>
          </w:p>
        </w:tc>
        <w:tc>
          <w:tcPr>
            <w:tcW w:w="1200" w:type="dxa"/>
            <w:vAlign w:val="bottom"/>
          </w:tcPr>
          <w:p>
            <w:pPr>
              <w:ind w:left="6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62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$8.5</w:t>
            </w:r>
          </w:p>
        </w:tc>
        <w:tc>
          <w:tcPr>
            <w:tcW w:w="12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196"/>
        </w:trPr>
        <w:tc>
          <w:tcPr>
            <w:tcW w:w="6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$22.1</w:t>
            </w:r>
          </w:p>
        </w:tc>
        <w:tc>
          <w:tcPr>
            <w:tcW w:w="12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2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Liabilities</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$22.1</w:t>
            </w:r>
          </w:p>
        </w:tc>
        <w:tc>
          <w:tcPr>
            <w:tcW w:w="12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r>
      <w:tr>
        <w:trPr>
          <w:trHeight w:val="223"/>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Fair Value of Assets (Liabilities)</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$(13.6)</w:t>
            </w:r>
          </w:p>
        </w:tc>
        <w:tc>
          <w:tcPr>
            <w:tcW w:w="12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19"/>
                <w:szCs w:val="19"/>
                <w:color w:val="auto"/>
              </w:rPr>
            </w:pPr>
          </w:p>
        </w:tc>
        <w:tc>
          <w:tcPr>
            <w:tcW w:w="4460" w:type="dxa"/>
            <w:vAlign w:val="bottom"/>
            <w:gridSpan w:val="3"/>
          </w:tcPr>
          <w:p>
            <w:pPr>
              <w:ind w:left="1560"/>
              <w:spacing w:after="0"/>
              <w:rPr>
                <w:sz w:val="20"/>
                <w:szCs w:val="20"/>
                <w:color w:val="auto"/>
              </w:rPr>
            </w:pPr>
            <w:r>
              <w:rPr>
                <w:rFonts w:ascii="Arial" w:cs="Arial" w:eastAsia="Arial" w:hAnsi="Arial"/>
                <w:sz w:val="18"/>
                <w:szCs w:val="18"/>
                <w:b w:val="1"/>
                <w:bCs w:val="1"/>
                <w:color w:val="auto"/>
                <w:w w:val="95"/>
              </w:rPr>
              <w:t>Fair Value as of December 31, 2020</w:t>
            </w:r>
          </w:p>
        </w:tc>
        <w:tc>
          <w:tcPr>
            <w:tcW w:w="660" w:type="dxa"/>
            <w:vAlign w:val="bottom"/>
          </w:tcPr>
          <w:p>
            <w:pPr>
              <w:spacing w:after="0"/>
              <w:rPr>
                <w:sz w:val="19"/>
                <w:szCs w:val="19"/>
                <w:color w:val="auto"/>
              </w:rPr>
            </w:pPr>
          </w:p>
        </w:tc>
      </w:tr>
      <w:tr>
        <w:trPr>
          <w:trHeight w:val="234"/>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2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13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Level 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 Equity Securities</w:t>
            </w:r>
          </w:p>
        </w:tc>
        <w:tc>
          <w:tcPr>
            <w:tcW w:w="2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$7.2</w:t>
            </w: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6100" w:type="dxa"/>
            <w:vAlign w:val="bottom"/>
          </w:tcPr>
          <w:p>
            <w:pPr>
              <w:ind w:left="220"/>
              <w:spacing w:after="0"/>
              <w:rPr>
                <w:sz w:val="20"/>
                <w:szCs w:val="20"/>
                <w:color w:val="auto"/>
              </w:rPr>
            </w:pPr>
            <w:r>
              <w:rPr>
                <w:rFonts w:ascii="Arial" w:cs="Arial" w:eastAsia="Arial" w:hAnsi="Arial"/>
                <w:sz w:val="18"/>
                <w:szCs w:val="18"/>
                <w:color w:val="auto"/>
              </w:rPr>
              <w:t>Available-for-sale – Corporate and Governmental Debt Securities</w:t>
            </w:r>
          </w:p>
        </w:tc>
        <w:tc>
          <w:tcPr>
            <w:tcW w:w="20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$10.4</w:t>
            </w:r>
          </w:p>
        </w:tc>
        <w:tc>
          <w:tcPr>
            <w:tcW w:w="1300" w:type="dxa"/>
            <w:vAlign w:val="bottom"/>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6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20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5.5</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2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$12.7</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$10.4</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r>
      <w:tr>
        <w:trPr>
          <w:trHeight w:val="196"/>
        </w:trPr>
        <w:tc>
          <w:tcPr>
            <w:tcW w:w="610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20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$21.0</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Liabilities</w:t>
            </w:r>
          </w:p>
        </w:tc>
        <w:tc>
          <w:tcPr>
            <w:tcW w:w="2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$21.0</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Fair Value of Assets (Liabilities)</w:t>
            </w:r>
          </w:p>
        </w:tc>
        <w:tc>
          <w:tcPr>
            <w:tcW w:w="20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$12.7</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$(10.6)</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bl>
    <w:p>
      <w:pPr>
        <w:spacing w:after="0" w:line="8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on the Consolidated Balance Sheet.</w:t>
      </w:r>
    </w:p>
    <w:p>
      <w:pPr>
        <w:spacing w:after="0" w:line="19" w:lineRule="exact"/>
        <w:rPr>
          <w:rFonts w:ascii="Arial" w:cs="Arial" w:eastAsia="Arial" w:hAnsi="Arial"/>
          <w:sz w:val="16"/>
          <w:szCs w:val="16"/>
          <w:i w:val="1"/>
          <w:iCs w:val="1"/>
          <w:color w:val="auto"/>
        </w:rPr>
      </w:pPr>
    </w:p>
    <w:p>
      <w:pPr>
        <w:ind w:left="340" w:right="20" w:hanging="332"/>
        <w:spacing w:after="0" w:line="262" w:lineRule="auto"/>
        <w:tabs>
          <w:tab w:leader="none" w:pos="34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As of June 30, 2021, the aggregate amount of available-for-sale corporate and governmental debt securities maturing in one year or less was $2.0 million, in one year to less than three years was $2.6 million, in three years to less than five years was $3.6 million and in five or more years was $0.3 million.</w:t>
      </w:r>
    </w:p>
    <w:p>
      <w:pPr>
        <w:spacing w:after="0" w:line="1" w:lineRule="exact"/>
        <w:rPr>
          <w:rFonts w:ascii="Arial" w:cs="Arial" w:eastAsia="Arial" w:hAnsi="Arial"/>
          <w:sz w:val="15"/>
          <w:szCs w:val="15"/>
          <w:i w:val="1"/>
          <w:iCs w:val="1"/>
          <w:color w:val="auto"/>
        </w:rPr>
      </w:pPr>
    </w:p>
    <w:p>
      <w:pPr>
        <w:ind w:left="320" w:hanging="312"/>
        <w:spacing w:after="0"/>
        <w:tabs>
          <w:tab w:leader="none" w:pos="32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With the exception of the item listed in the following table, the estimated fair value of all 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the carrying amount. The fair value of the item listed in the following table was based on quoted market prices for the same or similar instruments (Level 2).</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Financial Instruments</w:t>
            </w:r>
          </w:p>
        </w:tc>
        <w:tc>
          <w:tcPr>
            <w:tcW w:w="4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Carrying Amount</w:t>
            </w:r>
          </w:p>
        </w:tc>
        <w:tc>
          <w:tcPr>
            <w:tcW w:w="16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4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Short-Term and Long-Term Debt </w:t>
            </w:r>
            <w:r>
              <w:rPr>
                <w:rFonts w:ascii="Arial" w:cs="Arial" w:eastAsia="Arial" w:hAnsi="Arial"/>
                <w:sz w:val="16"/>
                <w:szCs w:val="16"/>
                <w:i w:val="1"/>
                <w:iCs w:val="1"/>
                <w:color w:val="auto"/>
              </w:rPr>
              <w:t>(a)</w:t>
            </w:r>
          </w:p>
        </w:tc>
        <w:tc>
          <w:tcPr>
            <w:tcW w:w="4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5120" w:type="dxa"/>
            <w:vAlign w:val="bottom"/>
          </w:tcPr>
          <w:p>
            <w:pPr>
              <w:ind w:left="220"/>
              <w:spacing w:after="0"/>
              <w:rPr>
                <w:sz w:val="20"/>
                <w:szCs w:val="20"/>
                <w:color w:val="auto"/>
              </w:rPr>
            </w:pPr>
            <w:r>
              <w:rPr>
                <w:rFonts w:ascii="Arial" w:cs="Arial" w:eastAsia="Arial" w:hAnsi="Arial"/>
                <w:sz w:val="18"/>
                <w:szCs w:val="18"/>
                <w:color w:val="auto"/>
              </w:rPr>
              <w:t>June 30, 2021</w:t>
            </w:r>
          </w:p>
        </w:tc>
        <w:tc>
          <w:tcPr>
            <w:tcW w:w="4420" w:type="dxa"/>
            <w:vAlign w:val="bottom"/>
          </w:tcPr>
          <w:p>
            <w:pPr>
              <w:jc w:val="right"/>
              <w:ind w:right="230"/>
              <w:spacing w:after="0"/>
              <w:rPr>
                <w:sz w:val="20"/>
                <w:szCs w:val="20"/>
                <w:color w:val="auto"/>
              </w:rPr>
            </w:pPr>
            <w:r>
              <w:rPr>
                <w:rFonts w:ascii="Arial" w:cs="Arial" w:eastAsia="Arial" w:hAnsi="Arial"/>
                <w:sz w:val="18"/>
                <w:szCs w:val="18"/>
                <w:color w:val="auto"/>
              </w:rPr>
              <w:t>$2,036.1</w:t>
            </w:r>
          </w:p>
        </w:tc>
        <w:tc>
          <w:tcPr>
            <w:tcW w:w="1660" w:type="dxa"/>
            <w:vAlign w:val="bottom"/>
          </w:tcPr>
          <w:p>
            <w:pPr>
              <w:jc w:val="right"/>
              <w:spacing w:after="0"/>
              <w:rPr>
                <w:sz w:val="20"/>
                <w:szCs w:val="20"/>
                <w:color w:val="auto"/>
              </w:rPr>
            </w:pPr>
            <w:r>
              <w:rPr>
                <w:rFonts w:ascii="Arial" w:cs="Arial" w:eastAsia="Arial" w:hAnsi="Arial"/>
                <w:sz w:val="18"/>
                <w:szCs w:val="18"/>
                <w:color w:val="auto"/>
              </w:rPr>
              <w:t>$2,271.7</w:t>
            </w:r>
          </w:p>
        </w:tc>
      </w:tr>
      <w:tr>
        <w:trPr>
          <w:trHeight w:val="230"/>
        </w:trPr>
        <w:tc>
          <w:tcPr>
            <w:tcW w:w="5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December 31, 2020</w:t>
            </w:r>
          </w:p>
        </w:tc>
        <w:tc>
          <w:tcPr>
            <w:tcW w:w="4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$1,806.4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$2,122.0</w:t>
            </w: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Excludes unamortized debt issuance costs.</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land inventory,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plant and equipment are measured at fair value when there is an indicator of impairment and recorded at fair value only when an impairment is recognized. For the quarter and six months ended June 30, 2021, and the year ended December 31, 2020, there were no indicators of impairment for these non-financial assets.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continue to monitor changes in the broader energy markets that could indicate impairment at ALLETE Clean Energy wind energy facilities upon contract expirations. A continued decline in energy prices could result in a future impairment.</w:t>
      </w:r>
    </w:p>
    <w:p>
      <w:pPr>
        <w:sectPr>
          <w:pgSz w:w="11900" w:h="16838" w:orient="portrait"/>
          <w:cols w:equalWidth="0" w:num="1">
            <w:col w:w="11240"/>
          </w:cols>
          <w:pgMar w:left="320" w:top="891" w:right="33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Second Quarter 2021 Form 10-Q</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NOTE 5. SHORT-TERM AND LONG-TERM DEBT</w:t>
            </w:r>
          </w:p>
        </w:tc>
        <w:tc>
          <w:tcPr>
            <w:tcW w:w="2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880" w:type="dxa"/>
            <w:vAlign w:val="bottom"/>
            <w:gridSpan w:val="3"/>
          </w:tcPr>
          <w:p>
            <w:pPr>
              <w:spacing w:after="0"/>
              <w:rPr>
                <w:sz w:val="20"/>
                <w:szCs w:val="20"/>
                <w:color w:val="auto"/>
              </w:rPr>
            </w:pPr>
            <w:r>
              <w:rPr>
                <w:rFonts w:ascii="Arial" w:cs="Arial" w:eastAsia="Arial" w:hAnsi="Arial"/>
                <w:sz w:val="18"/>
                <w:szCs w:val="18"/>
                <w:color w:val="auto"/>
              </w:rPr>
              <w:t>The following tables present the Company’s short-term and long-term debt as of June 30, 2021, and December 31, 2020: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June 30, 2021</w:t>
            </w:r>
          </w:p>
        </w:tc>
        <w:tc>
          <w:tcPr>
            <w:tcW w:w="22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Principal</w:t>
            </w:r>
          </w:p>
        </w:tc>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vMerge w:val="continue"/>
          </w:tcPr>
          <w:p>
            <w:pPr>
              <w:spacing w:after="0"/>
              <w:rPr>
                <w:sz w:val="19"/>
                <w:szCs w:val="19"/>
                <w:color w:val="auto"/>
              </w:rPr>
            </w:pPr>
          </w:p>
        </w:tc>
        <w:tc>
          <w:tcPr>
            <w:tcW w:w="2220" w:type="dxa"/>
            <w:vAlign w:val="bottom"/>
            <w:tcBorders>
              <w:bottom w:val="single" w:sz="8" w:color="auto"/>
            </w:tcBorders>
            <w:vMerge w:val="continue"/>
          </w:tcPr>
          <w:p>
            <w:pPr>
              <w:spacing w:after="0"/>
              <w:rPr>
                <w:sz w:val="19"/>
                <w:szCs w:val="19"/>
                <w:color w:val="auto"/>
              </w:rPr>
            </w:pP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2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$362.8</w:t>
            </w:r>
          </w:p>
        </w:tc>
        <w:tc>
          <w:tcPr>
            <w:tcW w:w="23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w:t>
            </w:r>
          </w:p>
        </w:tc>
        <w:tc>
          <w:tcPr>
            <w:tcW w:w="2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1,673.3</w:t>
            </w: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(8.7)</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1,664.6</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2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$2,036.1</w:t>
            </w:r>
          </w:p>
        </w:tc>
        <w:tc>
          <w:tcPr>
            <w:tcW w:w="23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$(8.9)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$2,027.2</w:t>
            </w:r>
          </w:p>
        </w:tc>
        <w:tc>
          <w:tcPr>
            <w:tcW w:w="0" w:type="dxa"/>
            <w:vAlign w:val="bottom"/>
          </w:tcPr>
          <w:p>
            <w:pPr>
              <w:spacing w:after="0"/>
              <w:rPr>
                <w:sz w:val="1"/>
                <w:szCs w:val="1"/>
                <w:color w:val="auto"/>
              </w:rPr>
            </w:pPr>
          </w:p>
        </w:tc>
      </w:tr>
      <w:tr>
        <w:trPr>
          <w:trHeight w:val="304"/>
        </w:trPr>
        <w:tc>
          <w:tcPr>
            <w:tcW w:w="5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2020</w:t>
            </w:r>
          </w:p>
        </w:tc>
        <w:tc>
          <w:tcPr>
            <w:tcW w:w="22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Principal</w:t>
            </w:r>
          </w:p>
        </w:tc>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vMerge w:val="continue"/>
          </w:tcPr>
          <w:p>
            <w:pPr>
              <w:spacing w:after="0"/>
              <w:rPr>
                <w:sz w:val="19"/>
                <w:szCs w:val="19"/>
                <w:color w:val="auto"/>
              </w:rPr>
            </w:pPr>
          </w:p>
        </w:tc>
        <w:tc>
          <w:tcPr>
            <w:tcW w:w="2220" w:type="dxa"/>
            <w:vAlign w:val="bottom"/>
            <w:tcBorders>
              <w:bottom w:val="single" w:sz="8" w:color="auto"/>
            </w:tcBorders>
            <w:vMerge w:val="continue"/>
          </w:tcPr>
          <w:p>
            <w:pPr>
              <w:spacing w:after="0"/>
              <w:rPr>
                <w:sz w:val="19"/>
                <w:szCs w:val="19"/>
                <w:color w:val="auto"/>
              </w:rPr>
            </w:pP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2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$204.0</w:t>
            </w:r>
          </w:p>
        </w:tc>
        <w:tc>
          <w:tcPr>
            <w:tcW w:w="23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w:t>
            </w:r>
          </w:p>
        </w:tc>
        <w:tc>
          <w:tcPr>
            <w:tcW w:w="2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1,602.4</w:t>
            </w: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(9.2)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1,593.2</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2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$1,806.4</w:t>
            </w:r>
          </w:p>
        </w:tc>
        <w:tc>
          <w:tcPr>
            <w:tcW w:w="23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$(9.5)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$1,796.9</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$18.7 million outstanding in standby letters of credit and $63.8 million outstanding draws under our lines of credit as of June 30, 2021 ($22.3 million in standby letters of credit and no outstanding draws as of December 31, 2020).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25, 2021, ALLETE entered into a $150 million unsecured term loan agreement (Term Loan) of which we have borrowed the full amount as of June 30, 2021. An additional draw of $35 million through the exercise of an accordion feature was made during the second quarter of 2021. The Term Loan is due March 24, 2022, and may be repaid at any time. Interest is payable monthly at a rate per annum equal to LIBOR plus 0.75 percent. Proceeds from the Term Loan were used for general corporate purposes.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21, 2021, ALLETE agreed to sell $100 million of its First Mortgage Bonds (Bonds) to certain institutional buyers in the private placement market. The Bonds, which will be issued on or before September 1, 2021, will bear interest at 2.79 percent. The Bonds will mature in September 2031 and pay interest semi-annually in March and September of each year, commencing on March 1, 2022. ALLETE has the option to prepay all or a portion of the Bonds at its discretion, subject to a make-whole provision. The Bonds are subject to additional terms and conditions which are customary for these types of transactions. ALLETE intends to use the proceeds from the sale of the Bonds to fund utility capital investment and for general corporate purposes. The Bonds were sold in reliance on an exemption from registration under Section 4(a)(2) of the Securities Act of 1933, as amended, to institutional accredited investors.</w:t>
      </w:r>
    </w:p>
    <w:p>
      <w:pPr>
        <w:spacing w:after="0" w:line="21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June 30, 2021, our ratio was approximately 0.43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As of June 30, 2021, ALLETE was in compliance with its 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6. COMMITMENTS, GUARANTEES AND CONTINGENCIES</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Power Purchase and Sale Agreements. </w:t>
      </w:r>
      <w:r>
        <w:rPr>
          <w:rFonts w:ascii="Arial" w:cs="Arial" w:eastAsia="Arial" w:hAnsi="Arial"/>
          <w:sz w:val="18"/>
          <w:szCs w:val="18"/>
          <w:color w:val="auto"/>
        </w:rPr>
        <w:t>Our long-term PPAs have been evaluated under the accounting guidance for variable interest entities.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that 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PPAs are summarized in Note 8. Commitments, Guarantees and Contingencies to the Consolidated Financial Statements in our 2020 Form 10-K, with additional disclosure provided in the following paragraphs.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As of June 30, 2021, Square Butte had total debt outstanding of $261.2 million. Fuel expenses are recoverable through Minnesota</w:t>
      </w:r>
      <w:r>
        <w:rPr>
          <w:rFonts w:ascii="Arial" w:cs="Arial" w:eastAsia="Arial" w:hAnsi="Arial"/>
          <w:sz w:val="17"/>
          <w:szCs w:val="17"/>
          <w:i w:val="1"/>
          <w:iCs w:val="1"/>
          <w:color w:val="auto"/>
        </w:rPr>
        <w:t xml:space="preserve"> </w:t>
      </w:r>
      <w:r>
        <w:rPr>
          <w:rFonts w:ascii="Arial" w:cs="Arial" w:eastAsia="Arial" w:hAnsi="Arial"/>
          <w:sz w:val="17"/>
          <w:szCs w:val="17"/>
          <w:color w:val="auto"/>
        </w:rPr>
        <w:t>Power’s fuel adjustment clause and include the cost of coal purchased from BNI Energy under a long-term contract. Minnesota Power’s cost of power purchased from Square Butte during the six months ended June 30, 2021, was $39.8 million ($40.8 million for the same period in 2020). This reflects Minnesota Power’s pro rata share of total Square Butte costs based on the 50 percent output entitlement. Included in this amount was Minnesota Power’s pro rata share of interest expense of $2.9 million ($3.7 million for the same period in 2020). Minnesota Power’s payments to Square Butte are approved as a purchased power expense for ratemaking purposes by both the MPUC and the FERC.</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PSA. </w:t>
      </w:r>
      <w:r>
        <w:rPr>
          <w:rFonts w:ascii="Arial" w:cs="Arial" w:eastAsia="Arial" w:hAnsi="Arial"/>
          <w:sz w:val="18"/>
          <w:szCs w:val="18"/>
          <w:color w:val="auto"/>
        </w:rPr>
        <w:t>Minnesota Power has a PSA with Minnkota Power, which commenced in 2014. Under the PSA, Minnesota Power is selling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its entitlement from Square Butte to Minnkota Power, resulting in Minnkota Power’s net entitlement increasing and Minnesota Power’s net entitlement decreasing until Minnesota Power’s share is eliminated at the end of 2025. Of Minnesota Power’s 50 percent output entitlement, it sold to Minnkota Power approximately 28 percent in 2021 and in 2020.</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Coal, Rail and Shipping Contracts. </w:t>
      </w:r>
      <w:r>
        <w:rPr>
          <w:rFonts w:ascii="Arial" w:cs="Arial" w:eastAsia="Arial" w:hAnsi="Arial"/>
          <w:sz w:val="18"/>
          <w:szCs w:val="18"/>
          <w:color w:val="auto"/>
        </w:rPr>
        <w:t>Minnesota Power has coal supply agreements providing for the purchase of a significant portion of its coal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through December 2021. Minnesota Power also has coal transportation agreements in place for the delivery of a significant portion of its coal requirements through December 2021. The costs of fuel and related transportation costs for Minnesota Power’s generation are recoverable from Minnesota Power’s retail and municipal utility customers through the fuel adjustment clause.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thermal generating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mainly burn low-sulfur western sub-bituminous coal. All of Minnesota Power’s coal-fired generating facilities are equipped with pollution control equipment such as scrubbers, baghouses and low NO</w:t>
      </w:r>
      <w:r>
        <w:rPr>
          <w:rFonts w:ascii="Arial" w:cs="Arial" w:eastAsia="Arial" w:hAnsi="Arial"/>
          <w:sz w:val="23"/>
          <w:szCs w:val="23"/>
          <w:color w:val="auto"/>
          <w:vertAlign w:val="subscript"/>
        </w:rPr>
        <w:t>X</w:t>
      </w:r>
      <w:r>
        <w:rPr>
          <w:rFonts w:ascii="Arial" w:cs="Arial" w:eastAsia="Arial" w:hAnsi="Arial"/>
          <w:sz w:val="18"/>
          <w:szCs w:val="18"/>
          <w:color w:val="auto"/>
        </w:rPr>
        <w:t xml:space="preserve"> technologies. Under currently applicable environmental regulations, these facilities are substantially compliant with emission requirements.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24" w:lineRule="exact"/>
        <w:rPr>
          <w:sz w:val="20"/>
          <w:szCs w:val="20"/>
          <w:color w:val="auto"/>
        </w:rPr>
      </w:pPr>
    </w:p>
    <w:p>
      <w:pPr>
        <w:jc w:val="both"/>
        <w:spacing w:after="0" w:line="230" w:lineRule="auto"/>
        <w:rPr>
          <w:sz w:val="20"/>
          <w:szCs w:val="20"/>
          <w:color w:val="auto"/>
        </w:rPr>
      </w:pPr>
      <w:r>
        <w:rPr>
          <w:rFonts w:ascii="Arial" w:cs="Arial" w:eastAsia="Arial" w:hAnsi="Arial"/>
          <w:sz w:val="17"/>
          <w:szCs w:val="17"/>
          <w:i w:val="1"/>
          <w:iCs w:val="1"/>
          <w:color w:val="auto"/>
        </w:rPr>
        <w:t xml:space="preserve">Cross-State Air Pollution Rule (CSAPR). </w:t>
      </w:r>
      <w:r>
        <w:rPr>
          <w:rFonts w:ascii="Arial" w:cs="Arial" w:eastAsia="Arial" w:hAnsi="Arial"/>
          <w:sz w:val="17"/>
          <w:szCs w:val="17"/>
          <w:color w:val="auto"/>
        </w:rPr>
        <w:t>The CSAPR requires certain states in the eastern half of the U.S., including Minnesota, to reduce power plant</w:t>
      </w:r>
      <w:r>
        <w:rPr>
          <w:rFonts w:ascii="Arial" w:cs="Arial" w:eastAsia="Arial" w:hAnsi="Arial"/>
          <w:sz w:val="17"/>
          <w:szCs w:val="17"/>
          <w:i w:val="1"/>
          <w:iCs w:val="1"/>
          <w:color w:val="auto"/>
        </w:rPr>
        <w:t xml:space="preserve"> </w:t>
      </w:r>
      <w:r>
        <w:rPr>
          <w:rFonts w:ascii="Arial" w:cs="Arial" w:eastAsia="Arial" w:hAnsi="Arial"/>
          <w:sz w:val="17"/>
          <w:szCs w:val="17"/>
          <w:color w:val="auto"/>
        </w:rPr>
        <w:t>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Based on our review of the NO</w:t>
      </w:r>
      <w:r>
        <w:rPr>
          <w:rFonts w:ascii="Arial" w:cs="Arial" w:eastAsia="Arial" w:hAnsi="Arial"/>
          <w:sz w:val="22"/>
          <w:szCs w:val="22"/>
          <w:color w:val="auto"/>
          <w:vertAlign w:val="subscript"/>
        </w:rPr>
        <w:t>X</w:t>
      </w:r>
      <w:r>
        <w:rPr>
          <w:rFonts w:ascii="Arial" w:cs="Arial" w:eastAsia="Arial" w:hAnsi="Arial"/>
          <w:sz w:val="17"/>
          <w:szCs w:val="17"/>
          <w:color w:val="auto"/>
        </w:rPr>
        <w:t xml:space="preserve"> and SO</w:t>
      </w:r>
      <w:r>
        <w:rPr>
          <w:rFonts w:ascii="Arial" w:cs="Arial" w:eastAsia="Arial" w:hAnsi="Arial"/>
          <w:sz w:val="22"/>
          <w:szCs w:val="22"/>
          <w:color w:val="auto"/>
          <w:vertAlign w:val="subscript"/>
        </w:rPr>
        <w:t>2</w:t>
      </w:r>
      <w:r>
        <w:rPr>
          <w:rFonts w:ascii="Arial" w:cs="Arial" w:eastAsia="Arial" w:hAnsi="Arial"/>
          <w:sz w:val="17"/>
          <w:szCs w:val="17"/>
          <w:color w:val="auto"/>
        </w:rPr>
        <w:t xml:space="preserve"> allowances issued and pending issuance, we currently expect generation levels and emission rates will result in continued compliance with the CSAPR. The EPA’s CSAPR Update Rule issued on March 15, 2021 to revise the 2016 CSAPR Update does not apply to the state of Minnesota and is therefore not currently projected to affect Minnesota Power’s CSAPR compliance. The State of Minnesota has not been identified in litigation as a culpable upwind emission source to downwind states, and previous EPA air quality modeling has demonstrated that Minnesota is not a significant contributor to downwind air quality attainment challenges. Minnesota Power will continue to monitor ongoing CSAPR rulemakings and compliance implementation.</w:t>
      </w:r>
    </w:p>
    <w:p>
      <w:pPr>
        <w:spacing w:after="0" w:line="203" w:lineRule="exact"/>
        <w:rPr>
          <w:sz w:val="20"/>
          <w:szCs w:val="20"/>
          <w:color w:val="auto"/>
        </w:rPr>
      </w:pPr>
    </w:p>
    <w:p>
      <w:pPr>
        <w:jc w:val="both"/>
        <w:spacing w:after="0" w:line="229" w:lineRule="auto"/>
        <w:rPr>
          <w:sz w:val="20"/>
          <w:szCs w:val="20"/>
          <w:color w:val="auto"/>
        </w:rPr>
      </w:pPr>
      <w:r>
        <w:rPr>
          <w:rFonts w:ascii="Arial" w:cs="Arial" w:eastAsia="Arial" w:hAnsi="Arial"/>
          <w:sz w:val="17"/>
          <w:szCs w:val="17"/>
          <w:i w:val="1"/>
          <w:iCs w:val="1"/>
          <w:color w:val="auto"/>
        </w:rPr>
        <w:t xml:space="preserve">National Ambient Air Quality Standards (NAAQS). </w:t>
      </w:r>
      <w:r>
        <w:rPr>
          <w:rFonts w:ascii="Arial" w:cs="Arial" w:eastAsia="Arial" w:hAnsi="Arial"/>
          <w:sz w:val="17"/>
          <w:szCs w:val="17"/>
          <w:color w:val="auto"/>
        </w:rPr>
        <w:t>The EPA is required to review the NAAQS every five years. If the EPA determines that a state’s air</w:t>
      </w:r>
      <w:r>
        <w:rPr>
          <w:rFonts w:ascii="Arial" w:cs="Arial" w:eastAsia="Arial" w:hAnsi="Arial"/>
          <w:sz w:val="17"/>
          <w:szCs w:val="17"/>
          <w:i w:val="1"/>
          <w:iCs w:val="1"/>
          <w:color w:val="auto"/>
        </w:rPr>
        <w:t xml:space="preserve"> </w:t>
      </w:r>
      <w:r>
        <w:rPr>
          <w:rFonts w:ascii="Arial" w:cs="Arial" w:eastAsia="Arial" w:hAnsi="Arial"/>
          <w:sz w:val="17"/>
          <w:szCs w:val="17"/>
          <w:color w:val="auto"/>
        </w:rPr>
        <w:t>quality is not in compliance with the NAAQS, the state is required to adopt plans describing how it will reduce emissions to attain the NAAQS. Minnesota Power actively monitors NAAQS developments and compliance costs for existing standards or proposed NAAQS revisions are not currently expected to be material. The EPA is currently reviewing the secondary NAAQS for NO</w:t>
      </w:r>
      <w:r>
        <w:rPr>
          <w:rFonts w:ascii="Arial" w:cs="Arial" w:eastAsia="Arial" w:hAnsi="Arial"/>
          <w:sz w:val="22"/>
          <w:szCs w:val="22"/>
          <w:color w:val="auto"/>
          <w:vertAlign w:val="subscript"/>
        </w:rPr>
        <w:t>x</w:t>
      </w:r>
      <w:r>
        <w:rPr>
          <w:rFonts w:ascii="Arial" w:cs="Arial" w:eastAsia="Arial" w:hAnsi="Arial"/>
          <w:sz w:val="17"/>
          <w:szCs w:val="17"/>
          <w:color w:val="auto"/>
        </w:rPr>
        <w:t xml:space="preserve"> and SO</w:t>
      </w:r>
      <w:r>
        <w:rPr>
          <w:rFonts w:ascii="Arial" w:cs="Arial" w:eastAsia="Arial" w:hAnsi="Arial"/>
          <w:sz w:val="22"/>
          <w:szCs w:val="22"/>
          <w:color w:val="auto"/>
          <w:vertAlign w:val="subscript"/>
        </w:rPr>
        <w:t>2</w:t>
      </w:r>
      <w:r>
        <w:rPr>
          <w:rFonts w:ascii="Arial" w:cs="Arial" w:eastAsia="Arial" w:hAnsi="Arial"/>
          <w:sz w:val="17"/>
          <w:szCs w:val="17"/>
          <w:color w:val="auto"/>
        </w:rPr>
        <w:t>, as well as particulate matter. On June 10, 2021, the EPA announced it will reconsider the December 2020 final rule retaining the 2012 NAAQS, with a proposed rulemaking anticipated in mid-2022. The EPA has not stated its intent with regard to the 2020 Ozone NAAQS rule finalized in December 2020.</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risks. Physical risks could include, but are not limited to: increased or decreased precipitation and water levels in lakes and rivers; increased or other changes in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21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renewable power supply for both our operations and the operations of others;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management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Improving efficiency of our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generating facilities and carbon sequestration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Evaluating and developing less carbon intensive future generating assets such as efficient and flexible natural gas-fired generating facilities;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Managing vegetation on right-of-way corridors to reduce potential wildfire or storm damage risks; and</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Practicing sound forestry management in our service territories to create landscapes more resilient to disruption from climate-related changes, including planting and managing long-lived conifer species.</w:t>
      </w:r>
    </w:p>
    <w:p>
      <w:pPr>
        <w:spacing w:after="0" w:line="21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EPA Regulation of GHG Emissions. </w:t>
      </w:r>
      <w:r>
        <w:rPr>
          <w:rFonts w:ascii="Arial" w:cs="Arial" w:eastAsia="Arial" w:hAnsi="Arial"/>
          <w:sz w:val="16"/>
          <w:szCs w:val="16"/>
          <w:color w:val="auto"/>
        </w:rPr>
        <w:t>In 2019, the EPA finalized several separate rulemakings regarding regulating carbon emissions from electric utility</w:t>
      </w:r>
      <w:r>
        <w:rPr>
          <w:rFonts w:ascii="Arial" w:cs="Arial" w:eastAsia="Arial" w:hAnsi="Arial"/>
          <w:sz w:val="16"/>
          <w:szCs w:val="16"/>
          <w:i w:val="1"/>
          <w:iCs w:val="1"/>
          <w:color w:val="auto"/>
        </w:rPr>
        <w:t xml:space="preserve"> </w:t>
      </w:r>
      <w:r>
        <w:rPr>
          <w:rFonts w:ascii="Arial" w:cs="Arial" w:eastAsia="Arial" w:hAnsi="Arial"/>
          <w:sz w:val="16"/>
          <w:szCs w:val="16"/>
          <w:color w:val="auto"/>
        </w:rPr>
        <w:t>generating units. These rulemakings included repealing the Clean Power Plan (CPP) and adopting the Affordable Clean Energy Rule under Section 111(d) of the Clean Air Act (CAA) to regulate CO2 emissions at existing coal-fired power plants. The CPP was first announced as a proposed rule under Section 111(d) of the CAA for existing power plants entitled “Carbon Pollution Emission Guidelines for Existing Stationary Sources: Electric Generating Units”. The Affordable Clean Energy Rule established emissions guidelines for states to use when developing plans to limit CO2 coal-fired power plants. The EPA also published regulations for the state implementation of the Affordable Clean Energy Rule and other Section 111(d) rules. Affected facilities for Minnesota Power included Boswell Units 3 and 4, and Taconite Harbor Units 1 and 2, which are currently economically idled.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January 19, 2021, the D.C. Circuit issued an opinion vacating the Affordable Clean Energy Rule and remanded the Affordable Clean Energy Rule back to the EPA for further consideration, consistent with the D.C. Circuit’s finding that the EPA erred in interpreting the CAA, pending rehearing or appeal. The EPA has indicated that it is working on a new set of emission guidelines to establish a Best System of Emissions Reduction for existing fossil fuel-fired electric generating units to direct states in regulating GHGs within their borders; however, no timeline has been disclosed. Minnesota Power will continue to monitor any related guidelines and rulemakings issued by the EPA or state regulatory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22, 2021, the Biden Administration announced a goal to reach 100 percent carbon pollution-free electricity by 2035 as part of the U.S.’s Nationally Determined Contributions pledge, which is part of an international effort to limit global warming. At this time, no specific regulatory pathway to achieve these reductions has been proposed. Minnesota Power will continue to monitor these developments.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Minnesota had already initiated several measures consistent with those called for under the now repealed CPP and vacated Affordable Clean Energy Rule. Minnesota Power continues implementing its EnergyForward strategic plan that provides for significant emission reductions and diversifying its electricity generation mix to include more renewable and natural gas energy. We are unable to predict the GHG emission compliance costs we might incur as a result of a replacement for the Affordable Clean Energy Rule or other future laws, regulations or administrative policies; however, the costs could be material. Minnesota Power would seek recovery of additional costs through a rate proceeding.</w:t>
      </w:r>
    </w:p>
    <w:p>
      <w:pPr>
        <w:spacing w:after="0" w:line="13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Additionally on January 13, 2021, the EPA issued a rulemaking to apply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 New Source Performance Standards (NSPS) to new, modified and reconstructed fossil fuel-fired electric generating units under Section 111(b) of the CAA. Minnesota Power is monitoring the NSPS final rule and any further Section 111(b) developments including their potential impact to the Company. The Company’s proposed combined-cycle natural gas-fired generating facility, NTEC, is expected to meet these NSPS requirements.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wastewater discharged into navigable waters. We have obtained all necessary NPDES permits, including NPDES storm water permits for applicable facilities, to conduct our operations.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Steam Electric Power Generating Effluent Limitations Guidelines. </w:t>
      </w:r>
      <w:r>
        <w:rPr>
          <w:rFonts w:ascii="Arial" w:cs="Arial" w:eastAsia="Arial" w:hAnsi="Arial"/>
          <w:sz w:val="17"/>
          <w:szCs w:val="17"/>
          <w:color w:val="auto"/>
        </w:rPr>
        <w:t>In 2015, the EPA issued revised federal effluent limitation guidelines (ELG) for steam</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 power generating stations under the Clean Water Act. It set effluent limits and prescribed BACT for several wastewater streams, including flue gas desulphurization (FGD) water, bottom ash transport water and coal combustion landfill leachate. In 2017, the EPA announced a two-year postponement of the ELG compliance date of November 1, 2018, to November 1, 2020, while the agency reconsidered the bottom ash transport water and FGD wastewater provisions. On April 12, 2019, the U.S. Court of Appeals for the Fifth Circuit vacated and remanded back to the EPA portions of the ELG that allowed for continued discharge of legacy wastewater and leachate. On October 13, 2020, the EPA published a final ELG Rule allowing re-use of bottom ash transport water in FGD scrubber systems with limited discharges related to maintaining system water balance. The rule sets technology standards and numerical pollutant limits for discharges of bottom ash transport water and FGD wastewater. Compliance deadlines depend on subcategory, with compliance generally required as soon as possible, beginning after October 13, 2021, but no later than December 31, 2025, or December 31, 2028, in some specific cases. The rule also establishes new subcategories for retiring high-flow and low-utilization units, and establishes a voluntary incentives program for FGD wastewater.</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ELG's potential impact on Minnesota Power operations is primarily at Boswell. Boswell currently discharges bottom ash contact water through its NPDES permit, and also has a closed-loop FGD system that does not discharge to surface waters, but may do so in the future. With Boswell’s planned conversion to dry FGD handling and storage, ongoing FGD water generation will be reduced, and the majority of FGD waters will be legacy waters to be dewatered from existing impoundments. Re-use and onsite consumption for the majority of FGD waters is planned at Boswell.</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new ELG rule, most bottom ash transport water discharge to surface waters must cease no later than December 31, 2025, except for small discharges needed to retain water balance. The majority of bottom ash transport water will either need to be re-used in a closed-loop process or routed to a FGD scrubber. At Boswell, the bottom ash handling systems are planned to be converted to a dry process, which will eliminate the discharge of bottom ash transport water.</w:t>
      </w:r>
    </w:p>
    <w:p>
      <w:pPr>
        <w:spacing w:after="0" w:line="20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EPA’s additional reconsideration of legacy wastewater discharge requirements has the potential to reduce timelines for dewatering Boswell’s existing ponds. The timing of a draft rule addressing legacy wastewater and leachate is currently unknown. Additionally, in accordance with Executive Order 13990, the EPA has also announced it is reviewing the October 2020 ELG Rule for potential revisions, but has not disclosed a timeframe for any additional or replacement rulemaking.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this time, we estimate that the planned dry conversion of bottom ash handling and storage at Boswell in response to the CCR revisions requiring closure of clay-lined impoundments, as well as other water re-use practices, will reduce or eliminate the need for additional significant compliance costs for ELG bottom ash water and FGD requirements. Compliance costs we might incur related to other ELG waste streams (e.g. legacy leachate) or other potential future water discharge regulations cannot be estimated; however, the costs could be material, including costs associated with wastewater treatment and re-use. Minnesota Power would seek recovery of additional costs through a rate proceeding.</w:t>
      </w:r>
    </w:p>
    <w:p>
      <w:pPr>
        <w:spacing w:after="0" w:line="2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Permitted Water Discharges – Sulfate</w:t>
      </w:r>
      <w:r>
        <w:rPr>
          <w:rFonts w:ascii="Arial" w:cs="Arial" w:eastAsia="Arial" w:hAnsi="Arial"/>
          <w:sz w:val="16"/>
          <w:szCs w:val="16"/>
          <w:color w:val="auto"/>
        </w:rPr>
        <w:t>. In 2017, the MPCA released a draft water quality standard in an attempt to update Minnesota’s existing 10 mg/L</w:t>
      </w:r>
      <w:r>
        <w:rPr>
          <w:rFonts w:ascii="Arial" w:cs="Arial" w:eastAsia="Arial" w:hAnsi="Arial"/>
          <w:sz w:val="16"/>
          <w:szCs w:val="16"/>
          <w:i w:val="1"/>
          <w:iCs w:val="1"/>
          <w:color w:val="auto"/>
        </w:rPr>
        <w:t xml:space="preserve"> </w:t>
      </w:r>
      <w:r>
        <w:rPr>
          <w:rFonts w:ascii="Arial" w:cs="Arial" w:eastAsia="Arial" w:hAnsi="Arial"/>
          <w:sz w:val="16"/>
          <w:szCs w:val="16"/>
          <w:color w:val="auto"/>
        </w:rPr>
        <w:t>sulfate limit for waters used for the production of wild rice with the proposed rulemaking heard before an administrative law judge (ALJ). In 2018, the ALJ rejected significant portions of the proposed rulemaking and the MPCA subsequently withdrew the rulemaking. The existing 10 mg/L limit remains in place, but the MPCA is currently prohibited under state law from listing wild rice waters as impaired or requiring sulfate reduction technology.</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2021, the MPCA’s proposed list of impaired waters submitted pursuant to the Clean Water Act was partially rejected by the EPA due to the absence of wild rice waters listed for sulfate impairment. The EPA subsequently proposed a list of 30 wild rice waters in a separate listing process on April 29, 2021, with a public comment period extended through June 30, 2021. A final impaired waters listing is expected to follow the public comment period, which could subsequently be used to set sulfate limits in discharge permits for power generation facilities and municipal and industrial customers, including paper and pulp facilities, and mining operations. At this time we are unable to determine the specific impacts these developments may have on Minnesota Power operations, if any. Minnesota Power would seek recovery of additional costs through a rate proceeding.</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Solid and Hazardous Waste. </w:t>
      </w:r>
      <w:r>
        <w:rPr>
          <w:rFonts w:ascii="Arial" w:cs="Arial" w:eastAsia="Arial" w:hAnsi="Arial"/>
          <w:sz w:val="18"/>
          <w:szCs w:val="18"/>
          <w:color w:val="auto"/>
        </w:rPr>
        <w:t>The Resource Conservation and Recovery Act of 1976 regulates the management and disposal of solid and hazardous</w:t>
      </w:r>
      <w:r>
        <w:rPr>
          <w:rFonts w:ascii="Arial" w:cs="Arial" w:eastAsia="Arial" w:hAnsi="Arial"/>
          <w:sz w:val="18"/>
          <w:szCs w:val="18"/>
          <w:b w:val="1"/>
          <w:bCs w:val="1"/>
          <w:color w:val="auto"/>
        </w:rPr>
        <w:t xml:space="preserve"> </w:t>
      </w:r>
      <w:r>
        <w:rPr>
          <w:rFonts w:ascii="Arial" w:cs="Arial" w:eastAsia="Arial" w:hAnsi="Arial"/>
          <w:sz w:val="18"/>
          <w:szCs w:val="18"/>
          <w:color w:val="auto"/>
        </w:rPr>
        <w:t>wastes. We are required to notify the EPA of hazardous waste activity and, consequently, routinely submit reports to the EPA.</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Coal Ash Management Facilities. </w:t>
      </w:r>
      <w:r>
        <w:rPr>
          <w:rFonts w:ascii="Arial" w:cs="Arial" w:eastAsia="Arial" w:hAnsi="Arial"/>
          <w:sz w:val="17"/>
          <w:szCs w:val="17"/>
          <w:color w:val="auto"/>
        </w:rPr>
        <w:t>Minnesota Power produces the majority of its coal ash at Boswell, with small amounts of ash generated at Hibbard</w:t>
      </w:r>
      <w:r>
        <w:rPr>
          <w:rFonts w:ascii="Arial" w:cs="Arial" w:eastAsia="Arial" w:hAnsi="Arial"/>
          <w:sz w:val="17"/>
          <w:szCs w:val="17"/>
          <w:i w:val="1"/>
          <w:iCs w:val="1"/>
          <w:color w:val="auto"/>
        </w:rPr>
        <w:t xml:space="preserve"> </w:t>
      </w:r>
      <w:r>
        <w:rPr>
          <w:rFonts w:ascii="Arial" w:cs="Arial" w:eastAsia="Arial" w:hAnsi="Arial"/>
          <w:sz w:val="17"/>
          <w:szCs w:val="17"/>
          <w:color w:val="auto"/>
        </w:rPr>
        <w:t>Renewable Energy Center. Ash storage and disposal methods include storing ash in clay-lined onsite impoundments (ash ponds), disposing of dry ash in a lined dry ash landfill, applying ash to land as an approved beneficial use, and trucking ash to state permitted landfills.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Coal Combustion Residuals from Electric Utilities (CCR). </w:t>
      </w:r>
      <w:r>
        <w:rPr>
          <w:rFonts w:ascii="Arial" w:cs="Arial" w:eastAsia="Arial" w:hAnsi="Arial"/>
          <w:sz w:val="17"/>
          <w:szCs w:val="17"/>
          <w:color w:val="auto"/>
        </w:rPr>
        <w:t>In 2015, the EPA published the final rule regulating CCR as nonhazardous waste under Subtitle</w:t>
      </w:r>
      <w:r>
        <w:rPr>
          <w:rFonts w:ascii="Arial" w:cs="Arial" w:eastAsia="Arial" w:hAnsi="Arial"/>
          <w:sz w:val="17"/>
          <w:szCs w:val="17"/>
          <w:i w:val="1"/>
          <w:iCs w:val="1"/>
          <w:color w:val="auto"/>
        </w:rPr>
        <w:t xml:space="preserve"> </w:t>
      </w:r>
      <w:r>
        <w:rPr>
          <w:rFonts w:ascii="Arial" w:cs="Arial" w:eastAsia="Arial" w:hAnsi="Arial"/>
          <w:sz w:val="17"/>
          <w:szCs w:val="17"/>
          <w:color w:val="auto"/>
        </w:rPr>
        <w:t>D of the Resource Conservation and Recovery Act (RCRA) in the Federal Register. The rule includes additional requirements for new landfill and impoundment construction as well as closure activities related to certain existing impoundments. Costs of compliance for Boswell and Laskin are expected to be incurred primarily over the next 15 years and be between approximately $65 million and $120 million. Compliance costs for CCR at Taconite Harbor are not expected to be material. Minnesota Power would seek recovery of additional costs through a rate proceeding.</w:t>
      </w:r>
    </w:p>
    <w:p>
      <w:pPr>
        <w:spacing w:after="0" w:line="20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Minnesota Power continues to work on minimizing costs through evaluation of beneficial re-use and recycling of CCR and CCR-related waters. In 2017, the EPA announced its intention to formally reconsider the CCR rule under Subtitle D of the RCRA. In March 2018, the EPA published the first phase of the proposed rule revisions in the Federal Register. In 2018, the EPA finalized revisions to elements of the CCR rule, including extending certain deadlines by two years, the establishment of alternative groundwater protection standards for certain constituents and the potential for risk-based management options at facilities based on site characteristics. In 2018, a U.S. District Court for the District of Columbia decision vacated specific provisions of the CCR rule. The court decision resulted in a change to the status of three existing clay-lined impoundments at Boswell that must now be considered unlined. The EPA proposed additional rule revisions in 2019 to address outstanding issues from litigation and closure timelines for unlined impoundments, respectively. The first of these rules, CCR Part A Rule, was finalized in September 2020. The Part A Rule revision requires unlined impoundments to cease disposal of waste as soon as technically feasible but no later than April 11, 2021, which tolls forward if the EPA does not make a determination on a variance application by that date. Minnesota Power sought EPA approval to extend the closure date for the two active Boswell impoundments in November 2020 through a variance application, and continues to operate the impoundments pending a final determination by the EPA. Additionally, the EPA released a proposed Part B rulemaking in February 2020 that addressed options for beneficial reuse of CCR materials, alternative liner demonstrations, and other CCR regulatory revisions. Portions of the Part B Rule addressing alternative liner equivalency standards were finalized in November 2020. According to the EPA’s current regulatory agenda, the remainder of the proposed Part B Rule is expected to be finalized in mid-2021. Expected compliance costs at Boswell due to the court decision and subsequent rule revisions are reflected in our estimate of compliance costs for the CCR rule noted previously. Minnesota Power would seek recovery of additional costs through a rate proceeding.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Environmental Matters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Manufactured Gas Plant Site. </w:t>
      </w:r>
      <w:r>
        <w:rPr>
          <w:rFonts w:ascii="Arial" w:cs="Arial" w:eastAsia="Arial" w:hAnsi="Arial"/>
          <w:sz w:val="16"/>
          <w:szCs w:val="16"/>
          <w:color w:val="auto"/>
        </w:rPr>
        <w:t>We are reviewing and addressing environmental conditions at a former manufactured gas plant site located in Superior,</w:t>
      </w:r>
      <w:r>
        <w:rPr>
          <w:rFonts w:ascii="Arial" w:cs="Arial" w:eastAsia="Arial" w:hAnsi="Arial"/>
          <w:sz w:val="16"/>
          <w:szCs w:val="16"/>
          <w:i w:val="1"/>
          <w:iCs w:val="1"/>
          <w:color w:val="auto"/>
        </w:rPr>
        <w:t xml:space="preserve"> </w:t>
      </w:r>
      <w:r>
        <w:rPr>
          <w:rFonts w:ascii="Arial" w:cs="Arial" w:eastAsia="Arial" w:hAnsi="Arial"/>
          <w:sz w:val="16"/>
          <w:szCs w:val="16"/>
          <w:color w:val="auto"/>
        </w:rPr>
        <w:t>Wisconsin, and formerly operated by SWL&amp;P. SWL&amp;P has been working with the Wisconsin Department of Natural Resources (WDNR) in determining the extent and location of contamination at the site and surrounding properties. In January 2021, SWL&amp;P submitted a final remedial actions options report to the WDNR with remedial site design expected to be completed in 2021. As of June 30, 2021, we have recorded a liability of approximately $7 million for remediation costs at this site (approximately $7 million as of December 31, 2020); however, SWL&amp;P continues to work with the WDNR on the extent of contamination which may result in additional remediation costs being identified. SWL&amp;P has also recorded an associated regulatory asset as we expect recovery of these remediation costs to be allowed by the PSCW. Remediation costs are expected to be incurred through 2023.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 and Surety Bonds.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multiple credit facility agreements in place that provide the ability to issue standby letters of credit to satisfy contractual security requirements across our businesses. As of June 30, 2021, we had $113.4 million of outstanding letters of credit issued, including those issued under our revolving credit facility.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Regulated Operations. </w:t>
      </w:r>
      <w:r>
        <w:rPr>
          <w:rFonts w:ascii="Arial" w:cs="Arial" w:eastAsia="Arial" w:hAnsi="Arial"/>
          <w:sz w:val="18"/>
          <w:szCs w:val="18"/>
          <w:color w:val="auto"/>
        </w:rPr>
        <w:t>As of June 30, 2021, we had $28.8 million outstanding in standby letters of credit at our Regulated Operations which are pledged as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to MISO and a state agency as well as energy facilities under development.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ALLETE Clean Energy. </w:t>
      </w:r>
      <w:r>
        <w:rPr>
          <w:rFonts w:ascii="Arial" w:cs="Arial" w:eastAsia="Arial" w:hAnsi="Arial"/>
          <w:sz w:val="18"/>
          <w:szCs w:val="18"/>
          <w:color w:val="auto"/>
        </w:rPr>
        <w:t>ALLETE Clean Energy’s wind energy facilities have PSAs in place for their entire output and expire in various years between 2022</w:t>
      </w:r>
      <w:r>
        <w:rPr>
          <w:rFonts w:ascii="Arial" w:cs="Arial" w:eastAsia="Arial" w:hAnsi="Arial"/>
          <w:sz w:val="18"/>
          <w:szCs w:val="18"/>
          <w:i w:val="1"/>
          <w:iCs w:val="1"/>
          <w:color w:val="auto"/>
        </w:rPr>
        <w:t xml:space="preserve"> </w:t>
      </w:r>
      <w:r>
        <w:rPr>
          <w:rFonts w:ascii="Arial" w:cs="Arial" w:eastAsia="Arial" w:hAnsi="Arial"/>
          <w:sz w:val="18"/>
          <w:szCs w:val="18"/>
          <w:color w:val="auto"/>
        </w:rPr>
        <w:t>and 2039. As of June 30, 2021, ALLETE Clean Energy has $70.8 million outstanding in standby letters of credit, the majority of which are pledged as security under these PSAs and PSAs for wind energy facilities under development. ALLETE Clean Energy does not believe it is likely that any of these outstanding letters of credit will be drawn upon.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Investment in Nobles 2</w:t>
      </w:r>
      <w:r>
        <w:rPr>
          <w:rFonts w:ascii="Arial" w:cs="Arial" w:eastAsia="Arial" w:hAnsi="Arial"/>
          <w:sz w:val="17"/>
          <w:szCs w:val="17"/>
          <w:color w:val="auto"/>
        </w:rPr>
        <w:t>. The Nobles 2 wind energy facility requires standby letters of credit as security for certain contractual obligations. As of June 30, 2021, ALLETE South Wind has $13.8 million outstanding in standby letters of credit, related to its portion of the security requirements relative to its ownership in Nobles 2. We do not believe it is likely that any of these outstanding letters of credit will be drawn upon.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BNI Energy</w:t>
      </w:r>
      <w:r>
        <w:rPr>
          <w:rFonts w:ascii="Arial" w:cs="Arial" w:eastAsia="Arial" w:hAnsi="Arial"/>
          <w:sz w:val="18"/>
          <w:szCs w:val="18"/>
          <w:color w:val="auto"/>
        </w:rPr>
        <w:t>. As of June 30, 2021, BNI Energy had surety bonds outstanding of $71.2 million related to the reclamation liability for closing costs associated with its mine and mine facilities. Although its coal supply agreements obligate the customers to provide for the closing costs, additional assurance is required by federal and state regulations. BNI Energy’s total reclamation liability is currently estimated at $70.7 million. BNI Energy does not believe it is likely that any of these outstanding surety bonds will be drawn upon.</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ALLETE Properties</w:t>
      </w:r>
      <w:r>
        <w:rPr>
          <w:rFonts w:ascii="Arial" w:cs="Arial" w:eastAsia="Arial" w:hAnsi="Arial"/>
          <w:sz w:val="17"/>
          <w:szCs w:val="17"/>
          <w:color w:val="auto"/>
        </w:rPr>
        <w:t>. As of June 30, 2021, ALLETE Properties had surety bonds outstanding and letters of credit to governmental entities totaling $2.0 million primarily related to development and maintenance obligations for various projects. The estimated cost of the remaining development work is $1.0 million. ALLETE Properties does not believe it is likely that any of these outstanding surety bonds or letters of credit will be drawn upon.</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Community Development District Obligations. </w:t>
      </w:r>
      <w:r>
        <w:rPr>
          <w:rFonts w:ascii="Arial" w:cs="Arial" w:eastAsia="Arial" w:hAnsi="Arial"/>
          <w:sz w:val="16"/>
          <w:szCs w:val="16"/>
          <w:color w:val="auto"/>
        </w:rPr>
        <w:t>As of June 30, 2021, we owned 48 percent of the assessable land in the Town Center District (48 percent as</w:t>
      </w:r>
      <w:r>
        <w:rPr>
          <w:rFonts w:ascii="Arial" w:cs="Arial" w:eastAsia="Arial" w:hAnsi="Arial"/>
          <w:sz w:val="16"/>
          <w:szCs w:val="16"/>
          <w:i w:val="1"/>
          <w:iCs w:val="1"/>
          <w:color w:val="auto"/>
        </w:rPr>
        <w:t xml:space="preserve"> </w:t>
      </w:r>
      <w:r>
        <w:rPr>
          <w:rFonts w:ascii="Arial" w:cs="Arial" w:eastAsia="Arial" w:hAnsi="Arial"/>
          <w:sz w:val="16"/>
          <w:szCs w:val="16"/>
          <w:color w:val="auto"/>
        </w:rPr>
        <w:t>of December 31, 2020). As of June 30, 2021, ownership levels, our annual assessments related to capital improvement and special assessment bonds for the ALLETE Properties project within the district is approximately $1.8 million. As we sell property at this project, the obligation to pay special assessments will pass to the new landowners. In accordance with accounting guidance, these bonds are not reflected as debt on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PER SHARE AND COMMON STOCK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compute basic earnings per share using the weighted average number of shares of common stock outstanding during each period. The difference between basic and diluted earnings per share, if any, arises from non-vested restricted stock units and performance share awards granted under our Executive Long-Term Incentive Compensation Plan.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Reconciliation of Basic and Diluted</w:t>
            </w:r>
          </w:p>
        </w:tc>
        <w:tc>
          <w:tcPr>
            <w:tcW w:w="1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10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2020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08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Dilutive</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jc w:val="center"/>
              <w:ind w:right="310"/>
              <w:spacing w:after="0"/>
              <w:rPr>
                <w:sz w:val="20"/>
                <w:szCs w:val="20"/>
                <w:color w:val="auto"/>
              </w:rPr>
            </w:pPr>
            <w:r>
              <w:rPr>
                <w:rFonts w:ascii="Arial" w:cs="Arial" w:eastAsia="Arial" w:hAnsi="Arial"/>
                <w:sz w:val="18"/>
                <w:szCs w:val="18"/>
                <w:b w:val="1"/>
                <w:bCs w:val="1"/>
                <w:color w:val="auto"/>
                <w:w w:val="95"/>
              </w:rPr>
              <w:t>Dilutive</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Basic</w:t>
            </w: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2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Diluted</w:t>
            </w: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Basic</w:t>
            </w:r>
          </w:p>
        </w:tc>
        <w:tc>
          <w:tcPr>
            <w:tcW w:w="146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5"/>
              </w:rPr>
              <w:t>Securities</w:t>
            </w: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1"/>
              </w:rPr>
              <w:t>Diluted</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$27.9</w:t>
            </w:r>
          </w:p>
        </w:tc>
        <w:tc>
          <w:tcPr>
            <w:tcW w:w="1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$27.9</w:t>
            </w:r>
          </w:p>
        </w:tc>
        <w:tc>
          <w:tcPr>
            <w:tcW w:w="1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$20.1</w:t>
            </w:r>
          </w:p>
        </w:tc>
        <w:tc>
          <w:tcPr>
            <w:tcW w:w="1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Common Shares</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52.2</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51.8</w:t>
            </w:r>
          </w:p>
        </w:tc>
        <w:tc>
          <w:tcPr>
            <w:tcW w:w="14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Per Share</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$0.53</w:t>
            </w: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$0.39</w:t>
            </w:r>
          </w:p>
        </w:tc>
        <w:tc>
          <w:tcPr>
            <w:tcW w:w="1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$79.7</w:t>
            </w:r>
          </w:p>
        </w:tc>
        <w:tc>
          <w:tcPr>
            <w:tcW w:w="1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$79.7</w:t>
            </w:r>
          </w:p>
        </w:tc>
        <w:tc>
          <w:tcPr>
            <w:tcW w:w="1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$86.4</w:t>
            </w:r>
          </w:p>
        </w:tc>
        <w:tc>
          <w:tcPr>
            <w:tcW w:w="1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Common Shares</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52.2</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51.8</w:t>
            </w:r>
          </w:p>
        </w:tc>
        <w:tc>
          <w:tcPr>
            <w:tcW w:w="14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Per Share</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$1.53</w:t>
            </w: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$1.67</w:t>
            </w:r>
          </w:p>
        </w:tc>
        <w:tc>
          <w:tcPr>
            <w:tcW w:w="1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804"/>
        </w:trPr>
        <w:tc>
          <w:tcPr>
            <w:tcW w:w="4080" w:type="dxa"/>
            <w:vAlign w:val="bottom"/>
          </w:tcPr>
          <w:p>
            <w:pPr>
              <w:spacing w:after="0"/>
              <w:rPr>
                <w:sz w:val="20"/>
                <w:szCs w:val="20"/>
                <w:color w:val="auto"/>
              </w:rPr>
            </w:pPr>
            <w:r>
              <w:rPr>
                <w:rFonts w:ascii="Arial" w:cs="Arial" w:eastAsia="Arial" w:hAnsi="Arial"/>
                <w:sz w:val="18"/>
                <w:szCs w:val="18"/>
                <w:b w:val="1"/>
                <w:bCs w:val="1"/>
                <w:color w:val="auto"/>
              </w:rPr>
              <w:t>NOTE 8. INCOME TAX EXPENSE</w:t>
            </w: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2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Quarter Ended</w:t>
            </w:r>
          </w:p>
        </w:tc>
        <w:tc>
          <w:tcPr>
            <w:tcW w:w="23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2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June 30,</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6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2021</w:t>
            </w: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Current Income Tax Expense </w:t>
            </w:r>
            <w:r>
              <w:rPr>
                <w:rFonts w:ascii="Arial" w:cs="Arial" w:eastAsia="Arial" w:hAnsi="Arial"/>
                <w:sz w:val="16"/>
                <w:szCs w:val="16"/>
                <w:i w:val="1"/>
                <w:iCs w:val="1"/>
                <w:color w:val="auto"/>
              </w:rPr>
              <w:t>(a)</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Arial" w:cs="Arial" w:eastAsia="Arial" w:hAnsi="Arial"/>
                <w:sz w:val="18"/>
                <w:szCs w:val="18"/>
                <w:color w:val="auto"/>
              </w:rPr>
              <w:t>Federal</w:t>
            </w: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Current Income Tax Expense</w:t>
            </w:r>
          </w:p>
        </w:tc>
        <w:tc>
          <w:tcPr>
            <w:tcW w:w="1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Expense (Benefit)</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6"/>
                <w:szCs w:val="16"/>
                <w:i w:val="1"/>
                <w:iCs w:val="1"/>
                <w:color w:val="auto"/>
              </w:rPr>
              <w:t>(b)</w:t>
            </w: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$(8.6)</w:t>
            </w:r>
          </w:p>
        </w:tc>
        <w:tc>
          <w:tcPr>
            <w:tcW w:w="1460" w:type="dxa"/>
            <w:vAlign w:val="bottom"/>
          </w:tcPr>
          <w:p>
            <w:pPr>
              <w:jc w:val="right"/>
              <w:ind w:right="310"/>
              <w:spacing w:after="0"/>
              <w:rPr>
                <w:sz w:val="20"/>
                <w:szCs w:val="20"/>
                <w:color w:val="auto"/>
              </w:rPr>
            </w:pPr>
            <w:r>
              <w:rPr>
                <w:rFonts w:ascii="Arial" w:cs="Arial" w:eastAsia="Arial" w:hAnsi="Arial"/>
                <w:sz w:val="18"/>
                <w:szCs w:val="18"/>
                <w:color w:val="auto"/>
              </w:rPr>
              <w:t>$(20.5)</w:t>
            </w:r>
          </w:p>
        </w:tc>
        <w:tc>
          <w:tcPr>
            <w:tcW w:w="84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0.2</w:t>
            </w:r>
          </w:p>
        </w:tc>
        <w:tc>
          <w:tcPr>
            <w:tcW w:w="14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6.4</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Investment Tax Credit Amortization</w:t>
            </w:r>
          </w:p>
        </w:tc>
        <w:tc>
          <w:tcPr>
            <w:tcW w:w="1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(0.1)</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w:t>
            </w:r>
          </w:p>
        </w:tc>
        <w:tc>
          <w:tcPr>
            <w:tcW w:w="14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Deferred Income Tax Benefit</w:t>
            </w:r>
          </w:p>
        </w:tc>
        <w:tc>
          <w:tcPr>
            <w:tcW w:w="1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$(8.5)</w:t>
            </w:r>
          </w:p>
        </w:tc>
        <w:tc>
          <w:tcPr>
            <w:tcW w:w="1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$(14.4)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Income Tax Benefit</w:t>
            </w:r>
          </w:p>
        </w:tc>
        <w:tc>
          <w:tcPr>
            <w:tcW w:w="1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$(8.5)</w:t>
            </w:r>
          </w:p>
        </w:tc>
        <w:tc>
          <w:tcPr>
            <w:tcW w:w="14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$(14.4)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40" w:hanging="332"/>
        <w:spacing w:after="0" w:line="255"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For each of the six months ended June 30, 2021 and 2020, the federal and state current tax expense was minimal due to NOLs which resulted from the bonus depreciation provisions of certain tax legislation. Federal and state NOLs are being carried forward to offset current and future taxable income.</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For each of the six months ended June 30, 2021 and 2020, the federal income tax benefit is primarily due to production tax credits.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Second Quarter 2021 Form 10-Q</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8. INCOME TAX EXPENSE (Continued)</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20" w:type="dxa"/>
            <w:vAlign w:val="bottom"/>
          </w:tcPr>
          <w:p>
            <w:pPr>
              <w:spacing w:after="0"/>
              <w:rPr>
                <w:sz w:val="19"/>
                <w:szCs w:val="19"/>
                <w:color w:val="auto"/>
              </w:rPr>
            </w:pPr>
          </w:p>
        </w:tc>
        <w:tc>
          <w:tcPr>
            <w:tcW w:w="3360" w:type="dxa"/>
            <w:vAlign w:val="bottom"/>
            <w:gridSpan w:val="2"/>
          </w:tcPr>
          <w:p>
            <w:pPr>
              <w:ind w:left="1420"/>
              <w:spacing w:after="0"/>
              <w:rPr>
                <w:sz w:val="20"/>
                <w:szCs w:val="20"/>
                <w:color w:val="auto"/>
              </w:rPr>
            </w:pPr>
            <w:r>
              <w:rPr>
                <w:rFonts w:ascii="Arial" w:cs="Arial" w:eastAsia="Arial" w:hAnsi="Arial"/>
                <w:sz w:val="18"/>
                <w:szCs w:val="18"/>
                <w:b w:val="1"/>
                <w:bCs w:val="1"/>
                <w:color w:val="auto"/>
              </w:rPr>
              <w:t>Quarter Ended</w:t>
            </w:r>
          </w:p>
        </w:tc>
        <w:tc>
          <w:tcPr>
            <w:tcW w:w="2360" w:type="dxa"/>
            <w:vAlign w:val="bottom"/>
            <w:gridSpan w:val="2"/>
          </w:tcPr>
          <w:p>
            <w:pPr>
              <w:ind w:left="36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19"/>
                <w:szCs w:val="19"/>
                <w:color w:val="auto"/>
              </w:rPr>
            </w:pPr>
          </w:p>
        </w:tc>
      </w:tr>
      <w:tr>
        <w:trPr>
          <w:trHeight w:val="234"/>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Rate to Total Income Tax Expense</w:t>
            </w:r>
          </w:p>
        </w:tc>
        <w:tc>
          <w:tcPr>
            <w:tcW w:w="23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2020</w:t>
            </w: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3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$17.7</w:t>
            </w:r>
          </w:p>
        </w:tc>
        <w:tc>
          <w:tcPr>
            <w:tcW w:w="9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$8.4</w:t>
            </w:r>
          </w:p>
        </w:tc>
        <w:tc>
          <w:tcPr>
            <w:tcW w:w="14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$50.7</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$59.1</w:t>
            </w:r>
          </w:p>
        </w:tc>
      </w:tr>
      <w:tr>
        <w:trPr>
          <w:trHeight w:val="22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Statutory Federal Income Tax Rate</w:t>
            </w:r>
          </w:p>
        </w:tc>
        <w:tc>
          <w:tcPr>
            <w:tcW w:w="2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21 %</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21 %</w:t>
            </w:r>
          </w:p>
        </w:tc>
        <w:tc>
          <w:tcPr>
            <w:tcW w:w="14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21 %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Computed at Statutory Federal Rate</w:t>
            </w:r>
          </w:p>
        </w:tc>
        <w:tc>
          <w:tcPr>
            <w:tcW w:w="23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$3.7</w:t>
            </w:r>
          </w:p>
        </w:tc>
        <w:tc>
          <w:tcPr>
            <w:tcW w:w="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$1.7</w:t>
            </w:r>
          </w:p>
        </w:tc>
        <w:tc>
          <w:tcPr>
            <w:tcW w:w="14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$10.6</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$12.4</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Increase (Decrease) in Income Tax Due to:</w:t>
            </w:r>
          </w:p>
        </w:tc>
        <w:tc>
          <w:tcPr>
            <w:tcW w:w="2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Income Taxes – Net of Federal Income Tax Benefit</w:t>
            </w:r>
          </w:p>
        </w:tc>
        <w:tc>
          <w:tcPr>
            <w:tcW w:w="23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2.0</w:t>
            </w:r>
          </w:p>
        </w:tc>
        <w:tc>
          <w:tcPr>
            <w:tcW w:w="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0.1</w:t>
            </w:r>
          </w:p>
        </w:tc>
        <w:tc>
          <w:tcPr>
            <w:tcW w:w="14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5.1</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w:t>
            </w: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Production Tax Credits</w:t>
            </w:r>
          </w:p>
        </w:tc>
        <w:tc>
          <w:tcPr>
            <w:tcW w:w="2380" w:type="dxa"/>
            <w:vAlign w:val="bottom"/>
          </w:tcPr>
          <w:p>
            <w:pPr>
              <w:ind w:left="1420"/>
              <w:spacing w:after="0"/>
              <w:rPr>
                <w:sz w:val="20"/>
                <w:szCs w:val="20"/>
                <w:color w:val="auto"/>
              </w:rPr>
            </w:pPr>
            <w:r>
              <w:rPr>
                <w:rFonts w:ascii="Arial" w:cs="Arial" w:eastAsia="Arial" w:hAnsi="Arial"/>
                <w:sz w:val="18"/>
                <w:szCs w:val="18"/>
                <w:color w:val="auto"/>
              </w:rPr>
              <w:t>(8.5)</w:t>
            </w: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1"/>
              </w:rPr>
              <w:t>(9.6)</w:t>
            </w:r>
          </w:p>
        </w:tc>
        <w:tc>
          <w:tcPr>
            <w:tcW w:w="1480" w:type="dxa"/>
            <w:vAlign w:val="bottom"/>
          </w:tcPr>
          <w:p>
            <w:pPr>
              <w:jc w:val="right"/>
              <w:ind w:right="550"/>
              <w:spacing w:after="0"/>
              <w:rPr>
                <w:sz w:val="20"/>
                <w:szCs w:val="20"/>
                <w:color w:val="auto"/>
              </w:rPr>
            </w:pPr>
            <w:r>
              <w:rPr>
                <w:rFonts w:ascii="Arial" w:cs="Arial" w:eastAsia="Arial" w:hAnsi="Arial"/>
                <w:sz w:val="18"/>
                <w:szCs w:val="18"/>
                <w:color w:val="auto"/>
              </w:rPr>
              <w:t>(27.1)</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(33.4)</w:t>
            </w:r>
          </w:p>
        </w:tc>
      </w:tr>
      <w:tr>
        <w:trPr>
          <w:trHeight w:val="229"/>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Regulatory Differences – Excess Deferred Tax</w:t>
            </w:r>
          </w:p>
        </w:tc>
        <w:tc>
          <w:tcPr>
            <w:tcW w:w="238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(1.4)</w:t>
            </w:r>
          </w:p>
        </w:tc>
        <w:tc>
          <w:tcPr>
            <w:tcW w:w="9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(0.9)</w:t>
            </w:r>
          </w:p>
        </w:tc>
        <w:tc>
          <w:tcPr>
            <w:tcW w:w="14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(4.6)</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w:t>
            </w: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Non-Controlling Interest in Subsidiaries</w:t>
            </w:r>
          </w:p>
        </w:tc>
        <w:tc>
          <w:tcPr>
            <w:tcW w:w="2380" w:type="dxa"/>
            <w:vAlign w:val="bottom"/>
          </w:tcPr>
          <w:p>
            <w:pPr>
              <w:jc w:val="right"/>
              <w:ind w:right="570"/>
              <w:spacing w:after="0"/>
              <w:rPr>
                <w:sz w:val="20"/>
                <w:szCs w:val="20"/>
                <w:color w:val="auto"/>
              </w:rPr>
            </w:pPr>
            <w:r>
              <w:rPr>
                <w:rFonts w:ascii="Arial" w:cs="Arial" w:eastAsia="Arial" w:hAnsi="Arial"/>
                <w:sz w:val="18"/>
                <w:szCs w:val="18"/>
                <w:color w:val="auto"/>
              </w:rPr>
              <w:t>1.3</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0.7</w:t>
            </w:r>
          </w:p>
        </w:tc>
        <w:tc>
          <w:tcPr>
            <w:tcW w:w="1480" w:type="dxa"/>
            <w:vAlign w:val="bottom"/>
          </w:tcPr>
          <w:p>
            <w:pPr>
              <w:jc w:val="right"/>
              <w:ind w:right="590"/>
              <w:spacing w:after="0"/>
              <w:rPr>
                <w:sz w:val="20"/>
                <w:szCs w:val="20"/>
                <w:color w:val="auto"/>
              </w:rPr>
            </w:pPr>
            <w:r>
              <w:rPr>
                <w:rFonts w:ascii="Arial" w:cs="Arial" w:eastAsia="Arial" w:hAnsi="Arial"/>
                <w:sz w:val="18"/>
                <w:szCs w:val="18"/>
                <w:color w:val="auto"/>
              </w:rPr>
              <w:t>3.1</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1.1</w:t>
            </w:r>
          </w:p>
        </w:tc>
      </w:tr>
      <w:tr>
        <w:trPr>
          <w:trHeight w:val="229"/>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23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0.5</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r>
      <w:tr>
        <w:trPr>
          <w:trHeight w:val="229"/>
        </w:trPr>
        <w:tc>
          <w:tcPr>
            <w:tcW w:w="5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38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(1.1)</w:t>
            </w: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(0.5)</w:t>
            </w: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(0.3)</w:t>
            </w:r>
          </w:p>
        </w:tc>
      </w:tr>
      <w:tr>
        <w:trPr>
          <w:trHeight w:val="223"/>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Income Tax Benefit</w:t>
            </w:r>
          </w:p>
        </w:tc>
        <w:tc>
          <w:tcPr>
            <w:tcW w:w="23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$(4.0)</w:t>
            </w:r>
          </w:p>
        </w:tc>
        <w:tc>
          <w:tcPr>
            <w:tcW w:w="98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89"/>
              </w:rPr>
              <w:t>$(8.5)</w:t>
            </w:r>
          </w:p>
        </w:tc>
        <w:tc>
          <w:tcPr>
            <w:tcW w:w="14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$(14.4)</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2021, the effective tax rate was a benefit of 28.4 percent (benefit of 37.8 percent for the six months ended June 30, 2020). The effective tax rate for 2021 and 2020 was primarily impacted by production tax credits.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June 30, 2021, we had gross unrecognized tax benefits of $1.5 million ($1.4 million as of December 31, 2020). Of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gross unrecognized tax benefits, $0.6 million represents the amount of unrecognized tax benefits included on the Consolidated Balance Sheet that, if recognized, would favorably impact the effective income tax rate. The unrecognized tax benefit amounts have been presented as reductions to the tax benefits associated with NOL and tax credit carryforwards on the Consolidated Balance Sheet.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ALLETE and its subsidiaries file a consolidated federal income tax return as well as combined and separate state income tax returns in various jurisdictions. ALLETE has no open federal or state audits, and is no longer subject to federal examination for years before 2017, or state examination for years before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NOTE 9. PENSION AND OTHER POSTRETIREMENT BENEFIT PLANS</w:t>
            </w: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560" w:type="dxa"/>
            <w:vAlign w:val="bottom"/>
          </w:tcPr>
          <w:p>
            <w:pPr>
              <w:spacing w:after="0"/>
              <w:rPr>
                <w:sz w:val="24"/>
                <w:szCs w:val="24"/>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Pension</w:t>
            </w:r>
          </w:p>
        </w:tc>
        <w:tc>
          <w:tcPr>
            <w:tcW w:w="9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56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20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Postretirement</w:t>
            </w:r>
          </w:p>
        </w:tc>
        <w:tc>
          <w:tcPr>
            <w:tcW w:w="0" w:type="dxa"/>
            <w:vAlign w:val="bottom"/>
          </w:tcPr>
          <w:p>
            <w:pPr>
              <w:spacing w:after="0"/>
              <w:rPr>
                <w:sz w:val="1"/>
                <w:szCs w:val="1"/>
                <w:color w:val="auto"/>
              </w:rPr>
            </w:pPr>
          </w:p>
        </w:tc>
      </w:tr>
      <w:tr>
        <w:trPr>
          <w:trHeight w:val="234"/>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7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2020</w:t>
            </w: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17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$2.8</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$2.7</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$0.9</w:t>
            </w:r>
          </w:p>
        </w:tc>
        <w:tc>
          <w:tcPr>
            <w:tcW w:w="74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7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6.2</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7.0</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1.1</w:t>
            </w: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Return on Plan Assets</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(10.9)</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(10.7)</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6560" w:type="dxa"/>
            <w:vAlign w:val="bottom"/>
          </w:tcPr>
          <w:p>
            <w:pPr>
              <w:ind w:left="140"/>
              <w:spacing w:after="0"/>
              <w:rPr>
                <w:sz w:val="20"/>
                <w:szCs w:val="20"/>
                <w:color w:val="auto"/>
              </w:rPr>
            </w:pPr>
            <w:r>
              <w:rPr>
                <w:rFonts w:ascii="Arial" w:cs="Arial" w:eastAsia="Arial" w:hAnsi="Arial"/>
                <w:sz w:val="18"/>
                <w:szCs w:val="18"/>
                <w:color w:val="auto"/>
              </w:rPr>
              <w:t>Amortization of Prior Service Credits</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(0.1)</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(1.9)</w:t>
            </w: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Amortization of Net Loss</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4.7</w:t>
            </w: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3.2</w:t>
            </w: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Benefit Cost (Credit)</w:t>
            </w:r>
          </w:p>
        </w:tc>
        <w:tc>
          <w:tcPr>
            <w:tcW w:w="1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$2.7</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$2.1</w:t>
            </w: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7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$5.5</w:t>
            </w:r>
          </w:p>
        </w:tc>
        <w:tc>
          <w:tcPr>
            <w:tcW w:w="9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$5.3</w:t>
            </w:r>
          </w:p>
        </w:tc>
        <w:tc>
          <w:tcPr>
            <w:tcW w:w="1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17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12.3</w:t>
            </w:r>
          </w:p>
        </w:tc>
        <w:tc>
          <w:tcPr>
            <w:tcW w:w="9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14.0</w:t>
            </w:r>
          </w:p>
        </w:tc>
        <w:tc>
          <w:tcPr>
            <w:tcW w:w="1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6560" w:type="dxa"/>
            <w:vAlign w:val="bottom"/>
          </w:tcPr>
          <w:p>
            <w:pPr>
              <w:ind w:left="140"/>
              <w:spacing w:after="0"/>
              <w:rPr>
                <w:sz w:val="20"/>
                <w:szCs w:val="20"/>
                <w:color w:val="auto"/>
              </w:rPr>
            </w:pPr>
            <w:r>
              <w:rPr>
                <w:rFonts w:ascii="Arial" w:cs="Arial" w:eastAsia="Arial" w:hAnsi="Arial"/>
                <w:sz w:val="18"/>
                <w:szCs w:val="18"/>
                <w:color w:val="auto"/>
              </w:rPr>
              <w:t>Expected Return on Plan Assets</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(21.7)</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(21.4)</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(4.9)</w:t>
            </w:r>
          </w:p>
        </w:tc>
        <w:tc>
          <w:tcPr>
            <w:tcW w:w="7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Prior Service Credits</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(0.1)</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Amortization of Net Loss</w:t>
            </w:r>
          </w:p>
        </w:tc>
        <w:tc>
          <w:tcPr>
            <w:tcW w:w="1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9.4</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6.4</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 (Credit)</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$5.4</w:t>
            </w: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$4.2</w:t>
            </w: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These components of net periodic benefit cost (credit) are included in the line item “Other” under Other Income (Expense) on the Consolidated Statement of Income.</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For the six months ended June 30, 2021, we contributed $10.3 million in cash to the defined benefit pension plans</w:t>
      </w:r>
      <w:r>
        <w:rPr>
          <w:rFonts w:ascii="Arial" w:cs="Arial" w:eastAsia="Arial" w:hAnsi="Arial"/>
          <w:sz w:val="18"/>
          <w:szCs w:val="18"/>
          <w:b w:val="1"/>
          <w:bCs w:val="1"/>
          <w:color w:val="auto"/>
        </w:rPr>
        <w:t xml:space="preserve"> </w:t>
      </w:r>
      <w:r>
        <w:rPr>
          <w:rFonts w:ascii="Arial" w:cs="Arial" w:eastAsia="Arial" w:hAnsi="Arial"/>
          <w:sz w:val="18"/>
          <w:szCs w:val="18"/>
          <w:color w:val="auto"/>
        </w:rPr>
        <w:t>($10.7 million for the six months ended June 30, 2020); we do not expect to make additional contributions to our defined benefit pension plans in 2021. For the six months ended June 30, 2021 and 2020, we made no contributions to our other postretirement benefit plans; we do not expect to make any contributions to our other postretirement benefit plans in 2021.</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SEGMENTS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present two reportable segments: Regulated Operations and ALLETE Clean Energy. We measure performance of our operations through budgeting and monitoring of contributions to consolidated net income by each business segment.</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We also present Corporate and Other which includes two operating segments, BNI Energy, our coal mining operations in North Dakota, and ALLETE Properties, our legacy Florida real estate investment, along with our investment in Nobles 2, other business development and corporate expenditures, unallocated interest expense, a small amount of non-rate base generation, approximately 4,000 acres of land in Minnesota, and earnings on cash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tbl>
      <w:tblPr>
        <w:tblLayout w:type="fixed"/>
        <w:tblInd w:w="10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Arial" w:cs="Arial" w:eastAsia="Arial" w:hAnsi="Arial"/>
                <w:sz w:val="18"/>
                <w:szCs w:val="18"/>
                <w:b w:val="1"/>
                <w:bCs w:val="1"/>
                <w:color w:val="auto"/>
              </w:rPr>
              <w:t>NOTE 10. BUSINESS SEGMENTS (Continued)</w:t>
            </w:r>
          </w:p>
        </w:tc>
        <w:tc>
          <w:tcPr>
            <w:tcW w:w="2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2"/>
        </w:trPr>
        <w:tc>
          <w:tcPr>
            <w:tcW w:w="5480" w:type="dxa"/>
            <w:vAlign w:val="bottom"/>
          </w:tcPr>
          <w:p>
            <w:pPr>
              <w:spacing w:after="0"/>
              <w:rPr>
                <w:sz w:val="21"/>
                <w:szCs w:val="21"/>
                <w:color w:val="auto"/>
              </w:rPr>
            </w:pPr>
          </w:p>
        </w:tc>
        <w:tc>
          <w:tcPr>
            <w:tcW w:w="364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Quarter Ended</w:t>
            </w:r>
          </w:p>
        </w:tc>
        <w:tc>
          <w:tcPr>
            <w:tcW w:w="21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5480" w:type="dxa"/>
            <w:vAlign w:val="bottom"/>
          </w:tcPr>
          <w:p>
            <w:pPr>
              <w:spacing w:after="0"/>
              <w:rPr>
                <w:sz w:val="19"/>
                <w:szCs w:val="19"/>
                <w:color w:val="auto"/>
              </w:rPr>
            </w:pPr>
          </w:p>
        </w:tc>
        <w:tc>
          <w:tcPr>
            <w:tcW w:w="364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June 30,</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19"/>
                <w:szCs w:val="19"/>
                <w:color w:val="auto"/>
              </w:rPr>
            </w:pPr>
          </w:p>
        </w:tc>
      </w:tr>
      <w:tr>
        <w:trPr>
          <w:trHeight w:val="234"/>
        </w:trPr>
        <w:tc>
          <w:tcPr>
            <w:tcW w:w="54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4"/>
              </w:rPr>
              <w:t>2020</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2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Regulated Operations</w:t>
            </w:r>
          </w:p>
        </w:tc>
        <w:tc>
          <w:tcPr>
            <w:tcW w:w="2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w:t>
            </w:r>
          </w:p>
        </w:tc>
        <w:tc>
          <w:tcPr>
            <w:tcW w:w="2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$35.4</w:t>
            </w: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$27.4</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$81.0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29"/>
        </w:trPr>
        <w:tc>
          <w:tcPr>
            <w:tcW w:w="5480" w:type="dxa"/>
            <w:vAlign w:val="bottom"/>
          </w:tcPr>
          <w:p>
            <w:pPr>
              <w:ind w:left="220"/>
              <w:spacing w:after="0"/>
              <w:rPr>
                <w:sz w:val="20"/>
                <w:szCs w:val="20"/>
                <w:color w:val="auto"/>
              </w:rPr>
            </w:pPr>
            <w:r>
              <w:rPr>
                <w:rFonts w:ascii="Arial" w:cs="Arial" w:eastAsia="Arial" w:hAnsi="Arial"/>
                <w:sz w:val="18"/>
                <w:szCs w:val="18"/>
                <w:color w:val="auto"/>
              </w:rPr>
              <w:t>Commercial</w:t>
            </w:r>
          </w:p>
        </w:tc>
        <w:tc>
          <w:tcPr>
            <w:tcW w:w="2520" w:type="dxa"/>
            <w:vAlign w:val="bottom"/>
          </w:tcPr>
          <w:p>
            <w:pPr>
              <w:jc w:val="right"/>
              <w:ind w:right="90"/>
              <w:spacing w:after="0"/>
              <w:rPr>
                <w:sz w:val="20"/>
                <w:szCs w:val="20"/>
                <w:color w:val="auto"/>
              </w:rPr>
            </w:pPr>
            <w:r>
              <w:rPr>
                <w:rFonts w:ascii="Arial" w:cs="Arial" w:eastAsia="Arial" w:hAnsi="Arial"/>
                <w:sz w:val="18"/>
                <w:szCs w:val="18"/>
                <w:color w:val="auto"/>
              </w:rPr>
              <w:t>40.7</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28.8</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80.4</w:t>
            </w:r>
          </w:p>
        </w:tc>
        <w:tc>
          <w:tcPr>
            <w:tcW w:w="720" w:type="dxa"/>
            <w:vAlign w:val="bottom"/>
          </w:tcPr>
          <w:p>
            <w:pPr>
              <w:jc w:val="right"/>
              <w:spacing w:after="0"/>
              <w:rPr>
                <w:sz w:val="20"/>
                <w:szCs w:val="20"/>
                <w:color w:val="auto"/>
              </w:rPr>
            </w:pPr>
            <w:r>
              <w:rPr>
                <w:rFonts w:ascii="Arial" w:cs="Arial" w:eastAsia="Arial" w:hAnsi="Arial"/>
                <w:sz w:val="18"/>
                <w:szCs w:val="18"/>
                <w:color w:val="auto"/>
              </w:rPr>
              <w:t>66.1</w:t>
            </w:r>
          </w:p>
        </w:tc>
      </w:tr>
      <w:tr>
        <w:trPr>
          <w:trHeight w:val="229"/>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w:t>
            </w:r>
          </w:p>
        </w:tc>
        <w:tc>
          <w:tcPr>
            <w:tcW w:w="2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11.5</w:t>
            </w: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9.0</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24.1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30"/>
        </w:trPr>
        <w:tc>
          <w:tcPr>
            <w:tcW w:w="5480" w:type="dxa"/>
            <w:vAlign w:val="bottom"/>
          </w:tcPr>
          <w:p>
            <w:pPr>
              <w:ind w:left="220"/>
              <w:spacing w:after="0"/>
              <w:rPr>
                <w:sz w:val="20"/>
                <w:szCs w:val="20"/>
                <w:color w:val="auto"/>
              </w:rPr>
            </w:pPr>
            <w:r>
              <w:rPr>
                <w:rFonts w:ascii="Arial" w:cs="Arial" w:eastAsia="Arial" w:hAnsi="Arial"/>
                <w:sz w:val="18"/>
                <w:szCs w:val="18"/>
                <w:color w:val="auto"/>
              </w:rPr>
              <w:t>Industrial</w:t>
            </w:r>
          </w:p>
        </w:tc>
        <w:tc>
          <w:tcPr>
            <w:tcW w:w="2520" w:type="dxa"/>
            <w:vAlign w:val="bottom"/>
          </w:tcPr>
          <w:p>
            <w:pPr>
              <w:jc w:val="right"/>
              <w:ind w:right="90"/>
              <w:spacing w:after="0"/>
              <w:rPr>
                <w:sz w:val="20"/>
                <w:szCs w:val="20"/>
                <w:color w:val="auto"/>
              </w:rPr>
            </w:pPr>
            <w:r>
              <w:rPr>
                <w:rFonts w:ascii="Arial" w:cs="Arial" w:eastAsia="Arial" w:hAnsi="Arial"/>
                <w:sz w:val="18"/>
                <w:szCs w:val="18"/>
                <w:color w:val="auto"/>
              </w:rPr>
              <w:t>139.1</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88.0</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268.1</w:t>
            </w:r>
          </w:p>
        </w:tc>
        <w:tc>
          <w:tcPr>
            <w:tcW w:w="720" w:type="dxa"/>
            <w:vAlign w:val="bottom"/>
          </w:tcPr>
          <w:p>
            <w:pPr>
              <w:jc w:val="right"/>
              <w:spacing w:after="0"/>
              <w:rPr>
                <w:sz w:val="20"/>
                <w:szCs w:val="20"/>
                <w:color w:val="auto"/>
              </w:rPr>
            </w:pPr>
            <w:r>
              <w:rPr>
                <w:rFonts w:ascii="Arial" w:cs="Arial" w:eastAsia="Arial" w:hAnsi="Arial"/>
                <w:sz w:val="18"/>
                <w:szCs w:val="18"/>
                <w:color w:val="auto"/>
              </w:rPr>
              <w:t>206.8</w:t>
            </w:r>
          </w:p>
        </w:tc>
      </w:tr>
      <w:tr>
        <w:trPr>
          <w:trHeight w:val="229"/>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Power Suppliers</w:t>
            </w:r>
          </w:p>
        </w:tc>
        <w:tc>
          <w:tcPr>
            <w:tcW w:w="2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37.3</w:t>
            </w: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27.4</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75.7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30"/>
        </w:trPr>
        <w:tc>
          <w:tcPr>
            <w:tcW w:w="5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26.4</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w:t>
            </w: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54.1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r>
      <w:tr>
        <w:trPr>
          <w:trHeight w:val="223"/>
        </w:trPr>
        <w:tc>
          <w:tcPr>
            <w:tcW w:w="5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Regulated Operations</w:t>
            </w:r>
          </w:p>
        </w:tc>
        <w:tc>
          <w:tcPr>
            <w:tcW w:w="25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290.4</w:t>
            </w: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200.8</w:t>
            </w:r>
          </w:p>
        </w:tc>
        <w:tc>
          <w:tcPr>
            <w:tcW w:w="14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583.4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466.1</w:t>
            </w:r>
          </w:p>
        </w:tc>
      </w:tr>
      <w:tr>
        <w:trPr>
          <w:trHeight w:val="196"/>
        </w:trPr>
        <w:tc>
          <w:tcPr>
            <w:tcW w:w="54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ALLETE Clean Energy</w:t>
            </w:r>
          </w:p>
        </w:tc>
        <w:tc>
          <w:tcPr>
            <w:tcW w:w="2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5480" w:type="dxa"/>
            <w:vAlign w:val="bottom"/>
          </w:tcPr>
          <w:p>
            <w:pPr>
              <w:ind w:left="220"/>
              <w:spacing w:after="0"/>
              <w:rPr>
                <w:sz w:val="20"/>
                <w:szCs w:val="20"/>
                <w:color w:val="auto"/>
              </w:rPr>
            </w:pPr>
            <w:r>
              <w:rPr>
                <w:rFonts w:ascii="Arial" w:cs="Arial" w:eastAsia="Arial" w:hAnsi="Arial"/>
                <w:sz w:val="18"/>
                <w:szCs w:val="18"/>
                <w:color w:val="auto"/>
              </w:rPr>
              <w:t>Long-term PSA</w:t>
            </w:r>
          </w:p>
        </w:tc>
        <w:tc>
          <w:tcPr>
            <w:tcW w:w="2520" w:type="dxa"/>
            <w:vAlign w:val="bottom"/>
          </w:tcPr>
          <w:p>
            <w:pPr>
              <w:jc w:val="right"/>
              <w:ind w:right="90"/>
              <w:spacing w:after="0"/>
              <w:rPr>
                <w:sz w:val="20"/>
                <w:szCs w:val="20"/>
                <w:color w:val="auto"/>
              </w:rPr>
            </w:pPr>
            <w:r>
              <w:rPr>
                <w:rFonts w:ascii="Arial" w:cs="Arial" w:eastAsia="Arial" w:hAnsi="Arial"/>
                <w:sz w:val="18"/>
                <w:szCs w:val="18"/>
                <w:color w:val="auto"/>
              </w:rPr>
              <w:t>18.7</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14.8</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36.8</w:t>
            </w:r>
          </w:p>
        </w:tc>
        <w:tc>
          <w:tcPr>
            <w:tcW w:w="72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29"/>
        </w:trPr>
        <w:tc>
          <w:tcPr>
            <w:tcW w:w="5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5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2.8</w:t>
            </w:r>
          </w:p>
        </w:tc>
        <w:tc>
          <w:tcPr>
            <w:tcW w:w="14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54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ALLETE Clean Energy</w:t>
            </w:r>
          </w:p>
        </w:tc>
        <w:tc>
          <w:tcPr>
            <w:tcW w:w="2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21.6</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17.6</w:t>
            </w: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42.5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r>
      <w:tr>
        <w:trPr>
          <w:trHeight w:val="196"/>
        </w:trPr>
        <w:tc>
          <w:tcPr>
            <w:tcW w:w="54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Corporate and Other</w:t>
            </w:r>
          </w:p>
        </w:tc>
        <w:tc>
          <w:tcPr>
            <w:tcW w:w="2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Contract</w:t>
            </w:r>
          </w:p>
        </w:tc>
        <w:tc>
          <w:tcPr>
            <w:tcW w:w="2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21.4</w:t>
            </w: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22.5</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43.1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29"/>
        </w:trPr>
        <w:tc>
          <w:tcPr>
            <w:tcW w:w="5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2.3</w:t>
            </w: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5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Corporate and Other</w:t>
            </w:r>
          </w:p>
        </w:tc>
        <w:tc>
          <w:tcPr>
            <w:tcW w:w="25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23.6</w:t>
            </w: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24.8</w:t>
            </w:r>
          </w:p>
        </w:tc>
        <w:tc>
          <w:tcPr>
            <w:tcW w:w="14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48.9</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23"/>
        </w:trPr>
        <w:tc>
          <w:tcPr>
            <w:tcW w:w="548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Total Operating Revenue</w:t>
            </w:r>
          </w:p>
        </w:tc>
        <w:tc>
          <w:tcPr>
            <w:tcW w:w="2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$335.6</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$243.2</w:t>
            </w: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$674.8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$554.8</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2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5480" w:type="dxa"/>
            <w:vAlign w:val="bottom"/>
          </w:tcPr>
          <w:p>
            <w:pPr>
              <w:ind w:left="220"/>
              <w:spacing w:after="0"/>
              <w:rPr>
                <w:sz w:val="20"/>
                <w:szCs w:val="20"/>
                <w:color w:val="auto"/>
              </w:rPr>
            </w:pPr>
            <w:r>
              <w:rPr>
                <w:rFonts w:ascii="Arial" w:cs="Arial" w:eastAsia="Arial" w:hAnsi="Arial"/>
                <w:sz w:val="18"/>
                <w:szCs w:val="18"/>
                <w:color w:val="auto"/>
              </w:rPr>
              <w:t>Regulated Operations</w:t>
            </w:r>
          </w:p>
        </w:tc>
        <w:tc>
          <w:tcPr>
            <w:tcW w:w="2520" w:type="dxa"/>
            <w:vAlign w:val="bottom"/>
          </w:tcPr>
          <w:p>
            <w:pPr>
              <w:jc w:val="right"/>
              <w:ind w:right="90"/>
              <w:spacing w:after="0"/>
              <w:rPr>
                <w:sz w:val="20"/>
                <w:szCs w:val="20"/>
                <w:color w:val="auto"/>
              </w:rPr>
            </w:pPr>
            <w:r>
              <w:rPr>
                <w:rFonts w:ascii="Arial" w:cs="Arial" w:eastAsia="Arial" w:hAnsi="Arial"/>
                <w:sz w:val="18"/>
                <w:szCs w:val="18"/>
                <w:color w:val="auto"/>
              </w:rPr>
              <w:t>$21.5</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$11.1</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$66.5</w:t>
            </w:r>
          </w:p>
        </w:tc>
        <w:tc>
          <w:tcPr>
            <w:tcW w:w="720" w:type="dxa"/>
            <w:vAlign w:val="bottom"/>
          </w:tcPr>
          <w:p>
            <w:pPr>
              <w:jc w:val="right"/>
              <w:spacing w:after="0"/>
              <w:rPr>
                <w:sz w:val="20"/>
                <w:szCs w:val="20"/>
                <w:color w:val="auto"/>
              </w:rPr>
            </w:pPr>
            <w:r>
              <w:rPr>
                <w:rFonts w:ascii="Arial" w:cs="Arial" w:eastAsia="Arial" w:hAnsi="Arial"/>
                <w:sz w:val="18"/>
                <w:szCs w:val="18"/>
                <w:color w:val="auto"/>
              </w:rPr>
              <w:t>$68.6</w:t>
            </w:r>
          </w:p>
        </w:tc>
      </w:tr>
      <w:tr>
        <w:trPr>
          <w:trHeight w:val="216"/>
        </w:trPr>
        <w:tc>
          <w:tcPr>
            <w:tcW w:w="54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0"/>
        </w:trPr>
        <w:tc>
          <w:tcPr>
            <w:tcW w:w="5480" w:type="dxa"/>
            <w:vAlign w:val="bottom"/>
          </w:tcPr>
          <w:p>
            <w:pPr>
              <w:ind w:left="220"/>
              <w:spacing w:after="0"/>
              <w:rPr>
                <w:sz w:val="20"/>
                <w:szCs w:val="20"/>
                <w:color w:val="auto"/>
              </w:rPr>
            </w:pPr>
            <w:r>
              <w:rPr>
                <w:rFonts w:ascii="Arial" w:cs="Arial" w:eastAsia="Arial" w:hAnsi="Arial"/>
                <w:sz w:val="18"/>
                <w:szCs w:val="18"/>
                <w:color w:val="auto"/>
              </w:rPr>
              <w:t>ALLETE Clean Energy</w:t>
            </w:r>
          </w:p>
        </w:tc>
        <w:tc>
          <w:tcPr>
            <w:tcW w:w="2520" w:type="dxa"/>
            <w:vAlign w:val="bottom"/>
          </w:tcPr>
          <w:p>
            <w:pPr>
              <w:jc w:val="right"/>
              <w:ind w:right="90"/>
              <w:spacing w:after="0"/>
              <w:rPr>
                <w:sz w:val="20"/>
                <w:szCs w:val="20"/>
                <w:color w:val="auto"/>
              </w:rPr>
            </w:pPr>
            <w:r>
              <w:rPr>
                <w:rFonts w:ascii="Arial" w:cs="Arial" w:eastAsia="Arial" w:hAnsi="Arial"/>
                <w:sz w:val="18"/>
                <w:szCs w:val="18"/>
                <w:color w:val="auto"/>
              </w:rPr>
              <w:t>5.1</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4.0</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12.5</w:t>
            </w:r>
          </w:p>
        </w:tc>
        <w:tc>
          <w:tcPr>
            <w:tcW w:w="7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54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0"/>
        </w:trPr>
        <w:tc>
          <w:tcPr>
            <w:tcW w:w="5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Corporate and Other</w:t>
            </w:r>
          </w:p>
        </w:tc>
        <w:tc>
          <w:tcPr>
            <w:tcW w:w="2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5.0</w:t>
            </w: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5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Net Income Attributable to ALLETE</w:t>
            </w:r>
          </w:p>
        </w:tc>
        <w:tc>
          <w:tcPr>
            <w:tcW w:w="25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$27.9</w:t>
            </w: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$20.1</w:t>
            </w:r>
          </w:p>
        </w:tc>
        <w:tc>
          <w:tcPr>
            <w:tcW w:w="14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$79.7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r>
    </w:tbl>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440" w:type="dxa"/>
            <w:vAlign w:val="bottom"/>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180" w:type="dxa"/>
            <w:vAlign w:val="bottom"/>
            <w:tcBorders>
              <w:bottom w:val="single" w:sz="8" w:color="auto"/>
            </w:tcBorders>
          </w:tcPr>
          <w:p>
            <w:pPr>
              <w:spacing w:after="0"/>
              <w:rPr>
                <w:sz w:val="19"/>
                <w:szCs w:val="19"/>
                <w:color w:val="auto"/>
              </w:rPr>
            </w:pPr>
          </w:p>
        </w:tc>
        <w:tc>
          <w:tcPr>
            <w:tcW w:w="4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llions</w:t>
            </w:r>
          </w:p>
        </w:tc>
        <w:tc>
          <w:tcPr>
            <w:tcW w:w="4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sets</w:t>
            </w:r>
          </w:p>
        </w:tc>
        <w:tc>
          <w:tcPr>
            <w:tcW w:w="4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Regulated Operations</w:t>
            </w:r>
          </w:p>
        </w:tc>
        <w:tc>
          <w:tcPr>
            <w:tcW w:w="4440" w:type="dxa"/>
            <w:vAlign w:val="bottom"/>
          </w:tcPr>
          <w:p>
            <w:pPr>
              <w:jc w:val="right"/>
              <w:ind w:right="150"/>
              <w:spacing w:after="0"/>
              <w:rPr>
                <w:sz w:val="20"/>
                <w:szCs w:val="20"/>
                <w:color w:val="auto"/>
              </w:rPr>
            </w:pPr>
            <w:r>
              <w:rPr>
                <w:rFonts w:ascii="Arial" w:cs="Arial" w:eastAsia="Arial" w:hAnsi="Arial"/>
                <w:sz w:val="18"/>
                <w:szCs w:val="18"/>
                <w:color w:val="auto"/>
              </w:rPr>
              <w:t>$4,200.1</w:t>
            </w:r>
          </w:p>
        </w:tc>
        <w:tc>
          <w:tcPr>
            <w:tcW w:w="1260" w:type="dxa"/>
            <w:vAlign w:val="bottom"/>
          </w:tcPr>
          <w:p>
            <w:pPr>
              <w:jc w:val="right"/>
              <w:spacing w:after="0"/>
              <w:rPr>
                <w:sz w:val="20"/>
                <w:szCs w:val="20"/>
                <w:color w:val="auto"/>
              </w:rPr>
            </w:pPr>
            <w:r>
              <w:rPr>
                <w:rFonts w:ascii="Arial" w:cs="Arial" w:eastAsia="Arial" w:hAnsi="Arial"/>
                <w:sz w:val="18"/>
                <w:szCs w:val="18"/>
                <w:color w:val="auto"/>
              </w:rPr>
              <w:t>$4,196.8</w:t>
            </w:r>
          </w:p>
        </w:tc>
        <w:tc>
          <w:tcPr>
            <w:tcW w:w="0" w:type="dxa"/>
            <w:vAlign w:val="bottom"/>
          </w:tcPr>
          <w:p>
            <w:pPr>
              <w:spacing w:after="0"/>
              <w:rPr>
                <w:sz w:val="1"/>
                <w:szCs w:val="1"/>
                <w:color w:val="auto"/>
              </w:rPr>
            </w:pPr>
          </w:p>
        </w:tc>
      </w:tr>
      <w:tr>
        <w:trPr>
          <w:trHeight w:val="216"/>
        </w:trPr>
        <w:tc>
          <w:tcPr>
            <w:tcW w:w="100" w:type="dxa"/>
            <w:vAlign w:val="bottom"/>
            <w:vMerge w:val="restart"/>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vMerge w:val="continue"/>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ALLETE Clean Energy</w:t>
            </w:r>
          </w:p>
        </w:tc>
        <w:tc>
          <w:tcPr>
            <w:tcW w:w="4440" w:type="dxa"/>
            <w:vAlign w:val="bottom"/>
          </w:tcPr>
          <w:p>
            <w:pPr>
              <w:jc w:val="right"/>
              <w:ind w:right="150"/>
              <w:spacing w:after="0"/>
              <w:rPr>
                <w:sz w:val="20"/>
                <w:szCs w:val="20"/>
                <w:color w:val="auto"/>
              </w:rPr>
            </w:pPr>
            <w:r>
              <w:rPr>
                <w:rFonts w:ascii="Arial" w:cs="Arial" w:eastAsia="Arial" w:hAnsi="Arial"/>
                <w:sz w:val="18"/>
                <w:szCs w:val="18"/>
                <w:color w:val="auto"/>
              </w:rPr>
              <w:t>1,653.5</w:t>
            </w:r>
          </w:p>
        </w:tc>
        <w:tc>
          <w:tcPr>
            <w:tcW w:w="1260" w:type="dxa"/>
            <w:vAlign w:val="bottom"/>
          </w:tcPr>
          <w:p>
            <w:pPr>
              <w:jc w:val="right"/>
              <w:spacing w:after="0"/>
              <w:rPr>
                <w:sz w:val="20"/>
                <w:szCs w:val="20"/>
                <w:color w:val="auto"/>
              </w:rPr>
            </w:pPr>
            <w:r>
              <w:rPr>
                <w:rFonts w:ascii="Arial" w:cs="Arial" w:eastAsia="Arial" w:hAnsi="Arial"/>
                <w:sz w:val="18"/>
                <w:szCs w:val="18"/>
                <w:color w:val="auto"/>
              </w:rPr>
              <w:t>1,483.3</w:t>
            </w:r>
          </w:p>
        </w:tc>
        <w:tc>
          <w:tcPr>
            <w:tcW w:w="0" w:type="dxa"/>
            <w:vAlign w:val="bottom"/>
          </w:tcPr>
          <w:p>
            <w:pPr>
              <w:spacing w:after="0"/>
              <w:rPr>
                <w:sz w:val="1"/>
                <w:szCs w:val="1"/>
                <w:color w:val="auto"/>
              </w:rPr>
            </w:pPr>
          </w:p>
        </w:tc>
      </w:tr>
      <w:tr>
        <w:trPr>
          <w:trHeight w:val="216"/>
        </w:trPr>
        <w:tc>
          <w:tcPr>
            <w:tcW w:w="100" w:type="dxa"/>
            <w:vAlign w:val="bottom"/>
            <w:vMerge w:val="restart"/>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vMerge w:val="continue"/>
          </w:tcPr>
          <w:p>
            <w:pPr>
              <w:spacing w:after="0"/>
              <w:rPr>
                <w:sz w:val="19"/>
                <w:szCs w:val="19"/>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and Other</w:t>
            </w:r>
          </w:p>
        </w:tc>
        <w:tc>
          <w:tcPr>
            <w:tcW w:w="4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439.7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4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$6,293.3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-1019175</wp:posOffset>
            </wp:positionV>
            <wp:extent cx="690054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00545" cy="1460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60960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89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discussion should be read in conjunction with our Consolidated Financial Statements and notes to those statements, Management’s Discussion and Analysis of Financial Condition and Results of Operations from our 2020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including Part II, Item 1A Risk Factors, and our 2020 Form 10-K under the headings: “Forward-Looking Statements” located on page 6 and “Risk Factors” located in Part I, Item 1A, beginning on page 23 of our 2020 Form 10-K. The risks and uncertainties described in this Form 10-Q and our 2020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COVID-19 pandemic has had widespread impacts on the global economy and on our employees, customers, contractors, and suppliers. Additional disclosures regarding the impacts of the COVID-19 pandemic are located in our 2020 Form 10-K located in Outlook – Regulated Operations – Industrial Customers and Prospective Additional Load, Liquidity and Capital Resources – Liquidity Position and Part I, Item 1A. Risk Factors.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regulated</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that owns and maintains electric transmission assets in portions of Wisconsin, Michigan, Minnesota and Illinois. Minnesota Power provides regulated utility electric service in northeastern Minnesota to approximately 145,000 retail customers. Minnesota Power also has 15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8"/>
          <w:szCs w:val="18"/>
          <w:i w:val="1"/>
          <w:iCs w:val="1"/>
          <w:color w:val="auto"/>
        </w:rPr>
        <w:t>.</w:t>
      </w:r>
      <w:r>
        <w:rPr>
          <w:rFonts w:ascii="Arial" w:cs="Arial" w:eastAsia="Arial" w:hAnsi="Arial"/>
          <w:sz w:val="18"/>
          <w:szCs w:val="18"/>
          <w:color w:val="auto"/>
        </w:rPr>
        <w:t xml:space="preserve"> (See Note 2. Regulatory Matters.)</w:t>
      </w:r>
    </w:p>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ALLETE Clean Energy </w:t>
      </w:r>
      <w:r>
        <w:rPr>
          <w:rFonts w:ascii="Arial" w:cs="Arial" w:eastAsia="Arial" w:hAnsi="Arial"/>
          <w:sz w:val="17"/>
          <w:szCs w:val="17"/>
          <w:color w:val="auto"/>
        </w:rPr>
        <w:t>focuses on developing, acquiring, and operating clean and renewable energy projects. ALLETE Clean Energy currently owns and</w:t>
      </w:r>
      <w:r>
        <w:rPr>
          <w:rFonts w:ascii="Arial" w:cs="Arial" w:eastAsia="Arial" w:hAnsi="Arial"/>
          <w:sz w:val="17"/>
          <w:szCs w:val="17"/>
          <w:b w:val="1"/>
          <w:bCs w:val="1"/>
          <w:color w:val="auto"/>
        </w:rPr>
        <w:t xml:space="preserve"> </w:t>
      </w:r>
      <w:r>
        <w:rPr>
          <w:rFonts w:ascii="Arial" w:cs="Arial" w:eastAsia="Arial" w:hAnsi="Arial"/>
          <w:sz w:val="17"/>
          <w:szCs w:val="17"/>
          <w:color w:val="auto"/>
        </w:rPr>
        <w:t>operates, in seven states, more than 1,000 MW of nameplate capacity wind energy generation that is contracted under PSAs of various durations. In addition, ALLETE Clean Energy currently has approximately 300 MW of wind energy facilities under construction. ALLETE Clean Energy also engages in the development of wind energy facilities to operate under long-term PSAs or for sale to others upon completion.</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coal mining operations in North Dakota; our investment in Nobles 2, an entity that owns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a 250 MW wind energy facility in southwestern Minnesota; ALLETE Properties, our legacy Florida real estate investment; other business development and corporate expenditures; unallocated interest expense; a small amount of non-rate base generation; approximately 4,000 acres of land in Minnesota, and earnings on cash and investments.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June 30, 2021, unless otherwise indicated. All subsidiaries are wholly-owned unless otherwise specifically indicated. References in this report to “we,” “us” and “our” are to ALLETE and its subsidiaries, collectively.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net income discussion summarizes a comparison of the six months ended June 30, 2021, to the six months ended June 30, 2020.</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Net income attributable to ALLETE for the six months ended June 30, 2021, was $79.7 million, or $1.53 per diluted share, compared to $86.4 million, or $1.67 per diluted share, for the same period in 2020. Net income in 2021 included an approximately $5 million after-tax, or $0.10 per share, negative impact related to ALLETE Clean Energy’s Diamond Spring wind energy facility due to an extreme winter storm event in the southwest United States in February 2021. This winter storm event caused volatility in power prices in the regional power market resulting in losses being incurred under one of the facility’s power sales agreements during portions of the winter storm event. Net income in 2020 included margins of $10.2 million after-tax, or $0.20 per share, in Regulated Operations for sales under a 100 MW PSA which expired in April 2020. Net income in 2020 also included reserves for interim rates of $8.3 million after-tax, or $0.16 per share, for the refund of interim rates collected between January 1, 2020 and April 30, 2020.</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net income attributable to ALLETE was $66.5 million for the six months ended June 30, 2021, compared to $68.6 million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period in 2020. Net income at Minnesota Power was lower than 2020 primarily due to: lower margins from Other Power Suppliers resulting from the expiration of a PSA; and higher operating and maintenance, property tax and depreciation expenses. These negative impacts were partially offset by increased earnings related to the GNTL; higher kWh sales to residential, commercial, and municipal customers; and the timing of income taxes. Net income in 2020 also included reserves for interim rates of $8.3 million after-tax for the refund of interim rates collected between January 1, 2020 and April 30, 2020. Net income at SWL&amp;P was similar to 2020. Our after-tax equity earnings in ATC were lower compared to 2020 primarily due to period over period changes in ATC’s estimate of a refund liability related to the FERC decision on MISO return on equity complaints in 2020.</w:t>
      </w:r>
    </w:p>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net income attributable to ALLETE was $12.5 million for the six months ended June 30, 2021, compared to $15.7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in 2020. Net income in 2021 included an approximately $5 million after-tax negative impact related to ALLETE Clean Energy’s Diamond Spring wind energy facility due to an extreme winter storm event in the southwest United States in February 2021 as well as a lower wind resources at other wind energy facilities.</w:t>
      </w:r>
    </w:p>
    <w:p>
      <w:pPr>
        <w:spacing w:after="0" w:line="20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net income attributable to ALLETE was $0.7 million for the six months ended June 30, 2021, compared to net income of</w:t>
      </w:r>
      <w:r>
        <w:rPr>
          <w:rFonts w:ascii="Arial" w:cs="Arial" w:eastAsia="Arial" w:hAnsi="Arial"/>
          <w:sz w:val="18"/>
          <w:szCs w:val="18"/>
          <w:b w:val="1"/>
          <w:bCs w:val="1"/>
          <w:color w:val="auto"/>
        </w:rPr>
        <w:t xml:space="preserve"> </w:t>
      </w:r>
      <w:r>
        <w:rPr>
          <w:rFonts w:ascii="Arial" w:cs="Arial" w:eastAsia="Arial" w:hAnsi="Arial"/>
          <w:sz w:val="18"/>
          <w:szCs w:val="18"/>
          <w:color w:val="auto"/>
        </w:rPr>
        <w:t>$2.1 million for the same period in 2020. Net income in 2021 included higher interest and income tax expenses, partially offset by earnings from our investment in Nobles 2 which commenced operations in December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QUARTER ENDED JUNE 30, 2021 AND 2020</w:t>
            </w:r>
          </w:p>
        </w:tc>
        <w:tc>
          <w:tcPr>
            <w:tcW w:w="28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7600" w:type="dxa"/>
            <w:vAlign w:val="bottom"/>
            <w:gridSpan w:val="2"/>
          </w:tcPr>
          <w:p>
            <w:pPr>
              <w:spacing w:after="0"/>
              <w:rPr>
                <w:sz w:val="20"/>
                <w:szCs w:val="20"/>
                <w:color w:val="auto"/>
              </w:rPr>
            </w:pPr>
            <w:r>
              <w:rPr>
                <w:rFonts w:ascii="Arial" w:cs="Arial" w:eastAsia="Arial" w:hAnsi="Arial"/>
                <w:sz w:val="18"/>
                <w:szCs w:val="18"/>
                <w:color w:val="auto"/>
              </w:rPr>
              <w:t>(See Note 10. Business Segments for financial results by segment.)</w:t>
            </w:r>
          </w:p>
        </w:tc>
        <w:tc>
          <w:tcPr>
            <w:tcW w:w="28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9"/>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8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440" w:type="dxa"/>
            <w:vAlign w:val="bottom"/>
          </w:tcPr>
          <w:p>
            <w:pPr>
              <w:spacing w:after="0"/>
              <w:rPr>
                <w:sz w:val="24"/>
                <w:szCs w:val="24"/>
                <w:color w:val="auto"/>
              </w:rPr>
            </w:pPr>
          </w:p>
        </w:tc>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2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44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8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$290.4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r>
      <w:tr>
        <w:trPr>
          <w:trHeight w:val="229"/>
        </w:trPr>
        <w:tc>
          <w:tcPr>
            <w:tcW w:w="44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800" w:type="dxa"/>
            <w:vAlign w:val="bottom"/>
          </w:tcPr>
          <w:p>
            <w:pPr>
              <w:jc w:val="right"/>
              <w:ind w:right="230"/>
              <w:spacing w:after="0"/>
              <w:rPr>
                <w:sz w:val="20"/>
                <w:szCs w:val="20"/>
                <w:color w:val="auto"/>
              </w:rPr>
            </w:pPr>
            <w:r>
              <w:rPr>
                <w:rFonts w:ascii="Arial" w:cs="Arial" w:eastAsia="Arial" w:hAnsi="Arial"/>
                <w:sz w:val="18"/>
                <w:szCs w:val="18"/>
                <w:color w:val="auto"/>
              </w:rPr>
              <w:t>128.9</w:t>
            </w:r>
          </w:p>
        </w:tc>
        <w:tc>
          <w:tcPr>
            <w:tcW w:w="840" w:type="dxa"/>
            <w:vAlign w:val="bottom"/>
          </w:tcPr>
          <w:p>
            <w:pPr>
              <w:jc w:val="right"/>
              <w:spacing w:after="0"/>
              <w:rPr>
                <w:sz w:val="20"/>
                <w:szCs w:val="20"/>
                <w:color w:val="auto"/>
              </w:rPr>
            </w:pPr>
            <w:r>
              <w:rPr>
                <w:rFonts w:ascii="Arial" w:cs="Arial" w:eastAsia="Arial" w:hAnsi="Arial"/>
                <w:sz w:val="18"/>
                <w:szCs w:val="18"/>
                <w:color w:val="auto"/>
              </w:rPr>
              <w:t>69.3</w:t>
            </w:r>
          </w:p>
        </w:tc>
      </w:tr>
      <w:tr>
        <w:trPr>
          <w:trHeight w:val="230"/>
        </w:trPr>
        <w:tc>
          <w:tcPr>
            <w:tcW w:w="44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44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800" w:type="dxa"/>
            <w:vAlign w:val="bottom"/>
          </w:tcPr>
          <w:p>
            <w:pPr>
              <w:jc w:val="right"/>
              <w:ind w:right="230"/>
              <w:spacing w:after="0"/>
              <w:rPr>
                <w:sz w:val="20"/>
                <w:szCs w:val="20"/>
                <w:color w:val="auto"/>
              </w:rPr>
            </w:pPr>
            <w:r>
              <w:rPr>
                <w:rFonts w:ascii="Arial" w:cs="Arial" w:eastAsia="Arial" w:hAnsi="Arial"/>
                <w:sz w:val="18"/>
                <w:szCs w:val="18"/>
                <w:color w:val="auto"/>
              </w:rPr>
              <w:t>55.3</w:t>
            </w:r>
          </w:p>
        </w:tc>
        <w:tc>
          <w:tcPr>
            <w:tcW w:w="84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29"/>
        </w:trPr>
        <w:tc>
          <w:tcPr>
            <w:tcW w:w="44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42.6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30"/>
        </w:trPr>
        <w:tc>
          <w:tcPr>
            <w:tcW w:w="440" w:type="dxa"/>
            <w:vAlign w:val="bottom"/>
          </w:tcPr>
          <w:p>
            <w:pPr>
              <w:spacing w:after="0"/>
              <w:rPr>
                <w:sz w:val="19"/>
                <w:szCs w:val="19"/>
                <w:color w:val="auto"/>
              </w:rPr>
            </w:pPr>
          </w:p>
        </w:tc>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Taxes</w:t>
            </w:r>
          </w:p>
        </w:tc>
        <w:tc>
          <w:tcPr>
            <w:tcW w:w="2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15.9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440" w:type="dxa"/>
            <w:vAlign w:val="bottom"/>
          </w:tcPr>
          <w:p>
            <w:pPr>
              <w:spacing w:after="0"/>
              <w:rPr>
                <w:sz w:val="19"/>
                <w:szCs w:val="19"/>
                <w:color w:val="auto"/>
              </w:rPr>
            </w:pPr>
          </w:p>
        </w:tc>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2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28.5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44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0" w:type="dxa"/>
            <w:vAlign w:val="bottom"/>
          </w:tcPr>
          <w:p>
            <w:pPr>
              <w:jc w:val="right"/>
              <w:ind w:right="170"/>
              <w:spacing w:after="0"/>
              <w:rPr>
                <w:sz w:val="20"/>
                <w:szCs w:val="20"/>
                <w:color w:val="auto"/>
              </w:rPr>
            </w:pPr>
            <w:r>
              <w:rPr>
                <w:rFonts w:ascii="Arial" w:cs="Arial" w:eastAsia="Arial" w:hAnsi="Arial"/>
                <w:sz w:val="18"/>
                <w:szCs w:val="18"/>
                <w:color w:val="auto"/>
              </w:rPr>
              <w:t>(14.4)</w:t>
            </w:r>
          </w:p>
        </w:tc>
        <w:tc>
          <w:tcPr>
            <w:tcW w:w="84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44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w:t>
            </w:r>
          </w:p>
        </w:tc>
        <w:tc>
          <w:tcPr>
            <w:tcW w:w="2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440" w:type="dxa"/>
            <w:vAlign w:val="bottom"/>
          </w:tcPr>
          <w:p>
            <w:pPr>
              <w:spacing w:after="0"/>
              <w:rPr>
                <w:sz w:val="19"/>
                <w:szCs w:val="19"/>
                <w:color w:val="auto"/>
              </w:rPr>
            </w:pPr>
          </w:p>
        </w:tc>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w:t>
            </w:r>
          </w:p>
        </w:tc>
        <w:tc>
          <w:tcPr>
            <w:tcW w:w="2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440" w:type="dxa"/>
            <w:vAlign w:val="bottom"/>
          </w:tcPr>
          <w:p>
            <w:pPr>
              <w:spacing w:after="0"/>
              <w:rPr>
                <w:sz w:val="19"/>
                <w:szCs w:val="19"/>
                <w:color w:val="auto"/>
              </w:rPr>
            </w:pPr>
          </w:p>
        </w:tc>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2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440" w:type="dxa"/>
            <w:vAlign w:val="bottom"/>
          </w:tcPr>
          <w:p>
            <w:pPr>
              <w:spacing w:after="0"/>
              <w:rPr>
                <w:sz w:val="19"/>
                <w:szCs w:val="19"/>
                <w:color w:val="auto"/>
              </w:rPr>
            </w:pPr>
          </w:p>
        </w:tc>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2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440" w:type="dxa"/>
            <w:vAlign w:val="bottom"/>
          </w:tcPr>
          <w:p>
            <w:pPr>
              <w:spacing w:after="0"/>
              <w:rPr>
                <w:sz w:val="19"/>
                <w:szCs w:val="19"/>
                <w:color w:val="auto"/>
              </w:rPr>
            </w:pPr>
          </w:p>
        </w:tc>
        <w:tc>
          <w:tcPr>
            <w:tcW w:w="71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ALLETE</w:t>
            </w:r>
          </w:p>
        </w:tc>
        <w:tc>
          <w:tcPr>
            <w:tcW w:w="28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$21.5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bl>
    <w:p>
      <w:pPr>
        <w:spacing w:after="0" w:line="333"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Utility </w:t>
      </w:r>
      <w:r>
        <w:rPr>
          <w:rFonts w:ascii="Arial" w:cs="Arial" w:eastAsia="Arial" w:hAnsi="Arial"/>
          <w:sz w:val="18"/>
          <w:szCs w:val="18"/>
          <w:color w:val="auto"/>
        </w:rPr>
        <w:t>increased $89.6 million from 2020 primarily due to higher fuel adjustment clause recoveries, higher kWh sales,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recovery rider revenue and increased transmission revenue related to the GNTL. Revenue in 2020 also included reserves for the refund of interim rates collected between January 1, 2020 and April 30, 2020.</w:t>
      </w:r>
    </w:p>
    <w:p>
      <w:pPr>
        <w:spacing w:after="0" w:line="20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Fuel adjustment clause revenue increased $38.6 million due to higher fuel and purchased power costs attributable to retail and municipal customers. (See </w:t>
      </w:r>
      <w:r>
        <w:rPr>
          <w:rFonts w:ascii="Arial" w:cs="Arial" w:eastAsia="Arial" w:hAnsi="Arial"/>
          <w:sz w:val="18"/>
          <w:szCs w:val="18"/>
          <w:i w:val="1"/>
          <w:iCs w:val="1"/>
          <w:color w:val="auto"/>
        </w:rPr>
        <w:t>Fuel, Purchased Power and Gas – Utility.</w:t>
      </w:r>
      <w:r>
        <w:rPr>
          <w:rFonts w:ascii="Arial" w:cs="Arial" w:eastAsia="Arial" w:hAnsi="Arial"/>
          <w:sz w:val="18"/>
          <w:szCs w:val="18"/>
          <w:color w:val="auto"/>
        </w:rPr>
        <w:t>)</w:t>
      </w:r>
    </w:p>
    <w:p>
      <w:pPr>
        <w:spacing w:after="0" w:line="197"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Revenue from kWh sales increased $19.7 million from 2020 reflecting higher sales to residential, commercial, industrial and municipal customers as well as other power suppliers. These increases were partially offset by lower revenue related to the expiration of a 100 MW PSA in April 2020. Sales to commercial and industrial customers increased primarily due to improving business conditions related to the COVID-19 pandemic and its impact on customer operations. Many commercial and industrial customers operated at reduced levels or were temporarily closed or idled during the second quarter of 2020 as a result of the COVID-19 pandemic and related governmental responses while business conditions have improved in 2021. These higher sales to commercial and industrial customers were partially offset by lower sales to Verso Corporation which indefinitely idled its paper mill in Duluth, Minnesota, beginning in June 2020. (See Outlook – Regulated Operations – Industrial Customers and Prospective Additional Load.) Sales to residential and municipal customers increased from 2020 primarily due to warmer weather in the second quarter of 2021 compared to 2020. Sales to other power suppliers, which are sold at market-based prices into the MISO market on a daily basis or through PSAs of various durations, increased primarily due to additional kWh sales made to mitigate the uncertainty of customers’ energy needs and potential load loss due to the COVID-19 pandemic.</w:t>
      </w:r>
    </w:p>
    <w:p>
      <w:pPr>
        <w:spacing w:after="0" w:line="24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Variance</w:t>
            </w:r>
          </w:p>
        </w:tc>
        <w:tc>
          <w:tcPr>
            <w:tcW w:w="680" w:type="dxa"/>
            <w:vAlign w:val="bottom"/>
          </w:tcPr>
          <w:p>
            <w:pPr>
              <w:spacing w:after="0"/>
              <w:rPr>
                <w:sz w:val="19"/>
                <w:szCs w:val="19"/>
                <w:color w:val="auto"/>
              </w:rPr>
            </w:pPr>
          </w:p>
        </w:tc>
      </w:tr>
      <w:tr>
        <w:trPr>
          <w:trHeight w:val="234"/>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2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Quantity</w:t>
            </w:r>
          </w:p>
        </w:tc>
        <w:tc>
          <w:tcPr>
            <w:tcW w:w="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4920" w:type="dxa"/>
            <w:vAlign w:val="bottom"/>
          </w:tcPr>
          <w:p>
            <w:pPr>
              <w:ind w:left="220"/>
              <w:spacing w:after="0"/>
              <w:rPr>
                <w:sz w:val="20"/>
                <w:szCs w:val="20"/>
                <w:color w:val="auto"/>
              </w:rPr>
            </w:pPr>
            <w:r>
              <w:rPr>
                <w:rFonts w:ascii="Arial" w:cs="Arial" w:eastAsia="Arial" w:hAnsi="Arial"/>
                <w:sz w:val="18"/>
                <w:szCs w:val="18"/>
                <w:color w:val="auto"/>
              </w:rPr>
              <w:t>Retail and Municipal</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Residential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247</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246</w:t>
            </w:r>
          </w:p>
        </w:tc>
        <w:tc>
          <w:tcPr>
            <w:tcW w:w="14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29"/>
        </w:trPr>
        <w:tc>
          <w:tcPr>
            <w:tcW w:w="4920" w:type="dxa"/>
            <w:vAlign w:val="bottom"/>
          </w:tcPr>
          <w:p>
            <w:pPr>
              <w:ind w:left="460"/>
              <w:spacing w:after="0"/>
              <w:rPr>
                <w:sz w:val="20"/>
                <w:szCs w:val="20"/>
                <w:color w:val="auto"/>
              </w:rPr>
            </w:pPr>
            <w:r>
              <w:rPr>
                <w:rFonts w:ascii="Arial" w:cs="Arial" w:eastAsia="Arial" w:hAnsi="Arial"/>
                <w:sz w:val="18"/>
                <w:szCs w:val="18"/>
                <w:color w:val="auto"/>
              </w:rPr>
              <w:t>Commercial</w:t>
            </w:r>
          </w:p>
        </w:tc>
        <w:tc>
          <w:tcPr>
            <w:tcW w:w="2520" w:type="dxa"/>
            <w:vAlign w:val="bottom"/>
          </w:tcPr>
          <w:p>
            <w:pPr>
              <w:jc w:val="right"/>
              <w:ind w:right="270"/>
              <w:spacing w:after="0"/>
              <w:rPr>
                <w:sz w:val="20"/>
                <w:szCs w:val="20"/>
                <w:color w:val="auto"/>
              </w:rPr>
            </w:pPr>
            <w:r>
              <w:rPr>
                <w:rFonts w:ascii="Arial" w:cs="Arial" w:eastAsia="Arial" w:hAnsi="Arial"/>
                <w:sz w:val="18"/>
                <w:szCs w:val="18"/>
                <w:color w:val="auto"/>
              </w:rPr>
              <w:t>317</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286</w:t>
            </w:r>
          </w:p>
        </w:tc>
        <w:tc>
          <w:tcPr>
            <w:tcW w:w="1480" w:type="dxa"/>
            <w:vAlign w:val="bottom"/>
          </w:tcPr>
          <w:p>
            <w:pPr>
              <w:jc w:val="right"/>
              <w:ind w:right="510"/>
              <w:spacing w:after="0"/>
              <w:rPr>
                <w:sz w:val="20"/>
                <w:szCs w:val="20"/>
                <w:color w:val="auto"/>
              </w:rPr>
            </w:pPr>
            <w:r>
              <w:rPr>
                <w:rFonts w:ascii="Arial" w:cs="Arial" w:eastAsia="Arial" w:hAnsi="Arial"/>
                <w:sz w:val="18"/>
                <w:szCs w:val="18"/>
                <w:color w:val="auto"/>
              </w:rPr>
              <w:t>31</w:t>
            </w:r>
          </w:p>
        </w:tc>
        <w:tc>
          <w:tcPr>
            <w:tcW w:w="680" w:type="dxa"/>
            <w:vAlign w:val="bottom"/>
          </w:tcPr>
          <w:p>
            <w:pPr>
              <w:jc w:val="right"/>
              <w:spacing w:after="0"/>
              <w:rPr>
                <w:sz w:val="20"/>
                <w:szCs w:val="20"/>
                <w:color w:val="auto"/>
              </w:rPr>
            </w:pPr>
            <w:r>
              <w:rPr>
                <w:rFonts w:ascii="Arial" w:cs="Arial" w:eastAsia="Arial" w:hAnsi="Arial"/>
                <w:sz w:val="18"/>
                <w:szCs w:val="18"/>
                <w:color w:val="auto"/>
              </w:rPr>
              <w:t>10.8 %</w:t>
            </w:r>
          </w:p>
        </w:tc>
      </w:tr>
      <w:tr>
        <w:trPr>
          <w:trHeight w:val="229"/>
        </w:trPr>
        <w:tc>
          <w:tcPr>
            <w:tcW w:w="4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Industrial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1,775</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1,235</w:t>
            </w:r>
          </w:p>
        </w:tc>
        <w:tc>
          <w:tcPr>
            <w:tcW w:w="14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540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43.7 %</w:t>
            </w:r>
          </w:p>
        </w:tc>
      </w:tr>
      <w:tr>
        <w:trPr>
          <w:trHeight w:val="230"/>
        </w:trPr>
        <w:tc>
          <w:tcPr>
            <w:tcW w:w="49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Municipal</w:t>
            </w:r>
          </w:p>
        </w:tc>
        <w:tc>
          <w:tcPr>
            <w:tcW w:w="2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138</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131</w:t>
            </w:r>
          </w:p>
        </w:tc>
        <w:tc>
          <w:tcPr>
            <w:tcW w:w="14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5.3 %</w:t>
            </w:r>
          </w:p>
        </w:tc>
      </w:tr>
      <w:tr>
        <w:trPr>
          <w:trHeight w:val="223"/>
        </w:trPr>
        <w:tc>
          <w:tcPr>
            <w:tcW w:w="4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Retail and Municipal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2,477</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1,898</w:t>
            </w:r>
          </w:p>
        </w:tc>
        <w:tc>
          <w:tcPr>
            <w:tcW w:w="14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579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30.5 %</w:t>
            </w:r>
          </w:p>
        </w:tc>
      </w:tr>
      <w:tr>
        <w:trPr>
          <w:trHeight w:val="230"/>
        </w:trPr>
        <w:tc>
          <w:tcPr>
            <w:tcW w:w="4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Power Suppliers</w:t>
            </w:r>
          </w:p>
        </w:tc>
        <w:tc>
          <w:tcPr>
            <w:tcW w:w="2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1,194</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706</w:t>
            </w:r>
          </w:p>
        </w:tc>
        <w:tc>
          <w:tcPr>
            <w:tcW w:w="14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488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69.1 %</w:t>
            </w:r>
          </w:p>
        </w:tc>
      </w:tr>
      <w:tr>
        <w:trPr>
          <w:trHeight w:val="223"/>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3,671</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2,604</w:t>
            </w:r>
          </w:p>
        </w:tc>
        <w:tc>
          <w:tcPr>
            <w:tcW w:w="14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1,067</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41.0 %</w:t>
            </w: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Second Quarter 2021 Form 10-Q</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COMPARISON OF THE QUARTER ENDED JUNE 30, 2021 AND 2020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customers accounted for 34 percent of regulated operating revenue in 2021 (28 percent in 2020). Revenue from electric sales to paper, pulp and secondary wood product customers accounted for 5 percent of regulated operating revenue in 2021 (7 percent in 2020). Revenue from electric sales to pipelines and other industrial customers accounted for 9 percent of regulated operating revenue in 2021 (9 percent in 2020).</w:t>
      </w:r>
    </w:p>
    <w:p>
      <w:pPr>
        <w:spacing w:after="0" w:line="214"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Revenue in 2020 included reserves of $11.7 million for the refund of interim rates collected between January 1, 2020 and April 30, 2020. (See Note 2. Regulatory Matters.)</w:t>
      </w:r>
    </w:p>
    <w:p>
      <w:pPr>
        <w:spacing w:after="0" w:line="197" w:lineRule="exact"/>
        <w:rPr>
          <w:sz w:val="20"/>
          <w:szCs w:val="20"/>
          <w:color w:val="auto"/>
        </w:rPr>
      </w:pPr>
    </w:p>
    <w:p>
      <w:pPr>
        <w:jc w:val="both"/>
        <w:ind w:left="340"/>
        <w:spacing w:after="0" w:line="248" w:lineRule="auto"/>
        <w:rPr>
          <w:sz w:val="20"/>
          <w:szCs w:val="20"/>
          <w:color w:val="auto"/>
        </w:rPr>
      </w:pPr>
      <w:r>
        <w:rPr>
          <w:rFonts w:ascii="Arial" w:cs="Arial" w:eastAsia="Arial" w:hAnsi="Arial"/>
          <w:sz w:val="18"/>
          <w:szCs w:val="18"/>
          <w:color w:val="auto"/>
        </w:rPr>
        <w:t>Cost recovery rider revenue increased $7.1 million primarily due to fewer production tax credits recognized by Minnesota Power. If production tax credits are recognized at a level below those assumed in Minnesota Power’s base rates, an increase in cost recovery rider revenue is recognized to offset the impact of lower production tax credits on income tax expense.</w:t>
      </w:r>
    </w:p>
    <w:p>
      <w:pPr>
        <w:spacing w:after="0" w:line="209"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color w:val="auto"/>
        </w:rPr>
        <w:t>Transmission revenue related to GNTL increased $5.5 million primarily due to recovery of related expenses resulting from the GNTL being placed into service in June 2020.</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$73.0 million, or 39 percent, from 2020.</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increased $59.6 million, or 86 percent, from 2020 primarily due to higher kWh sales and higher</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power prices. Fuel and purchased power expense related to our retail and municipal customers is recovered through the fuel adjustment clause.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Transmission Services – Utility </w:t>
      </w:r>
      <w:r>
        <w:rPr>
          <w:rFonts w:ascii="Arial" w:cs="Arial" w:eastAsia="Arial" w:hAnsi="Arial"/>
          <w:sz w:val="18"/>
          <w:szCs w:val="18"/>
          <w:color w:val="auto"/>
        </w:rPr>
        <w:t>expense increased $2.8 million, or 17 percent, from 2020 primarily due to higher MISO-related expense.</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increased $7.3 million, or 15 percent, from 2020 primarily due to an increase in contract and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for planned maintenance at generation facilities and higher vegetation management expenses. In addition, 2021 included higher labor and benefit expenses as well as increased conservation improvement program expenses as compared to 2020.</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$2.6 million, or 20 percent, from 2020 primarily due to higher property tax expense resulting from the GNTL</w:t>
      </w:r>
      <w:r>
        <w:rPr>
          <w:rFonts w:ascii="Arial" w:cs="Arial" w:eastAsia="Arial" w:hAnsi="Arial"/>
          <w:sz w:val="18"/>
          <w:szCs w:val="18"/>
          <w:i w:val="1"/>
          <w:iCs w:val="1"/>
          <w:color w:val="auto"/>
        </w:rPr>
        <w:t xml:space="preserve"> </w:t>
      </w:r>
      <w:r>
        <w:rPr>
          <w:rFonts w:ascii="Arial" w:cs="Arial" w:eastAsia="Arial" w:hAnsi="Arial"/>
          <w:sz w:val="18"/>
          <w:szCs w:val="18"/>
          <w:color w:val="auto"/>
        </w:rPr>
        <w:t>being placed into service in June 2020.</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w:t>
      </w:r>
      <w:r>
        <w:rPr>
          <w:rFonts w:ascii="Arial" w:cs="Arial" w:eastAsia="Arial" w:hAnsi="Arial"/>
          <w:sz w:val="18"/>
          <w:szCs w:val="18"/>
          <w:color w:val="auto"/>
        </w:rPr>
        <w:t>decreased $1.2 million, or 19 percent, from 2020 primarily due to period over period changes in ATC’s estimate of a refund liability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the FERC decision on MISO return on equity complaints in 2020.</w:t>
      </w:r>
    </w:p>
    <w:p>
      <w:pPr>
        <w:spacing w:after="0" w:line="19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decreased $2.7 million from 2020 primarily due to lower production tax credits and higher pre-tax income, partially offset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timing of income taxes in 2021 compared to 2020. The income tax benefit in 2020 included additional income tax expense recorded in 2020 as GAAP requires the recognition of income taxes at the estimated annual effective tax rate.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expect our annual effective tax rate in 2021 to be a lower income tax benefit than in 2020 primarily due to lower production tax credits.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QUARTER ENDED JUNE 30, 2021 AND 2020 (Continued)</w:t>
            </w:r>
          </w:p>
        </w:tc>
        <w:tc>
          <w:tcPr>
            <w:tcW w:w="2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59"/>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2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4"/>
        </w:trPr>
        <w:tc>
          <w:tcPr>
            <w:tcW w:w="440" w:type="dxa"/>
            <w:vAlign w:val="bottom"/>
          </w:tcPr>
          <w:p>
            <w:pPr>
              <w:spacing w:after="0"/>
              <w:rPr>
                <w:sz w:val="24"/>
                <w:szCs w:val="24"/>
                <w:color w:val="auto"/>
              </w:rPr>
            </w:pPr>
          </w:p>
        </w:tc>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232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2021</w:t>
            </w: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440" w:type="dxa"/>
            <w:vAlign w:val="bottom"/>
          </w:tcPr>
          <w:p>
            <w:pPr>
              <w:spacing w:after="0"/>
              <w:rPr>
                <w:sz w:val="19"/>
                <w:szCs w:val="19"/>
                <w:color w:val="auto"/>
              </w:rPr>
            </w:pPr>
          </w:p>
        </w:tc>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440" w:type="dxa"/>
            <w:vAlign w:val="bottom"/>
          </w:tcPr>
          <w:p>
            <w:pPr>
              <w:spacing w:after="0"/>
              <w:rPr>
                <w:sz w:val="19"/>
                <w:szCs w:val="19"/>
                <w:color w:val="auto"/>
              </w:rPr>
            </w:pPr>
          </w:p>
        </w:tc>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440" w:type="dxa"/>
            <w:vAlign w:val="bottom"/>
          </w:tcPr>
          <w:p>
            <w:pPr>
              <w:spacing w:after="0"/>
              <w:rPr>
                <w:sz w:val="19"/>
                <w:szCs w:val="19"/>
                <w:color w:val="auto"/>
              </w:rPr>
            </w:pPr>
          </w:p>
        </w:tc>
        <w:tc>
          <w:tcPr>
            <w:tcW w:w="7700" w:type="dxa"/>
            <w:vAlign w:val="bottom"/>
          </w:tcPr>
          <w:p>
            <w:pPr>
              <w:ind w:left="220"/>
              <w:spacing w:after="0"/>
              <w:rPr>
                <w:sz w:val="20"/>
                <w:szCs w:val="20"/>
                <w:color w:val="auto"/>
              </w:rPr>
            </w:pPr>
            <w:r>
              <w:rPr>
                <w:rFonts w:ascii="Arial" w:cs="Arial" w:eastAsia="Arial" w:hAnsi="Arial"/>
                <w:sz w:val="18"/>
                <w:szCs w:val="18"/>
                <w:color w:val="auto"/>
              </w:rPr>
              <w:t>Contracts with Customers – Non-utility</w:t>
            </w:r>
          </w:p>
        </w:tc>
        <w:tc>
          <w:tcPr>
            <w:tcW w:w="2320" w:type="dxa"/>
            <w:vAlign w:val="bottom"/>
          </w:tcPr>
          <w:p>
            <w:pPr>
              <w:jc w:val="right"/>
              <w:ind w:right="290"/>
              <w:spacing w:after="0"/>
              <w:rPr>
                <w:sz w:val="20"/>
                <w:szCs w:val="20"/>
                <w:color w:val="auto"/>
              </w:rPr>
            </w:pPr>
            <w:r>
              <w:rPr>
                <w:rFonts w:ascii="Arial" w:cs="Arial" w:eastAsia="Arial" w:hAnsi="Arial"/>
                <w:sz w:val="18"/>
                <w:szCs w:val="18"/>
                <w:color w:val="auto"/>
              </w:rPr>
              <w:t>$18.7</w:t>
            </w:r>
          </w:p>
        </w:tc>
        <w:tc>
          <w:tcPr>
            <w:tcW w:w="7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440" w:type="dxa"/>
            <w:vAlign w:val="bottom"/>
          </w:tcPr>
          <w:p>
            <w:pPr>
              <w:spacing w:after="0"/>
              <w:rPr>
                <w:sz w:val="19"/>
                <w:szCs w:val="19"/>
                <w:color w:val="auto"/>
              </w:rPr>
            </w:pPr>
          </w:p>
        </w:tc>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Other – Non-utility </w:t>
            </w:r>
            <w:r>
              <w:rPr>
                <w:rFonts w:ascii="Arial" w:cs="Arial" w:eastAsia="Arial" w:hAnsi="Arial"/>
                <w:sz w:val="16"/>
                <w:szCs w:val="16"/>
                <w:i w:val="1"/>
                <w:iCs w:val="1"/>
                <w:color w:val="auto"/>
              </w:rPr>
              <w:t>(a)</w:t>
            </w:r>
          </w:p>
        </w:tc>
        <w:tc>
          <w:tcPr>
            <w:tcW w:w="2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440" w:type="dxa"/>
            <w:vAlign w:val="bottom"/>
          </w:tcPr>
          <w:p>
            <w:pPr>
              <w:spacing w:after="0"/>
              <w:rPr>
                <w:sz w:val="19"/>
                <w:szCs w:val="19"/>
                <w:color w:val="auto"/>
              </w:rPr>
            </w:pPr>
          </w:p>
        </w:tc>
        <w:tc>
          <w:tcPr>
            <w:tcW w:w="770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320" w:type="dxa"/>
            <w:vAlign w:val="bottom"/>
          </w:tcPr>
          <w:p>
            <w:pPr>
              <w:jc w:val="right"/>
              <w:ind w:right="290"/>
              <w:spacing w:after="0"/>
              <w:rPr>
                <w:sz w:val="20"/>
                <w:szCs w:val="20"/>
                <w:color w:val="auto"/>
              </w:rPr>
            </w:pPr>
            <w:r>
              <w:rPr>
                <w:rFonts w:ascii="Arial" w:cs="Arial" w:eastAsia="Arial" w:hAnsi="Arial"/>
                <w:sz w:val="18"/>
                <w:szCs w:val="18"/>
                <w:color w:val="auto"/>
              </w:rPr>
              <w:t>9.2</w:t>
            </w:r>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440" w:type="dxa"/>
            <w:vAlign w:val="bottom"/>
          </w:tcPr>
          <w:p>
            <w:pPr>
              <w:spacing w:after="0"/>
              <w:rPr>
                <w:sz w:val="19"/>
                <w:szCs w:val="19"/>
                <w:color w:val="auto"/>
              </w:rPr>
            </w:pPr>
          </w:p>
        </w:tc>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440" w:type="dxa"/>
            <w:vAlign w:val="bottom"/>
          </w:tcPr>
          <w:p>
            <w:pPr>
              <w:spacing w:after="0"/>
              <w:rPr>
                <w:sz w:val="19"/>
                <w:szCs w:val="19"/>
                <w:color w:val="auto"/>
              </w:rPr>
            </w:pPr>
          </w:p>
        </w:tc>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and Other</w:t>
            </w:r>
          </w:p>
        </w:tc>
        <w:tc>
          <w:tcPr>
            <w:tcW w:w="2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440" w:type="dxa"/>
            <w:vAlign w:val="bottom"/>
          </w:tcPr>
          <w:p>
            <w:pPr>
              <w:spacing w:after="0"/>
              <w:rPr>
                <w:sz w:val="19"/>
                <w:szCs w:val="19"/>
                <w:color w:val="auto"/>
              </w:rPr>
            </w:pPr>
          </w:p>
        </w:tc>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 (Loss)</w:t>
            </w:r>
          </w:p>
        </w:tc>
        <w:tc>
          <w:tcPr>
            <w:tcW w:w="232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(1.4)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0" w:type="dxa"/>
            <w:vAlign w:val="bottom"/>
          </w:tcPr>
          <w:p>
            <w:pPr>
              <w:spacing w:after="0"/>
              <w:rPr>
                <w:sz w:val="19"/>
                <w:szCs w:val="19"/>
                <w:color w:val="auto"/>
              </w:rPr>
            </w:pPr>
          </w:p>
        </w:tc>
        <w:tc>
          <w:tcPr>
            <w:tcW w:w="77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320" w:type="dxa"/>
            <w:vAlign w:val="bottom"/>
          </w:tcPr>
          <w:p>
            <w:pPr>
              <w:ind w:left="1640"/>
              <w:spacing w:after="0"/>
              <w:rPr>
                <w:sz w:val="20"/>
                <w:szCs w:val="20"/>
                <w:color w:val="auto"/>
              </w:rPr>
            </w:pPr>
            <w:r>
              <w:rPr>
                <w:rFonts w:ascii="Arial" w:cs="Arial" w:eastAsia="Arial" w:hAnsi="Arial"/>
                <w:sz w:val="18"/>
                <w:szCs w:val="18"/>
                <w:color w:val="auto"/>
              </w:rPr>
              <w:t>(0.4)</w:t>
            </w:r>
          </w:p>
        </w:tc>
        <w:tc>
          <w:tcPr>
            <w:tcW w:w="780" w:type="dxa"/>
            <w:vAlign w:val="bottom"/>
          </w:tcPr>
          <w:p>
            <w:pPr>
              <w:ind w:left="400"/>
              <w:spacing w:after="0"/>
              <w:rPr>
                <w:sz w:val="20"/>
                <w:szCs w:val="20"/>
                <w:color w:val="auto"/>
              </w:rPr>
            </w:pPr>
            <w:r>
              <w:rPr>
                <w:rFonts w:ascii="Arial" w:cs="Arial" w:eastAsia="Arial" w:hAnsi="Arial"/>
                <w:sz w:val="18"/>
                <w:szCs w:val="18"/>
                <w:color w:val="auto"/>
                <w:w w:val="97"/>
              </w:rPr>
              <w:t>(0.5)</w:t>
            </w:r>
          </w:p>
        </w:tc>
      </w:tr>
      <w:tr>
        <w:trPr>
          <w:trHeight w:val="229"/>
        </w:trPr>
        <w:tc>
          <w:tcPr>
            <w:tcW w:w="440" w:type="dxa"/>
            <w:vAlign w:val="bottom"/>
          </w:tcPr>
          <w:p>
            <w:pPr>
              <w:spacing w:after="0"/>
              <w:rPr>
                <w:sz w:val="19"/>
                <w:szCs w:val="19"/>
                <w:color w:val="auto"/>
              </w:rPr>
            </w:pPr>
          </w:p>
        </w:tc>
        <w:tc>
          <w:tcPr>
            <w:tcW w:w="7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3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0" w:type="dxa"/>
            <w:vAlign w:val="bottom"/>
          </w:tcPr>
          <w:p>
            <w:pPr>
              <w:spacing w:after="0"/>
              <w:rPr>
                <w:sz w:val="19"/>
                <w:szCs w:val="19"/>
                <w:color w:val="auto"/>
              </w:rPr>
            </w:pPr>
          </w:p>
        </w:tc>
        <w:tc>
          <w:tcPr>
            <w:tcW w:w="7700" w:type="dxa"/>
            <w:vAlign w:val="bottom"/>
          </w:tcPr>
          <w:p>
            <w:pPr>
              <w:ind w:left="220"/>
              <w:spacing w:after="0"/>
              <w:rPr>
                <w:sz w:val="20"/>
                <w:szCs w:val="20"/>
                <w:color w:val="auto"/>
              </w:rPr>
            </w:pPr>
            <w:r>
              <w:rPr>
                <w:rFonts w:ascii="Arial" w:cs="Arial" w:eastAsia="Arial" w:hAnsi="Arial"/>
                <w:sz w:val="18"/>
                <w:szCs w:val="18"/>
                <w:color w:val="auto"/>
              </w:rPr>
              <w:t>Loss Before Income Taxes</w:t>
            </w:r>
          </w:p>
        </w:tc>
        <w:tc>
          <w:tcPr>
            <w:tcW w:w="2320" w:type="dxa"/>
            <w:vAlign w:val="bottom"/>
          </w:tcPr>
          <w:p>
            <w:pPr>
              <w:ind w:left="1640"/>
              <w:spacing w:after="0"/>
              <w:rPr>
                <w:sz w:val="20"/>
                <w:szCs w:val="20"/>
                <w:color w:val="auto"/>
              </w:rPr>
            </w:pPr>
            <w:r>
              <w:rPr>
                <w:rFonts w:ascii="Arial" w:cs="Arial" w:eastAsia="Arial" w:hAnsi="Arial"/>
                <w:sz w:val="18"/>
                <w:szCs w:val="18"/>
                <w:color w:val="auto"/>
              </w:rPr>
              <w:t>(1.7)</w:t>
            </w:r>
          </w:p>
        </w:tc>
        <w:tc>
          <w:tcPr>
            <w:tcW w:w="780" w:type="dxa"/>
            <w:vAlign w:val="bottom"/>
          </w:tcPr>
          <w:p>
            <w:pPr>
              <w:ind w:left="400"/>
              <w:spacing w:after="0"/>
              <w:rPr>
                <w:sz w:val="20"/>
                <w:szCs w:val="20"/>
                <w:color w:val="auto"/>
              </w:rPr>
            </w:pPr>
            <w:r>
              <w:rPr>
                <w:rFonts w:ascii="Arial" w:cs="Arial" w:eastAsia="Arial" w:hAnsi="Arial"/>
                <w:sz w:val="18"/>
                <w:szCs w:val="18"/>
                <w:color w:val="auto"/>
                <w:w w:val="97"/>
              </w:rPr>
              <w:t>(0.5)</w:t>
            </w:r>
          </w:p>
        </w:tc>
      </w:tr>
      <w:tr>
        <w:trPr>
          <w:trHeight w:val="229"/>
        </w:trPr>
        <w:tc>
          <w:tcPr>
            <w:tcW w:w="440" w:type="dxa"/>
            <w:vAlign w:val="bottom"/>
          </w:tcPr>
          <w:p>
            <w:pPr>
              <w:spacing w:after="0"/>
              <w:rPr>
                <w:sz w:val="19"/>
                <w:szCs w:val="19"/>
                <w:color w:val="auto"/>
              </w:rPr>
            </w:pPr>
          </w:p>
        </w:tc>
        <w:tc>
          <w:tcPr>
            <w:tcW w:w="7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320" w:type="dxa"/>
            <w:vAlign w:val="bottom"/>
            <w:tcBorders>
              <w:bottom w:val="single" w:sz="8" w:color="auto"/>
            </w:tcBorders>
            <w:shd w:val="clear" w:color="auto" w:fill="CCEEFF"/>
          </w:tcPr>
          <w:p>
            <w:pPr>
              <w:ind w:left="1640"/>
              <w:spacing w:after="0"/>
              <w:rPr>
                <w:sz w:val="20"/>
                <w:szCs w:val="20"/>
                <w:color w:val="auto"/>
              </w:rPr>
            </w:pPr>
            <w:r>
              <w:rPr>
                <w:rFonts w:ascii="Arial" w:cs="Arial" w:eastAsia="Arial" w:hAnsi="Arial"/>
                <w:sz w:val="18"/>
                <w:szCs w:val="18"/>
                <w:color w:val="auto"/>
              </w:rPr>
              <w:t>(2.6)</w:t>
            </w:r>
          </w:p>
        </w:tc>
        <w:tc>
          <w:tcPr>
            <w:tcW w:w="7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7"/>
              </w:rPr>
              <w:t>(1.3)</w:t>
            </w:r>
          </w:p>
        </w:tc>
      </w:tr>
      <w:tr>
        <w:trPr>
          <w:trHeight w:val="223"/>
        </w:trPr>
        <w:tc>
          <w:tcPr>
            <w:tcW w:w="440" w:type="dxa"/>
            <w:vAlign w:val="bottom"/>
          </w:tcPr>
          <w:p>
            <w:pPr>
              <w:spacing w:after="0"/>
              <w:rPr>
                <w:sz w:val="19"/>
                <w:szCs w:val="19"/>
                <w:color w:val="auto"/>
              </w:rPr>
            </w:pPr>
          </w:p>
        </w:tc>
        <w:tc>
          <w:tcPr>
            <w:tcW w:w="77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w:t>
            </w:r>
          </w:p>
        </w:tc>
        <w:tc>
          <w:tcPr>
            <w:tcW w:w="2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0.9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440" w:type="dxa"/>
            <w:vAlign w:val="bottom"/>
          </w:tcPr>
          <w:p>
            <w:pPr>
              <w:spacing w:after="0"/>
              <w:rPr>
                <w:sz w:val="19"/>
                <w:szCs w:val="19"/>
                <w:color w:val="auto"/>
              </w:rPr>
            </w:pPr>
          </w:p>
        </w:tc>
        <w:tc>
          <w:tcPr>
            <w:tcW w:w="7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2320" w:type="dxa"/>
            <w:vAlign w:val="bottom"/>
            <w:tcBorders>
              <w:bottom w:val="single" w:sz="8" w:color="auto"/>
            </w:tcBorders>
            <w:shd w:val="clear" w:color="auto" w:fill="CCEEFF"/>
          </w:tcPr>
          <w:p>
            <w:pPr>
              <w:ind w:left="1640"/>
              <w:spacing w:after="0"/>
              <w:rPr>
                <w:sz w:val="20"/>
                <w:szCs w:val="20"/>
                <w:color w:val="auto"/>
              </w:rPr>
            </w:pPr>
            <w:r>
              <w:rPr>
                <w:rFonts w:ascii="Arial" w:cs="Arial" w:eastAsia="Arial" w:hAnsi="Arial"/>
                <w:sz w:val="18"/>
                <w:szCs w:val="18"/>
                <w:color w:val="auto"/>
              </w:rPr>
              <w:t>(4.2)</w:t>
            </w:r>
          </w:p>
        </w:tc>
        <w:tc>
          <w:tcPr>
            <w:tcW w:w="7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7"/>
              </w:rPr>
              <w:t>(3.2)</w:t>
            </w:r>
          </w:p>
        </w:tc>
      </w:tr>
      <w:tr>
        <w:trPr>
          <w:trHeight w:val="223"/>
        </w:trPr>
        <w:tc>
          <w:tcPr>
            <w:tcW w:w="440" w:type="dxa"/>
            <w:vAlign w:val="bottom"/>
          </w:tcPr>
          <w:p>
            <w:pPr>
              <w:spacing w:after="0"/>
              <w:rPr>
                <w:sz w:val="19"/>
                <w:szCs w:val="19"/>
                <w:color w:val="auto"/>
              </w:rPr>
            </w:pPr>
          </w:p>
        </w:tc>
        <w:tc>
          <w:tcPr>
            <w:tcW w:w="77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 Attributable to ALLETE</w:t>
            </w:r>
          </w:p>
        </w:tc>
        <w:tc>
          <w:tcPr>
            <w:tcW w:w="2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bl>
    <w:p>
      <w:pPr>
        <w:spacing w:after="0" w:line="9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Represents non-cash amortization of differences between contract prices and estimated market prices on assumed PSAs.</w:t>
      </w:r>
    </w:p>
    <w:p>
      <w:pPr>
        <w:spacing w:after="0" w:line="244"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$4.0 million, or 23 percent, from 2020 primarily due to revenue from the Diamond Spring wind energy facility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commenced operations in December 2020.</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b w:val="1"/>
                <w:bCs w:val="1"/>
                <w:color w:val="auto"/>
                <w:w w:val="94"/>
              </w:rPr>
              <w:t>Quarter Ended June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2780" w:type="dxa"/>
            <w:vAlign w:val="bottom"/>
            <w:tcBorders>
              <w:bottom w:val="single" w:sz="8" w:color="auto"/>
            </w:tcBorders>
            <w:gridSpan w:val="2"/>
          </w:tcPr>
          <w:p>
            <w:pPr>
              <w:jc w:val="right"/>
              <w:ind w:right="1330"/>
              <w:spacing w:after="0"/>
              <w:rPr>
                <w:sz w:val="20"/>
                <w:szCs w:val="20"/>
                <w:color w:val="auto"/>
              </w:rPr>
            </w:pPr>
            <w:r>
              <w:rPr>
                <w:rFonts w:ascii="Arial" w:cs="Arial" w:eastAsia="Arial" w:hAnsi="Arial"/>
                <w:sz w:val="18"/>
                <w:szCs w:val="18"/>
                <w:b w:val="1"/>
                <w:bCs w:val="1"/>
                <w:color w:val="auto"/>
              </w:rPr>
              <w:t>2021</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kWh</w:t>
            </w:r>
          </w:p>
        </w:tc>
        <w:tc>
          <w:tcPr>
            <w:tcW w:w="1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Revenue</w:t>
            </w: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kWh</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Wind Energy Regions</w:t>
            </w:r>
          </w:p>
        </w:tc>
        <w:tc>
          <w:tcPr>
            <w:tcW w:w="1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East</w:t>
            </w:r>
          </w:p>
        </w:tc>
        <w:tc>
          <w:tcPr>
            <w:tcW w:w="1260" w:type="dxa"/>
            <w:vAlign w:val="bottom"/>
          </w:tcPr>
          <w:p>
            <w:pPr>
              <w:jc w:val="right"/>
              <w:spacing w:after="0"/>
              <w:rPr>
                <w:sz w:val="20"/>
                <w:szCs w:val="20"/>
                <w:color w:val="auto"/>
              </w:rPr>
            </w:pPr>
            <w:r>
              <w:rPr>
                <w:rFonts w:ascii="Arial" w:cs="Arial" w:eastAsia="Arial" w:hAnsi="Arial"/>
                <w:sz w:val="18"/>
                <w:szCs w:val="18"/>
                <w:color w:val="auto"/>
              </w:rPr>
              <w:t>47.9</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$4.3</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57.1</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Midwest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8.1</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207.4</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South</w:t>
            </w:r>
          </w:p>
        </w:tc>
        <w:tc>
          <w:tcPr>
            <w:tcW w:w="1260" w:type="dxa"/>
            <w:vAlign w:val="bottom"/>
          </w:tcPr>
          <w:p>
            <w:pPr>
              <w:jc w:val="right"/>
              <w:spacing w:after="0"/>
              <w:rPr>
                <w:sz w:val="20"/>
                <w:szCs w:val="20"/>
                <w:color w:val="auto"/>
              </w:rPr>
            </w:pPr>
            <w:r>
              <w:rPr>
                <w:rFonts w:ascii="Arial" w:cs="Arial" w:eastAsia="Arial" w:hAnsi="Arial"/>
                <w:sz w:val="18"/>
                <w:szCs w:val="18"/>
                <w:color w:val="auto"/>
              </w:rPr>
              <w:t>237.4</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4.2</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West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5.0</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202.5</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Production and Operating Revenue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674.5</w:t>
            </w: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$21.6</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467.0</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and Maintenance </w:t>
      </w:r>
      <w:r>
        <w:rPr>
          <w:rFonts w:ascii="Arial" w:cs="Arial" w:eastAsia="Arial" w:hAnsi="Arial"/>
          <w:sz w:val="18"/>
          <w:szCs w:val="18"/>
          <w:color w:val="auto"/>
        </w:rPr>
        <w:t>expense increased $1.4 million, or 18 percent, from 2020 primarily due to operating and maintenance expenses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Diamond Spring wind energy facility.</w:t>
      </w:r>
    </w:p>
    <w:p>
      <w:pPr>
        <w:spacing w:after="0" w:line="197"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expense increased $3.3 million, or 37 percent, from 2020 primarily due to additional property, plant and equipment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related to the Diamond Spring wind energy facility.</w:t>
      </w:r>
    </w:p>
    <w:p>
      <w:pPr>
        <w:spacing w:after="0" w:line="197" w:lineRule="exact"/>
        <w:rPr>
          <w:sz w:val="20"/>
          <w:szCs w:val="20"/>
          <w:color w:val="auto"/>
        </w:rPr>
      </w:pPr>
    </w:p>
    <w:p>
      <w:pPr>
        <w:ind w:left="340"/>
        <w:spacing w:after="0" w:line="342" w:lineRule="auto"/>
        <w:rPr>
          <w:sz w:val="20"/>
          <w:szCs w:val="20"/>
          <w:color w:val="auto"/>
        </w:rPr>
      </w:pPr>
      <w:r>
        <w:rPr>
          <w:rFonts w:ascii="Arial" w:cs="Arial" w:eastAsia="Arial" w:hAnsi="Arial"/>
          <w:sz w:val="16"/>
          <w:szCs w:val="16"/>
          <w:b w:val="1"/>
          <w:bCs w:val="1"/>
          <w:i w:val="1"/>
          <w:iCs w:val="1"/>
          <w:color w:val="auto"/>
        </w:rPr>
        <w:t xml:space="preserve">Income Tax Benefit </w:t>
      </w:r>
      <w:r>
        <w:rPr>
          <w:rFonts w:ascii="Arial" w:cs="Arial" w:eastAsia="Arial" w:hAnsi="Arial"/>
          <w:sz w:val="16"/>
          <w:szCs w:val="16"/>
          <w:color w:val="auto"/>
        </w:rPr>
        <w:t>increased $1.3 million from 2020 primarily due to the timing of income taxes in 2021 compared to 2020. The income tax benefit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2021 included additional income tax benefit recorded as GAAP requires the recognition of income taxes at the estimated annual effective tax rate.</w:t>
      </w:r>
    </w:p>
    <w:p>
      <w:pPr>
        <w:spacing w:after="0" w:line="15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 xml:space="preserve">Net Loss Attributable to Non-Controlling Interest </w:t>
      </w:r>
      <w:r>
        <w:rPr>
          <w:rFonts w:ascii="Arial" w:cs="Arial" w:eastAsia="Arial" w:hAnsi="Arial"/>
          <w:sz w:val="18"/>
          <w:szCs w:val="18"/>
          <w:color w:val="auto"/>
        </w:rPr>
        <w:t>increased $1.0 million from 2020 reflecting net losses attributable to non-controlling interest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Diamond Spring wind energy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$1.2 million, or 5 percent, from 2020 primarily due to lower revenue at BNI Energy, which operates under cost-plus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fixed fee contracts, as a result of lower expenses and fewer tons sold in 2021 compared to 2020.</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Second Quarter 2021 Form 10-Q</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COMPARISON OF THE QUARTER ENDED JUNE 30, 2021 AND 2020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(Continued)</w:t>
      </w:r>
    </w:p>
    <w:p>
      <w:pPr>
        <w:spacing w:after="0" w:line="238"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b w:val="1"/>
          <w:bCs w:val="1"/>
          <w:i w:val="1"/>
          <w:iCs w:val="1"/>
          <w:color w:val="auto"/>
        </w:rPr>
        <w:t xml:space="preserve">Net Income Attributable to ALLETE </w:t>
      </w:r>
      <w:r>
        <w:rPr>
          <w:rFonts w:ascii="Arial" w:cs="Arial" w:eastAsia="Arial" w:hAnsi="Arial"/>
          <w:sz w:val="16"/>
          <w:szCs w:val="16"/>
          <w:color w:val="auto"/>
        </w:rPr>
        <w:t>decreased $3.7 million from 2020 primarily due to lower earnings from marketable equity securities held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benefit trusts as well as additional income tax expense recorded in 2021 as GAAP requires the recognition of income taxes at the estimated annual effective tax rate. These decreases were partially offset by earnings from our investment in Nobles 2 which commenced operations in December 2020. Net income at BNI Energy was $1.8 million in 2021 compared to $2.5 million in 2020 reflecting lower earnings from marketable equity securities held in benefit trusts in 2021. The net loss at ALLETE Properties was $0.4 million in 2021 compared to a net loss of $0.5 million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quarter ended June 30, 2021, the effective tax rate was a benefit of 22.6 percent (benefit of 102.4 percent for the quarter ended June 30, 2020).</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effective tax rate for 2021 was a lower benefit primarily due to lower production tax credits.</w:t>
      </w:r>
    </w:p>
    <w:p>
      <w:pPr>
        <w:spacing w:after="0" w:line="209" w:lineRule="exact"/>
        <w:rPr>
          <w:sz w:val="20"/>
          <w:szCs w:val="20"/>
          <w:color w:val="auto"/>
        </w:rPr>
      </w:pPr>
    </w:p>
    <w:p>
      <w:pPr>
        <w:jc w:val="both"/>
        <w:ind w:left="340"/>
        <w:spacing w:after="0" w:line="235" w:lineRule="auto"/>
        <w:rPr>
          <w:sz w:val="20"/>
          <w:szCs w:val="20"/>
          <w:color w:val="auto"/>
        </w:rPr>
      </w:pPr>
      <w:r>
        <w:rPr>
          <w:rFonts w:ascii="Arial" w:cs="Arial" w:eastAsia="Arial" w:hAnsi="Arial"/>
          <w:sz w:val="18"/>
          <w:szCs w:val="18"/>
          <w:color w:val="auto"/>
        </w:rPr>
        <w:t>We expect our annual effective tax rate in 2021 to be a lower income tax benefit than in 2020 primarily due to lower production tax credits. The estimated annual effective tax rate can differ from what a quarterly effective tax rate would otherwise be on a standalone basis, and this may cause quarter to quarter differences in the timing of income taxes.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SIX MONTHS ENDED JUNE 30, 2021 AND 2020</w:t>
            </w:r>
          </w:p>
        </w:tc>
        <w:tc>
          <w:tcPr>
            <w:tcW w:w="26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7720" w:type="dxa"/>
            <w:vAlign w:val="bottom"/>
            <w:gridSpan w:val="2"/>
          </w:tcPr>
          <w:p>
            <w:pPr>
              <w:spacing w:after="0"/>
              <w:rPr>
                <w:sz w:val="20"/>
                <w:szCs w:val="20"/>
                <w:color w:val="auto"/>
              </w:rPr>
            </w:pPr>
            <w:r>
              <w:rPr>
                <w:rFonts w:ascii="Arial" w:cs="Arial" w:eastAsia="Arial" w:hAnsi="Arial"/>
                <w:sz w:val="18"/>
                <w:szCs w:val="18"/>
                <w:color w:val="auto"/>
              </w:rPr>
              <w:t>(See Note 10. Business Segments for financial results by segment.)</w:t>
            </w:r>
          </w:p>
        </w:tc>
        <w:tc>
          <w:tcPr>
            <w:tcW w:w="26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9"/>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6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1"/>
        </w:trPr>
        <w:tc>
          <w:tcPr>
            <w:tcW w:w="440" w:type="dxa"/>
            <w:vAlign w:val="bottom"/>
          </w:tcPr>
          <w:p>
            <w:pPr>
              <w:spacing w:after="0"/>
              <w:rPr>
                <w:sz w:val="24"/>
                <w:szCs w:val="24"/>
                <w:color w:val="auto"/>
              </w:rPr>
            </w:pPr>
          </w:p>
        </w:tc>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2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440" w:type="dxa"/>
            <w:vAlign w:val="bottom"/>
          </w:tcPr>
          <w:p>
            <w:pPr>
              <w:spacing w:after="0"/>
              <w:rPr>
                <w:sz w:val="19"/>
                <w:szCs w:val="19"/>
                <w:color w:val="auto"/>
              </w:rPr>
            </w:pPr>
          </w:p>
        </w:tc>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6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$583.4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w:t>
            </w:r>
          </w:p>
        </w:tc>
      </w:tr>
      <w:tr>
        <w:trPr>
          <w:trHeight w:val="230"/>
        </w:trPr>
        <w:tc>
          <w:tcPr>
            <w:tcW w:w="440" w:type="dxa"/>
            <w:vAlign w:val="bottom"/>
          </w:tcPr>
          <w:p>
            <w:pPr>
              <w:spacing w:after="0"/>
              <w:rPr>
                <w:sz w:val="19"/>
                <w:szCs w:val="19"/>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680" w:type="dxa"/>
            <w:vAlign w:val="bottom"/>
          </w:tcPr>
          <w:p>
            <w:pPr>
              <w:jc w:val="right"/>
              <w:ind w:right="230"/>
              <w:spacing w:after="0"/>
              <w:rPr>
                <w:sz w:val="20"/>
                <w:szCs w:val="20"/>
                <w:color w:val="auto"/>
              </w:rPr>
            </w:pPr>
            <w:r>
              <w:rPr>
                <w:rFonts w:ascii="Arial" w:cs="Arial" w:eastAsia="Arial" w:hAnsi="Arial"/>
                <w:sz w:val="18"/>
                <w:szCs w:val="18"/>
                <w:color w:val="auto"/>
              </w:rPr>
              <w:t>249.3</w:t>
            </w:r>
          </w:p>
        </w:tc>
        <w:tc>
          <w:tcPr>
            <w:tcW w:w="840" w:type="dxa"/>
            <w:vAlign w:val="bottom"/>
          </w:tcPr>
          <w:p>
            <w:pPr>
              <w:jc w:val="right"/>
              <w:spacing w:after="0"/>
              <w:rPr>
                <w:sz w:val="20"/>
                <w:szCs w:val="20"/>
                <w:color w:val="auto"/>
              </w:rPr>
            </w:pPr>
            <w:r>
              <w:rPr>
                <w:rFonts w:ascii="Arial" w:cs="Arial" w:eastAsia="Arial" w:hAnsi="Arial"/>
                <w:sz w:val="18"/>
                <w:szCs w:val="18"/>
                <w:color w:val="auto"/>
              </w:rPr>
              <w:t>158.3</w:t>
            </w:r>
          </w:p>
        </w:tc>
      </w:tr>
      <w:tr>
        <w:trPr>
          <w:trHeight w:val="230"/>
        </w:trPr>
        <w:tc>
          <w:tcPr>
            <w:tcW w:w="440" w:type="dxa"/>
            <w:vAlign w:val="bottom"/>
          </w:tcPr>
          <w:p>
            <w:pPr>
              <w:spacing w:after="0"/>
              <w:rPr>
                <w:sz w:val="19"/>
                <w:szCs w:val="19"/>
                <w:color w:val="auto"/>
              </w:rPr>
            </w:pPr>
          </w:p>
        </w:tc>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36.9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29"/>
        </w:trPr>
        <w:tc>
          <w:tcPr>
            <w:tcW w:w="440" w:type="dxa"/>
            <w:vAlign w:val="bottom"/>
          </w:tcPr>
          <w:p>
            <w:pPr>
              <w:spacing w:after="0"/>
              <w:rPr>
                <w:sz w:val="19"/>
                <w:szCs w:val="19"/>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680" w:type="dxa"/>
            <w:vAlign w:val="bottom"/>
          </w:tcPr>
          <w:p>
            <w:pPr>
              <w:jc w:val="right"/>
              <w:ind w:right="230"/>
              <w:spacing w:after="0"/>
              <w:rPr>
                <w:sz w:val="20"/>
                <w:szCs w:val="20"/>
                <w:color w:val="auto"/>
              </w:rPr>
            </w:pPr>
            <w:r>
              <w:rPr>
                <w:rFonts w:ascii="Arial" w:cs="Arial" w:eastAsia="Arial" w:hAnsi="Arial"/>
                <w:sz w:val="18"/>
                <w:szCs w:val="18"/>
                <w:color w:val="auto"/>
              </w:rPr>
              <w:t>105.7</w:t>
            </w:r>
          </w:p>
        </w:tc>
        <w:tc>
          <w:tcPr>
            <w:tcW w:w="840" w:type="dxa"/>
            <w:vAlign w:val="bottom"/>
          </w:tcPr>
          <w:p>
            <w:pPr>
              <w:jc w:val="right"/>
              <w:spacing w:after="0"/>
              <w:rPr>
                <w:sz w:val="20"/>
                <w:szCs w:val="20"/>
                <w:color w:val="auto"/>
              </w:rPr>
            </w:pPr>
            <w:r>
              <w:rPr>
                <w:rFonts w:ascii="Arial" w:cs="Arial" w:eastAsia="Arial" w:hAnsi="Arial"/>
                <w:sz w:val="18"/>
                <w:szCs w:val="18"/>
                <w:color w:val="auto"/>
              </w:rPr>
              <w:t>97.3</w:t>
            </w:r>
          </w:p>
        </w:tc>
      </w:tr>
      <w:tr>
        <w:trPr>
          <w:trHeight w:val="230"/>
        </w:trPr>
        <w:tc>
          <w:tcPr>
            <w:tcW w:w="440" w:type="dxa"/>
            <w:vAlign w:val="bottom"/>
          </w:tcPr>
          <w:p>
            <w:pPr>
              <w:spacing w:after="0"/>
              <w:rPr>
                <w:sz w:val="19"/>
                <w:szCs w:val="19"/>
                <w:color w:val="auto"/>
              </w:rPr>
            </w:pPr>
          </w:p>
        </w:tc>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85.6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r>
      <w:tr>
        <w:trPr>
          <w:trHeight w:val="230"/>
        </w:trPr>
        <w:tc>
          <w:tcPr>
            <w:tcW w:w="440" w:type="dxa"/>
            <w:vAlign w:val="bottom"/>
          </w:tcPr>
          <w:p>
            <w:pPr>
              <w:spacing w:after="0"/>
              <w:rPr>
                <w:sz w:val="19"/>
                <w:szCs w:val="19"/>
                <w:color w:val="auto"/>
              </w:rPr>
            </w:pPr>
          </w:p>
        </w:tc>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Taxes</w:t>
            </w:r>
          </w:p>
        </w:tc>
        <w:tc>
          <w:tcPr>
            <w:tcW w:w="2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31.6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r>
      <w:tr>
        <w:trPr>
          <w:trHeight w:val="223"/>
        </w:trPr>
        <w:tc>
          <w:tcPr>
            <w:tcW w:w="440" w:type="dxa"/>
            <w:vAlign w:val="bottom"/>
          </w:tcPr>
          <w:p>
            <w:pPr>
              <w:spacing w:after="0"/>
              <w:rPr>
                <w:sz w:val="19"/>
                <w:szCs w:val="19"/>
                <w:color w:val="auto"/>
              </w:rPr>
            </w:pPr>
          </w:p>
        </w:tc>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2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74.3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r>
      <w:tr>
        <w:trPr>
          <w:trHeight w:val="230"/>
        </w:trPr>
        <w:tc>
          <w:tcPr>
            <w:tcW w:w="440" w:type="dxa"/>
            <w:vAlign w:val="bottom"/>
          </w:tcPr>
          <w:p>
            <w:pPr>
              <w:spacing w:after="0"/>
              <w:rPr>
                <w:sz w:val="19"/>
                <w:szCs w:val="19"/>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80" w:type="dxa"/>
            <w:vAlign w:val="bottom"/>
          </w:tcPr>
          <w:p>
            <w:pPr>
              <w:jc w:val="right"/>
              <w:ind w:right="170"/>
              <w:spacing w:after="0"/>
              <w:rPr>
                <w:sz w:val="20"/>
                <w:szCs w:val="20"/>
                <w:color w:val="auto"/>
              </w:rPr>
            </w:pPr>
            <w:r>
              <w:rPr>
                <w:rFonts w:ascii="Arial" w:cs="Arial" w:eastAsia="Arial" w:hAnsi="Arial"/>
                <w:sz w:val="18"/>
                <w:szCs w:val="18"/>
                <w:color w:val="auto"/>
              </w:rPr>
              <w:t>(28.6)</w:t>
            </w:r>
          </w:p>
        </w:tc>
        <w:tc>
          <w:tcPr>
            <w:tcW w:w="84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30"/>
        </w:trPr>
        <w:tc>
          <w:tcPr>
            <w:tcW w:w="440" w:type="dxa"/>
            <w:vAlign w:val="bottom"/>
          </w:tcPr>
          <w:p>
            <w:pPr>
              <w:spacing w:after="0"/>
              <w:rPr>
                <w:sz w:val="19"/>
                <w:szCs w:val="19"/>
                <w:color w:val="auto"/>
              </w:rPr>
            </w:pPr>
          </w:p>
        </w:tc>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w:t>
            </w:r>
          </w:p>
        </w:tc>
        <w:tc>
          <w:tcPr>
            <w:tcW w:w="2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440" w:type="dxa"/>
            <w:vAlign w:val="bottom"/>
          </w:tcPr>
          <w:p>
            <w:pPr>
              <w:spacing w:after="0"/>
              <w:rPr>
                <w:sz w:val="19"/>
                <w:szCs w:val="19"/>
                <w:color w:val="auto"/>
              </w:rPr>
            </w:pPr>
          </w:p>
        </w:tc>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w:t>
            </w:r>
          </w:p>
        </w:tc>
        <w:tc>
          <w:tcPr>
            <w:tcW w:w="2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440" w:type="dxa"/>
            <w:vAlign w:val="bottom"/>
          </w:tcPr>
          <w:p>
            <w:pPr>
              <w:spacing w:after="0"/>
              <w:rPr>
                <w:sz w:val="19"/>
                <w:szCs w:val="19"/>
                <w:color w:val="auto"/>
              </w:rPr>
            </w:pPr>
          </w:p>
        </w:tc>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2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59.3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29"/>
        </w:trPr>
        <w:tc>
          <w:tcPr>
            <w:tcW w:w="440" w:type="dxa"/>
            <w:vAlign w:val="bottom"/>
          </w:tcPr>
          <w:p>
            <w:pPr>
              <w:spacing w:after="0"/>
              <w:rPr>
                <w:sz w:val="19"/>
                <w:szCs w:val="19"/>
                <w:color w:val="auto"/>
              </w:rPr>
            </w:pPr>
          </w:p>
        </w:tc>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2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440" w:type="dxa"/>
            <w:vAlign w:val="bottom"/>
          </w:tcPr>
          <w:p>
            <w:pPr>
              <w:spacing w:after="0"/>
              <w:rPr>
                <w:sz w:val="19"/>
                <w:szCs w:val="19"/>
                <w:color w:val="auto"/>
              </w:rPr>
            </w:pPr>
          </w:p>
        </w:tc>
        <w:tc>
          <w:tcPr>
            <w:tcW w:w="72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ALLETE</w:t>
            </w:r>
          </w:p>
        </w:tc>
        <w:tc>
          <w:tcPr>
            <w:tcW w:w="26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$66.5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r>
    </w:tbl>
    <w:p>
      <w:pPr>
        <w:spacing w:after="0" w:line="333" w:lineRule="exact"/>
        <w:rPr>
          <w:sz w:val="20"/>
          <w:szCs w:val="20"/>
          <w:color w:val="auto"/>
        </w:rPr>
      </w:pPr>
    </w:p>
    <w:p>
      <w:pPr>
        <w:jc w:val="both"/>
        <w:ind w:left="340"/>
        <w:spacing w:after="0" w:line="289"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Utility </w:t>
      </w:r>
      <w:r>
        <w:rPr>
          <w:rFonts w:ascii="Arial" w:cs="Arial" w:eastAsia="Arial" w:hAnsi="Arial"/>
          <w:sz w:val="17"/>
          <w:szCs w:val="17"/>
          <w:color w:val="auto"/>
        </w:rPr>
        <w:t>increased $117.3 million from 2020 primarily due to higher fuel adjustment clause recoveries, higher kWh sales,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transmission revenue related to the GNTL, higher cost recovery rider revenue, higher FERC formula-based rates and increased gas sales. Revenue in 2020 also included reserves for the refund of interim rates collected between January 1, 2020 and April 30, 2020.</w:t>
      </w:r>
    </w:p>
    <w:p>
      <w:pPr>
        <w:spacing w:after="0" w:line="189"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Fuel adjustment clause revenue increased $56.2 million due to higher fuel and purchased power costs attributable to retail and municipal customers. (See </w:t>
      </w:r>
      <w:r>
        <w:rPr>
          <w:rFonts w:ascii="Arial" w:cs="Arial" w:eastAsia="Arial" w:hAnsi="Arial"/>
          <w:sz w:val="18"/>
          <w:szCs w:val="18"/>
          <w:i w:val="1"/>
          <w:iCs w:val="1"/>
          <w:color w:val="auto"/>
        </w:rPr>
        <w:t>Fuel, Purchased Power and Gas – Utility.</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COMPARISON OF THE SIX MONTHS ENDED JUNE 30, 2021 AND 2020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8"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Revenue from kWh sales increased $19.1 million from 2020 reflecting higher sales to residential, commercial, industrial and municipal customers as well as other power suppliers. These increases were partially offset by lower revenue related to the expiration of a 100 MW PSA in April 2020. Sales to commercial and industrial customers increased primarily due to improving business conditions related to the COVID-19 pandemic and its impact on customer operations. Many commercial and industrial customers operated at reduced levels or were temporarily closed or idled during 2020 as a result of the COVID-19 pandemic and related governmental responses while business conditions have improved in 2021. These higher sales to commercial and industrial customers were partially offset by lower sales and demand revenue from Verso Corporation which indefinitely idled its paper mill in Duluth, Minnesota, beginning in June 2020. (See Outlook – Regulated Operations – Industrial Customers and Prospective Additional Load.) Sales to residential and municipal customers increased from 2020 primarily due to more favorable weather conditions in 2021 compared to 2020. Sales to other power suppliers, which are sold at market-based prices into the MISO market on a daily basis or through PSAs of various durations, increased primarily due to additional kWh sales made to mitigate the uncertainty of customers’ energy needs and potential load loss due to the COVID-19 pandemic.</w:t>
      </w:r>
    </w:p>
    <w:p>
      <w:pPr>
        <w:spacing w:after="0" w:line="245"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Variance</w:t>
            </w:r>
          </w:p>
        </w:tc>
        <w:tc>
          <w:tcPr>
            <w:tcW w:w="680" w:type="dxa"/>
            <w:vAlign w:val="bottom"/>
          </w:tcPr>
          <w:p>
            <w:pPr>
              <w:spacing w:after="0"/>
              <w:rPr>
                <w:sz w:val="19"/>
                <w:szCs w:val="19"/>
                <w:color w:val="auto"/>
              </w:rPr>
            </w:pPr>
          </w:p>
        </w:tc>
      </w:tr>
      <w:tr>
        <w:trPr>
          <w:trHeight w:val="234"/>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2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Quantity</w:t>
            </w:r>
          </w:p>
        </w:tc>
        <w:tc>
          <w:tcPr>
            <w:tcW w:w="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4920" w:type="dxa"/>
            <w:vAlign w:val="bottom"/>
          </w:tcPr>
          <w:p>
            <w:pPr>
              <w:ind w:left="220"/>
              <w:spacing w:after="0"/>
              <w:rPr>
                <w:sz w:val="20"/>
                <w:szCs w:val="20"/>
                <w:color w:val="auto"/>
              </w:rPr>
            </w:pPr>
            <w:r>
              <w:rPr>
                <w:rFonts w:ascii="Arial" w:cs="Arial" w:eastAsia="Arial" w:hAnsi="Arial"/>
                <w:sz w:val="18"/>
                <w:szCs w:val="18"/>
                <w:color w:val="auto"/>
              </w:rPr>
              <w:t>Retail and Municipal</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Residential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578</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567</w:t>
            </w:r>
          </w:p>
        </w:tc>
        <w:tc>
          <w:tcPr>
            <w:tcW w:w="14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4920" w:type="dxa"/>
            <w:vAlign w:val="bottom"/>
          </w:tcPr>
          <w:p>
            <w:pPr>
              <w:ind w:left="460"/>
              <w:spacing w:after="0"/>
              <w:rPr>
                <w:sz w:val="20"/>
                <w:szCs w:val="20"/>
                <w:color w:val="auto"/>
              </w:rPr>
            </w:pPr>
            <w:r>
              <w:rPr>
                <w:rFonts w:ascii="Arial" w:cs="Arial" w:eastAsia="Arial" w:hAnsi="Arial"/>
                <w:sz w:val="18"/>
                <w:szCs w:val="18"/>
                <w:color w:val="auto"/>
              </w:rPr>
              <w:t>Commercial</w:t>
            </w:r>
          </w:p>
        </w:tc>
        <w:tc>
          <w:tcPr>
            <w:tcW w:w="2520" w:type="dxa"/>
            <w:vAlign w:val="bottom"/>
          </w:tcPr>
          <w:p>
            <w:pPr>
              <w:jc w:val="right"/>
              <w:ind w:right="270"/>
              <w:spacing w:after="0"/>
              <w:rPr>
                <w:sz w:val="20"/>
                <w:szCs w:val="20"/>
                <w:color w:val="auto"/>
              </w:rPr>
            </w:pPr>
            <w:r>
              <w:rPr>
                <w:rFonts w:ascii="Arial" w:cs="Arial" w:eastAsia="Arial" w:hAnsi="Arial"/>
                <w:sz w:val="18"/>
                <w:szCs w:val="18"/>
                <w:color w:val="auto"/>
              </w:rPr>
              <w:t>658</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638</w:t>
            </w:r>
          </w:p>
        </w:tc>
        <w:tc>
          <w:tcPr>
            <w:tcW w:w="1480" w:type="dxa"/>
            <w:vAlign w:val="bottom"/>
          </w:tcPr>
          <w:p>
            <w:pPr>
              <w:jc w:val="right"/>
              <w:ind w:right="510"/>
              <w:spacing w:after="0"/>
              <w:rPr>
                <w:sz w:val="20"/>
                <w:szCs w:val="20"/>
                <w:color w:val="auto"/>
              </w:rPr>
            </w:pPr>
            <w:r>
              <w:rPr>
                <w:rFonts w:ascii="Arial" w:cs="Arial" w:eastAsia="Arial" w:hAnsi="Arial"/>
                <w:sz w:val="18"/>
                <w:szCs w:val="18"/>
                <w:color w:val="auto"/>
              </w:rPr>
              <w:t>20</w:t>
            </w:r>
          </w:p>
        </w:tc>
        <w:tc>
          <w:tcPr>
            <w:tcW w:w="68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30"/>
        </w:trPr>
        <w:tc>
          <w:tcPr>
            <w:tcW w:w="4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Industrial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3,573</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3,137</w:t>
            </w:r>
          </w:p>
        </w:tc>
        <w:tc>
          <w:tcPr>
            <w:tcW w:w="14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436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13.9 %</w:t>
            </w:r>
          </w:p>
        </w:tc>
      </w:tr>
      <w:tr>
        <w:trPr>
          <w:trHeight w:val="229"/>
        </w:trPr>
        <w:tc>
          <w:tcPr>
            <w:tcW w:w="49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Municipal</w:t>
            </w:r>
          </w:p>
        </w:tc>
        <w:tc>
          <w:tcPr>
            <w:tcW w:w="2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298</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287</w:t>
            </w:r>
          </w:p>
        </w:tc>
        <w:tc>
          <w:tcPr>
            <w:tcW w:w="14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3.8 %</w:t>
            </w:r>
          </w:p>
        </w:tc>
      </w:tr>
      <w:tr>
        <w:trPr>
          <w:trHeight w:val="223"/>
        </w:trPr>
        <w:tc>
          <w:tcPr>
            <w:tcW w:w="4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Retail and Municipal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5,107</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4,629</w:t>
            </w:r>
          </w:p>
        </w:tc>
        <w:tc>
          <w:tcPr>
            <w:tcW w:w="14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478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29"/>
        </w:trPr>
        <w:tc>
          <w:tcPr>
            <w:tcW w:w="4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Power Suppliers</w:t>
            </w:r>
          </w:p>
        </w:tc>
        <w:tc>
          <w:tcPr>
            <w:tcW w:w="2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2,442</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1,528</w:t>
            </w:r>
          </w:p>
        </w:tc>
        <w:tc>
          <w:tcPr>
            <w:tcW w:w="14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914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59.8 %</w:t>
            </w:r>
          </w:p>
        </w:tc>
      </w:tr>
      <w:tr>
        <w:trPr>
          <w:trHeight w:val="223"/>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7,549</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6,157</w:t>
            </w:r>
          </w:p>
        </w:tc>
        <w:tc>
          <w:tcPr>
            <w:tcW w:w="14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1,392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22.6 %</w:t>
            </w:r>
          </w:p>
        </w:tc>
      </w:tr>
    </w:tbl>
    <w:p>
      <w:pPr>
        <w:spacing w:after="0" w:line="32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customers accounted for 32 percent of regulated operating revenue in 2021 (29 percent in 2020). Revenue from electric sales to paper, pulp and secondary wood product customers accounted for 4 percent of regulated operating revenue in 2021 (6 percent in 2020). Revenue from electric sales to pipelines and other industrial customers accounted for 9 percent of regulated operating revenue in 2021 (9 percent in 2020).</w:t>
      </w:r>
    </w:p>
    <w:p>
      <w:pPr>
        <w:spacing w:after="0" w:line="214"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Revenue in 2020 included reserves of $11.7 million for the refund of interim rates collected between January 1, 2020 and April 30, 2020. (See Note 2. Regulatory Matters.)</w:t>
      </w:r>
    </w:p>
    <w:p>
      <w:pPr>
        <w:spacing w:after="0" w:line="19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Transmission revenue related to GNTL increased $13.9 million primarily due to recovery of related expenses resulting from the GNTL being placed into service in June 2020 and additional expenditures for property, plant and equipment.</w:t>
      </w:r>
    </w:p>
    <w:p>
      <w:pPr>
        <w:spacing w:after="0" w:line="197" w:lineRule="exact"/>
        <w:rPr>
          <w:sz w:val="20"/>
          <w:szCs w:val="20"/>
          <w:color w:val="auto"/>
        </w:rPr>
      </w:pPr>
    </w:p>
    <w:p>
      <w:pPr>
        <w:jc w:val="both"/>
        <w:ind w:left="340"/>
        <w:spacing w:after="0" w:line="248" w:lineRule="auto"/>
        <w:rPr>
          <w:sz w:val="20"/>
          <w:szCs w:val="20"/>
          <w:color w:val="auto"/>
        </w:rPr>
      </w:pPr>
      <w:r>
        <w:rPr>
          <w:rFonts w:ascii="Arial" w:cs="Arial" w:eastAsia="Arial" w:hAnsi="Arial"/>
          <w:sz w:val="18"/>
          <w:szCs w:val="18"/>
          <w:color w:val="auto"/>
        </w:rPr>
        <w:t>Cost recovery rider revenue increased $7.2 million primarily due to fewer production tax credits recognized by Minnesota Power. If production tax credits are recognized at a level below those assumed in Minnesota Power’s base rates, an increase in cost recovery rider revenue is recognized to offset the impact of lower production tax credits on income tax expense.</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wholesale customers under FERC formula-based rates increased $3.2 million primarily due to higher rates.</w:t>
      </w:r>
    </w:p>
    <w:p>
      <w:pPr>
        <w:spacing w:after="0" w:line="25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Gas sales at SWL&amp;P increased $2.8 million as a result of colder weather in the first quarter of 2021 and higher gas prices in 2021 compared to 2020. (See </w:t>
      </w:r>
      <w:r>
        <w:rPr>
          <w:rFonts w:ascii="Arial" w:cs="Arial" w:eastAsia="Arial" w:hAnsi="Arial"/>
          <w:sz w:val="18"/>
          <w:szCs w:val="18"/>
          <w:i w:val="1"/>
          <w:iCs w:val="1"/>
          <w:color w:val="auto"/>
        </w:rPr>
        <w:t>Fuel, Purchased Power and Gas – Utility.</w:t>
      </w:r>
      <w:r>
        <w:rPr>
          <w:rFonts w:ascii="Arial" w:cs="Arial" w:eastAsia="Arial" w:hAnsi="Arial"/>
          <w:sz w:val="18"/>
          <w:szCs w:val="18"/>
          <w:color w:val="auto"/>
        </w:rPr>
        <w: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$110.4 million, or 28 percent, from 2020.</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increased $91.0 million, or 57 percent, from 2020 primarily due to higher purchased power prices,</w:t>
      </w:r>
      <w:r>
        <w:rPr>
          <w:rFonts w:ascii="Arial" w:cs="Arial" w:eastAsia="Arial" w:hAnsi="Arial"/>
          <w:sz w:val="18"/>
          <w:szCs w:val="18"/>
          <w:i w:val="1"/>
          <w:iCs w:val="1"/>
          <w:color w:val="auto"/>
        </w:rPr>
        <w:t xml:space="preserve"> </w:t>
      </w:r>
      <w:r>
        <w:rPr>
          <w:rFonts w:ascii="Arial" w:cs="Arial" w:eastAsia="Arial" w:hAnsi="Arial"/>
          <w:sz w:val="18"/>
          <w:szCs w:val="18"/>
          <w:color w:val="auto"/>
        </w:rPr>
        <w:t>kWh sales and fuel costs as well as increased gas sales and higher gas prices at SWL&amp;P. Fuel and purchased power expense related to our retail and municipal customers is recovered through the fuel adjustment clause.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Second Quarter 2021 Form 10-Q</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COMPARISON OF THE SIX MONTHS ENDED JUNE 30, 2021 AND 2020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Transmission Services – Utility </w:t>
      </w:r>
      <w:r>
        <w:rPr>
          <w:rFonts w:ascii="Arial" w:cs="Arial" w:eastAsia="Arial" w:hAnsi="Arial"/>
          <w:sz w:val="18"/>
          <w:szCs w:val="18"/>
          <w:color w:val="auto"/>
        </w:rPr>
        <w:t>expense increased $2.0 million, or 6 percent, from 2020 primarily due to higher MISO-related expense.</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increased $8.4 million, or 9 percent, from 2020 primarily due to an increase in contract and professional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for planned maintenance at generation facilities and higher vegetation management expenses. In addition, 2021 included higher labor and benefit expenses as compared to 2020.</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$2.0 million, or 2 percent, from 2020 primarily due to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resulting from the GNTL being placed into service in June 2020.</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$7.0 million, or 28 percent, from 2020 primarily due to higher property tax expense resulting from the GNTL</w:t>
      </w:r>
      <w:r>
        <w:rPr>
          <w:rFonts w:ascii="Arial" w:cs="Arial" w:eastAsia="Arial" w:hAnsi="Arial"/>
          <w:sz w:val="18"/>
          <w:szCs w:val="18"/>
          <w:i w:val="1"/>
          <w:iCs w:val="1"/>
          <w:color w:val="auto"/>
        </w:rPr>
        <w:t xml:space="preserve"> </w:t>
      </w:r>
      <w:r>
        <w:rPr>
          <w:rFonts w:ascii="Arial" w:cs="Arial" w:eastAsia="Arial" w:hAnsi="Arial"/>
          <w:sz w:val="18"/>
          <w:szCs w:val="18"/>
          <w:color w:val="auto"/>
        </w:rPr>
        <w:t>being placed into service in June 2020.</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w:t>
      </w:r>
      <w:r>
        <w:rPr>
          <w:rFonts w:ascii="Arial" w:cs="Arial" w:eastAsia="Arial" w:hAnsi="Arial"/>
          <w:sz w:val="18"/>
          <w:szCs w:val="18"/>
          <w:color w:val="auto"/>
        </w:rPr>
        <w:t>decreased $1.1 million, or 9 percent, from 2020 primarily due to period over period changes in ATC’s estimate of a refund liability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the FERC decision on MISO return on equity complaints in 2020.</w:t>
      </w:r>
    </w:p>
    <w:p>
      <w:pPr>
        <w:spacing w:after="0" w:line="19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decreased $5.0 million from 2020 primarily due to lower production tax credits, partially offset by the timing of income taxes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compared to 2020. The income tax benefit in 2021 included additional income tax benefit recorded in 2021 as GAAP requires the recognition of income taxes at the estimated annual effective tax rate.</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We expect the annual effective tax rate for Regulated Operations in 2021 to be a lower income tax benefit than in 2020 primarily due to lower production tax credits.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34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51"/>
        </w:trPr>
        <w:tc>
          <w:tcPr>
            <w:tcW w:w="760" w:type="dxa"/>
            <w:vAlign w:val="bottom"/>
          </w:tcPr>
          <w:p>
            <w:pPr>
              <w:spacing w:after="0"/>
              <w:rPr>
                <w:sz w:val="24"/>
                <w:szCs w:val="24"/>
                <w:color w:val="auto"/>
              </w:rPr>
            </w:pPr>
          </w:p>
        </w:tc>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Six Months Ended June 30,</w:t>
            </w:r>
          </w:p>
        </w:tc>
        <w:tc>
          <w:tcPr>
            <w:tcW w:w="3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7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76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34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3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6280" w:type="dxa"/>
            <w:vAlign w:val="bottom"/>
          </w:tcPr>
          <w:p>
            <w:pPr>
              <w:ind w:left="220"/>
              <w:spacing w:after="0"/>
              <w:rPr>
                <w:sz w:val="20"/>
                <w:szCs w:val="20"/>
                <w:color w:val="auto"/>
              </w:rPr>
            </w:pPr>
            <w:r>
              <w:rPr>
                <w:rFonts w:ascii="Arial" w:cs="Arial" w:eastAsia="Arial" w:hAnsi="Arial"/>
                <w:sz w:val="18"/>
                <w:szCs w:val="18"/>
                <w:color w:val="auto"/>
              </w:rPr>
              <w:t>Contracts with Customers – Non-utility</w:t>
            </w:r>
          </w:p>
        </w:tc>
        <w:tc>
          <w:tcPr>
            <w:tcW w:w="3440" w:type="dxa"/>
            <w:vAlign w:val="bottom"/>
          </w:tcPr>
          <w:p>
            <w:pPr>
              <w:jc w:val="right"/>
              <w:ind w:right="210"/>
              <w:spacing w:after="0"/>
              <w:rPr>
                <w:sz w:val="20"/>
                <w:szCs w:val="20"/>
                <w:color w:val="auto"/>
              </w:rPr>
            </w:pPr>
            <w:r>
              <w:rPr>
                <w:rFonts w:ascii="Arial" w:cs="Arial" w:eastAsia="Arial" w:hAnsi="Arial"/>
                <w:sz w:val="18"/>
                <w:szCs w:val="18"/>
                <w:color w:val="auto"/>
              </w:rPr>
              <w:t>$36.8</w:t>
            </w:r>
          </w:p>
        </w:tc>
        <w:tc>
          <w:tcPr>
            <w:tcW w:w="76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30"/>
        </w:trPr>
        <w:tc>
          <w:tcPr>
            <w:tcW w:w="760" w:type="dxa"/>
            <w:vAlign w:val="bottom"/>
          </w:tcPr>
          <w:p>
            <w:pPr>
              <w:spacing w:after="0"/>
              <w:rPr>
                <w:sz w:val="19"/>
                <w:szCs w:val="19"/>
                <w:color w:val="auto"/>
              </w:rPr>
            </w:pPr>
          </w:p>
        </w:tc>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Other – Non-utility </w:t>
            </w:r>
            <w:r>
              <w:rPr>
                <w:rFonts w:ascii="Arial" w:cs="Arial" w:eastAsia="Arial" w:hAnsi="Arial"/>
                <w:sz w:val="16"/>
                <w:szCs w:val="16"/>
                <w:i w:val="1"/>
                <w:iCs w:val="1"/>
                <w:color w:val="auto"/>
              </w:rPr>
              <w:t>(a)</w:t>
            </w:r>
          </w:p>
        </w:tc>
        <w:tc>
          <w:tcPr>
            <w:tcW w:w="34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76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Operating and Maintenance</w:t>
            </w:r>
          </w:p>
        </w:tc>
        <w:tc>
          <w:tcPr>
            <w:tcW w:w="3440" w:type="dxa"/>
            <w:vAlign w:val="bottom"/>
          </w:tcPr>
          <w:p>
            <w:pPr>
              <w:jc w:val="right"/>
              <w:ind w:right="270"/>
              <w:spacing w:after="0"/>
              <w:rPr>
                <w:sz w:val="20"/>
                <w:szCs w:val="20"/>
                <w:color w:val="auto"/>
              </w:rPr>
            </w:pPr>
            <w:r>
              <w:rPr>
                <w:rFonts w:ascii="Arial" w:cs="Arial" w:eastAsia="Arial" w:hAnsi="Arial"/>
                <w:sz w:val="18"/>
                <w:szCs w:val="18"/>
                <w:color w:val="auto"/>
              </w:rPr>
              <w:t>21.4</w:t>
            </w:r>
          </w:p>
        </w:tc>
        <w:tc>
          <w:tcPr>
            <w:tcW w:w="76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760" w:type="dxa"/>
            <w:vAlign w:val="bottom"/>
          </w:tcPr>
          <w:p>
            <w:pPr>
              <w:spacing w:after="0"/>
              <w:rPr>
                <w:sz w:val="19"/>
                <w:szCs w:val="19"/>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4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24.3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760" w:type="dxa"/>
            <w:vAlign w:val="bottom"/>
          </w:tcPr>
          <w:p>
            <w:pPr>
              <w:spacing w:after="0"/>
              <w:rPr>
                <w:sz w:val="19"/>
                <w:szCs w:val="19"/>
                <w:color w:val="auto"/>
              </w:rPr>
            </w:pPr>
          </w:p>
        </w:tc>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Taxes Other than Income Taxes</w:t>
            </w:r>
          </w:p>
        </w:tc>
        <w:tc>
          <w:tcPr>
            <w:tcW w:w="34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760" w:type="dxa"/>
            <w:vAlign w:val="bottom"/>
          </w:tcPr>
          <w:p>
            <w:pPr>
              <w:spacing w:after="0"/>
              <w:rPr>
                <w:sz w:val="19"/>
                <w:szCs w:val="19"/>
                <w:color w:val="auto"/>
              </w:rPr>
            </w:pPr>
          </w:p>
        </w:tc>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 (Loss)</w:t>
            </w:r>
          </w:p>
        </w:tc>
        <w:tc>
          <w:tcPr>
            <w:tcW w:w="3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76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Interest Expense</w:t>
            </w:r>
          </w:p>
        </w:tc>
        <w:tc>
          <w:tcPr>
            <w:tcW w:w="3440" w:type="dxa"/>
            <w:vAlign w:val="bottom"/>
          </w:tcPr>
          <w:p>
            <w:pPr>
              <w:jc w:val="right"/>
              <w:ind w:right="210"/>
              <w:spacing w:after="0"/>
              <w:rPr>
                <w:sz w:val="20"/>
                <w:szCs w:val="20"/>
                <w:color w:val="auto"/>
              </w:rPr>
            </w:pPr>
            <w:r>
              <w:rPr>
                <w:rFonts w:ascii="Arial" w:cs="Arial" w:eastAsia="Arial" w:hAnsi="Arial"/>
                <w:sz w:val="18"/>
                <w:szCs w:val="18"/>
                <w:color w:val="auto"/>
              </w:rPr>
              <w:t>(0.8)</w:t>
            </w:r>
          </w:p>
        </w:tc>
        <w:tc>
          <w:tcPr>
            <w:tcW w:w="760" w:type="dxa"/>
            <w:vAlign w:val="bottom"/>
          </w:tcPr>
          <w:p>
            <w:pPr>
              <w:ind w:left="380"/>
              <w:spacing w:after="0"/>
              <w:rPr>
                <w:sz w:val="20"/>
                <w:szCs w:val="20"/>
                <w:color w:val="auto"/>
              </w:rPr>
            </w:pPr>
            <w:r>
              <w:rPr>
                <w:rFonts w:ascii="Arial" w:cs="Arial" w:eastAsia="Arial" w:hAnsi="Arial"/>
                <w:sz w:val="18"/>
                <w:szCs w:val="18"/>
                <w:color w:val="auto"/>
                <w:w w:val="97"/>
              </w:rPr>
              <w:t>(1.0)</w:t>
            </w:r>
          </w:p>
        </w:tc>
      </w:tr>
      <w:tr>
        <w:trPr>
          <w:trHeight w:val="230"/>
        </w:trPr>
        <w:tc>
          <w:tcPr>
            <w:tcW w:w="760" w:type="dxa"/>
            <w:vAlign w:val="bottom"/>
          </w:tcPr>
          <w:p>
            <w:pPr>
              <w:spacing w:after="0"/>
              <w:rPr>
                <w:sz w:val="19"/>
                <w:szCs w:val="19"/>
                <w:color w:val="auto"/>
              </w:rPr>
            </w:pPr>
          </w:p>
        </w:tc>
        <w:tc>
          <w:tcPr>
            <w:tcW w:w="6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34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0.3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760" w:type="dxa"/>
            <w:vAlign w:val="bottom"/>
          </w:tcPr>
          <w:p>
            <w:pPr>
              <w:spacing w:after="0"/>
              <w:rPr>
                <w:sz w:val="19"/>
                <w:szCs w:val="19"/>
                <w:color w:val="auto"/>
              </w:rPr>
            </w:pPr>
          </w:p>
        </w:tc>
        <w:tc>
          <w:tcPr>
            <w:tcW w:w="6280" w:type="dxa"/>
            <w:vAlign w:val="bottom"/>
          </w:tcPr>
          <w:p>
            <w:pPr>
              <w:ind w:left="220"/>
              <w:spacing w:after="0"/>
              <w:rPr>
                <w:sz w:val="20"/>
                <w:szCs w:val="20"/>
                <w:color w:val="auto"/>
              </w:rPr>
            </w:pPr>
            <w:r>
              <w:rPr>
                <w:rFonts w:ascii="Arial" w:cs="Arial" w:eastAsia="Arial" w:hAnsi="Arial"/>
                <w:sz w:val="18"/>
                <w:szCs w:val="18"/>
                <w:color w:val="auto"/>
              </w:rPr>
              <w:t>Income (Loss) Before Income Taxes</w:t>
            </w:r>
          </w:p>
        </w:tc>
        <w:tc>
          <w:tcPr>
            <w:tcW w:w="3440" w:type="dxa"/>
            <w:vAlign w:val="bottom"/>
          </w:tcPr>
          <w:p>
            <w:pPr>
              <w:jc w:val="right"/>
              <w:ind w:right="210"/>
              <w:spacing w:after="0"/>
              <w:rPr>
                <w:sz w:val="20"/>
                <w:szCs w:val="20"/>
                <w:color w:val="auto"/>
              </w:rPr>
            </w:pPr>
            <w:r>
              <w:rPr>
                <w:rFonts w:ascii="Arial" w:cs="Arial" w:eastAsia="Arial" w:hAnsi="Arial"/>
                <w:sz w:val="18"/>
                <w:szCs w:val="18"/>
                <w:color w:val="auto"/>
              </w:rPr>
              <w:t>(7.2)</w:t>
            </w: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760" w:type="dxa"/>
            <w:vAlign w:val="bottom"/>
          </w:tcPr>
          <w:p>
            <w:pPr>
              <w:spacing w:after="0"/>
              <w:rPr>
                <w:sz w:val="19"/>
                <w:szCs w:val="19"/>
                <w:color w:val="auto"/>
              </w:rPr>
            </w:pPr>
          </w:p>
        </w:tc>
        <w:tc>
          <w:tcPr>
            <w:tcW w:w="6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(8.5)</w:t>
            </w:r>
          </w:p>
        </w:tc>
        <w:tc>
          <w:tcPr>
            <w:tcW w:w="7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7"/>
              </w:rPr>
              <w:t>(8.5)</w:t>
            </w:r>
          </w:p>
        </w:tc>
      </w:tr>
      <w:tr>
        <w:trPr>
          <w:trHeight w:val="223"/>
        </w:trPr>
        <w:tc>
          <w:tcPr>
            <w:tcW w:w="760" w:type="dxa"/>
            <w:vAlign w:val="bottom"/>
          </w:tcPr>
          <w:p>
            <w:pPr>
              <w:spacing w:after="0"/>
              <w:rPr>
                <w:sz w:val="19"/>
                <w:szCs w:val="19"/>
                <w:color w:val="auto"/>
              </w:rPr>
            </w:pPr>
          </w:p>
        </w:tc>
        <w:tc>
          <w:tcPr>
            <w:tcW w:w="62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w:t>
            </w:r>
          </w:p>
        </w:tc>
        <w:tc>
          <w:tcPr>
            <w:tcW w:w="34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23"/>
        </w:trPr>
        <w:tc>
          <w:tcPr>
            <w:tcW w:w="760" w:type="dxa"/>
            <w:vAlign w:val="bottom"/>
          </w:tcPr>
          <w:p>
            <w:pPr>
              <w:spacing w:after="0"/>
              <w:rPr>
                <w:sz w:val="19"/>
                <w:szCs w:val="19"/>
                <w:color w:val="auto"/>
              </w:rPr>
            </w:pPr>
          </w:p>
        </w:tc>
        <w:tc>
          <w:tcPr>
            <w:tcW w:w="6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3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(11.2)</w:t>
            </w:r>
          </w:p>
        </w:tc>
        <w:tc>
          <w:tcPr>
            <w:tcW w:w="7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7"/>
              </w:rPr>
              <w:t>(5.0)</w:t>
            </w:r>
          </w:p>
        </w:tc>
      </w:tr>
      <w:tr>
        <w:trPr>
          <w:trHeight w:val="223"/>
        </w:trPr>
        <w:tc>
          <w:tcPr>
            <w:tcW w:w="760" w:type="dxa"/>
            <w:vAlign w:val="bottom"/>
          </w:tcPr>
          <w:p>
            <w:pPr>
              <w:spacing w:after="0"/>
              <w:rPr>
                <w:sz w:val="19"/>
                <w:szCs w:val="19"/>
                <w:color w:val="auto"/>
              </w:rPr>
            </w:pPr>
          </w:p>
        </w:tc>
        <w:tc>
          <w:tcPr>
            <w:tcW w:w="62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 Attributable to ALLETE</w:t>
            </w:r>
          </w:p>
        </w:tc>
        <w:tc>
          <w:tcPr>
            <w:tcW w:w="34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$12.5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bl>
    <w:p>
      <w:pPr>
        <w:spacing w:after="0" w:line="9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Represents non-cash amortization of differences between contract prices and estimated market prices on assumed PSAs.</w:t>
      </w:r>
    </w:p>
    <w:p>
      <w:pPr>
        <w:spacing w:after="0" w:line="244"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increased $4.8 million, or 13 percent, from 2020 primarily due to revenue from the South Peak and Diamond Spring wind energy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facilities which commenced operations in April 2020 and December 2020, respectively, partially offset by the negative impact related to ALLETE Clean Energy’s Diamond Spring wind energy facility due to an extreme winter storm event in the southwest United States in February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COMPARISON OF THE SIX MONTHS ENDED JUNE 30, 2021 AND 2020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3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b w:val="1"/>
                <w:bCs w:val="1"/>
                <w:color w:val="auto"/>
                <w:w w:val="90"/>
              </w:rPr>
              <w:t>Six Months Ended June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2780" w:type="dxa"/>
            <w:vAlign w:val="bottom"/>
            <w:tcBorders>
              <w:bottom w:val="single" w:sz="8" w:color="auto"/>
            </w:tcBorders>
            <w:gridSpan w:val="2"/>
          </w:tcPr>
          <w:p>
            <w:pPr>
              <w:jc w:val="right"/>
              <w:ind w:right="1330"/>
              <w:spacing w:after="0"/>
              <w:rPr>
                <w:sz w:val="20"/>
                <w:szCs w:val="20"/>
                <w:color w:val="auto"/>
              </w:rPr>
            </w:pPr>
            <w:r>
              <w:rPr>
                <w:rFonts w:ascii="Arial" w:cs="Arial" w:eastAsia="Arial" w:hAnsi="Arial"/>
                <w:sz w:val="18"/>
                <w:szCs w:val="18"/>
                <w:b w:val="1"/>
                <w:bCs w:val="1"/>
                <w:color w:val="auto"/>
              </w:rPr>
              <w:t>2021</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kWh</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Revenue</w:t>
            </w: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kWh</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Wind Energy Regions</w:t>
            </w:r>
          </w:p>
        </w:tc>
        <w:tc>
          <w:tcPr>
            <w:tcW w:w="1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East</w:t>
            </w:r>
          </w:p>
        </w:tc>
        <w:tc>
          <w:tcPr>
            <w:tcW w:w="1200" w:type="dxa"/>
            <w:vAlign w:val="bottom"/>
          </w:tcPr>
          <w:p>
            <w:pPr>
              <w:jc w:val="right"/>
              <w:spacing w:after="0"/>
              <w:rPr>
                <w:sz w:val="20"/>
                <w:szCs w:val="20"/>
                <w:color w:val="auto"/>
              </w:rPr>
            </w:pPr>
            <w:r>
              <w:rPr>
                <w:rFonts w:ascii="Arial" w:cs="Arial" w:eastAsia="Arial" w:hAnsi="Arial"/>
                <w:sz w:val="18"/>
                <w:szCs w:val="18"/>
                <w:color w:val="auto"/>
              </w:rPr>
              <w:t>127.3</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$11.5</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135.7</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Midwest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16.5</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451.8</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South</w:t>
            </w:r>
          </w:p>
        </w:tc>
        <w:tc>
          <w:tcPr>
            <w:tcW w:w="1200" w:type="dxa"/>
            <w:vAlign w:val="bottom"/>
          </w:tcPr>
          <w:p>
            <w:pPr>
              <w:jc w:val="right"/>
              <w:spacing w:after="0"/>
              <w:rPr>
                <w:sz w:val="20"/>
                <w:szCs w:val="20"/>
                <w:color w:val="auto"/>
              </w:rPr>
            </w:pPr>
            <w:r>
              <w:rPr>
                <w:rFonts w:ascii="Arial" w:cs="Arial" w:eastAsia="Arial" w:hAnsi="Arial"/>
                <w:sz w:val="18"/>
                <w:szCs w:val="18"/>
                <w:color w:val="auto"/>
              </w:rPr>
              <w:t>513.8</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3.4</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West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15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11.1</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344.3</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Production and Operating Revenue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1,492.2</w:t>
            </w:r>
          </w:p>
        </w:tc>
        <w:tc>
          <w:tcPr>
            <w:tcW w:w="1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$42.5</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931.8</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and Maintenance </w:t>
      </w:r>
      <w:r>
        <w:rPr>
          <w:rFonts w:ascii="Arial" w:cs="Arial" w:eastAsia="Arial" w:hAnsi="Arial"/>
          <w:sz w:val="18"/>
          <w:szCs w:val="18"/>
          <w:color w:val="auto"/>
        </w:rPr>
        <w:t>expense increased $5.4 million, or 34 percent, from 2020 primarily due to operating and maintenance expenses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South Peak and Diamond Spring wind energy facilities.</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expense increased $7.2 million, or 42 percent, from 2020 primarily due to additional property, plant and equipment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related to the South Peak and Diamond Spring wind energy facilities.</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Taxes Other than Income Taxes </w:t>
      </w:r>
      <w:r>
        <w:rPr>
          <w:rFonts w:ascii="Arial" w:cs="Arial" w:eastAsia="Arial" w:hAnsi="Arial"/>
          <w:sz w:val="18"/>
          <w:szCs w:val="18"/>
          <w:color w:val="auto"/>
        </w:rPr>
        <w:t>increased $1.9 million from 2020 primarily due to higher property tax expense related to the South Peak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Diamond Spring wind energy facilities.</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Net Loss Attributable to Non-Controlling Interest </w:t>
      </w:r>
      <w:r>
        <w:rPr>
          <w:rFonts w:ascii="Arial" w:cs="Arial" w:eastAsia="Arial" w:hAnsi="Arial"/>
          <w:sz w:val="18"/>
          <w:szCs w:val="18"/>
          <w:color w:val="auto"/>
        </w:rPr>
        <w:t>increased $6.2 million from 2020 primarily due to net losses attributable to non-controlling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Diamond Spring wind energy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6"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decreased $2.1 million, or 4 percent, from 2020 primarily due to lower revenue at BNI Energy, which operates under cost-plus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fixed fee contracts, as a result of lower expenses and fewer tons sold in 2021 compared to 2020 as well as lower land sales at ALLETE Properties.</w:t>
      </w:r>
    </w:p>
    <w:p>
      <w:pPr>
        <w:spacing w:after="0" w:line="15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was $0.7 million in 2021 compared to net income of $2.1 million in 2020. Net income in 2021 included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and income tax expenses, partially offset by earnings from our investment in Nobles 2 which commenced operations in December 2020. Net income at BNI Energy was $3.4 million in 2021 compared to net income of $3.2 million in 2020. The net loss at ALLETE Properties was $1.0 million in 2021 and in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56"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For the six months ended June 30, 2021, the effective tax rate was a benefit of 28.4 percent (benefit of 37.8 percent for the six months ended June 30, 2020). The effective tax rate for 2021 was a lower benefit primarily due to higher non-controlling interest and lower production tax credits.</w:t>
      </w:r>
    </w:p>
    <w:p>
      <w:pPr>
        <w:spacing w:after="0" w:line="15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We expect our annual effective tax rate in 2021 to be a lower benefit as compared to 2020 primarily due to higher pre-tax income. The effective rate deviated from the combined statutory rate of approximately 28 percent primarily due to higher non-controlling interest and lower production tax credits. (See Note 8. Income Tax Expense.)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and taxation. These policies are reviewed with the Audit Committee of our Board of Directors on a regular basis and summarized in Part II, Item 7. Management’s Discussion and Analysis of Financial Condition and Results of Operations of our 2020 Form 10-K.</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Second Quarter 2021 Form 10-Q</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2020 Form 10-K.</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a long-term objective of achieving consolidated average annual earnings per share growth of 5 percent to 7 percent; with a Regulated Operations growth objective of 4 percent to 5 percent, and an ALLETE Clean Energy and Corporate and Other businesses growth objective of at least 15 percent over the long-term. We have made steady progress over the past several quarters in the evolution of our ALLETE Clean Energy strategy as we position the business to provide more comprehensive clean energy solutions. We believe that the renewable energy industry continues to have tremendous potential driven by societal demands for climate action and fulfilling ESG commitments. ALLETE Clean Energy’s existing platform provides a strong foundation for growth as we seek to expand our product offerings, further diversify our portfolio and deliver financial returns within our expected criteria over the long-term. Our current projection of ALLETE’s consolidated average annual earnings per share growth rate, using 2019 as a base year, is in line with our stated long-term (5-year) growth objective of 5 percent to 7 percent; with a Regulated Operations growth projection of approximately 3 percent, and an ALLETE Clean Energy and Corporate and Other businesses growth projection of approximately 30 percent to 40 percent.</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Portions of our ALLETE Clean Energy business are experiencing return pressures that are impacting our earnings per share growth from increased competition, and lower forward price curves, as a growing amount of investment capital is being directed into wind generation opportunities. In addition, current and potential new project developments can be negatively affected by a lower ALLETE stock price, which may result in such projects not being accretive, or otherwise unable to satisfy our financial objectives criteria to proceed. In response to these market pressures, we are actively evaluating additional growth opportunities to deliver more comprehensive clean energy solutions for customers at ALLETE Clean Energy, which may include solar, storage solutions, and related energy infrastructure investments and services. We believe that the renewable energy industry is entering a new phase of growth and that we are well-positioned to serve customers and drive future growth at ALLETE. ALLETE Clean Energy will continue to optimize its existing wind energy facility portfolio, seek development of its remaining safe harbor inventory of tax credit qualified turbines, and explore other renewable energy opportunities to expand its service offerings to further enhance its growth and profitability.</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ALLETE is predominately a regulated utility through Minnesota Power, SWL&amp;P, and an investment in ATC. ALLETE’s strategy is to remain predominately a regulated utility while investing in ALLETE Clean Energy and its Corporate and Other businesses to complement its regulated businesses, balance exposure to the utility’s industrial customers, and provide potential long-term earnings growth. ALLETE expects net income from Regulated Operations to be approximately 80 percent of total consolidated net income in 2021. Over the next several years, the contribution of ALLETE Clean Energy and our Corporate and Other businesses to net income is expected to increase as ALLETE grows these operations. ALLETE expects its businesses to provide regulated, contracted or recurring revenues, and to support sustained growth in net income and cash flow.</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Minnesota Power’s long-term strategy is to be the leading electric energy provider in northeastern Minnesota by providing safe,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Minnesota Power has a goal of delivering 100 percent carbon-free energy by 2050. (See </w:t>
      </w:r>
      <w:r>
        <w:rPr>
          <w:rFonts w:ascii="Arial" w:cs="Arial" w:eastAsia="Arial" w:hAnsi="Arial"/>
          <w:sz w:val="17"/>
          <w:szCs w:val="17"/>
          <w:i w:val="1"/>
          <w:iCs w:val="1"/>
          <w:color w:val="auto"/>
        </w:rPr>
        <w:t>EnergyForward</w:t>
      </w:r>
      <w:r>
        <w:rPr>
          <w:rFonts w:ascii="Arial" w:cs="Arial" w:eastAsia="Arial" w:hAnsi="Arial"/>
          <w:sz w:val="17"/>
          <w:szCs w:val="17"/>
          <w:color w:val="auto"/>
        </w:rPr>
        <w:t>.)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 Minnesota Power anticipates filing a general rate case in November 2021 with a 2022 test year.</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Minnesota Power also submitted its IRP with the MPUC on February 1, 2021. The outcome of this IRP is likely to be instrumental in the evolution of our </w:t>
      </w:r>
      <w:r>
        <w:rPr>
          <w:rFonts w:ascii="Arial" w:cs="Arial" w:eastAsia="Arial" w:hAnsi="Arial"/>
          <w:sz w:val="18"/>
          <w:szCs w:val="18"/>
          <w:i w:val="1"/>
          <w:iCs w:val="1"/>
          <w:color w:val="auto"/>
        </w:rPr>
        <w:t xml:space="preserve">EnergyForward </w:t>
      </w:r>
      <w:r>
        <w:rPr>
          <w:rFonts w:ascii="Arial" w:cs="Arial" w:eastAsia="Arial" w:hAnsi="Arial"/>
          <w:sz w:val="18"/>
          <w:szCs w:val="18"/>
          <w:color w:val="auto"/>
        </w:rPr>
        <w:t>strategic plan that provides for significant emission reductions and diversifying our electricity generation mix to include more renewables,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is expected to provide potential earnings growth over the long-term. (See </w:t>
      </w:r>
      <w:r>
        <w:rPr>
          <w:rFonts w:ascii="Arial" w:cs="Arial" w:eastAsia="Arial" w:hAnsi="Arial"/>
          <w:sz w:val="18"/>
          <w:szCs w:val="18"/>
          <w:i w:val="1"/>
          <w:iCs w:val="1"/>
          <w:color w:val="auto"/>
        </w:rPr>
        <w:t>EnergyForward</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Regulatory Matters. </w:t>
      </w:r>
      <w:r>
        <w:rPr>
          <w:rFonts w:ascii="Arial" w:cs="Arial" w:eastAsia="Arial" w:hAnsi="Arial"/>
          <w:sz w:val="16"/>
          <w:szCs w:val="16"/>
          <w:color w:val="auto"/>
        </w:rPr>
        <w:t>Entities within our Regulated Operations segment are under the jurisdiction of the MPUC, FERC, PSCW and NDPSC. See Note 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Regulatory Matters for discussion of regulatory matters within these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OUTLOOK (Continued)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Industrial Customers. </w:t>
      </w:r>
      <w:r>
        <w:rPr>
          <w:rFonts w:ascii="Arial" w:cs="Arial" w:eastAsia="Arial" w:hAnsi="Arial"/>
          <w:sz w:val="18"/>
          <w:szCs w:val="18"/>
          <w:color w:val="auto"/>
        </w:rPr>
        <w:t>Electric power is one of several key inputs in the taconite mining, paper, pulp and secondary wood products, pipeline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Approximately 47 percent of our regulated utility kWh sales in the six months ended June 30, 2021, were made to our industrial customers (51 percent in the six months ended June 30, 2020).</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Taconite</w:t>
      </w:r>
      <w:r>
        <w:rPr>
          <w:rFonts w:ascii="Arial" w:cs="Arial" w:eastAsia="Arial" w:hAnsi="Arial"/>
          <w:sz w:val="18"/>
          <w:szCs w:val="18"/>
          <w:color w:val="auto"/>
        </w:rPr>
        <w:t>. Minnesota Power’s taconite customers are capable of producing up to approximately 41 million tons of taconite pellets annually. Taconite pellets produced in Minnesota are primarily shipped to North American steel making facilities that are part of the integrated steel industry, which continue to lead the world in environmental performance among steelmaking countries. According to the U.S. Department of Energy, steel production in the U.S. is the most energy efficient of any major steel producing country. Steel produced from these North American facilities is used primarily in the manufacture of automobiles, appliances, tubular applications for all industries, and in the construction industry. Steel is also a critical component of the clean energy transformation underway today. Meeting the demand for more renewable energy and the need for additional infrastructure to transport green energy from the point of generation to the end user both require steel. Historically, less than 10 percent of Minnesota taconite production has been exported outside of North America.</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79 percent of capacity during the first six months of 2021 compared to 68 percent in the first six months of 2020. The World Steel Association, an association of steel producers, national and regional steel industry associations, and steel research institutes representing approximately 85 percent of world steel production, projected in April 2021 that U.S. steel consumption will increase in 2021 by approximately 8 percent compared to 2020.</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$0.04,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Northshore Mining</w:t>
      </w:r>
      <w:r>
        <w:rPr>
          <w:rFonts w:ascii="Arial" w:cs="Arial" w:eastAsia="Arial" w:hAnsi="Arial"/>
          <w:sz w:val="18"/>
          <w:szCs w:val="18"/>
          <w:i w:val="1"/>
          <w:iCs w:val="1"/>
          <w:color w:val="auto"/>
        </w:rPr>
        <w:t xml:space="preserve">. </w:t>
      </w:r>
      <w:r>
        <w:rPr>
          <w:rFonts w:ascii="Arial" w:cs="Arial" w:eastAsia="Arial" w:hAnsi="Arial"/>
          <w:sz w:val="18"/>
          <w:szCs w:val="18"/>
          <w:color w:val="auto"/>
        </w:rPr>
        <w:t>Cliffs completed construction of a hot briquetted iron production plant in Toledo, Ohio, in 2020, which utilizes direct reduced-grade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pellets from Northshore Mining. In April 2020, Cliffs announced that, based on market conditions, it would be temporarily idling Northshore Mining. Cliffs idled production at Northshore Mining in April 2020 and resumed normal production at the facility in August 2020. Northshore Mining has the capability to produce approximately 6 million tons annually. Minnesota Power has a PSA through 2031 with Silver Bay Power, which provides the majority of the electric service requirements for Northshore Mining. (See </w:t>
      </w:r>
      <w:r>
        <w:rPr>
          <w:rFonts w:ascii="Arial" w:cs="Arial" w:eastAsia="Arial" w:hAnsi="Arial"/>
          <w:sz w:val="18"/>
          <w:szCs w:val="18"/>
          <w:i w:val="1"/>
          <w:iCs w:val="1"/>
          <w:color w:val="auto"/>
        </w:rPr>
        <w:t>Silver Bay Power</w:t>
      </w:r>
      <w:r>
        <w:rPr>
          <w:rFonts w:ascii="Arial" w:cs="Arial" w:eastAsia="Arial" w:hAnsi="Arial"/>
          <w:sz w:val="18"/>
          <w:szCs w:val="18"/>
          <w:color w:val="auto"/>
        </w:rPr>
        <w:t>.)</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u w:val="single" w:color="auto"/>
          <w:color w:val="auto"/>
        </w:rPr>
        <w:t>Silver Bay Power</w:t>
      </w:r>
      <w:r>
        <w:rPr>
          <w:rFonts w:ascii="Arial" w:cs="Arial" w:eastAsia="Arial" w:hAnsi="Arial"/>
          <w:sz w:val="17"/>
          <w:szCs w:val="17"/>
          <w:i w:val="1"/>
          <w:iCs w:val="1"/>
          <w:color w:val="auto"/>
        </w:rPr>
        <w:t xml:space="preserve">. </w:t>
      </w:r>
      <w:r>
        <w:rPr>
          <w:rFonts w:ascii="Arial" w:cs="Arial" w:eastAsia="Arial" w:hAnsi="Arial"/>
          <w:sz w:val="17"/>
          <w:szCs w:val="17"/>
          <w:color w:val="auto"/>
        </w:rPr>
        <w:t>In 2016, Minnesota Power and Silver Bay Power entered into a PSA through 2031. Silver Bay Power supplies approximately 90 MW of</w:t>
      </w:r>
      <w:r>
        <w:rPr>
          <w:rFonts w:ascii="Arial" w:cs="Arial" w:eastAsia="Arial" w:hAnsi="Arial"/>
          <w:sz w:val="17"/>
          <w:szCs w:val="17"/>
          <w:i w:val="1"/>
          <w:iCs w:val="1"/>
          <w:color w:val="auto"/>
        </w:rPr>
        <w:t xml:space="preserve"> </w:t>
      </w:r>
      <w:r>
        <w:rPr>
          <w:rFonts w:ascii="Arial" w:cs="Arial" w:eastAsia="Arial" w:hAnsi="Arial"/>
          <w:sz w:val="17"/>
          <w:szCs w:val="17"/>
          <w:color w:val="auto"/>
        </w:rPr>
        <w:t>load to Northshore Mining, an affiliate of Silver Bay Power, which had previously been served predominately through self-generation by Silver Bay Power. Starting in 2016, Minnesota Power supplied Silver Bay Power with at least 50 MW of energy and Silver Bay Power had the option to purchase additional energy from Minnesota Power as it transitioned away from self-generation. In the third quarter of 2019, Silver Bay Power ceased self-generation and Minnesota Power began supplying the full energy requirements for Silver Bay Power.</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USS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April 2020, USS Corporation stated it would idle its Keetac facility in Keewatin, Minnesota, in response to the sudden and dramatic</w:t>
      </w:r>
      <w:r>
        <w:rPr>
          <w:rFonts w:ascii="Arial" w:cs="Arial" w:eastAsia="Arial" w:hAnsi="Arial"/>
          <w:sz w:val="18"/>
          <w:szCs w:val="18"/>
          <w:i w:val="1"/>
          <w:iCs w:val="1"/>
          <w:color w:val="auto"/>
        </w:rPr>
        <w:t xml:space="preserve"> </w:t>
      </w:r>
      <w:r>
        <w:rPr>
          <w:rFonts w:ascii="Arial" w:cs="Arial" w:eastAsia="Arial" w:hAnsi="Arial"/>
          <w:sz w:val="18"/>
          <w:szCs w:val="18"/>
          <w:color w:val="auto"/>
        </w:rPr>
        <w:t>decline in business conditions resulting from the COVID-19 pandemic. In addition, in May 2020, USS Corporation announced that production was expected to be temporarily reduced at its Minntac Plant in Mountain Iron, Minnesota. USS Corporation resumed normal production at its Minntac Plant beginning in late July 2020 and resumed operations at its Keetac facility in December 2020. USS Corporation has the capability to produce approximately 15 million and 5 million tons annually at its Minntac and Keetac plants,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Hibbing Taconite</w:t>
      </w:r>
      <w:r>
        <w:rPr>
          <w:rFonts w:ascii="Arial" w:cs="Arial" w:eastAsia="Arial" w:hAnsi="Arial"/>
          <w:sz w:val="18"/>
          <w:szCs w:val="18"/>
          <w:color w:val="auto"/>
        </w:rPr>
        <w:t>. In April 2020, ArcelorMittal announced that Hibbing Taconite in Hibbing, Minnesota, would idle production due to the COVID-19</w:t>
      </w:r>
      <w:r>
        <w:rPr>
          <w:rFonts w:ascii="Arial" w:cs="Arial" w:eastAsia="Arial" w:hAnsi="Arial"/>
          <w:sz w:val="18"/>
          <w:szCs w:val="18"/>
          <w:i w:val="1"/>
          <w:iCs w:val="1"/>
          <w:color w:val="auto"/>
        </w:rPr>
        <w:t xml:space="preserve"> </w:t>
      </w:r>
      <w:r>
        <w:rPr>
          <w:rFonts w:ascii="Arial" w:cs="Arial" w:eastAsia="Arial" w:hAnsi="Arial"/>
          <w:sz w:val="18"/>
          <w:szCs w:val="18"/>
          <w:color w:val="auto"/>
        </w:rPr>
        <w:t>pandemic. Hibbing Taconite resumed normal production in August 2020. Hibbing Taconite’s current mineable ore reserves are expected to be exhausted in 2025. Cliffs, which in December 2020 became majority owner and resumed management of Hibbing Taconite, has stated that it has a plan to extend the mine life of Hibbing Taconite with ore reserves already under control of Cliffs. There are ample ore reserves in northeastern Minnesota that could supply operations for decades to come, and Minnesota Power’s taconite customers routinely develop and extend their mine plans to optimize assets. Hibbing Taconite has the capability to produce approximately 8 million tons annually.</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Cliffs Acquisition</w:t>
      </w:r>
      <w:r>
        <w:rPr>
          <w:rFonts w:ascii="Arial" w:cs="Arial" w:eastAsia="Arial" w:hAnsi="Arial"/>
          <w:sz w:val="18"/>
          <w:szCs w:val="18"/>
          <w:color w:val="auto"/>
        </w:rPr>
        <w:t>. In December 2020, Cliffs announced that it had completed the previously announced acquisition of substantially all of the operations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ArcelorMittal USA LLC and its subsidiaries. Cliffs had stated that upon closure of the acquisition Cliffs would be the largest flat-rolled steel producer and the largest iron ore pellet producer in North America. The acquisition included ArcelorMittal’s Minorca mine in Virginia, Minnesota, and its ownership share of Hibbing Taconite in Hibbing, Minnesota, which are both large industrial customers of Minnesota Power. Cliffs is now Minnesota Power’s largest customer. The acquisition has increased customer concentration risk for the Company and could lead to further capacity consolidation for both steel blast furnaces and the related Minnesota iron ore production.</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Minnesota Sulfate Wild Rice Water Quality Standard</w:t>
      </w:r>
      <w:r>
        <w:rPr>
          <w:rFonts w:ascii="Arial" w:cs="Arial" w:eastAsia="Arial" w:hAnsi="Arial"/>
          <w:sz w:val="18"/>
          <w:szCs w:val="18"/>
          <w:color w:val="auto"/>
        </w:rPr>
        <w:t>. On April 29, 2021, the EPA identified rivers and lakes in Minnesota in which wild rice grows that</w:t>
      </w:r>
      <w:r>
        <w:rPr>
          <w:rFonts w:ascii="Arial" w:cs="Arial" w:eastAsia="Arial" w:hAnsi="Arial"/>
          <w:sz w:val="18"/>
          <w:szCs w:val="18"/>
          <w:i w:val="1"/>
          <w:iCs w:val="1"/>
          <w:color w:val="auto"/>
        </w:rPr>
        <w:t xml:space="preserve"> </w:t>
      </w:r>
      <w:r>
        <w:rPr>
          <w:rFonts w:ascii="Arial" w:cs="Arial" w:eastAsia="Arial" w:hAnsi="Arial"/>
          <w:sz w:val="18"/>
          <w:szCs w:val="18"/>
          <w:color w:val="auto"/>
        </w:rPr>
        <w:t>have sulfate levels that exceed Minnesota’s sulfate limit for wild rice waters. The EPA directed the MPCA to add these rivers and lakes to its list of impaired waters which can be used to set limits in discharge permits for industrial activities such as mining. Minnesota Power’s taconite customers could be adversely impacted if they are required to significantly reduce sulfate discharges.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Paper, Pulp and Secondary Wood Products</w:t>
      </w:r>
      <w:r>
        <w:rPr>
          <w:rFonts w:ascii="Arial" w:cs="Arial" w:eastAsia="Arial" w:hAnsi="Arial"/>
          <w:sz w:val="18"/>
          <w:szCs w:val="18"/>
          <w:color w:val="auto"/>
        </w:rPr>
        <w:t xml:space="preserve">. The North American paper and pulp industry faces declining demand due to the impact of electronic substitution for print and changing customer needs. As a result, certain paper and pulp customers have reduced their existing operations in recent years and have pursued or are pursuing product changes in response to the declining demand. We expect operating levels in 2021 at the four major paper and pulp mills we serve to be lower than 2020 primarily due to the indefinite idling of Verso Corporation’s paper mill in Duluth, Minnesota. (See </w:t>
      </w:r>
      <w:r>
        <w:rPr>
          <w:rFonts w:ascii="Arial" w:cs="Arial" w:eastAsia="Arial" w:hAnsi="Arial"/>
          <w:sz w:val="18"/>
          <w:szCs w:val="18"/>
          <w:i w:val="1"/>
          <w:iCs w:val="1"/>
          <w:color w:val="auto"/>
        </w:rPr>
        <w:t>Verso</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Corporation</w:t>
      </w:r>
      <w:r>
        <w:rPr>
          <w:rFonts w:ascii="Arial" w:cs="Arial" w:eastAsia="Arial" w:hAnsi="Arial"/>
          <w:sz w:val="18"/>
          <w:szCs w:val="18"/>
          <w:color w:val="auto"/>
        </w:rPr>
        <w:t>.)</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Verso Corporation</w:t>
      </w:r>
      <w:r>
        <w:rPr>
          <w:rFonts w:ascii="Arial" w:cs="Arial" w:eastAsia="Arial" w:hAnsi="Arial"/>
          <w:sz w:val="18"/>
          <w:szCs w:val="18"/>
          <w:color w:val="auto"/>
        </w:rPr>
        <w:t>. In June 2020, Verso Corporation indefinitely idled its paper mill in Duluth, Minnesota (Duluth Mill). Verso Corporation stated the</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 was due to the accelerated decline in graphic paper demand resulting from the COVID-19 pandemic and has disclosed it is considering options for the Duluth Mill, including marketing for a sale. On January 29, 2021, Verso Corporation provided notice of termination for its contract effective in January 2025, with no demand charge expected after February 2023 (minimal demand charge through January 2023). On May 17, 2021, Verso Corporation announced the completion of the sale of the Duluth Mill to ST Paper LLC. At that time, ST Paper LLC stated it plans to convert the Duluth Mill to produce tissue.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Pipeline and Other Industries</w:t>
      </w:r>
      <w:r>
        <w:rPr>
          <w:rFonts w:ascii="Arial" w:cs="Arial" w:eastAsia="Arial" w:hAnsi="Arial"/>
          <w:sz w:val="18"/>
          <w:szCs w:val="18"/>
          <w:color w:val="auto"/>
        </w:rPr>
        <w: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Husky Energy</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2018, a fire at Husky Energy’s refinery in Superior, Wisconsin, disrupted operations at the facility. Under normal operating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SWL&amp;P provides approximately 14 MW of average monthly demand to Husky Energy in addition to water service. In 2019, Husky Energy announced that it had received the required permit approvals to begin reconstruction. In June 2020, Husky Energy announced that rebuild construction at the refinery had resumed following a suspension in March 2020 due to the COVID-19 pandemic. The facility remains at minimal operations, and the refinery is not expected to resume normal operations until 2023. In October 2020, Husky Energy announced a transaction to combine with Cenovus Energy Inc., which closed in the first quarter of 2021.</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in northeastern Minnesota continue to progress in the development of natural resource-based projects that represent long-term growth potential and load diversity for Minnesota Power. We cannot predict the outcome of these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PolyMet</w:t>
      </w:r>
      <w:r>
        <w:rPr>
          <w:rFonts w:ascii="Arial" w:cs="Arial" w:eastAsia="Arial" w:hAnsi="Arial"/>
          <w:sz w:val="18"/>
          <w:szCs w:val="18"/>
          <w:color w:val="auto"/>
        </w:rPr>
        <w:t>. PolyMet is planning to start a new copper-nickel and precious metal (non-ferrous) mining operation in northeastern Minnesota. In 2015, PolyMet</w:t>
      </w:r>
      <w:r>
        <w:rPr>
          <w:rFonts w:ascii="Arial" w:cs="Arial" w:eastAsia="Arial" w:hAnsi="Arial"/>
          <w:sz w:val="18"/>
          <w:szCs w:val="18"/>
          <w:i w:val="1"/>
          <w:iCs w:val="1"/>
          <w:color w:val="auto"/>
        </w:rPr>
        <w:t xml:space="preserve"> </w:t>
      </w:r>
      <w:r>
        <w:rPr>
          <w:rFonts w:ascii="Arial" w:cs="Arial" w:eastAsia="Arial" w:hAnsi="Arial"/>
          <w:sz w:val="18"/>
          <w:szCs w:val="18"/>
          <w:color w:val="auto"/>
        </w:rPr>
        <w:t>announced the completion of the final EIS by state and federal agencies, which was subsequently published in the Federal Register and Minnesota Environmental Quality Board Monitor. The Minnesota Department of Natural Resources (DNR) and the U.S. Army Corps of Engineers have both issued final Records of Decision, finding the final EIS adequate.</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PolyMet was issued all necessary permits to construct and operate its new mining operation; however, in early 2020, the Minnesota Court of Appeals reversed decisions granting PolyMet’s permit to mine, dam-safety permits and air permits. PolyMet filed petitions for further review with the Minnesota Supreme Court seeking to overturn the Minnesota Court of Appeals decisions. In February 2021, the Minnesota Supreme Court overturned a decision by the Minnesota Court of Appeals that had remanded the air permit back to the MPCA and returned the case to the Minnesota Court of Appeals. On July 19, 2021, the Minnesota Court of Appeals remanded PolyMet’s air permit to the MPCA seeking additional explanation supporting the MPCA’s permitting decision. On March 8, 2021, the U.S. District Court of Minnesota granted an EPA request to conduct a 90-day review of downstream water quality under Section 401(a)(2) of the Clean Water Act. Given the EPA's downstream water quality determination is necessary for PolyMet's federal Section 404 wetlands permit, on March 17, 2021, the U.S Army Corps of Engineers notified PolyMet it had suspended the permit for the duration of the EPA's review. On April 28, 2021, the Minnesota Supreme Court reversed the Minnesota Court of Appeals decision on the dam-safety permits while also upholding its decision on PolyMet’s permit to mine. The decision requires the DNR to hold a contested case hearing regarding the effectiveness of bentonite clay capping for eventual closure of PolyMet’s planned tailings basin and to also determine a fixed term for the permit to mine. Minnesota Power could supply between 45 MW and 50 MW of load under a 10-year power supply contract with PolyMet that would begin upon start-up of operations.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EnergyForward. </w:t>
      </w:r>
      <w:r>
        <w:rPr>
          <w:rFonts w:ascii="Arial" w:cs="Arial" w:eastAsia="Arial" w:hAnsi="Arial"/>
          <w:sz w:val="18"/>
          <w:szCs w:val="18"/>
          <w:color w:val="auto"/>
        </w:rPr>
        <w:t>Minnesota Power is executing</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EnergyForward</w:t>
      </w:r>
      <w:r>
        <w:rPr>
          <w:rFonts w:ascii="Arial" w:cs="Arial" w:eastAsia="Arial" w:hAnsi="Arial"/>
          <w:sz w:val="18"/>
          <w:szCs w:val="18"/>
          <w:color w:val="auto"/>
        </w:rPr>
        <w:t>, its strategy assuring reliability, protecting affordability and further improving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environmental performance. The plan includes completed and planned investments in wind, solar, natural gas and hydroelectric power, construction of additional transmission capacity, the installation of emissions control technology and the idling and retirement of certain coal-fired generating facilities. Minnesota Power has a vision to deliver 100 percent carbon-free energy to customers by 2050, continuing its commitment to climate, customers and communities through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strategy. This vision builds on Minnesota Power’s recent achievement of now providing 50 percent renewable energy to its customers.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2021 Integrated Resource Plan. </w:t>
      </w:r>
      <w:r>
        <w:rPr>
          <w:rFonts w:ascii="Arial" w:cs="Arial" w:eastAsia="Arial" w:hAnsi="Arial"/>
          <w:sz w:val="18"/>
          <w:szCs w:val="18"/>
          <w:color w:val="auto"/>
        </w:rPr>
        <w:t>On February 1, 2021, Minnesota Power filed its latest IRP with the MPUC, which outlines its clean-energy transition plans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2035. These plans include expanding its renewable energy supply to 70 percent by 2030, achieving coal-free operations at its facilities by 2035, and investing in a resilient and flexible transmission and distribution grid. Minnesota Power has also set a target to achieve an 80 percent reduction in carbon emissions by 2035 compared to 2005 levels. As part of these plans, Minnesota Power anticipates adding approximately 400 MW of new wind and solar energy resources, retiring Boswell Unit 3 by 2030 and transforming Boswell Unit 4 to be coal-free by 2035. Minnesota Power’s plans recognize that advances in technology will play a significant role in completing its transition to carbon-free energy supply, reliably and affordably. A final decision on the IRP is expected in early 2022.</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recent years, Minnesota Power has transformed its energy supply from more than a 95 percent reliance on coal to become a leader in the nation’s clean-energy transformation. Since 2013, the company has closed or converted seven of its nine coal-fired units and added nearly 900 megawatts of renewable energy sources. Additionally, Minnesota Power has been a leader in energy conservation, surpassing the state’s conservation goals each year for the past decade.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Nemadji Trail Energy Center. </w:t>
      </w:r>
      <w:r>
        <w:rPr>
          <w:rFonts w:ascii="Arial" w:cs="Arial" w:eastAsia="Arial" w:hAnsi="Arial"/>
          <w:sz w:val="17"/>
          <w:szCs w:val="17"/>
          <w:color w:val="auto"/>
        </w:rPr>
        <w:t>In 2017, Minnesota Power submitted a resource package to the MPUC which included requesting approval of a 250 MW</w:t>
      </w:r>
      <w:r>
        <w:rPr>
          <w:rFonts w:ascii="Arial" w:cs="Arial" w:eastAsia="Arial" w:hAnsi="Arial"/>
          <w:sz w:val="17"/>
          <w:szCs w:val="17"/>
          <w:i w:val="1"/>
          <w:iCs w:val="1"/>
          <w:color w:val="auto"/>
        </w:rPr>
        <w:t xml:space="preserve"> </w:t>
      </w:r>
      <w:r>
        <w:rPr>
          <w:rFonts w:ascii="Arial" w:cs="Arial" w:eastAsia="Arial" w:hAnsi="Arial"/>
          <w:sz w:val="17"/>
          <w:szCs w:val="17"/>
          <w:color w:val="auto"/>
        </w:rPr>
        <w:t>natural gas capacity dedication and other affiliated-interest agreements for NTEC, a proposed 525 MW to 550 MW combined-cycle natural gas-fired generating facility which will be jointly owned by Dairyland Power Cooperative and a subsidiary of ALLETE. Minnesota Power would purchase approximately 50 percent of the facility's output starting in 2025. In a January 2019 order, the MPUC approved Minnesota Power’s request for approval of the NTEC natural gas capacity dedication and other affiliated-interest agreements. In 2019, the Minnesota Court of Appeals reversed and remanded the MPUC’s decision to approve certain affiliated-interest agreements. The MPUC was ordered to determine whether NTEC may have the potential for significant environmental effects and, if so, to prepare an environmental assessment before reassessing the agreements. On January 22, 2020, Minnesota Power filed a petition for further review with the Minnesota Supreme Court requesting that it review and overturn the Minnesota Court of Appeals decision. On April 21, 2021, the Minnesota Supreme Court reversed the Minnesota Court of Appeal’s decision by ruling that the MPUC is not required to conduct a review under the Minnesota Environmental Policy Act before approving affiliated-interest agreements that govern construction and operation of a Wisconsin power plant by a Minnesota utility, and remanded the case back to the Minnesota Court of Appeals for review of remaining issues on appeal. In January 2019, an application for a certificate of public convenience and necessity for NTEC was submitted to the PSCW, which was approved by the PSCW at a hearing in January 2020. Construction of NTEC is subject to obtaining additional permits from local, state and federal authorities. The total project cost is estimated to be approximately $700 million, of which ALLETE’s portion is expected to be approximately $350 million. ALLETE’s portion of NTEC project costs incurred through June 30, 2021, is approximately $15 million.</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Renewable Energy. </w:t>
      </w:r>
      <w:r>
        <w:rPr>
          <w:rFonts w:ascii="Arial" w:cs="Arial" w:eastAsia="Arial" w:hAnsi="Arial"/>
          <w:sz w:val="18"/>
          <w:szCs w:val="18"/>
          <w:color w:val="auto"/>
        </w:rPr>
        <w:t>Minnesota Power continues to execute its renewable energy strategy and expects approximately 50 percent of its energy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supplied by renewable energy sources in 2021. Minnesota Power also has a goal of delivering 100 percent carbon-free energy by 2050. (See </w:t>
      </w:r>
      <w:r>
        <w:rPr>
          <w:rFonts w:ascii="Arial" w:cs="Arial" w:eastAsia="Arial" w:hAnsi="Arial"/>
          <w:sz w:val="18"/>
          <w:szCs w:val="18"/>
          <w:i w:val="1"/>
          <w:iCs w:val="1"/>
          <w:color w:val="auto"/>
        </w:rPr>
        <w:t>EnergyForward</w:t>
      </w:r>
      <w:r>
        <w:rPr>
          <w:rFonts w:ascii="Arial" w:cs="Arial" w:eastAsia="Arial" w:hAnsi="Arial"/>
          <w:sz w:val="18"/>
          <w:szCs w:val="18"/>
          <w:color w:val="auto"/>
        </w:rPr>
        <w: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Wind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wind energy facilities consist of Bison (497 MW) located in North Dakota, and Taconite Ridge (25 MW)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Minnesota Power also has two long-term wind energy PPAs with an affiliate of NextEra Energy, Inc. to purchase the output from Oliver Wind I (50 MW) and Oliver Wind II (48 MW) located in North Dakota.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uses the 465-mile, 250-kV DC transmission line that runs from Center, North Dakota, to Duluth, Minnesota, to transport wind energy from North Dakota while gradually phasing out coal-based electricity delivered to its system over this transmission line from Square Butte’s lignite coal-fired generating unit. Minnesota Power is currently pursuing a modernization and capacity upgrade of its DC transmission system to continue providing reliable operations and additional system capabilities.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Minnesota Power has an approved cost recovery rider for certain renewable investments and expenditures. The cost recovery rider allows Minnesota Power to charge retail customers on a current basis for the costs of certain renewable investments plus a return on the capital invested. Updated customer billing rates were approved by the MPUC in an order dated December 10, 2020.</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Nobles 2 PPA</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has a long-term PPA with Nobles 2 that provides for Minnesota Power to purchase the energy and associated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from a 250 MW wind energy facility in southwestern Minnesota through 2040. The agreement provides for the purchase of output from the facility at fixed energy prices. There are no fixed capacity charges, and Minnesota Power will only pay for energy as it is delivered. (See </w:t>
      </w:r>
      <w:r>
        <w:rPr>
          <w:rFonts w:ascii="Arial" w:cs="Arial" w:eastAsia="Arial" w:hAnsi="Arial"/>
          <w:sz w:val="18"/>
          <w:szCs w:val="18"/>
          <w:i w:val="1"/>
          <w:iCs w:val="1"/>
          <w:color w:val="auto"/>
        </w:rPr>
        <w:t>Corporate and Other – 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in Nobles 2</w:t>
      </w:r>
      <w:r>
        <w:rPr>
          <w:rFonts w:ascii="Arial" w:cs="Arial" w:eastAsia="Arial" w:hAnsi="Arial"/>
          <w:sz w:val="18"/>
          <w:szCs w:val="18"/>
          <w:color w:val="auto"/>
        </w:rPr>
        <w:t>.)</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u w:val="single" w:color="auto"/>
          <w:color w:val="auto"/>
        </w:rPr>
        <w:t>Manitoba Hydro</w:t>
      </w:r>
      <w:r>
        <w:rPr>
          <w:rFonts w:ascii="Arial" w:cs="Arial" w:eastAsia="Arial" w:hAnsi="Arial"/>
          <w:sz w:val="17"/>
          <w:szCs w:val="17"/>
          <w:i w:val="1"/>
          <w:iCs w:val="1"/>
          <w:color w:val="auto"/>
        </w:rPr>
        <w:t xml:space="preserve">. </w:t>
      </w:r>
      <w:r>
        <w:rPr>
          <w:rFonts w:ascii="Arial" w:cs="Arial" w:eastAsia="Arial" w:hAnsi="Arial"/>
          <w:sz w:val="17"/>
          <w:szCs w:val="17"/>
          <w:color w:val="auto"/>
        </w:rPr>
        <w:t>Minnesota Power has three long-term PPAs with Manitoba Hydro. Under the first PPA, Minnesota Power is purchasing surplus energy</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April 2022. This energy-only agreement primarily consists of surplus hydro energy on Manitoba Hydro’s system that is delivered to Minnesota Power on a non-firm basis. Under this agreement, Minnesota Power will purchase at least one million MWh of energy over the contract term. The second PPA provides for Minnesota Power to purchase 250 MW of capacity and energy from Manitoba Hydro through May 2035. The third PPA provides for Minnesota Power to purchase up to 133 MW of energy from Manitoba Hydro through June 2040.</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Solar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solar energy supply consists of Camp Ripley, a 10 MW solar energy facility at the Camp Ripley Minnesota Army</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Guard base and training facility near Little Falls, Minnesota, and a community solar garden in northeastern Minnesota, which is comprised of a 1 MW solar array owned and operated by a third party with the output purchased by Minnesota Power and a 40 kW solar array that is owned and operated by Minnesota Power. SWL&amp;P also plans to construct a 470 kW solar array as part of a community solar garden in Superior, Wisconsin, which was approved by the PSCW in October 2020.</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2020, Minnesota Power filed a proposal with the MPUC to accelerate plans for solar energy with an estimated $40 million investment in approximately 20 MW of solar energy projects in Minnesota which was approved in an order dated June 29, 2021.</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Minnesota Power has approval for current cost recovery of investments and expenditures related to compliance with the Minnesota Solar Energy Standard. In June 2020, Minnesota Power filed a petition seeking MPUC approval of a customer billing rate for solar costs related to investments and expenditures for meeting the state of Minnesota’s solar energy standard, which were approved by the MPUC at a hearing on April 14, 2021. New customer billing rates for the solar cost recovery rider were implemented on June 1, 2021.</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92"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the 250 MW long-term PPA entered into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was required. As a result, Minnesota Power constructed the GNTL, an approximately 220</w:t>
      </w:r>
      <w:r>
        <w:rPr>
          <w:rFonts w:ascii="MS PGothic" w:cs="MS PGothic" w:eastAsia="MS PGothic" w:hAnsi="MS PGothic"/>
          <w:sz w:val="18"/>
          <w:szCs w:val="18"/>
          <w:color w:val="auto"/>
        </w:rPr>
        <w:t>‑</w:t>
      </w:r>
      <w:r>
        <w:rPr>
          <w:rFonts w:ascii="Arial" w:cs="Arial" w:eastAsia="Arial" w:hAnsi="Arial"/>
          <w:sz w:val="18"/>
          <w:szCs w:val="18"/>
          <w:color w:val="auto"/>
        </w:rPr>
        <w:t>mile 500-kV transmission line between Manitoba and Minnesota’s Iron Range that was proposed by Minnesota Power and Manitoba Hydro in order to strengthen the electric grid, enhance regional reliability and promote a greater exchange of sustainable energy. In June 2020, Minnesota Power placed the GNTL into service with project costs of approximately $310 million incurred by Minnesota Power. Total project costs, including those costs contributed by a subsidiary of Manitoba Hydro, totaled approximately $660 million. Also in June 2020, Manitoba Hydro placed the MMTP into service. The 250 MW PPA with Manitoba Hydro commenced when the GNTL was placed into service.</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Investment in ATC. </w:t>
      </w:r>
      <w:r>
        <w:rPr>
          <w:rFonts w:ascii="Arial" w:cs="Arial" w:eastAsia="Arial" w:hAnsi="Arial"/>
          <w:sz w:val="18"/>
          <w:szCs w:val="18"/>
          <w:color w:val="auto"/>
        </w:rPr>
        <w:t>Our wholly-owned subsidiary, ALLETE Transmission Holdings, owns approximately 8 percent of ATC, a Wisconsin-based utility that</w:t>
      </w:r>
      <w:r>
        <w:rPr>
          <w:rFonts w:ascii="Arial" w:cs="Arial" w:eastAsia="Arial" w:hAnsi="Arial"/>
          <w:sz w:val="18"/>
          <w:szCs w:val="18"/>
          <w:i w:val="1"/>
          <w:iCs w:val="1"/>
          <w:color w:val="auto"/>
        </w:rPr>
        <w:t xml:space="preserve"> </w:t>
      </w:r>
      <w:r>
        <w:rPr>
          <w:rFonts w:ascii="Arial" w:cs="Arial" w:eastAsia="Arial" w:hAnsi="Arial"/>
          <w:sz w:val="18"/>
          <w:szCs w:val="18"/>
          <w:color w:val="auto"/>
        </w:rPr>
        <w:t>owns and maintains electric transmission assets in portions of Wisconsin, Michigan, Minnesota and Illinois. We account for our investment in ATC under the equity method of accounting. (See Note 3. Equity Investments.) As of June 30, 2021, our equity investment in ATC was $151.6 million ($149.0 million as of December 31, 2020).</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ATC’s authorized return on equity is 10.02 percent, or 10.52 percent including an incentive adder for participation in a regional transmission organization, based on a May 2020 FERC order that granted rehearing of a 2019 FERC order.</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ATC’s 10-year transmission assessment, which covers the years 2020 through 2029, identifies a need for between $2.9 billion and $3.5 billion in transmission system investments. These investments by ATC, if undertaken, are expected to be funded through a combination of internally generated cash, debt and investor contributions. As opportunities arise, we plan to make additional investments in ATC through capital calls based upon our pro rata ownership interest in ATC.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ALLETE Clean Energy focuses on developing, acquiring, and operating clean and renewable energy projects. ALLETE Clean Energy currently owns and operates, in seven states, more than 1,000 MW of nameplate capacity wind energy generation that is contracted under PSAs of various durations. In addition, ALLETE Clean Energy currently has approximately 300 MW of wind energy facilities under construction. ALLETE Clean Energy also engages in the development of wind energy facilities to operate under long-term PSAs or for sale to others upon completion.</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ALLETE Clean Energy believes the market for renewable energy in North America is robust, driven by several factors including environmental regulation, tax incentives such as the extension of production tax credit and investment tax credits, societal expectations and continual technology advances. State renewable portfolio standards, state or federal regulations to limit GHG emissions and the extension of production tax credit and investment tax credits are examples of environmental regulation or public policy that we believe will drive renewable energy development.</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Energy’s strategy includes the safe, reliable, optimal and profitable operation of its existing facilities. This includes a strong safety culture, the continuous pursuit of operational efficiencies at existing facilities and cost controls. ALLETE Clean Energy generally acquires facilities in liquid power markets and its strategy includes the exploration of PSA extensions upon expiration of existing contracts, production tax credit requalification of existing facilities or the sale of facilities.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ALLETE Clean Energy will pursue growth through acquisitions or project development. ALLETE Clean Energy is targeting acquisitions of existing operating portfolios which have a mix of long-term PSAs in place and/or available for repowering and recontracting. Further, ALLETE Clean Energy will evaluate actions that will lead to the addition of complimentary clean energy products and services. At this time, ALLETE Clean Energy expects acquisitions or development of new facilities will be primarily wind, solar, energy storage or storage ready facilities across North America. ALLETE Clean Energy is also targeting the development of new facilities up to 300 MW each, which will have long-term PSAs in place for the output or may be sold upon completion.</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Federal production tax credit qualification is important to the economics of project development, and ALLETE Clean Energy has invested in equipment to meet production tax credit safe harbor provisions which provides an opportunity to seek development of its remaining safe harbor production tax credit qualified equipment through 2025 based on the most recent PTC safe harbor extension by the IRS. ALLETE Clean Energy has completed its investment of approximately $80 million for production tax credit requalification of approximately 470 WTGs at its Storm Lake I, Storm Lake II, Lake Benton and Condon wind energy facilities. We anticipate annual production tax credits relating to these projects of approximately $20 million annually through 2027 and decreasing thereafter through 2030. Disruptions in our supply chains or a lack of available financing resulting from the ongoing COVID-19 pandemic, if they occur, could jeopardize our ability to complete certain capital projects in time to qualify them for production tax credits. To date we have not experienced disruptions in our supply chains related to the COVID-19 pandemic.</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2020, ALLETE Clean Energy acquired the rights to the approximately 300 MW Caddo wind development project in Oklahoma from Apex Clean Energy. The Caddo wind project is fully contracted to sell wind power under long-term power sales agreements. Construction is expected to be completed in late 2021.</w:t>
      </w:r>
    </w:p>
    <w:p>
      <w:pPr>
        <w:spacing w:after="0" w:line="21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February 4, 2021, ALLETE Clean Energy entered into a purchase and sale agreement with a subsidiary of Xcel Energy Inc. to sell a 120 MW wind energy facility for approximately $210 million. ALLETE Clean Energy will repower and expand its Northern Wind project, consisting of its 98 MW Chanarambie and Viking wind energy facilities located in southwest Minnesota, as part of the transaction. Construction is expected to begin in late 2021 with the Northern Wind project expected to continue operating until early 2022. At a hearing on June 10, 2021, the MPUC approved the sale, which is expected to close in late 2022, subject to receipt of permits.</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5, 2021, ALLETE Clean Energy announced it has acquired the rights to the approximately 92 MW Red Barn wind development project and the approximately 68 MW Whitetail renewable development project in southwestern Wisconsin. ALLETE Clean Energy also signed an asset sale agreement for the completed Red Barn wind project with Wisconsin Public Service Corporation and Madison Gas and Electric Company. Construction and sale of the Red Barn wind project is expected to be completed in late 2022, subject to receipt of regulatory approvals and permits.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manages risk by having a diverse portfolio of assets, which includes PSA expiration, technology and geographic diversity. The current operating portfolio is subject to typical variations in seasonal wind with higher wind resources typically available in the winter months. The majority of its planned maintenance leverages this seasonality and is performed during lower wind periods. ALLETE Clean Energy’s current operating portfolio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Region</w:t>
            </w:r>
          </w:p>
        </w:tc>
        <w:tc>
          <w:tcPr>
            <w:tcW w:w="368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Wind Energy Facility</w:t>
            </w:r>
          </w:p>
        </w:tc>
        <w:tc>
          <w:tcPr>
            <w:tcW w:w="290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Capacity MW</w:t>
            </w:r>
          </w:p>
        </w:tc>
        <w:tc>
          <w:tcPr>
            <w:tcW w:w="15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PSA MW</w:t>
            </w:r>
          </w:p>
        </w:tc>
        <w:tc>
          <w:tcPr>
            <w:tcW w:w="18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3"/>
              </w:rPr>
              <w:t>PSA Expiration</w:t>
            </w:r>
          </w:p>
        </w:tc>
      </w:tr>
      <w:tr>
        <w:trPr>
          <w:trHeight w:val="223"/>
        </w:trPr>
        <w:tc>
          <w:tcPr>
            <w:tcW w:w="1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East</w:t>
            </w:r>
          </w:p>
        </w:tc>
        <w:tc>
          <w:tcPr>
            <w:tcW w:w="36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Armenia Mountain</w:t>
            </w:r>
          </w:p>
        </w:tc>
        <w:tc>
          <w:tcPr>
            <w:tcW w:w="2900" w:type="dxa"/>
            <w:vAlign w:val="bottom"/>
            <w:tcBorders>
              <w:bottom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color w:val="auto"/>
                <w:w w:val="93"/>
              </w:rPr>
              <w:t>101</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2024</w:t>
            </w:r>
          </w:p>
        </w:tc>
      </w:tr>
      <w:tr>
        <w:trPr>
          <w:trHeight w:val="223"/>
        </w:trPr>
        <w:tc>
          <w:tcPr>
            <w:tcW w:w="1220" w:type="dxa"/>
            <w:vAlign w:val="bottom"/>
          </w:tcPr>
          <w:p>
            <w:pPr>
              <w:ind w:left="20"/>
              <w:spacing w:after="0"/>
              <w:rPr>
                <w:sz w:val="20"/>
                <w:szCs w:val="20"/>
                <w:color w:val="auto"/>
              </w:rPr>
            </w:pPr>
            <w:r>
              <w:rPr>
                <w:rFonts w:ascii="Arial" w:cs="Arial" w:eastAsia="Arial" w:hAnsi="Arial"/>
                <w:sz w:val="18"/>
                <w:szCs w:val="18"/>
                <w:color w:val="auto"/>
              </w:rPr>
              <w:t>Midwest</w:t>
            </w:r>
          </w:p>
        </w:tc>
        <w:tc>
          <w:tcPr>
            <w:tcW w:w="3680" w:type="dxa"/>
            <w:vAlign w:val="bottom"/>
          </w:tcPr>
          <w:p>
            <w:pPr>
              <w:ind w:left="540"/>
              <w:spacing w:after="0"/>
              <w:rPr>
                <w:sz w:val="20"/>
                <w:szCs w:val="20"/>
                <w:color w:val="auto"/>
              </w:rPr>
            </w:pPr>
            <w:r>
              <w:rPr>
                <w:rFonts w:ascii="Arial" w:cs="Arial" w:eastAsia="Arial" w:hAnsi="Arial"/>
                <w:sz w:val="18"/>
                <w:szCs w:val="18"/>
                <w:color w:val="auto"/>
              </w:rPr>
              <w:t xml:space="preserve">Chanarambie/Viking </w:t>
            </w:r>
            <w:r>
              <w:rPr>
                <w:rFonts w:ascii="Arial" w:cs="Arial" w:eastAsia="Arial" w:hAnsi="Arial"/>
                <w:sz w:val="16"/>
                <w:szCs w:val="16"/>
                <w:i w:val="1"/>
                <w:iCs w:val="1"/>
                <w:color w:val="auto"/>
              </w:rPr>
              <w:t>(a)</w:t>
            </w:r>
          </w:p>
        </w:tc>
        <w:tc>
          <w:tcPr>
            <w:tcW w:w="2900" w:type="dxa"/>
            <w:vAlign w:val="bottom"/>
          </w:tcPr>
          <w:p>
            <w:pPr>
              <w:jc w:val="center"/>
              <w:ind w:left="870"/>
              <w:spacing w:after="0"/>
              <w:rPr>
                <w:sz w:val="20"/>
                <w:szCs w:val="20"/>
                <w:color w:val="auto"/>
              </w:rPr>
            </w:pPr>
            <w:r>
              <w:rPr>
                <w:rFonts w:ascii="Arial" w:cs="Arial" w:eastAsia="Arial" w:hAnsi="Arial"/>
                <w:sz w:val="18"/>
                <w:szCs w:val="18"/>
                <w:color w:val="auto"/>
                <w:w w:val="89"/>
              </w:rPr>
              <w:t>98</w:t>
            </w:r>
          </w:p>
        </w:tc>
        <w:tc>
          <w:tcPr>
            <w:tcW w:w="15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1220" w:type="dxa"/>
            <w:vAlign w:val="bottom"/>
            <w:shd w:val="clear" w:color="auto" w:fill="CCEEFF"/>
          </w:tcPr>
          <w:p>
            <w:pPr>
              <w:spacing w:after="0"/>
              <w:rPr>
                <w:sz w:val="19"/>
                <w:szCs w:val="19"/>
                <w:color w:val="auto"/>
              </w:rPr>
            </w:pPr>
          </w:p>
        </w:tc>
        <w:tc>
          <w:tcPr>
            <w:tcW w:w="3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PSA 1</w:t>
            </w:r>
          </w:p>
        </w:tc>
        <w:tc>
          <w:tcPr>
            <w:tcW w:w="29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1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2023</w:t>
            </w:r>
          </w:p>
        </w:tc>
      </w:tr>
      <w:tr>
        <w:trPr>
          <w:trHeight w:val="230"/>
        </w:trPr>
        <w:tc>
          <w:tcPr>
            <w:tcW w:w="1220" w:type="dxa"/>
            <w:vAlign w:val="bottom"/>
          </w:tcPr>
          <w:p>
            <w:pPr>
              <w:spacing w:after="0"/>
              <w:rPr>
                <w:sz w:val="19"/>
                <w:szCs w:val="19"/>
                <w:color w:val="auto"/>
              </w:rPr>
            </w:pPr>
          </w:p>
        </w:tc>
        <w:tc>
          <w:tcPr>
            <w:tcW w:w="3680" w:type="dxa"/>
            <w:vAlign w:val="bottom"/>
          </w:tcPr>
          <w:p>
            <w:pPr>
              <w:ind w:left="860"/>
              <w:spacing w:after="0"/>
              <w:rPr>
                <w:sz w:val="20"/>
                <w:szCs w:val="20"/>
                <w:color w:val="auto"/>
              </w:rPr>
            </w:pPr>
            <w:r>
              <w:rPr>
                <w:rFonts w:ascii="Arial" w:cs="Arial" w:eastAsia="Arial" w:hAnsi="Arial"/>
                <w:sz w:val="18"/>
                <w:szCs w:val="18"/>
                <w:color w:val="auto"/>
              </w:rPr>
              <w:t>PSA 2</w:t>
            </w:r>
          </w:p>
        </w:tc>
        <w:tc>
          <w:tcPr>
            <w:tcW w:w="29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88%</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2023</w:t>
            </w:r>
          </w:p>
        </w:tc>
      </w:tr>
      <w:tr>
        <w:trPr>
          <w:trHeight w:val="229"/>
        </w:trPr>
        <w:tc>
          <w:tcPr>
            <w:tcW w:w="1220" w:type="dxa"/>
            <w:vAlign w:val="bottom"/>
            <w:shd w:val="clear" w:color="auto" w:fill="CCEEFF"/>
          </w:tcPr>
          <w:p>
            <w:pPr>
              <w:spacing w:after="0"/>
              <w:rPr>
                <w:sz w:val="19"/>
                <w:szCs w:val="19"/>
                <w:color w:val="auto"/>
              </w:rPr>
            </w:pPr>
          </w:p>
        </w:tc>
        <w:tc>
          <w:tcPr>
            <w:tcW w:w="3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Lake Benton</w:t>
            </w:r>
          </w:p>
        </w:tc>
        <w:tc>
          <w:tcPr>
            <w:tcW w:w="2900" w:type="dxa"/>
            <w:vAlign w:val="bottom"/>
            <w:shd w:val="clear" w:color="auto" w:fill="CCEEFF"/>
          </w:tcPr>
          <w:p>
            <w:pPr>
              <w:jc w:val="center"/>
              <w:ind w:left="890"/>
              <w:spacing w:after="0"/>
              <w:rPr>
                <w:sz w:val="20"/>
                <w:szCs w:val="20"/>
                <w:color w:val="auto"/>
              </w:rPr>
            </w:pPr>
            <w:r>
              <w:rPr>
                <w:rFonts w:ascii="Arial" w:cs="Arial" w:eastAsia="Arial" w:hAnsi="Arial"/>
                <w:sz w:val="18"/>
                <w:szCs w:val="18"/>
                <w:color w:val="auto"/>
                <w:w w:val="93"/>
              </w:rPr>
              <w:t>104</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2028</w:t>
            </w:r>
          </w:p>
        </w:tc>
      </w:tr>
      <w:tr>
        <w:trPr>
          <w:trHeight w:val="229"/>
        </w:trPr>
        <w:tc>
          <w:tcPr>
            <w:tcW w:w="1220" w:type="dxa"/>
            <w:vAlign w:val="bottom"/>
          </w:tcPr>
          <w:p>
            <w:pPr>
              <w:spacing w:after="0"/>
              <w:rPr>
                <w:sz w:val="19"/>
                <w:szCs w:val="19"/>
                <w:color w:val="auto"/>
              </w:rPr>
            </w:pPr>
          </w:p>
        </w:tc>
        <w:tc>
          <w:tcPr>
            <w:tcW w:w="3680" w:type="dxa"/>
            <w:vAlign w:val="bottom"/>
          </w:tcPr>
          <w:p>
            <w:pPr>
              <w:ind w:left="540"/>
              <w:spacing w:after="0"/>
              <w:rPr>
                <w:sz w:val="20"/>
                <w:szCs w:val="20"/>
                <w:color w:val="auto"/>
              </w:rPr>
            </w:pPr>
            <w:r>
              <w:rPr>
                <w:rFonts w:ascii="Arial" w:cs="Arial" w:eastAsia="Arial" w:hAnsi="Arial"/>
                <w:sz w:val="18"/>
                <w:szCs w:val="18"/>
                <w:color w:val="auto"/>
              </w:rPr>
              <w:t>Storm Lake I</w:t>
            </w:r>
          </w:p>
        </w:tc>
        <w:tc>
          <w:tcPr>
            <w:tcW w:w="2900" w:type="dxa"/>
            <w:vAlign w:val="bottom"/>
          </w:tcPr>
          <w:p>
            <w:pPr>
              <w:jc w:val="center"/>
              <w:ind w:left="890"/>
              <w:spacing w:after="0"/>
              <w:rPr>
                <w:sz w:val="20"/>
                <w:szCs w:val="20"/>
                <w:color w:val="auto"/>
              </w:rPr>
            </w:pPr>
            <w:r>
              <w:rPr>
                <w:rFonts w:ascii="Arial" w:cs="Arial" w:eastAsia="Arial" w:hAnsi="Arial"/>
                <w:sz w:val="18"/>
                <w:szCs w:val="18"/>
                <w:color w:val="auto"/>
                <w:w w:val="93"/>
              </w:rPr>
              <w:t>108</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2027</w:t>
            </w:r>
          </w:p>
        </w:tc>
      </w:tr>
      <w:tr>
        <w:trPr>
          <w:trHeight w:val="230"/>
        </w:trPr>
        <w:tc>
          <w:tcPr>
            <w:tcW w:w="1220" w:type="dxa"/>
            <w:vAlign w:val="bottom"/>
            <w:shd w:val="clear" w:color="auto" w:fill="CCEEFF"/>
          </w:tcPr>
          <w:p>
            <w:pPr>
              <w:spacing w:after="0"/>
              <w:rPr>
                <w:sz w:val="19"/>
                <w:szCs w:val="19"/>
                <w:color w:val="auto"/>
              </w:rPr>
            </w:pPr>
          </w:p>
        </w:tc>
        <w:tc>
          <w:tcPr>
            <w:tcW w:w="3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Storm Lake II</w:t>
            </w:r>
          </w:p>
        </w:tc>
        <w:tc>
          <w:tcPr>
            <w:tcW w:w="290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w w:val="89"/>
              </w:rPr>
              <w:t>77</w:t>
            </w:r>
          </w:p>
        </w:tc>
        <w:tc>
          <w:tcPr>
            <w:tcW w:w="15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3680" w:type="dxa"/>
            <w:vAlign w:val="bottom"/>
          </w:tcPr>
          <w:p>
            <w:pPr>
              <w:ind w:left="860"/>
              <w:spacing w:after="0"/>
              <w:rPr>
                <w:sz w:val="20"/>
                <w:szCs w:val="20"/>
                <w:color w:val="auto"/>
              </w:rPr>
            </w:pPr>
            <w:r>
              <w:rPr>
                <w:rFonts w:ascii="Arial" w:cs="Arial" w:eastAsia="Arial" w:hAnsi="Arial"/>
                <w:sz w:val="18"/>
                <w:szCs w:val="18"/>
                <w:color w:val="auto"/>
              </w:rPr>
              <w:t>PSA 1</w:t>
            </w:r>
          </w:p>
        </w:tc>
        <w:tc>
          <w:tcPr>
            <w:tcW w:w="29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90%</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2022</w:t>
            </w:r>
          </w:p>
        </w:tc>
      </w:tr>
      <w:tr>
        <w:trPr>
          <w:trHeight w:val="229"/>
        </w:trPr>
        <w:tc>
          <w:tcPr>
            <w:tcW w:w="1220" w:type="dxa"/>
            <w:vAlign w:val="bottom"/>
            <w:shd w:val="clear" w:color="auto" w:fill="CCEEFF"/>
          </w:tcPr>
          <w:p>
            <w:pPr>
              <w:spacing w:after="0"/>
              <w:rPr>
                <w:sz w:val="19"/>
                <w:szCs w:val="19"/>
                <w:color w:val="auto"/>
              </w:rPr>
            </w:pPr>
          </w:p>
        </w:tc>
        <w:tc>
          <w:tcPr>
            <w:tcW w:w="3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PSA 2</w:t>
            </w:r>
          </w:p>
        </w:tc>
        <w:tc>
          <w:tcPr>
            <w:tcW w:w="29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1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2032</w:t>
            </w:r>
          </w:p>
        </w:tc>
      </w:tr>
      <w:tr>
        <w:trPr>
          <w:trHeight w:val="230"/>
        </w:trPr>
        <w:tc>
          <w:tcPr>
            <w:tcW w:w="12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Other</w:t>
            </w:r>
          </w:p>
        </w:tc>
        <w:tc>
          <w:tcPr>
            <w:tcW w:w="290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89"/>
              </w:rPr>
              <w:t>17</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2028</w:t>
            </w:r>
          </w:p>
        </w:tc>
      </w:tr>
      <w:tr>
        <w:trPr>
          <w:trHeight w:val="223"/>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w:t>
            </w:r>
          </w:p>
        </w:tc>
        <w:tc>
          <w:tcPr>
            <w:tcW w:w="3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Diamond Spring</w:t>
            </w:r>
          </w:p>
        </w:tc>
        <w:tc>
          <w:tcPr>
            <w:tcW w:w="2900" w:type="dxa"/>
            <w:vAlign w:val="bottom"/>
            <w:shd w:val="clear" w:color="auto" w:fill="CCEEFF"/>
          </w:tcPr>
          <w:p>
            <w:pPr>
              <w:jc w:val="center"/>
              <w:ind w:left="890"/>
              <w:spacing w:after="0"/>
              <w:rPr>
                <w:sz w:val="20"/>
                <w:szCs w:val="20"/>
                <w:color w:val="auto"/>
              </w:rPr>
            </w:pPr>
            <w:r>
              <w:rPr>
                <w:rFonts w:ascii="Arial" w:cs="Arial" w:eastAsia="Arial" w:hAnsi="Arial"/>
                <w:sz w:val="18"/>
                <w:szCs w:val="18"/>
                <w:color w:val="auto"/>
                <w:w w:val="93"/>
              </w:rPr>
              <w:t>303</w:t>
            </w:r>
          </w:p>
        </w:tc>
        <w:tc>
          <w:tcPr>
            <w:tcW w:w="15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3680" w:type="dxa"/>
            <w:vAlign w:val="bottom"/>
          </w:tcPr>
          <w:p>
            <w:pPr>
              <w:ind w:left="860"/>
              <w:spacing w:after="0"/>
              <w:rPr>
                <w:sz w:val="20"/>
                <w:szCs w:val="20"/>
                <w:color w:val="auto"/>
              </w:rPr>
            </w:pPr>
            <w:r>
              <w:rPr>
                <w:rFonts w:ascii="Arial" w:cs="Arial" w:eastAsia="Arial" w:hAnsi="Arial"/>
                <w:sz w:val="18"/>
                <w:szCs w:val="18"/>
                <w:color w:val="auto"/>
              </w:rPr>
              <w:t>PSA 1</w:t>
            </w:r>
          </w:p>
        </w:tc>
        <w:tc>
          <w:tcPr>
            <w:tcW w:w="29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58%</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2035</w:t>
            </w:r>
          </w:p>
        </w:tc>
      </w:tr>
      <w:tr>
        <w:trPr>
          <w:trHeight w:val="229"/>
        </w:trPr>
        <w:tc>
          <w:tcPr>
            <w:tcW w:w="1220" w:type="dxa"/>
            <w:vAlign w:val="bottom"/>
            <w:shd w:val="clear" w:color="auto" w:fill="CCEEFF"/>
          </w:tcPr>
          <w:p>
            <w:pPr>
              <w:spacing w:after="0"/>
              <w:rPr>
                <w:sz w:val="19"/>
                <w:szCs w:val="19"/>
                <w:color w:val="auto"/>
              </w:rPr>
            </w:pPr>
          </w:p>
        </w:tc>
        <w:tc>
          <w:tcPr>
            <w:tcW w:w="3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PSA 2</w:t>
            </w:r>
          </w:p>
        </w:tc>
        <w:tc>
          <w:tcPr>
            <w:tcW w:w="29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25%</w:t>
            </w:r>
          </w:p>
        </w:tc>
        <w:tc>
          <w:tcPr>
            <w:tcW w:w="1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2032</w:t>
            </w:r>
          </w:p>
        </w:tc>
      </w:tr>
      <w:tr>
        <w:trPr>
          <w:trHeight w:val="230"/>
        </w:trPr>
        <w:tc>
          <w:tcPr>
            <w:tcW w:w="12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PSA 3</w:t>
            </w:r>
          </w:p>
        </w:tc>
        <w:tc>
          <w:tcPr>
            <w:tcW w:w="29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16%</w:t>
            </w:r>
          </w:p>
        </w:tc>
        <w:tc>
          <w:tcPr>
            <w:tcW w:w="1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2035</w:t>
            </w:r>
          </w:p>
        </w:tc>
      </w:tr>
      <w:tr>
        <w:trPr>
          <w:trHeight w:val="223"/>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w:t>
            </w:r>
          </w:p>
        </w:tc>
        <w:tc>
          <w:tcPr>
            <w:tcW w:w="3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Condon</w:t>
            </w:r>
          </w:p>
        </w:tc>
        <w:tc>
          <w:tcPr>
            <w:tcW w:w="290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w w:val="89"/>
              </w:rPr>
              <w:t>50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2022</w:t>
            </w:r>
          </w:p>
        </w:tc>
      </w:tr>
      <w:tr>
        <w:trPr>
          <w:trHeight w:val="230"/>
        </w:trPr>
        <w:tc>
          <w:tcPr>
            <w:tcW w:w="1220" w:type="dxa"/>
            <w:vAlign w:val="bottom"/>
          </w:tcPr>
          <w:p>
            <w:pPr>
              <w:spacing w:after="0"/>
              <w:rPr>
                <w:sz w:val="19"/>
                <w:szCs w:val="19"/>
                <w:color w:val="auto"/>
              </w:rPr>
            </w:pPr>
          </w:p>
        </w:tc>
        <w:tc>
          <w:tcPr>
            <w:tcW w:w="3680" w:type="dxa"/>
            <w:vAlign w:val="bottom"/>
          </w:tcPr>
          <w:p>
            <w:pPr>
              <w:ind w:left="540"/>
              <w:spacing w:after="0"/>
              <w:rPr>
                <w:sz w:val="20"/>
                <w:szCs w:val="20"/>
                <w:color w:val="auto"/>
              </w:rPr>
            </w:pPr>
            <w:r>
              <w:rPr>
                <w:rFonts w:ascii="Arial" w:cs="Arial" w:eastAsia="Arial" w:hAnsi="Arial"/>
                <w:sz w:val="18"/>
                <w:szCs w:val="18"/>
                <w:color w:val="auto"/>
              </w:rPr>
              <w:t>Glen Ullin</w:t>
            </w:r>
          </w:p>
        </w:tc>
        <w:tc>
          <w:tcPr>
            <w:tcW w:w="2900" w:type="dxa"/>
            <w:vAlign w:val="bottom"/>
          </w:tcPr>
          <w:p>
            <w:pPr>
              <w:jc w:val="center"/>
              <w:ind w:left="890"/>
              <w:spacing w:after="0"/>
              <w:rPr>
                <w:sz w:val="20"/>
                <w:szCs w:val="20"/>
                <w:color w:val="auto"/>
              </w:rPr>
            </w:pPr>
            <w:r>
              <w:rPr>
                <w:rFonts w:ascii="Arial" w:cs="Arial" w:eastAsia="Arial" w:hAnsi="Arial"/>
                <w:sz w:val="18"/>
                <w:szCs w:val="18"/>
                <w:color w:val="auto"/>
                <w:w w:val="93"/>
              </w:rPr>
              <w:t>106</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2039</w:t>
            </w:r>
          </w:p>
        </w:tc>
      </w:tr>
      <w:tr>
        <w:trPr>
          <w:trHeight w:val="229"/>
        </w:trPr>
        <w:tc>
          <w:tcPr>
            <w:tcW w:w="1220" w:type="dxa"/>
            <w:vAlign w:val="bottom"/>
            <w:tcBorders>
              <w:bottom w:val="single" w:sz="8" w:color="auto"/>
            </w:tcBorders>
            <w:shd w:val="clear" w:color="auto" w:fill="CCEEFF"/>
          </w:tcPr>
          <w:p>
            <w:pPr>
              <w:spacing w:after="0"/>
              <w:rPr>
                <w:sz w:val="19"/>
                <w:szCs w:val="19"/>
                <w:color w:val="auto"/>
              </w:rPr>
            </w:pPr>
          </w:p>
        </w:tc>
        <w:tc>
          <w:tcPr>
            <w:tcW w:w="36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South Peak</w:t>
            </w:r>
          </w:p>
        </w:tc>
        <w:tc>
          <w:tcPr>
            <w:tcW w:w="2900" w:type="dxa"/>
            <w:vAlign w:val="bottom"/>
            <w:tcBorders>
              <w:bottom w:val="single" w:sz="8" w:color="auto"/>
            </w:tcBorders>
            <w:shd w:val="clear" w:color="auto" w:fill="CCEEFF"/>
          </w:tcPr>
          <w:p>
            <w:pPr>
              <w:jc w:val="center"/>
              <w:ind w:left="870"/>
              <w:spacing w:after="0"/>
              <w:rPr>
                <w:sz w:val="20"/>
                <w:szCs w:val="20"/>
                <w:color w:val="auto"/>
              </w:rPr>
            </w:pPr>
            <w:r>
              <w:rPr>
                <w:rFonts w:ascii="Arial" w:cs="Arial" w:eastAsia="Arial" w:hAnsi="Arial"/>
                <w:sz w:val="18"/>
                <w:szCs w:val="18"/>
                <w:color w:val="auto"/>
                <w:w w:val="89"/>
              </w:rPr>
              <w:t>80</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2035</w:t>
            </w:r>
          </w:p>
        </w:tc>
      </w:tr>
    </w:tbl>
    <w:p>
      <w:pPr>
        <w:spacing w:after="0" w:line="98" w:lineRule="exact"/>
        <w:rPr>
          <w:sz w:val="20"/>
          <w:szCs w:val="20"/>
          <w:color w:val="auto"/>
        </w:rPr>
      </w:pPr>
    </w:p>
    <w:p>
      <w:pPr>
        <w:ind w:left="340" w:right="20" w:hanging="332"/>
        <w:spacing w:after="0" w:line="254" w:lineRule="auto"/>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Under contract for sale to a subsidiary of Xcel Energy Inc. The sale is expected to close in late 2022, subject to receipt of permits. ALLETE Clean Energy will repower and expand the wind energy facilities as part of the transaction.</w:t>
      </w:r>
    </w:p>
    <w:p>
      <w:pPr>
        <w:spacing w:after="0"/>
        <w:rPr>
          <w:sz w:val="20"/>
          <w:szCs w:val="20"/>
          <w:color w:val="auto"/>
        </w:rPr>
      </w:pPr>
      <w:r>
        <w:rPr>
          <w:rFonts w:ascii="Arial" w:cs="Arial" w:eastAsia="Arial" w:hAnsi="Arial"/>
          <w:sz w:val="18"/>
          <w:szCs w:val="18"/>
          <w:b w:val="1"/>
          <w:bCs w:val="1"/>
          <w:color w:val="auto"/>
        </w:rPr>
        <w:t>Corporate and Other.</w:t>
      </w: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BNI Energy. </w:t>
      </w:r>
      <w:r>
        <w:rPr>
          <w:rFonts w:ascii="Arial" w:cs="Arial" w:eastAsia="Arial" w:hAnsi="Arial"/>
          <w:sz w:val="18"/>
          <w:szCs w:val="18"/>
          <w:color w:val="auto"/>
        </w:rPr>
        <w:t>BNI Energy anticipates selling 3.6 million tons of lignite coal in 2021 (4.2 million tons were sold in 2020) and has sold 1.9 million tons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2021 (2.1 million tons were sold for the six months ended June 30, 2020). BNI Energy operates under cost-plus fixed fee agreements extending through December 31, 2037.</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Investment in Nobles 2</w:t>
      </w:r>
      <w:r>
        <w:rPr>
          <w:rFonts w:ascii="Arial" w:cs="Arial" w:eastAsia="Arial" w:hAnsi="Arial"/>
          <w:sz w:val="18"/>
          <w:szCs w:val="18"/>
          <w:color w:val="auto"/>
        </w:rPr>
        <w:t>. Our subsidiary, ALLETE South Wind, owns a 49 percent equity interest in Nobles 2, the entity that owns and operates the 250 MW</w:t>
      </w:r>
      <w:r>
        <w:rPr>
          <w:rFonts w:ascii="Arial" w:cs="Arial" w:eastAsia="Arial" w:hAnsi="Arial"/>
          <w:sz w:val="18"/>
          <w:szCs w:val="18"/>
          <w:i w:val="1"/>
          <w:iCs w:val="1"/>
          <w:color w:val="auto"/>
        </w:rPr>
        <w:t xml:space="preserve"> </w:t>
      </w:r>
      <w:r>
        <w:rPr>
          <w:rFonts w:ascii="Arial" w:cs="Arial" w:eastAsia="Arial" w:hAnsi="Arial"/>
          <w:sz w:val="18"/>
          <w:szCs w:val="18"/>
          <w:color w:val="auto"/>
        </w:rPr>
        <w:t>wind energy facility in southwestern Minnesota pursuant to a 20-year PPA with Minnesota Power. We account for our investment in Nobles 2 under the equity method of accounting. (See Note 3. Equity Investments.) As of June 30, 2021, our equity investment in Nobles 2 was $166.2 million ($152.2 million at December 31, 2020).</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ALLETE Properties. </w:t>
      </w:r>
      <w:r>
        <w:rPr>
          <w:rFonts w:ascii="Arial" w:cs="Arial" w:eastAsia="Arial" w:hAnsi="Arial"/>
          <w:sz w:val="18"/>
          <w:szCs w:val="18"/>
          <w:color w:val="auto"/>
        </w:rPr>
        <w:t>ALLETE Properties represents our legacy Florida real estate investment. ALLETE Properties’ primary project in Florida is Town</w:t>
      </w:r>
      <w:r>
        <w:rPr>
          <w:rFonts w:ascii="Arial" w:cs="Arial" w:eastAsia="Arial" w:hAnsi="Arial"/>
          <w:sz w:val="18"/>
          <w:szCs w:val="18"/>
          <w:i w:val="1"/>
          <w:iCs w:val="1"/>
          <w:color w:val="auto"/>
        </w:rPr>
        <w:t xml:space="preserve"> </w:t>
      </w:r>
      <w:r>
        <w:rPr>
          <w:rFonts w:ascii="Arial" w:cs="Arial" w:eastAsia="Arial" w:hAnsi="Arial"/>
          <w:sz w:val="18"/>
          <w:szCs w:val="18"/>
          <w:color w:val="auto"/>
        </w:rPr>
        <w:t>Center at Palm Coast, with approximately 600 acres of land available for sale. In addition to this project, ALLETE Properties has approximately 600 acres of other land available for sale. Market conditions can impact land sales and could result in our inability to cover our cost basis and operating expenses including fixed carrying costs such as community development district assessments and property taxes.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strategy incorporates the possibility of a bulk sale of the entire ALLETE Properties portfolio. Proceeds from a bulk sale would be strategically deployed to support growth initiatives at our Regulated Operations and ALLETE Clean Energy. ALLETE Properties also continues to pursue sales of individual parcels over time and will continue to maintain key entitlements and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OUTLOOK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ALLETE’s aggregate federal and multi-state statutory tax rate is approximately 28 percent for 2021. ALLETE also has tax credits and other tax adjustments that reduce the combined statutory rate to the effective tax rate. These tax credits and adjustments historically have included items such as investment tax credits, production tax credits, AFUDC-Equity, depletion, as well as other items. The annual effective rate can also be impacted by such items as changes in income before income taxes, state and federal tax law changes that become effective during the year, business combinations, tax planning initiatives and resolution of prior years’ tax matters. We expect our effective tax rate to be a benefit of approximately 25 to 30 percent for 2021 primarily due to federal production tax credits as a result of wind energy generation. We also expect that our effective tax rate will be lower than the combined statutory rate over the next 10 years due to production tax credits attributable to our wind energy generation.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Liquidity Position. </w:t>
      </w:r>
      <w:r>
        <w:rPr>
          <w:rFonts w:ascii="Arial" w:cs="Arial" w:eastAsia="Arial" w:hAnsi="Arial"/>
          <w:sz w:val="17"/>
          <w:szCs w:val="17"/>
          <w:color w:val="auto"/>
        </w:rPr>
        <w:t>ALLETE is well-positioned to meet the Company’s liquidity needs. As of June 30, 2021, we had cash and cash equivalents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$62.5 million, $349.5 million in available consolidated lines of credit, 2.9 million original issue shares of common stock available for issuance through a distribution agreement with Lampert Capital Markets and a debt-to-capital ratio of 42 percent. (See </w:t>
      </w:r>
      <w:r>
        <w:rPr>
          <w:rFonts w:ascii="Arial" w:cs="Arial" w:eastAsia="Arial" w:hAnsi="Arial"/>
          <w:sz w:val="17"/>
          <w:szCs w:val="17"/>
          <w:i w:val="1"/>
          <w:iCs w:val="1"/>
          <w:color w:val="auto"/>
        </w:rPr>
        <w:t>Working Capital</w:t>
      </w:r>
      <w:r>
        <w:rPr>
          <w:rFonts w:ascii="Arial" w:cs="Arial" w:eastAsia="Arial" w:hAnsi="Arial"/>
          <w:sz w:val="17"/>
          <w:szCs w:val="17"/>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920" w:type="dxa"/>
            <w:vAlign w:val="bottom"/>
          </w:tcPr>
          <w:p>
            <w:pPr>
              <w:spacing w:after="0"/>
              <w:rPr>
                <w:sz w:val="24"/>
                <w:szCs w:val="24"/>
                <w:color w:val="auto"/>
              </w:rPr>
            </w:pPr>
          </w:p>
        </w:tc>
        <w:tc>
          <w:tcPr>
            <w:tcW w:w="2020" w:type="dxa"/>
            <w:vAlign w:val="bottom"/>
          </w:tcPr>
          <w:p>
            <w:pPr>
              <w:jc w:val="right"/>
              <w:ind w:right="210"/>
              <w:spacing w:after="0"/>
              <w:rPr>
                <w:sz w:val="20"/>
                <w:szCs w:val="20"/>
                <w:color w:val="auto"/>
              </w:rPr>
            </w:pPr>
            <w:r>
              <w:rPr>
                <w:rFonts w:ascii="Arial" w:cs="Arial" w:eastAsia="Arial" w:hAnsi="Arial"/>
                <w:sz w:val="18"/>
                <w:szCs w:val="18"/>
                <w:b w:val="1"/>
                <w:bCs w:val="1"/>
                <w:color w:val="auto"/>
              </w:rPr>
              <w:t>June 30,</w:t>
            </w:r>
          </w:p>
        </w:tc>
        <w:tc>
          <w:tcPr>
            <w:tcW w:w="9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vMerge w:val="continue"/>
          </w:tcPr>
          <w:p>
            <w:pPr>
              <w:spacing w:after="0"/>
              <w:rPr>
                <w:sz w:val="19"/>
                <w:szCs w:val="19"/>
                <w:color w:val="auto"/>
              </w:rPr>
            </w:pP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ALLETE Equity</w:t>
            </w:r>
          </w:p>
        </w:tc>
        <w:tc>
          <w:tcPr>
            <w:tcW w:w="20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$2,322.6</w:t>
            </w: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47</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$2,294.6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Non-Controlling Interest in Subsidiaries</w:t>
            </w:r>
          </w:p>
        </w:tc>
        <w:tc>
          <w:tcPr>
            <w:tcW w:w="2020" w:type="dxa"/>
            <w:vAlign w:val="bottom"/>
          </w:tcPr>
          <w:p>
            <w:pPr>
              <w:jc w:val="right"/>
              <w:ind w:right="250"/>
              <w:spacing w:after="0"/>
              <w:rPr>
                <w:sz w:val="20"/>
                <w:szCs w:val="20"/>
                <w:color w:val="auto"/>
              </w:rPr>
            </w:pPr>
            <w:r>
              <w:rPr>
                <w:rFonts w:ascii="Arial" w:cs="Arial" w:eastAsia="Arial" w:hAnsi="Arial"/>
                <w:sz w:val="18"/>
                <w:szCs w:val="18"/>
                <w:color w:val="auto"/>
              </w:rPr>
              <w:t>519.3</w:t>
            </w: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11</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505.6</w:t>
            </w: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Short-Term and Long-Term Debt </w:t>
            </w:r>
            <w:r>
              <w:rPr>
                <w:rFonts w:ascii="Arial" w:cs="Arial" w:eastAsia="Arial" w:hAnsi="Arial"/>
                <w:sz w:val="16"/>
                <w:szCs w:val="16"/>
                <w:i w:val="1"/>
                <w:iCs w:val="1"/>
                <w:color w:val="auto"/>
              </w:rPr>
              <w:t>(a)</w:t>
            </w:r>
          </w:p>
        </w:tc>
        <w:tc>
          <w:tcPr>
            <w:tcW w:w="20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2,036.1</w:t>
            </w:r>
          </w:p>
        </w:tc>
        <w:tc>
          <w:tcPr>
            <w:tcW w:w="9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42</w:t>
            </w: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1,806.4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$4,878.0</w:t>
            </w: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100</w:t>
            </w:r>
          </w:p>
        </w:tc>
        <w:tc>
          <w:tcPr>
            <w:tcW w:w="1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$4,606.6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5920" w:type="dxa"/>
            <w:vAlign w:val="bottom"/>
          </w:tcPr>
          <w:p>
            <w:pPr>
              <w:spacing w:after="0"/>
              <w:rPr>
                <w:sz w:val="20"/>
                <w:szCs w:val="20"/>
                <w:color w:val="auto"/>
              </w:rPr>
            </w:pPr>
            <w:r>
              <w:rPr>
                <w:rFonts w:ascii="Arial" w:cs="Arial" w:eastAsia="Arial" w:hAnsi="Arial"/>
                <w:sz w:val="16"/>
                <w:szCs w:val="16"/>
                <w:i w:val="1"/>
                <w:iCs w:val="1"/>
                <w:color w:val="auto"/>
              </w:rPr>
              <w:t>(a)  Excludes unamortized debt issuance costs.</w:t>
            </w:r>
          </w:p>
        </w:tc>
        <w:tc>
          <w:tcPr>
            <w:tcW w:w="2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the Consolidated Statement of Cash Flows is as follows:</w:t>
            </w: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Six Months Ended June 30,</w:t>
            </w:r>
          </w:p>
        </w:tc>
        <w:tc>
          <w:tcPr>
            <w:tcW w:w="20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0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$65.2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Cash Flows from (used for)</w:t>
            </w:r>
          </w:p>
        </w:tc>
        <w:tc>
          <w:tcPr>
            <w:tcW w:w="2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20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105.7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2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jc w:val="right"/>
              <w:ind w:right="610"/>
              <w:spacing w:after="0"/>
              <w:rPr>
                <w:sz w:val="20"/>
                <w:szCs w:val="20"/>
                <w:color w:val="auto"/>
              </w:rPr>
            </w:pPr>
            <w:r>
              <w:rPr>
                <w:rFonts w:ascii="Arial" w:cs="Arial" w:eastAsia="Arial" w:hAnsi="Arial"/>
                <w:sz w:val="18"/>
                <w:szCs w:val="18"/>
                <w:color w:val="auto"/>
              </w:rPr>
              <w:t>(305.7)</w:t>
            </w:r>
          </w:p>
        </w:tc>
        <w:tc>
          <w:tcPr>
            <w:tcW w:w="740" w:type="dxa"/>
            <w:vAlign w:val="bottom"/>
          </w:tcPr>
          <w:p>
            <w:pPr>
              <w:jc w:val="right"/>
              <w:spacing w:after="0"/>
              <w:rPr>
                <w:sz w:val="20"/>
                <w:szCs w:val="20"/>
                <w:color w:val="auto"/>
              </w:rPr>
            </w:pPr>
            <w:r>
              <w:rPr>
                <w:rFonts w:ascii="Arial" w:cs="Arial" w:eastAsia="Arial" w:hAnsi="Arial"/>
                <w:sz w:val="18"/>
                <w:szCs w:val="18"/>
                <w:color w:val="auto"/>
              </w:rPr>
              <w:t>(486.2)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Financing Activities</w:t>
            </w:r>
          </w:p>
        </w:tc>
        <w:tc>
          <w:tcPr>
            <w:tcW w:w="20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202.1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Change in Cash, Cash Equivalents and Restricted Cash</w:t>
            </w:r>
          </w:p>
        </w:tc>
        <w:tc>
          <w:tcPr>
            <w:tcW w:w="20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0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$67.3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from operating activities was lower in 2021 compared to 2020. Cash from operating activities in 2021 included lower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compared to 2020, higher payments for inventories and timing in recovery and refund of the fuel adjustment clause. Cash from operating activities in 2020 included provision of payments for interim rates collected as part of the 2020 general rate case.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was lower in 2021 compared to 2020. Cash used for investing activities in 2021 reflected lower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additions to property, plant and equipment and fewer payments for equity method investments compared to 2020.</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from financing activities was lower in 2021 compared to 2020 primarily due to higher repayments of short-term and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lower proceeds from non-controlling interest in subsidiaries in 2021. These decreases were partially offset by higher proceeds from the issuance of short-term and long-term debt in 2021.</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5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Working Capital. </w:t>
      </w:r>
      <w:r>
        <w:rPr>
          <w:rFonts w:ascii="Arial" w:cs="Arial" w:eastAsia="Arial" w:hAnsi="Arial"/>
          <w:sz w:val="17"/>
          <w:szCs w:val="17"/>
          <w:color w:val="auto"/>
        </w:rPr>
        <w:t>Additional working capital, if and when needed, generally is provided by consolidated bank lines of credit and the issuance of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long-term debt, common stock and commercial paper. As of June 30, 2021, we had consolidated bank lines of credit aggregating $432.0 million ($407.0 million as of December 31, 2020), the majority of which expire in January 2024. We had $18.7 million outstanding in standby letters of credit and $63.8 million outstanding draws under our lines of credit as of June 30, 2021 ($22.3 million in standby letters of credit and no outstanding draws as of December 31, 2020). We also have other credit facility agreements in place that provide the ability to issue up to $100.0 million in standby letters of credit. As of June 30, 2021, we had $82.7 million outstanding in standby letters of credit under these agreements.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as of June 30, 2021, we had 3.2 million original issue shares of our common stock available for issuance through Invest Direct, our direct stock purchase and dividend reinvestment plan, and 2.9 million original issue shares of common stock available for issuance through a distribution agreement with Lampert Capital Markets, as amended most recently in May 2020. The amount and timing of future sales of our securities will depend upon market conditions and our specific needs. In 2019, we filed Registration Statement No. 333-232905, pursuant to which the remaining shares under this agreement will continue to be offered for sale, from time to time.</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During the six months ended June 30, 2021, we issued 0.2 million shares of common stock through Invest Direct, the Employee Stock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 the Retirement Savings and Stock Ownership Plan, resulting in net proceeds of $10.1 million (0.2 million shares were issued for the six months ended June 30, 2020, resulting in net proceeds of $7.9 million). These shares of common stock were registered under Registration Statement Nos. 333-231030, 333-183051 and 333-162890.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5. Short-Term and Long-Term Debt for information regarding our financial covenants.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Pension and Other Postretirement Benefit Plans. </w:t>
      </w:r>
      <w:r>
        <w:rPr>
          <w:rFonts w:ascii="Arial" w:cs="Arial" w:eastAsia="Arial" w:hAnsi="Arial"/>
          <w:sz w:val="18"/>
          <w:szCs w:val="18"/>
          <w:color w:val="auto"/>
        </w:rPr>
        <w:t>Management considers various factors when making funding decisions, such as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actuarially determined minimum contribution requirements and contributions required to avoid benefit restrictions for the defined benefit pension plans. (See Note 9. Pension and Other Postretirement Benefit Plans.)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Off-Balance Sheet Arrangements. </w:t>
      </w:r>
      <w:r>
        <w:rPr>
          <w:rFonts w:ascii="Arial" w:cs="Arial" w:eastAsia="Arial" w:hAnsi="Arial"/>
          <w:sz w:val="17"/>
          <w:szCs w:val="17"/>
          <w:color w:val="auto"/>
        </w:rPr>
        <w:t>Off-balance sheet arrangements are summarized in our 2020 Form 10-K, with additional disclosure in Note 6.</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Commitments, Guarantees and Contingencies.</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Credit Ratings</w:t>
      </w:r>
      <w:r>
        <w:rPr>
          <w:rFonts w:ascii="Arial" w:cs="Arial" w:eastAsia="Arial" w:hAnsi="Arial"/>
          <w:sz w:val="18"/>
          <w:szCs w:val="18"/>
          <w:color w:val="auto"/>
        </w:rPr>
        <w:t>. Access to reasonably priced capital markets is dependent in part on credit and ratings. Our securities have been rated by S&amp;P Global</w:t>
      </w:r>
      <w:r>
        <w:rPr>
          <w:rFonts w:ascii="Arial" w:cs="Arial" w:eastAsia="Arial" w:hAnsi="Arial"/>
          <w:sz w:val="18"/>
          <w:szCs w:val="18"/>
          <w:b w:val="1"/>
          <w:bCs w:val="1"/>
          <w:color w:val="auto"/>
        </w:rPr>
        <w:t xml:space="preserve"> </w:t>
      </w:r>
      <w:r>
        <w:rPr>
          <w:rFonts w:ascii="Arial" w:cs="Arial" w:eastAsia="Arial" w:hAnsi="Arial"/>
          <w:sz w:val="18"/>
          <w:szCs w:val="18"/>
          <w:color w:val="auto"/>
        </w:rPr>
        <w:t>Ratings 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Credit Ratings</w:t>
            </w:r>
          </w:p>
        </w:tc>
        <w:tc>
          <w:tcPr>
            <w:tcW w:w="4280" w:type="dxa"/>
            <w:vAlign w:val="bottom"/>
          </w:tcPr>
          <w:p>
            <w:pPr>
              <w:jc w:val="center"/>
              <w:ind w:left="2732"/>
              <w:spacing w:after="0"/>
              <w:rPr>
                <w:sz w:val="20"/>
                <w:szCs w:val="20"/>
                <w:color w:val="auto"/>
              </w:rPr>
            </w:pPr>
            <w:r>
              <w:rPr>
                <w:rFonts w:ascii="Arial" w:cs="Arial" w:eastAsia="Arial" w:hAnsi="Arial"/>
                <w:sz w:val="18"/>
                <w:szCs w:val="18"/>
                <w:b w:val="1"/>
                <w:bCs w:val="1"/>
                <w:color w:val="auto"/>
                <w:w w:val="95"/>
              </w:rPr>
              <w:t>S&amp;P Global</w:t>
            </w:r>
          </w:p>
        </w:tc>
        <w:tc>
          <w:tcPr>
            <w:tcW w:w="1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Moody’s</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auto"/>
            </w:tcBorders>
            <w:vMerge w:val="continue"/>
          </w:tcPr>
          <w:p>
            <w:pPr>
              <w:spacing w:after="0"/>
              <w:rPr>
                <w:sz w:val="19"/>
                <w:szCs w:val="19"/>
                <w:color w:val="auto"/>
              </w:rPr>
            </w:pPr>
          </w:p>
        </w:tc>
        <w:tc>
          <w:tcPr>
            <w:tcW w:w="4280" w:type="dxa"/>
            <w:vAlign w:val="bottom"/>
            <w:tcBorders>
              <w:bottom w:val="single" w:sz="8" w:color="auto"/>
            </w:tcBorders>
          </w:tcPr>
          <w:p>
            <w:pPr>
              <w:jc w:val="center"/>
              <w:ind w:left="2732"/>
              <w:spacing w:after="0"/>
              <w:rPr>
                <w:sz w:val="20"/>
                <w:szCs w:val="20"/>
                <w:color w:val="auto"/>
              </w:rPr>
            </w:pPr>
            <w:r>
              <w:rPr>
                <w:rFonts w:ascii="Arial" w:cs="Arial" w:eastAsia="Arial" w:hAnsi="Arial"/>
                <w:sz w:val="18"/>
                <w:szCs w:val="18"/>
                <w:b w:val="1"/>
                <w:bCs w:val="1"/>
                <w:color w:val="auto"/>
                <w:w w:val="87"/>
              </w:rPr>
              <w:t>Ratings</w:t>
            </w: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Issuer Credit Rating</w:t>
            </w:r>
          </w:p>
        </w:tc>
        <w:tc>
          <w:tcPr>
            <w:tcW w:w="4280" w:type="dxa"/>
            <w:vAlign w:val="bottom"/>
            <w:shd w:val="clear" w:color="auto" w:fill="CCEEFF"/>
          </w:tcPr>
          <w:p>
            <w:pPr>
              <w:jc w:val="center"/>
              <w:ind w:left="2712"/>
              <w:spacing w:after="0"/>
              <w:rPr>
                <w:sz w:val="20"/>
                <w:szCs w:val="20"/>
                <w:color w:val="auto"/>
              </w:rPr>
            </w:pPr>
            <w:r>
              <w:rPr>
                <w:rFonts w:ascii="Arial" w:cs="Arial" w:eastAsia="Arial" w:hAnsi="Arial"/>
                <w:sz w:val="18"/>
                <w:szCs w:val="18"/>
                <w:color w:val="auto"/>
                <w:w w:val="99"/>
              </w:rPr>
              <w:t>BBB</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Baa1</w:t>
            </w: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280" w:type="dxa"/>
            <w:vAlign w:val="bottom"/>
          </w:tcPr>
          <w:p>
            <w:pPr>
              <w:jc w:val="center"/>
              <w:ind w:left="2712"/>
              <w:spacing w:after="0"/>
              <w:rPr>
                <w:sz w:val="20"/>
                <w:szCs w:val="20"/>
                <w:color w:val="auto"/>
              </w:rPr>
            </w:pPr>
            <w:r>
              <w:rPr>
                <w:rFonts w:ascii="Arial" w:cs="Arial" w:eastAsia="Arial" w:hAnsi="Arial"/>
                <w:sz w:val="18"/>
                <w:szCs w:val="18"/>
                <w:color w:val="auto"/>
                <w:w w:val="99"/>
              </w:rPr>
              <w:t>A-2</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P-2</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First Mortgage Bonds</w:t>
            </w:r>
          </w:p>
        </w:tc>
        <w:tc>
          <w:tcPr>
            <w:tcW w:w="4280" w:type="dxa"/>
            <w:vAlign w:val="bottom"/>
            <w:tcBorders>
              <w:bottom w:val="single" w:sz="8" w:color="auto"/>
            </w:tcBorders>
            <w:shd w:val="clear" w:color="auto" w:fill="CCEEFF"/>
          </w:tcPr>
          <w:p>
            <w:pPr>
              <w:jc w:val="center"/>
              <w:ind w:left="2732"/>
              <w:spacing w:after="0"/>
              <w:rPr>
                <w:sz w:val="20"/>
                <w:szCs w:val="20"/>
                <w:color w:val="auto"/>
              </w:rPr>
            </w:pPr>
            <w:r>
              <w:rPr>
                <w:rFonts w:ascii="Arial" w:cs="Arial" w:eastAsia="Arial" w:hAnsi="Arial"/>
                <w:sz w:val="16"/>
                <w:szCs w:val="16"/>
                <w:i w:val="1"/>
                <w:iCs w:val="1"/>
                <w:color w:val="auto"/>
                <w:w w:val="91"/>
              </w:rPr>
              <w:t>(a)</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98"/>
        </w:trPr>
        <w:tc>
          <w:tcPr>
            <w:tcW w:w="5680" w:type="dxa"/>
            <w:vAlign w:val="bottom"/>
          </w:tcPr>
          <w:p>
            <w:pPr>
              <w:spacing w:after="0"/>
              <w:rPr>
                <w:sz w:val="20"/>
                <w:szCs w:val="20"/>
                <w:color w:val="auto"/>
              </w:rPr>
            </w:pPr>
            <w:r>
              <w:rPr>
                <w:rFonts w:ascii="Arial" w:cs="Arial" w:eastAsia="Arial" w:hAnsi="Arial"/>
                <w:sz w:val="16"/>
                <w:szCs w:val="16"/>
                <w:i w:val="1"/>
                <w:iCs w:val="1"/>
                <w:color w:val="auto"/>
              </w:rPr>
              <w:t>(a)  Not rated by S&amp;P Global Ratings.</w:t>
            </w:r>
          </w:p>
        </w:tc>
        <w:tc>
          <w:tcPr>
            <w:tcW w:w="4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Capital Requirements. </w:t>
      </w:r>
      <w:r>
        <w:rPr>
          <w:rFonts w:ascii="Arial" w:cs="Arial" w:eastAsia="Arial" w:hAnsi="Arial"/>
          <w:sz w:val="18"/>
          <w:szCs w:val="18"/>
          <w:color w:val="auto"/>
        </w:rPr>
        <w:t>Our capital expenditures for 2021 are expected to be approximately $500 million. For the six months ended June 30, 2021,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totaled $288.3 million ($356.1 million for the six months ended June 30, 2020). The expenditures were primarily made in the ALLETE Clean Energy segment.</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Second Quarter 2021 Form 10-Q</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6. Commitments, Guarantees and Contingencies.)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ALLETE had 1,356 employees, of which 1,331 were full-time.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Minnesota Power and SWL&amp;P have an aggregate of 459 employees covered under collective bargaining agreements, of which most are members of International Brotherhood of Electrical Workers (IBEW) Local 31. The current labor agreements with IBEW Local 31 expire on April 30, 2023, for Minnesota Power and on January 31, 2022, for SWL&amp;P.</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BNI Energy has 184 employees, of which 135 are subject to a labor agreement with IBEW Local 1593. The current labor agreement with IBEW Local 1593 expires on March 31, 2023.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pronouncements are discussed in Note 1. Operations and Significant Accounting Policies.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As of June 30, 2021, our available-for-sale securities portfolio consisted primarily of securities held in other postretirement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plans to fund employee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3. QUANTITATIVE AND QUALITATIVE DISCLOSURES ABOUT MARKET RISK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as of June 30, 2021, an increase of 100 basis points in interest rates would impact the amount of pre-tax interest expense by $3.8 million. This amount was determined by considering the impact of a hypothetical 100 basis point increase to the average variable interest rate on the variable rate debt outstanding as of June 30, 2021.</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June 30, 2021, evaluations were performed, under the supervision and with the participation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information regarding material legal and regulatory proceedings, see Note 4. Regulatory Matters and Note 8. Commitments, Guarantees and Contingencies to the Consolidated Financial Statements in our 2020 Form 10-K and Note 2. Regulatory Matters and Note 6. Commitments, Guarantees and Contingencies herein. Such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2020 Form 10-K includes a detailed discussion of our risk factors. The information presented below updates, and should be read in conjunction with, the risk factors disclosed in Part I, Item 1A. Risk Factors of our 2020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ALLETE Clean Energy / Corporate and Other Risks</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price of electricity may be volatile, which may impact results of operations at ALLETE Clean Energy wind energy facilities under contracts with customer and industrial (C&amp;I) customers.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Unusual, adverse weather conditions or other natural events can cause volatility in market prices for electricity and adversely affect our financial position, results of operations and cash flows. ALLETE Clean Energy’s power sales agreements with its three C&amp;I customers at its Diamond Spring wind energy facility are contracts for differences where power is delivered to the market, and a fixed price is paid by the customers to ALLETE Clean Energy, and differences between the market price and the fixed price are paid to or received from the customers. One of these power sales agreements settles with the customer based on day-ahead electricity prices, while deliveries to the market are settled based on real-time electricity prices. This settlement provision can result in an adverse impact to the Company when market prices are extremely volatile as happened in February 2021 during an extreme winter weather event in the southwest United States. This winter weather event caused extreme volatility, with large differences in the day-ahead and real-time market prices; the settlement provision resulted in an approximately $5 million after-tax negative impact related to the Diamond Spring wind energy facility.</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proxy statement for ALLETE’s 2021 Annual Meeting of Shareholders, which was filed with the SEC on March 25, 2021, contained typographical errors in the section entitled “Other Business—Shareholder Proposals for the 2022 Annual Meeting” related to the dates by which a shareholder must (a) submit a shareholder proposal to be considered for inclusion in the proxy materials for ALLETE’s 2022 annual meeting of shareholders (2022 Annual Meeting) and (b) provide notice to ALLETE if a shareholder would like to bring business before the 2022 Annual Meeting. The corrected information is set forth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for the 2022 Annual Meeting</w:t>
      </w: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proposals from shareholders submitted pursuant to SEC Rule 14a-8 under the Exchange Act to be considered for inclusion in the proxy statement relating to the 2022 Annual Meeting scheduled for May 10, 2022, must be received by the Secretary of ALLETE at 30 West Superior Street, Duluth, MN 55802-2093 not later than November 25, 2021.</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ALLETE’s Bylaws provide that for proposals, other than those described in the preceding paragraph, including nominations for director and other shareholder proposals to be properly brought before an annual meeting by a shareholder, the shareholder must have delivered timely notice to ALLETE’s Secretary. To be timely, notice for business to be brought before an annual meeting of shareholders generally must be received not less than 90 days nor more than 120 days prior to the anniversary of the immediately preceding annual meeting. Therefore, for the 2022 Annual Meeting scheduled for May 10, 2022, ALLETE must receive notice between January 11, 2022 and February 10, 2022. Notice must also comply with the applicable informational and other requirements set forth in ALLETE’s Bylaws.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persons to be named as proxies in the proxy card relating to the 2022 Annual Meeting may have the discretion to vote their proxies in accordance with their judgment on any matter as to which ALLETE did not have advance notice in accordance with the notice provisions in ALLETE’s Bylaws, without discussion of such matter in the proxy statement relating to the 2022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6. EXHIBITS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w:t>
      </w:r>
    </w:p>
    <w:p>
      <w:pPr>
        <w:ind w:left="20"/>
        <w:spacing w:after="0"/>
        <w:rPr>
          <w:sz w:val="20"/>
          <w:szCs w:val="20"/>
          <w:color w:val="auto"/>
        </w:rPr>
      </w:pPr>
      <w:r>
        <w:rPr>
          <w:rFonts w:ascii="Arial" w:cs="Arial" w:eastAsia="Arial" w:hAnsi="Arial"/>
          <w:sz w:val="18"/>
          <w:szCs w:val="18"/>
          <w:b w:val="1"/>
          <w:bCs w:val="1"/>
          <w:u w:val="single" w:color="auto"/>
          <w:color w:val="auto"/>
        </w:rPr>
        <w:t>Number</w:t>
      </w:r>
    </w:p>
    <w:tbl>
      <w:tblPr>
        <w:tblLayout w:type="fixed"/>
        <w:tblInd w:w="0" w:type="dxa"/>
        <w:tblCellMar>
          <w:top w:w="0" w:type="dxa"/>
          <w:left w:w="0" w:type="dxa"/>
          <w:bottom w:w="0" w:type="dxa"/>
          <w:right w:w="0" w:type="dxa"/>
        </w:tblCellMar>
      </w:tblPr>
      <w:tr>
        <w:trPr>
          <w:trHeight w:val="196"/>
        </w:trPr>
        <w:tc>
          <w:tcPr>
            <w:tcW w:w="20" w:type="dxa"/>
            <w:vAlign w:val="bottom"/>
            <w:shd w:val="clear" w:color="auto" w:fill="CCEEFF"/>
          </w:tcPr>
          <w:p>
            <w:pPr>
              <w:spacing w:after="0"/>
              <w:rPr>
                <w:sz w:val="17"/>
                <w:szCs w:val="17"/>
                <w:color w:val="auto"/>
              </w:rPr>
            </w:pPr>
          </w:p>
        </w:tc>
        <w:tc>
          <w:tcPr>
            <w:tcW w:w="1060" w:type="dxa"/>
            <w:vAlign w:val="bottom"/>
            <w:gridSpan w:val="4"/>
            <w:shd w:val="clear" w:color="auto" w:fill="CCEEFF"/>
          </w:tcPr>
          <w:p>
            <w:pPr>
              <w:spacing w:after="0" w:line="196" w:lineRule="exact"/>
              <w:rPr>
                <w:rFonts w:ascii="Arial" w:cs="Arial" w:eastAsia="Arial" w:hAnsi="Arial"/>
                <w:sz w:val="18"/>
                <w:szCs w:val="18"/>
                <w:color w:val="0000FF"/>
              </w:rPr>
            </w:pPr>
            <w:hyperlink w:anchor="page54">
              <w:r>
                <w:rPr>
                  <w:rFonts w:ascii="Arial" w:cs="Arial" w:eastAsia="Arial" w:hAnsi="Arial"/>
                  <w:sz w:val="18"/>
                  <w:szCs w:val="18"/>
                  <w:color w:val="0000FF"/>
                </w:rPr>
                <w:t>4(a)</w:t>
              </w:r>
            </w:hyperlink>
          </w:p>
        </w:tc>
        <w:tc>
          <w:tcPr>
            <w:tcW w:w="8760" w:type="dxa"/>
            <w:vAlign w:val="bottom"/>
            <w:gridSpan w:val="7"/>
            <w:shd w:val="clear" w:color="auto" w:fill="CCEEFF"/>
          </w:tcPr>
          <w:p>
            <w:pPr>
              <w:spacing w:after="0" w:line="196" w:lineRule="exact"/>
              <w:rPr>
                <w:rFonts w:ascii="Arial" w:cs="Arial" w:eastAsia="Arial" w:hAnsi="Arial"/>
                <w:sz w:val="18"/>
                <w:szCs w:val="18"/>
                <w:color w:val="0000FF"/>
                <w:w w:val="90"/>
              </w:rPr>
            </w:pPr>
            <w:hyperlink w:anchor="page54">
              <w:r>
                <w:rPr>
                  <w:rFonts w:ascii="Arial" w:cs="Arial" w:eastAsia="Arial" w:hAnsi="Arial"/>
                  <w:sz w:val="18"/>
                  <w:szCs w:val="18"/>
                  <w:color w:val="0000FF"/>
                  <w:w w:val="90"/>
                </w:rPr>
                <w:t>Fourteenth Supplemental Indenture, dated as of June 14, 2021, between Superior Water, Light and Power Company and</w:t>
              </w:r>
            </w:hyperlink>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0000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3120" w:type="dxa"/>
            <w:vAlign w:val="bottom"/>
            <w:tcBorders>
              <w:top w:val="single" w:sz="8" w:color="0000FF"/>
              <w:bottom w:val="single" w:sz="8" w:color="0000FF"/>
            </w:tcBorders>
            <w:gridSpan w:val="2"/>
            <w:shd w:val="clear" w:color="auto" w:fill="CCEEFF"/>
          </w:tcPr>
          <w:p>
            <w:pPr>
              <w:spacing w:after="0" w:line="156" w:lineRule="exact"/>
              <w:rPr>
                <w:rFonts w:ascii="Arial" w:cs="Arial" w:eastAsia="Arial" w:hAnsi="Arial"/>
                <w:sz w:val="18"/>
                <w:szCs w:val="18"/>
                <w:color w:val="0000FF"/>
                <w:w w:val="90"/>
              </w:rPr>
            </w:pPr>
            <w:hyperlink w:anchor="page54">
              <w:r>
                <w:rPr>
                  <w:rFonts w:ascii="Arial" w:cs="Arial" w:eastAsia="Arial" w:hAnsi="Arial"/>
                  <w:sz w:val="18"/>
                  <w:szCs w:val="18"/>
                  <w:color w:val="0000FF"/>
                  <w:w w:val="90"/>
                </w:rPr>
                <w:t>U.S. Bank National Association, as trustee.</w:t>
              </w:r>
            </w:hyperlink>
          </w:p>
        </w:tc>
        <w:tc>
          <w:tcPr>
            <w:tcW w:w="5580" w:type="dxa"/>
            <w:vAlign w:val="bottom"/>
            <w:tcBorders>
              <w:top w:val="single" w:sz="8" w:color="0000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1060" w:type="dxa"/>
            <w:vAlign w:val="bottom"/>
            <w:gridSpan w:val="4"/>
          </w:tcPr>
          <w:p>
            <w:pPr>
              <w:spacing w:after="0" w:line="189" w:lineRule="exact"/>
              <w:rPr>
                <w:rFonts w:ascii="Arial" w:cs="Arial" w:eastAsia="Arial" w:hAnsi="Arial"/>
                <w:sz w:val="18"/>
                <w:szCs w:val="18"/>
                <w:color w:val="0000FF"/>
              </w:rPr>
            </w:pPr>
            <w:hyperlink w:anchor="page79">
              <w:r>
                <w:rPr>
                  <w:rFonts w:ascii="Arial" w:cs="Arial" w:eastAsia="Arial" w:hAnsi="Arial"/>
                  <w:sz w:val="18"/>
                  <w:szCs w:val="18"/>
                  <w:color w:val="0000FF"/>
                </w:rPr>
                <w:t>4(b)</w:t>
              </w:r>
            </w:hyperlink>
          </w:p>
        </w:tc>
        <w:tc>
          <w:tcPr>
            <w:tcW w:w="8760" w:type="dxa"/>
            <w:vAlign w:val="bottom"/>
            <w:gridSpan w:val="7"/>
          </w:tcPr>
          <w:p>
            <w:pPr>
              <w:spacing w:after="0" w:line="189" w:lineRule="exact"/>
              <w:rPr>
                <w:rFonts w:ascii="Arial" w:cs="Arial" w:eastAsia="Arial" w:hAnsi="Arial"/>
                <w:sz w:val="18"/>
                <w:szCs w:val="18"/>
                <w:color w:val="0000FF"/>
                <w:w w:val="92"/>
              </w:rPr>
            </w:pPr>
            <w:hyperlink w:anchor="page79">
              <w:r>
                <w:rPr>
                  <w:rFonts w:ascii="Arial" w:cs="Arial" w:eastAsia="Arial" w:hAnsi="Arial"/>
                  <w:sz w:val="18"/>
                  <w:szCs w:val="18"/>
                  <w:color w:val="0000FF"/>
                  <w:w w:val="92"/>
                </w:rPr>
                <w:t>Fifteenth Supplemental Indenture, dated as of June 14, 2021, between Superior Water, Light and Power Company and</w:t>
              </w:r>
            </w:hyperlink>
          </w:p>
        </w:tc>
      </w:tr>
      <w:tr>
        <w:trPr>
          <w:trHeight w:val="156"/>
        </w:trPr>
        <w:tc>
          <w:tcPr>
            <w:tcW w:w="2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74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79">
              <w:r>
                <w:rPr>
                  <w:rFonts w:ascii="Arial" w:cs="Arial" w:eastAsia="Arial" w:hAnsi="Arial"/>
                  <w:sz w:val="18"/>
                  <w:szCs w:val="18"/>
                  <w:color w:val="0000FF"/>
                </w:rPr>
                <w:t>U.S. Bank National Association, as trustee.</w:t>
              </w:r>
            </w:hyperlink>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2220" w:type="dxa"/>
            <w:vAlign w:val="bottom"/>
            <w:tcBorders>
              <w:top w:val="single" w:sz="8" w:color="0000FF"/>
            </w:tcBorders>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60" w:type="dxa"/>
            <w:vAlign w:val="bottom"/>
            <w:gridSpan w:val="4"/>
            <w:shd w:val="clear" w:color="auto" w:fill="CCEEFF"/>
          </w:tcPr>
          <w:p>
            <w:pPr>
              <w:spacing w:after="0" w:line="189" w:lineRule="exact"/>
              <w:rPr>
                <w:rFonts w:ascii="Arial" w:cs="Arial" w:eastAsia="Arial" w:hAnsi="Arial"/>
                <w:sz w:val="18"/>
                <w:szCs w:val="18"/>
                <w:color w:val="0000FF"/>
              </w:rPr>
            </w:pPr>
            <w:hyperlink w:anchor="page104">
              <w:r>
                <w:rPr>
                  <w:rFonts w:ascii="Arial" w:cs="Arial" w:eastAsia="Arial" w:hAnsi="Arial"/>
                  <w:sz w:val="18"/>
                  <w:szCs w:val="18"/>
                  <w:color w:val="0000FF"/>
                </w:rPr>
                <w:t>31(a)</w:t>
              </w:r>
            </w:hyperlink>
          </w:p>
        </w:tc>
        <w:tc>
          <w:tcPr>
            <w:tcW w:w="8760" w:type="dxa"/>
            <w:vAlign w:val="bottom"/>
            <w:gridSpan w:val="7"/>
            <w:shd w:val="clear" w:color="auto" w:fill="CCEEFF"/>
          </w:tcPr>
          <w:p>
            <w:pPr>
              <w:spacing w:after="0" w:line="189" w:lineRule="exact"/>
              <w:rPr>
                <w:rFonts w:ascii="Arial" w:cs="Arial" w:eastAsia="Arial" w:hAnsi="Arial"/>
                <w:sz w:val="18"/>
                <w:szCs w:val="18"/>
                <w:color w:val="0000FF"/>
                <w:w w:val="94"/>
              </w:rPr>
            </w:pPr>
            <w:hyperlink w:anchor="page104">
              <w:r>
                <w:rPr>
                  <w:rFonts w:ascii="Arial" w:cs="Arial" w:eastAsia="Arial" w:hAnsi="Arial"/>
                  <w:sz w:val="18"/>
                  <w:szCs w:val="18"/>
                  <w:color w:val="0000FF"/>
                  <w:w w:val="94"/>
                </w:rPr>
                <w:t>Rule 13a-14(a)/15d-14(a) Certification by the Chief Executive Officer Pursuant to Section 302 of the Sarbanes-Oxley</w:t>
              </w:r>
            </w:hyperlink>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8680" w:type="dxa"/>
            <w:vAlign w:val="bottom"/>
            <w:tcBorders>
              <w:top w:val="single" w:sz="8" w:color="0000FF"/>
            </w:tcBorders>
            <w:gridSpan w:val="3"/>
            <w:shd w:val="clear" w:color="auto" w:fill="CCEEFF"/>
          </w:tcPr>
          <w:p>
            <w:pPr>
              <w:spacing w:after="0" w:line="156" w:lineRule="exact"/>
              <w:rPr>
                <w:rFonts w:ascii="Arial" w:cs="Arial" w:eastAsia="Arial" w:hAnsi="Arial"/>
                <w:sz w:val="18"/>
                <w:szCs w:val="18"/>
                <w:color w:val="0000FF"/>
              </w:rPr>
            </w:pPr>
            <w:hyperlink w:anchor="page104">
              <w:r>
                <w:rPr>
                  <w:rFonts w:ascii="Arial" w:cs="Arial" w:eastAsia="Arial" w:hAnsi="Arial"/>
                  <w:sz w:val="18"/>
                  <w:szCs w:val="18"/>
                  <w:color w:val="0000FF"/>
                </w:rPr>
                <w:t>Act of 2002.</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60" w:type="dxa"/>
            <w:vAlign w:val="bottom"/>
            <w:gridSpan w:val="4"/>
          </w:tcPr>
          <w:p>
            <w:pPr>
              <w:spacing w:after="0" w:line="189" w:lineRule="exact"/>
              <w:rPr>
                <w:rFonts w:ascii="Arial" w:cs="Arial" w:eastAsia="Arial" w:hAnsi="Arial"/>
                <w:sz w:val="18"/>
                <w:szCs w:val="18"/>
                <w:color w:val="0000FF"/>
              </w:rPr>
            </w:pPr>
            <w:hyperlink w:anchor="page105">
              <w:r>
                <w:rPr>
                  <w:rFonts w:ascii="Arial" w:cs="Arial" w:eastAsia="Arial" w:hAnsi="Arial"/>
                  <w:sz w:val="18"/>
                  <w:szCs w:val="18"/>
                  <w:color w:val="0000FF"/>
                </w:rPr>
                <w:t>31(b)</w:t>
              </w:r>
            </w:hyperlink>
          </w:p>
        </w:tc>
        <w:tc>
          <w:tcPr>
            <w:tcW w:w="8760" w:type="dxa"/>
            <w:vAlign w:val="bottom"/>
            <w:gridSpan w:val="7"/>
          </w:tcPr>
          <w:p>
            <w:pPr>
              <w:spacing w:after="0" w:line="189" w:lineRule="exact"/>
              <w:rPr>
                <w:rFonts w:ascii="Arial" w:cs="Arial" w:eastAsia="Arial" w:hAnsi="Arial"/>
                <w:sz w:val="18"/>
                <w:szCs w:val="18"/>
                <w:color w:val="0000FF"/>
                <w:w w:val="94"/>
              </w:rPr>
            </w:pPr>
            <w:hyperlink w:anchor="page105">
              <w:r>
                <w:rPr>
                  <w:rFonts w:ascii="Arial" w:cs="Arial" w:eastAsia="Arial" w:hAnsi="Arial"/>
                  <w:sz w:val="18"/>
                  <w:szCs w:val="18"/>
                  <w:color w:val="0000FF"/>
                  <w:w w:val="94"/>
                </w:rPr>
                <w:t>Rule 13a-14(a)/15d-14(a) Certification by the Chief Financial Officer Pursuant to Section 302 of the Sarbanes-Oxley</w:t>
              </w:r>
            </w:hyperlink>
          </w:p>
        </w:tc>
      </w:tr>
      <w:tr>
        <w:trPr>
          <w:trHeight w:val="156"/>
        </w:trPr>
        <w:tc>
          <w:tcPr>
            <w:tcW w:w="2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872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105">
              <w:r>
                <w:rPr>
                  <w:rFonts w:ascii="Arial" w:cs="Arial" w:eastAsia="Arial" w:hAnsi="Arial"/>
                  <w:sz w:val="18"/>
                  <w:szCs w:val="18"/>
                  <w:color w:val="0000FF"/>
                </w:rPr>
                <w:t>Act of 2002.</w:t>
              </w:r>
            </w:hyperlink>
          </w:p>
        </w:tc>
        <w:tc>
          <w:tcPr>
            <w:tcW w:w="40" w:type="dxa"/>
            <w:vAlign w:val="bottom"/>
            <w:gridSpan w:val="2"/>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 w:lineRule="exact"/>
        <w:rPr>
          <w:sz w:val="20"/>
          <w:szCs w:val="20"/>
          <w:color w:val="auto"/>
        </w:rPr>
      </w:pPr>
    </w:p>
    <w:p>
      <w:pPr>
        <w:ind w:left="1080" w:right="1460" w:hanging="1054"/>
        <w:spacing w:after="0" w:line="235" w:lineRule="auto"/>
        <w:tabs>
          <w:tab w:leader="none" w:pos="1080" w:val="left"/>
        </w:tabs>
        <w:numPr>
          <w:ilvl w:val="0"/>
          <w:numId w:val="13"/>
        </w:numPr>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Section 1350 Certification of Periodic Report by the Chief Executive Officer and the Chief Financial Officer Pursuant to</w:t>
        </w:r>
      </w:hyperlink>
      <w:r>
        <w:rPr>
          <w:rFonts w:ascii="Arial" w:cs="Arial" w:eastAsia="Arial" w:hAnsi="Arial"/>
          <w:sz w:val="18"/>
          <w:szCs w:val="18"/>
          <w:u w:val="single" w:color="auto"/>
          <w:color w:val="0000FF"/>
        </w:rPr>
        <w:t xml:space="preserve"> </w:t>
      </w:r>
      <w:hyperlink w:anchor="page106">
        <w:r>
          <w:rPr>
            <w:rFonts w:ascii="Arial" w:cs="Arial" w:eastAsia="Arial" w:hAnsi="Arial"/>
            <w:sz w:val="18"/>
            <w:szCs w:val="18"/>
            <w:u w:val="single" w:color="auto"/>
            <w:color w:val="0000FF"/>
          </w:rPr>
          <w:t>Section 906 of the Sarbanes-Oxley Act of 2002.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6214745" cy="257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14745" cy="257175"/>
                    </a:xfrm>
                    <a:prstGeom prst="rect">
                      <a:avLst/>
                    </a:prstGeom>
                    <a:noFill/>
                  </pic:spPr>
                </pic:pic>
              </a:graphicData>
            </a:graphic>
          </wp:anchor>
        </w:drawing>
      </w:r>
    </w:p>
    <w:p>
      <w:pPr>
        <w:ind w:left="20"/>
        <w:spacing w:after="0"/>
        <w:tabs>
          <w:tab w:leader="none" w:pos="106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95</w:t>
      </w:r>
      <w:r>
        <w:rPr>
          <w:sz w:val="20"/>
          <w:szCs w:val="20"/>
          <w:color w:val="auto"/>
        </w:rPr>
        <w:tab/>
      </w:r>
      <w:hyperlink w:anchor="page107">
        <w:r>
          <w:rPr>
            <w:rFonts w:ascii="Arial" w:cs="Arial" w:eastAsia="Arial" w:hAnsi="Arial"/>
            <w:sz w:val="18"/>
            <w:szCs w:val="18"/>
            <w:u w:val="single" w:color="auto"/>
            <w:color w:val="0000FF"/>
          </w:rPr>
          <w:t>Mine Safety.</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214745" cy="4800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14745" cy="480060"/>
                    </a:xfrm>
                    <a:prstGeom prst="rect">
                      <a:avLst/>
                    </a:prstGeom>
                    <a:noFill/>
                  </pic:spPr>
                </pic:pic>
              </a:graphicData>
            </a:graphic>
          </wp:anchor>
        </w:drawing>
      </w:r>
    </w:p>
    <w:p>
      <w:pPr>
        <w:spacing w:after="0" w:line="3" w:lineRule="exact"/>
        <w:rPr>
          <w:rFonts w:ascii="Arial" w:cs="Arial" w:eastAsia="Arial" w:hAnsi="Arial"/>
          <w:sz w:val="18"/>
          <w:szCs w:val="18"/>
          <w:u w:val="single" w:color="auto"/>
          <w:color w:val="0000FF"/>
        </w:rPr>
      </w:pPr>
    </w:p>
    <w:p>
      <w:pPr>
        <w:jc w:val="both"/>
        <w:ind w:left="1080" w:right="1460" w:hanging="1054"/>
        <w:spacing w:after="0" w:line="219" w:lineRule="auto"/>
        <w:tabs>
          <w:tab w:leader="none" w:pos="1080" w:val="left"/>
        </w:tabs>
        <w:numPr>
          <w:ilvl w:val="0"/>
          <w:numId w:val="14"/>
        </w:numPr>
        <w:rPr>
          <w:rFonts w:ascii="Arial" w:cs="Arial" w:eastAsia="Arial" w:hAnsi="Arial"/>
          <w:sz w:val="18"/>
          <w:szCs w:val="18"/>
          <w:b w:val="1"/>
          <w:bCs w:val="1"/>
          <w:u w:val="single" w:color="auto"/>
          <w:color w:val="0000FF"/>
        </w:rPr>
      </w:pPr>
      <w:hyperlink w:anchor="page108">
        <w:r>
          <w:rPr>
            <w:rFonts w:ascii="Arial" w:cs="Arial" w:eastAsia="Arial" w:hAnsi="Arial"/>
            <w:sz w:val="18"/>
            <w:szCs w:val="18"/>
            <w:b w:val="1"/>
            <w:bCs w:val="1"/>
            <w:u w:val="single" w:color="auto"/>
            <w:color w:val="0000FF"/>
          </w:rPr>
          <w:t>ALLETE News Release dated August 4, 2021, announcing 2021 second quarter earnings. (This exhibit has been</w:t>
        </w:r>
      </w:hyperlink>
      <w:r>
        <w:rPr>
          <w:rFonts w:ascii="Arial" w:cs="Arial" w:eastAsia="Arial" w:hAnsi="Arial"/>
          <w:sz w:val="18"/>
          <w:szCs w:val="18"/>
          <w:b w:val="1"/>
          <w:bCs w:val="1"/>
          <w:u w:val="single" w:color="auto"/>
          <w:color w:val="0000FF"/>
        </w:rPr>
        <w:t xml:space="preserve"> </w:t>
      </w:r>
      <w:hyperlink w:anchor="page108">
        <w:r>
          <w:rPr>
            <w:rFonts w:ascii="Arial" w:cs="Arial" w:eastAsia="Arial" w:hAnsi="Arial"/>
            <w:sz w:val="18"/>
            <w:szCs w:val="18"/>
            <w:b w:val="1"/>
            <w:bCs w:val="1"/>
            <w:u w:val="single" w:color="auto"/>
            <w:color w:val="0000FF"/>
          </w:rPr>
          <w:t>furnished and shall not be deemed “filed” for purposes of Section 18 of the Securities Exchange Act of 1934, nor</w:t>
        </w:r>
      </w:hyperlink>
      <w:r>
        <w:rPr>
          <w:rFonts w:ascii="Arial" w:cs="Arial" w:eastAsia="Arial" w:hAnsi="Arial"/>
          <w:sz w:val="18"/>
          <w:szCs w:val="18"/>
          <w:b w:val="1"/>
          <w:bCs w:val="1"/>
          <w:u w:val="single" w:color="auto"/>
          <w:color w:val="0000FF"/>
        </w:rPr>
        <w:t xml:space="preserve"> </w:t>
      </w:r>
      <w:hyperlink w:anchor="page108">
        <w:r>
          <w:rPr>
            <w:rFonts w:ascii="Arial" w:cs="Arial" w:eastAsia="Arial" w:hAnsi="Arial"/>
            <w:sz w:val="18"/>
            <w:szCs w:val="18"/>
            <w:b w:val="1"/>
            <w:bCs w:val="1"/>
            <w:u w:val="single" w:color="auto"/>
            <w:color w:val="0000FF"/>
          </w:rPr>
          <w:t>shall it be deemed incorporated by reference in any filing under the Securities Act of 1933, except as shall be</w:t>
        </w:r>
      </w:hyperlink>
      <w:r>
        <w:rPr>
          <w:rFonts w:ascii="Arial" w:cs="Arial" w:eastAsia="Arial" w:hAnsi="Arial"/>
          <w:sz w:val="18"/>
          <w:szCs w:val="18"/>
          <w:b w:val="1"/>
          <w:bCs w:val="1"/>
          <w:u w:val="single" w:color="auto"/>
          <w:color w:val="0000FF"/>
        </w:rPr>
        <w:t xml:space="preserve"> </w:t>
      </w:r>
      <w:hyperlink w:anchor="page108">
        <w:r>
          <w:rPr>
            <w:rFonts w:ascii="Arial" w:cs="Arial" w:eastAsia="Arial" w:hAnsi="Arial"/>
            <w:sz w:val="18"/>
            <w:szCs w:val="18"/>
            <w:b w:val="1"/>
            <w:bCs w:val="1"/>
            <w:u w:val="single" w:color="auto"/>
            <w:color w:val="0000FF"/>
          </w:rPr>
          <w:t>expressly set forth by specific reference in such filing.)</w:t>
        </w:r>
      </w:hyperlink>
    </w:p>
    <w:tbl>
      <w:tblPr>
        <w:tblLayout w:type="fixed"/>
        <w:tblInd w:w="0" w:type="dxa"/>
        <w:tblCellMar>
          <w:top w:w="0" w:type="dxa"/>
          <w:left w:w="0" w:type="dxa"/>
          <w:bottom w:w="0" w:type="dxa"/>
          <w:right w:w="0" w:type="dxa"/>
        </w:tblCellMar>
      </w:tblPr>
      <w:tr>
        <w:trPr>
          <w:trHeight w:val="176"/>
        </w:trPr>
        <w:tc>
          <w:tcPr>
            <w:tcW w:w="880" w:type="dxa"/>
            <w:vAlign w:val="bottom"/>
          </w:tcPr>
          <w:p>
            <w:pPr>
              <w:ind w:left="20"/>
              <w:spacing w:after="0" w:line="176" w:lineRule="exact"/>
              <w:rPr>
                <w:sz w:val="20"/>
                <w:szCs w:val="20"/>
                <w:color w:val="auto"/>
              </w:rPr>
            </w:pPr>
            <w:r>
              <w:rPr>
                <w:rFonts w:ascii="Arial" w:cs="Arial" w:eastAsia="Arial" w:hAnsi="Arial"/>
                <w:sz w:val="18"/>
                <w:szCs w:val="18"/>
                <w:color w:val="auto"/>
              </w:rPr>
              <w:t>101.INS</w:t>
            </w:r>
          </w:p>
        </w:tc>
        <w:tc>
          <w:tcPr>
            <w:tcW w:w="8920" w:type="dxa"/>
            <w:vAlign w:val="bottom"/>
          </w:tcPr>
          <w:p>
            <w:pPr>
              <w:ind w:left="200"/>
              <w:spacing w:after="0" w:line="176" w:lineRule="exact"/>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w:t>
            </w:r>
          </w:p>
        </w:tc>
      </w:tr>
      <w:tr>
        <w:trPr>
          <w:trHeight w:val="230"/>
        </w:trPr>
        <w:tc>
          <w:tcPr>
            <w:tcW w:w="880" w:type="dxa"/>
            <w:vAlign w:val="bottom"/>
          </w:tcPr>
          <w:p>
            <w:pPr>
              <w:spacing w:after="0"/>
              <w:rPr>
                <w:sz w:val="19"/>
                <w:szCs w:val="19"/>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are embedded within the Inline XBRL document.</w:t>
            </w:r>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Schema</w:t>
            </w: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101.CAL</w:t>
            </w:r>
          </w:p>
        </w:tc>
        <w:tc>
          <w:tcPr>
            <w:tcW w:w="8920" w:type="dxa"/>
            <w:vAlign w:val="bottom"/>
          </w:tcPr>
          <w:p>
            <w:pPr>
              <w:ind w:left="200"/>
              <w:spacing w:after="0"/>
              <w:rPr>
                <w:sz w:val="20"/>
                <w:szCs w:val="20"/>
                <w:color w:val="auto"/>
              </w:rPr>
            </w:pPr>
            <w:r>
              <w:rPr>
                <w:rFonts w:ascii="Arial" w:cs="Arial" w:eastAsia="Arial" w:hAnsi="Arial"/>
                <w:sz w:val="18"/>
                <w:szCs w:val="18"/>
                <w:color w:val="auto"/>
              </w:rPr>
              <w:t>XBRL Calculation</w:t>
            </w:r>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Definition</w:t>
            </w: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101.LAB</w:t>
            </w:r>
          </w:p>
        </w:tc>
        <w:tc>
          <w:tcPr>
            <w:tcW w:w="8920" w:type="dxa"/>
            <w:vAlign w:val="bottom"/>
          </w:tcPr>
          <w:p>
            <w:pPr>
              <w:ind w:left="200"/>
              <w:spacing w:after="0"/>
              <w:rPr>
                <w:sz w:val="20"/>
                <w:szCs w:val="20"/>
                <w:color w:val="auto"/>
              </w:rPr>
            </w:pPr>
            <w:r>
              <w:rPr>
                <w:rFonts w:ascii="Arial" w:cs="Arial" w:eastAsia="Arial" w:hAnsi="Arial"/>
                <w:sz w:val="18"/>
                <w:szCs w:val="18"/>
                <w:color w:val="auto"/>
              </w:rPr>
              <w:t>XBRL Label</w:t>
            </w:r>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Presentation</w:t>
            </w: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104</w:t>
            </w:r>
          </w:p>
        </w:tc>
        <w:tc>
          <w:tcPr>
            <w:tcW w:w="8920" w:type="dxa"/>
            <w:vAlign w:val="bottom"/>
          </w:tcPr>
          <w:p>
            <w:pPr>
              <w:ind w:left="20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93" w:lineRule="exact"/>
        <w:rPr>
          <w:rFonts w:ascii="Arial" w:cs="Arial" w:eastAsia="Arial" w:hAnsi="Arial"/>
          <w:sz w:val="18"/>
          <w:szCs w:val="18"/>
          <w:b w:val="1"/>
          <w:bCs w:val="1"/>
          <w:u w:val="single" w:color="auto"/>
          <w:color w:val="0000FF"/>
        </w:rPr>
      </w:pPr>
    </w:p>
    <w:p>
      <w:pPr>
        <w:spacing w:after="0" w:line="277" w:lineRule="auto"/>
        <w:rPr>
          <w:sz w:val="20"/>
          <w:szCs w:val="20"/>
          <w:color w:val="auto"/>
        </w:rPr>
      </w:pPr>
      <w:r>
        <w:rPr>
          <w:rFonts w:ascii="Arial" w:cs="Arial" w:eastAsia="Arial" w:hAnsi="Arial"/>
          <w:sz w:val="18"/>
          <w:szCs w:val="18"/>
          <w:color w:val="auto"/>
        </w:rPr>
        <w:t>ALLETE agrees to furnish to the SEC upon request any instrument with respect to long-term debt that ALLETE has not filed as an exhibit pursuant to the exemption provided by Item 601(b)(4)(iii)(A) of Regulation S-K.</w:t>
      </w:r>
    </w:p>
    <w:p>
      <w:pPr>
        <w:spacing w:after="0" w:line="395" w:lineRule="exact"/>
        <w:rPr>
          <w:rFonts w:ascii="Arial" w:cs="Arial" w:eastAsia="Arial" w:hAnsi="Arial"/>
          <w:sz w:val="18"/>
          <w:szCs w:val="18"/>
          <w:b w:val="1"/>
          <w:bCs w:val="1"/>
          <w:u w:val="single" w:color="auto"/>
          <w:color w:val="0000FF"/>
        </w:rPr>
      </w:pPr>
    </w:p>
    <w:p>
      <w:pPr>
        <w:jc w:val="center"/>
        <w:ind w:right="-19"/>
        <w:spacing w:after="0"/>
        <w:rPr>
          <w:sz w:val="20"/>
          <w:szCs w:val="20"/>
          <w:color w:val="auto"/>
        </w:rPr>
      </w:pPr>
      <w:r>
        <w:rPr>
          <w:rFonts w:ascii="Arial" w:cs="Arial" w:eastAsia="Arial" w:hAnsi="Arial"/>
          <w:sz w:val="14"/>
          <w:szCs w:val="14"/>
          <w:color w:val="auto"/>
        </w:rPr>
        <w:t>ALLETE, Inc. Second Quarter 2021 Form 10-Q</w:t>
      </w:r>
    </w:p>
    <w:p>
      <w:pPr>
        <w:spacing w:after="0" w:line="13" w:lineRule="exact"/>
        <w:rPr>
          <w:rFonts w:ascii="Arial" w:cs="Arial" w:eastAsia="Arial" w:hAnsi="Arial"/>
          <w:sz w:val="18"/>
          <w:szCs w:val="18"/>
          <w:b w:val="1"/>
          <w:bCs w:val="1"/>
          <w:u w:val="single" w:color="auto"/>
          <w:color w:val="0000FF"/>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August 4, 2021</w:t>
            </w: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Robert J. Adams</w:t>
            </w:r>
          </w:p>
        </w:tc>
      </w:tr>
      <w:tr>
        <w:trPr>
          <w:trHeight w:val="222"/>
        </w:trPr>
        <w:tc>
          <w:tcPr>
            <w:tcW w:w="55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9"/>
              </w:rPr>
              <w:t>Robert J. Adams</w:t>
            </w:r>
          </w:p>
        </w:tc>
      </w:tr>
      <w:tr>
        <w:trPr>
          <w:trHeight w:val="229"/>
        </w:trPr>
        <w:tc>
          <w:tcPr>
            <w:tcW w:w="55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30"/>
        </w:trPr>
        <w:tc>
          <w:tcPr>
            <w:tcW w:w="550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August 4, 2021</w:t>
            </w:r>
          </w:p>
        </w:tc>
        <w:tc>
          <w:tcPr>
            <w:tcW w:w="2840" w:type="dxa"/>
            <w:vAlign w:val="bottom"/>
          </w:tcPr>
          <w:p>
            <w:pPr>
              <w:spacing w:after="0"/>
              <w:rPr>
                <w:sz w:val="20"/>
                <w:szCs w:val="20"/>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Steven W. Morris</w:t>
            </w:r>
          </w:p>
        </w:tc>
      </w:tr>
      <w:tr>
        <w:trPr>
          <w:trHeight w:val="222"/>
        </w:trPr>
        <w:tc>
          <w:tcPr>
            <w:tcW w:w="26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Steven W. Morris</w:t>
            </w:r>
          </w:p>
        </w:tc>
      </w:tr>
      <w:tr>
        <w:trPr>
          <w:trHeight w:val="229"/>
        </w:trPr>
        <w:tc>
          <w:tcPr>
            <w:tcW w:w="26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2"/>
              </w:rPr>
              <w:t>Vice President, Controller and Chief Accounting Officer</w:t>
            </w:r>
          </w:p>
        </w:tc>
      </w:tr>
      <w:tr>
        <w:trPr>
          <w:trHeight w:val="230"/>
        </w:trPr>
        <w:tc>
          <w:tcPr>
            <w:tcW w:w="26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683"/>
        </w:trPr>
        <w:tc>
          <w:tcPr>
            <w:tcW w:w="2660" w:type="dxa"/>
            <w:vAlign w:val="bottom"/>
          </w:tcPr>
          <w:p>
            <w:pPr>
              <w:spacing w:after="0"/>
              <w:rPr>
                <w:sz w:val="24"/>
                <w:szCs w:val="24"/>
                <w:color w:val="auto"/>
              </w:rPr>
            </w:pPr>
          </w:p>
        </w:tc>
        <w:tc>
          <w:tcPr>
            <w:tcW w:w="8540" w:type="dxa"/>
            <w:vAlign w:val="bottom"/>
            <w:gridSpan w:val="2"/>
          </w:tcPr>
          <w:p>
            <w:pPr>
              <w:jc w:val="center"/>
              <w:ind w:right="2550"/>
              <w:spacing w:after="0"/>
              <w:rPr>
                <w:sz w:val="20"/>
                <w:szCs w:val="20"/>
                <w:color w:val="auto"/>
              </w:rPr>
            </w:pPr>
            <w:r>
              <w:rPr>
                <w:rFonts w:ascii="Arial" w:cs="Arial" w:eastAsia="Arial" w:hAnsi="Arial"/>
                <w:sz w:val="14"/>
                <w:szCs w:val="14"/>
                <w:color w:val="auto"/>
                <w:w w:val="95"/>
              </w:rPr>
              <w:t>ALLETE, Inc. Second Quarter 2021 Form 10-Q</w:t>
            </w:r>
          </w:p>
        </w:tc>
      </w:tr>
      <w:tr>
        <w:trPr>
          <w:trHeight w:val="182"/>
        </w:trPr>
        <w:tc>
          <w:tcPr>
            <w:tcW w:w="2660" w:type="dxa"/>
            <w:vAlign w:val="bottom"/>
          </w:tcPr>
          <w:p>
            <w:pPr>
              <w:spacing w:after="0"/>
              <w:rPr>
                <w:sz w:val="15"/>
                <w:szCs w:val="15"/>
                <w:color w:val="auto"/>
              </w:rPr>
            </w:pPr>
          </w:p>
        </w:tc>
        <w:tc>
          <w:tcPr>
            <w:tcW w:w="8540" w:type="dxa"/>
            <w:vAlign w:val="bottom"/>
            <w:gridSpan w:val="2"/>
          </w:tcPr>
          <w:p>
            <w:pPr>
              <w:jc w:val="right"/>
              <w:ind w:right="5430"/>
              <w:spacing w:after="0"/>
              <w:rPr>
                <w:sz w:val="20"/>
                <w:szCs w:val="20"/>
                <w:color w:val="auto"/>
              </w:rPr>
            </w:pPr>
            <w:r>
              <w:rPr>
                <w:rFonts w:ascii="Arial" w:cs="Arial" w:eastAsia="Arial" w:hAnsi="Arial"/>
                <w:sz w:val="14"/>
                <w:szCs w:val="14"/>
                <w:color w:val="auto"/>
              </w:rPr>
              <w:t>53</w:t>
            </w:r>
          </w:p>
        </w:tc>
      </w:tr>
    </w:tbl>
    <w:p>
      <w:pPr>
        <w:sectPr>
          <w:pgSz w:w="11900" w:h="16838" w:orient="portrait"/>
          <w:cols w:equalWidth="0" w:num="1">
            <w:col w:w="11240"/>
          </w:cols>
          <w:pgMar w:left="320" w:top="89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color w:val="auto"/>
        </w:rPr>
        <w:t>Exhibit 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SUPERIOR WATER, LIGHT AND POWER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2915 Hill Avenue, Superior, WI 54880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(formerly First Bank (N.A.))</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Trustee Under Superior Water, Light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Power Company's Mortgage and Deed of Trust,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March 1, 1943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FOURTEENTH SUPPLEMENTAL INDENTURE</w:t>
      </w:r>
    </w:p>
    <w:p>
      <w:pPr>
        <w:spacing w:after="0" w:line="2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Dated as of June 14,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This instrument drafted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Chapman and Cutler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w:t>
      </w:r>
    </w:p>
    <w:p>
      <w:pPr>
        <w:sectPr>
          <w:pgSz w:w="11900" w:h="16838" w:orient="portrait"/>
          <w:cols w:equalWidth="0" w:num="1">
            <w:col w:w="11240"/>
          </w:cols>
          <w:pgMar w:left="320" w:top="132" w:right="339" w:bottom="1440" w:gutter="0" w:footer="0" w:header="0"/>
        </w:sectPr>
      </w:pPr>
    </w:p>
    <w:bookmarkStart w:id="54" w:name="page55"/>
    <w:bookmarkEnd w:id="54"/>
    <w:p>
      <w:pPr>
        <w:spacing w:after="0" w:line="221" w:lineRule="exact"/>
        <w:rPr>
          <w:sz w:val="20"/>
          <w:szCs w:val="20"/>
          <w:color w:val="auto"/>
        </w:rPr>
      </w:pPr>
    </w:p>
    <w:p>
      <w:pPr>
        <w:jc w:val="right"/>
        <w:ind w:right="3160"/>
        <w:spacing w:after="0"/>
        <w:rPr>
          <w:sz w:val="20"/>
          <w:szCs w:val="20"/>
          <w:color w:val="auto"/>
        </w:rPr>
      </w:pPr>
      <w:r>
        <w:rPr>
          <w:rFonts w:ascii="Arial" w:cs="Arial" w:eastAsia="Arial" w:hAnsi="Arial"/>
          <w:sz w:val="18"/>
          <w:szCs w:val="18"/>
          <w:b w:val="1"/>
          <w:bCs w:val="1"/>
          <w:color w:val="auto"/>
        </w:rPr>
        <w:t>TABLE OF CONTENTS</w:t>
      </w:r>
    </w:p>
    <w:p>
      <w:pPr>
        <w:spacing w:after="0" w:line="270" w:lineRule="exact"/>
        <w:rPr>
          <w:sz w:val="20"/>
          <w:szCs w:val="20"/>
          <w:color w:val="auto"/>
        </w:rPr>
      </w:pPr>
    </w:p>
    <w:p>
      <w:pPr>
        <w:spacing w:after="0"/>
        <w:tabs>
          <w:tab w:leader="none" w:pos="700" w:val="left"/>
          <w:tab w:leader="none" w:pos="1500" w:val="left"/>
        </w:tabs>
        <w:rPr>
          <w:sz w:val="20"/>
          <w:szCs w:val="20"/>
          <w:color w:val="auto"/>
        </w:rPr>
      </w:pPr>
      <w:r>
        <w:rPr>
          <w:rFonts w:ascii="Arial" w:cs="Arial" w:eastAsia="Arial" w:hAnsi="Arial"/>
          <w:sz w:val="18"/>
          <w:szCs w:val="18"/>
          <w:color w:val="auto"/>
        </w:rPr>
        <w:t>Section</w:t>
        <w:tab/>
        <w:t>Heading</w:t>
      </w:r>
      <w:r>
        <w:rPr>
          <w:sz w:val="20"/>
          <w:szCs w:val="20"/>
          <w:color w:val="auto"/>
        </w:rPr>
        <w:tab/>
      </w:r>
      <w:r>
        <w:rPr>
          <w:rFonts w:ascii="Arial" w:cs="Arial" w:eastAsia="Arial" w:hAnsi="Arial"/>
          <w:sz w:val="13"/>
          <w:szCs w:val="13"/>
          <w:color w:val="auto"/>
        </w:rPr>
        <w:t>Page</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Parties</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Recitals</w:t>
      </w:r>
    </w:p>
    <w:p>
      <w:pPr>
        <w:spacing w:after="0" w:line="50" w:lineRule="exact"/>
        <w:rPr>
          <w:sz w:val="20"/>
          <w:szCs w:val="20"/>
          <w:color w:val="auto"/>
        </w:rPr>
      </w:pPr>
    </w:p>
    <w:p>
      <w:pPr>
        <w:ind w:left="80"/>
        <w:spacing w:after="0"/>
        <w:tabs>
          <w:tab w:leader="none" w:pos="1080" w:val="left"/>
        </w:tabs>
        <w:rPr>
          <w:sz w:val="20"/>
          <w:szCs w:val="20"/>
          <w:color w:val="auto"/>
        </w:rPr>
      </w:pPr>
      <w:r>
        <w:rPr>
          <w:rFonts w:ascii="Arial" w:cs="Arial" w:eastAsia="Arial" w:hAnsi="Arial"/>
          <w:sz w:val="18"/>
          <w:szCs w:val="18"/>
          <w:color w:val="auto"/>
        </w:rPr>
        <w:t>ARTICLE I</w:t>
      </w:r>
      <w:r>
        <w:rPr>
          <w:sz w:val="20"/>
          <w:szCs w:val="20"/>
          <w:color w:val="auto"/>
        </w:rPr>
        <w:tab/>
      </w:r>
      <w:r>
        <w:rPr>
          <w:rFonts w:ascii="Arial" w:cs="Arial" w:eastAsia="Arial" w:hAnsi="Arial"/>
          <w:sz w:val="17"/>
          <w:szCs w:val="17"/>
          <w:color w:val="auto"/>
        </w:rPr>
        <w:t>BONDS OF THE THIRTEENTH SERIES</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1.1.</w:t>
      </w:r>
    </w:p>
    <w:p>
      <w:pPr>
        <w:spacing w:after="0" w:line="50" w:lineRule="exact"/>
        <w:rPr>
          <w:sz w:val="20"/>
          <w:szCs w:val="20"/>
          <w:color w:val="auto"/>
        </w:rPr>
      </w:pPr>
    </w:p>
    <w:p>
      <w:pPr>
        <w:ind w:left="80"/>
        <w:spacing w:after="0"/>
        <w:tabs>
          <w:tab w:leader="none" w:pos="1140" w:val="left"/>
        </w:tabs>
        <w:rPr>
          <w:sz w:val="20"/>
          <w:szCs w:val="20"/>
          <w:color w:val="auto"/>
        </w:rPr>
      </w:pPr>
      <w:r>
        <w:rPr>
          <w:rFonts w:ascii="Arial" w:cs="Arial" w:eastAsia="Arial" w:hAnsi="Arial"/>
          <w:sz w:val="18"/>
          <w:szCs w:val="18"/>
          <w:color w:val="auto"/>
        </w:rPr>
        <w:t>ARTICLE II</w:t>
      </w:r>
      <w:r>
        <w:rPr>
          <w:sz w:val="20"/>
          <w:szCs w:val="20"/>
          <w:color w:val="auto"/>
        </w:rPr>
        <w:tab/>
      </w:r>
      <w:r>
        <w:rPr>
          <w:rFonts w:ascii="Arial" w:cs="Arial" w:eastAsia="Arial" w:hAnsi="Arial"/>
          <w:sz w:val="17"/>
          <w:szCs w:val="17"/>
          <w:color w:val="auto"/>
        </w:rPr>
        <w:t>COVENANTS AND RESTRICTIONS</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2.1.</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2.2.</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2.3.</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2.4.</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2.5.</w:t>
      </w:r>
    </w:p>
    <w:p>
      <w:pPr>
        <w:spacing w:after="0" w:line="50" w:lineRule="exact"/>
        <w:rPr>
          <w:sz w:val="20"/>
          <w:szCs w:val="20"/>
          <w:color w:val="auto"/>
        </w:rPr>
      </w:pPr>
    </w:p>
    <w:p>
      <w:pPr>
        <w:ind w:left="80"/>
        <w:spacing w:after="0"/>
        <w:tabs>
          <w:tab w:leader="none" w:pos="1200" w:val="left"/>
        </w:tabs>
        <w:rPr>
          <w:sz w:val="20"/>
          <w:szCs w:val="20"/>
          <w:color w:val="auto"/>
        </w:rPr>
      </w:pPr>
      <w:r>
        <w:rPr>
          <w:rFonts w:ascii="Arial" w:cs="Arial" w:eastAsia="Arial" w:hAnsi="Arial"/>
          <w:sz w:val="18"/>
          <w:szCs w:val="18"/>
          <w:color w:val="auto"/>
        </w:rPr>
        <w:t>ARTICLE III</w:t>
      </w:r>
      <w:r>
        <w:rPr>
          <w:sz w:val="20"/>
          <w:szCs w:val="20"/>
          <w:color w:val="auto"/>
        </w:rPr>
        <w:tab/>
      </w:r>
      <w:r>
        <w:rPr>
          <w:rFonts w:ascii="Arial" w:cs="Arial" w:eastAsia="Arial" w:hAnsi="Arial"/>
          <w:sz w:val="17"/>
          <w:szCs w:val="17"/>
          <w:color w:val="auto"/>
        </w:rPr>
        <w:t>MISCELLANEOUS PROVISIONS</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3.1.</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3.2.</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3.3.</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3.4.</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3.5.</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3.6.</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3.7.</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ATTACHMENTS TO SUPPLEMENTAL INDENTURE: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A - Form of Bond of the Thirteenth Series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B - Assignment and Irrevocable Bond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rFonts w:ascii="Arial" w:cs="Arial" w:eastAsia="Arial" w:hAnsi="Arial"/>
          <w:sz w:val="18"/>
          <w:szCs w:val="18"/>
          <w:u w:val="single" w:color="auto"/>
          <w:color w:val="auto"/>
        </w:rPr>
      </w:pPr>
      <w:hyperlink w:anchor="page55">
        <w:r>
          <w:rPr>
            <w:rFonts w:ascii="Arial" w:cs="Arial" w:eastAsia="Arial" w:hAnsi="Arial"/>
            <w:sz w:val="18"/>
            <w:szCs w:val="18"/>
            <w:u w:val="single" w:color="auto"/>
            <w:color w:val="auto"/>
          </w:rPr>
          <w:t>1</w:t>
        </w:r>
      </w:hyperlink>
    </w:p>
    <w:p>
      <w:pPr>
        <w:spacing w:after="0" w:line="50" w:lineRule="exact"/>
        <w:rPr>
          <w:sz w:val="20"/>
          <w:szCs w:val="20"/>
          <w:color w:val="auto"/>
        </w:rPr>
      </w:pPr>
    </w:p>
    <w:p>
      <w:pPr>
        <w:spacing w:after="0"/>
        <w:rPr>
          <w:rFonts w:ascii="Arial" w:cs="Arial" w:eastAsia="Arial" w:hAnsi="Arial"/>
          <w:sz w:val="18"/>
          <w:szCs w:val="18"/>
          <w:u w:val="single" w:color="auto"/>
          <w:color w:val="auto"/>
        </w:rPr>
      </w:pPr>
      <w:hyperlink w:anchor="page55">
        <w:r>
          <w:rPr>
            <w:rFonts w:ascii="Arial" w:cs="Arial" w:eastAsia="Arial" w:hAnsi="Arial"/>
            <w:sz w:val="18"/>
            <w:szCs w:val="18"/>
            <w:u w:val="single" w:color="auto"/>
            <w:color w:val="auto"/>
          </w:rPr>
          <w:t>1</w:t>
        </w:r>
      </w:hyperlink>
    </w:p>
    <w:p>
      <w:pPr>
        <w:spacing w:after="0" w:line="50" w:lineRule="exact"/>
        <w:rPr>
          <w:sz w:val="20"/>
          <w:szCs w:val="20"/>
          <w:color w:val="auto"/>
        </w:rPr>
      </w:pPr>
    </w:p>
    <w:p>
      <w:pPr>
        <w:spacing w:after="0"/>
        <w:rPr>
          <w:rFonts w:ascii="Arial" w:cs="Arial" w:eastAsia="Arial" w:hAnsi="Arial"/>
          <w:sz w:val="18"/>
          <w:szCs w:val="18"/>
          <w:u w:val="single" w:color="auto"/>
          <w:color w:val="auto"/>
        </w:rPr>
      </w:pPr>
      <w:hyperlink w:anchor="page55">
        <w:r>
          <w:rPr>
            <w:rFonts w:ascii="Arial" w:cs="Arial" w:eastAsia="Arial" w:hAnsi="Arial"/>
            <w:sz w:val="18"/>
            <w:szCs w:val="18"/>
            <w:u w:val="single" w:color="auto"/>
            <w:color w:val="auto"/>
          </w:rPr>
          <w:t>8</w:t>
        </w:r>
      </w:hyperlink>
    </w:p>
    <w:p>
      <w:pPr>
        <w:spacing w:after="0" w:line="50" w:lineRule="exact"/>
        <w:rPr>
          <w:sz w:val="20"/>
          <w:szCs w:val="20"/>
          <w:color w:val="auto"/>
        </w:rPr>
      </w:pPr>
    </w:p>
    <w:p>
      <w:pPr>
        <w:spacing w:after="0"/>
        <w:rPr>
          <w:rFonts w:ascii="Arial" w:cs="Arial" w:eastAsia="Arial" w:hAnsi="Arial"/>
          <w:sz w:val="18"/>
          <w:szCs w:val="18"/>
          <w:u w:val="single" w:color="auto"/>
          <w:color w:val="auto"/>
        </w:rPr>
      </w:pPr>
      <w:hyperlink w:anchor="page55">
        <w:r>
          <w:rPr>
            <w:rFonts w:ascii="Arial" w:cs="Arial" w:eastAsia="Arial" w:hAnsi="Arial"/>
            <w:sz w:val="18"/>
            <w:szCs w:val="18"/>
            <w:u w:val="single" w:color="auto"/>
            <w:color w:val="auto"/>
          </w:rPr>
          <w:t>8</w:t>
        </w:r>
      </w:hyperlink>
    </w:p>
    <w:p>
      <w:pPr>
        <w:spacing w:after="0" w:line="50" w:lineRule="exact"/>
        <w:rPr>
          <w:sz w:val="20"/>
          <w:szCs w:val="20"/>
          <w:color w:val="auto"/>
        </w:rPr>
      </w:pPr>
    </w:p>
    <w:p>
      <w:pPr>
        <w:spacing w:after="0"/>
        <w:rPr>
          <w:rFonts w:ascii="Arial" w:cs="Arial" w:eastAsia="Arial" w:hAnsi="Arial"/>
          <w:sz w:val="16"/>
          <w:szCs w:val="16"/>
          <w:u w:val="single" w:color="auto"/>
          <w:color w:val="auto"/>
        </w:rPr>
      </w:pPr>
      <w:hyperlink w:anchor="page55">
        <w:r>
          <w:rPr>
            <w:rFonts w:ascii="Arial" w:cs="Arial" w:eastAsia="Arial" w:hAnsi="Arial"/>
            <w:sz w:val="16"/>
            <w:szCs w:val="16"/>
            <w:u w:val="single" w:color="auto"/>
            <w:color w:val="auto"/>
          </w:rPr>
          <w:t>11</w:t>
        </w:r>
      </w:hyperlink>
    </w:p>
    <w:p>
      <w:pPr>
        <w:spacing w:after="0" w:line="73" w:lineRule="exact"/>
        <w:rPr>
          <w:sz w:val="20"/>
          <w:szCs w:val="20"/>
          <w:color w:val="auto"/>
        </w:rPr>
      </w:pPr>
    </w:p>
    <w:p>
      <w:pPr>
        <w:spacing w:after="0"/>
        <w:rPr>
          <w:rFonts w:ascii="Arial" w:cs="Arial" w:eastAsia="Arial" w:hAnsi="Arial"/>
          <w:sz w:val="16"/>
          <w:szCs w:val="16"/>
          <w:u w:val="single" w:color="auto"/>
          <w:color w:val="auto"/>
        </w:rPr>
      </w:pPr>
      <w:hyperlink w:anchor="page55">
        <w:r>
          <w:rPr>
            <w:rFonts w:ascii="Arial" w:cs="Arial" w:eastAsia="Arial" w:hAnsi="Arial"/>
            <w:sz w:val="16"/>
            <w:szCs w:val="16"/>
            <w:u w:val="single" w:color="auto"/>
            <w:color w:val="auto"/>
          </w:rPr>
          <w:t>11</w:t>
        </w:r>
      </w:hyperlink>
    </w:p>
    <w:p>
      <w:pPr>
        <w:spacing w:after="0" w:line="73" w:lineRule="exact"/>
        <w:rPr>
          <w:sz w:val="20"/>
          <w:szCs w:val="20"/>
          <w:color w:val="auto"/>
        </w:rPr>
      </w:pPr>
    </w:p>
    <w:p>
      <w:pPr>
        <w:spacing w:after="0"/>
        <w:rPr>
          <w:rFonts w:ascii="Arial" w:cs="Arial" w:eastAsia="Arial" w:hAnsi="Arial"/>
          <w:sz w:val="16"/>
          <w:szCs w:val="16"/>
          <w:u w:val="single" w:color="auto"/>
          <w:color w:val="auto"/>
        </w:rPr>
      </w:pPr>
      <w:hyperlink w:anchor="page55">
        <w:r>
          <w:rPr>
            <w:rFonts w:ascii="Arial" w:cs="Arial" w:eastAsia="Arial" w:hAnsi="Arial"/>
            <w:sz w:val="16"/>
            <w:szCs w:val="16"/>
            <w:u w:val="single" w:color="auto"/>
            <w:color w:val="auto"/>
          </w:rPr>
          <w:t>11</w:t>
        </w:r>
      </w:hyperlink>
    </w:p>
    <w:p>
      <w:pPr>
        <w:spacing w:after="0" w:line="73" w:lineRule="exact"/>
        <w:rPr>
          <w:sz w:val="20"/>
          <w:szCs w:val="20"/>
          <w:color w:val="auto"/>
        </w:rPr>
      </w:pPr>
    </w:p>
    <w:p>
      <w:pPr>
        <w:spacing w:after="0"/>
        <w:rPr>
          <w:rFonts w:ascii="Arial" w:cs="Arial" w:eastAsia="Arial" w:hAnsi="Arial"/>
          <w:sz w:val="16"/>
          <w:szCs w:val="16"/>
          <w:u w:val="single" w:color="auto"/>
          <w:color w:val="auto"/>
        </w:rPr>
      </w:pPr>
      <w:hyperlink w:anchor="page55">
        <w:r>
          <w:rPr>
            <w:rFonts w:ascii="Arial" w:cs="Arial" w:eastAsia="Arial" w:hAnsi="Arial"/>
            <w:sz w:val="16"/>
            <w:szCs w:val="16"/>
            <w:u w:val="single" w:color="auto"/>
            <w:color w:val="auto"/>
          </w:rPr>
          <w:t>11</w:t>
        </w:r>
      </w:hyperlink>
    </w:p>
    <w:p>
      <w:pPr>
        <w:spacing w:after="0" w:line="73" w:lineRule="exact"/>
        <w:rPr>
          <w:sz w:val="20"/>
          <w:szCs w:val="20"/>
          <w:color w:val="auto"/>
        </w:rPr>
      </w:pPr>
    </w:p>
    <w:p>
      <w:pPr>
        <w:spacing w:after="0"/>
        <w:rPr>
          <w:rFonts w:ascii="Arial" w:cs="Arial" w:eastAsia="Arial" w:hAnsi="Arial"/>
          <w:sz w:val="16"/>
          <w:szCs w:val="16"/>
          <w:u w:val="single" w:color="auto"/>
          <w:color w:val="auto"/>
        </w:rPr>
      </w:pPr>
      <w:hyperlink w:anchor="page55">
        <w:r>
          <w:rPr>
            <w:rFonts w:ascii="Arial" w:cs="Arial" w:eastAsia="Arial" w:hAnsi="Arial"/>
            <w:sz w:val="16"/>
            <w:szCs w:val="16"/>
            <w:u w:val="single" w:color="auto"/>
            <w:color w:val="auto"/>
          </w:rPr>
          <w:t>12</w:t>
        </w:r>
      </w:hyperlink>
    </w:p>
    <w:p>
      <w:pPr>
        <w:spacing w:after="0" w:line="73" w:lineRule="exact"/>
        <w:rPr>
          <w:sz w:val="20"/>
          <w:szCs w:val="20"/>
          <w:color w:val="auto"/>
        </w:rPr>
      </w:pPr>
    </w:p>
    <w:p>
      <w:pPr>
        <w:spacing w:after="0"/>
        <w:rPr>
          <w:rFonts w:ascii="Arial" w:cs="Arial" w:eastAsia="Arial" w:hAnsi="Arial"/>
          <w:sz w:val="16"/>
          <w:szCs w:val="16"/>
          <w:u w:val="single" w:color="auto"/>
          <w:color w:val="auto"/>
        </w:rPr>
      </w:pPr>
      <w:hyperlink w:anchor="page55">
        <w:r>
          <w:rPr>
            <w:rFonts w:ascii="Arial" w:cs="Arial" w:eastAsia="Arial" w:hAnsi="Arial"/>
            <w:sz w:val="16"/>
            <w:szCs w:val="16"/>
            <w:u w:val="single" w:color="auto"/>
            <w:color w:val="auto"/>
          </w:rPr>
          <w:t>12</w:t>
        </w:r>
      </w:hyperlink>
    </w:p>
    <w:p>
      <w:pPr>
        <w:spacing w:after="0" w:line="73" w:lineRule="exact"/>
        <w:rPr>
          <w:sz w:val="20"/>
          <w:szCs w:val="20"/>
          <w:color w:val="auto"/>
        </w:rPr>
      </w:pPr>
    </w:p>
    <w:p>
      <w:pPr>
        <w:spacing w:after="0"/>
        <w:rPr>
          <w:rFonts w:ascii="Arial" w:cs="Arial" w:eastAsia="Arial" w:hAnsi="Arial"/>
          <w:sz w:val="16"/>
          <w:szCs w:val="16"/>
          <w:u w:val="single" w:color="auto"/>
          <w:color w:val="auto"/>
        </w:rPr>
      </w:pPr>
      <w:hyperlink w:anchor="page55">
        <w:r>
          <w:rPr>
            <w:rFonts w:ascii="Arial" w:cs="Arial" w:eastAsia="Arial" w:hAnsi="Arial"/>
            <w:sz w:val="16"/>
            <w:szCs w:val="16"/>
            <w:u w:val="single" w:color="auto"/>
            <w:color w:val="auto"/>
          </w:rPr>
          <w:t>12</w:t>
        </w:r>
      </w:hyperlink>
    </w:p>
    <w:p>
      <w:pPr>
        <w:spacing w:after="0" w:line="73" w:lineRule="exact"/>
        <w:rPr>
          <w:sz w:val="20"/>
          <w:szCs w:val="20"/>
          <w:color w:val="auto"/>
        </w:rPr>
      </w:pPr>
    </w:p>
    <w:p>
      <w:pPr>
        <w:spacing w:after="0"/>
        <w:rPr>
          <w:rFonts w:ascii="Arial" w:cs="Arial" w:eastAsia="Arial" w:hAnsi="Arial"/>
          <w:sz w:val="16"/>
          <w:szCs w:val="16"/>
          <w:u w:val="single" w:color="auto"/>
          <w:color w:val="auto"/>
        </w:rPr>
      </w:pPr>
      <w:hyperlink w:anchor="page55">
        <w:r>
          <w:rPr>
            <w:rFonts w:ascii="Arial" w:cs="Arial" w:eastAsia="Arial" w:hAnsi="Arial"/>
            <w:sz w:val="16"/>
            <w:szCs w:val="16"/>
            <w:u w:val="single" w:color="auto"/>
            <w:color w:val="auto"/>
          </w:rPr>
          <w:t>12</w:t>
        </w:r>
      </w:hyperlink>
    </w:p>
    <w:p>
      <w:pPr>
        <w:spacing w:after="0" w:line="73" w:lineRule="exact"/>
        <w:rPr>
          <w:sz w:val="20"/>
          <w:szCs w:val="20"/>
          <w:color w:val="auto"/>
        </w:rPr>
      </w:pPr>
    </w:p>
    <w:p>
      <w:pPr>
        <w:spacing w:after="0"/>
        <w:rPr>
          <w:rFonts w:ascii="Arial" w:cs="Arial" w:eastAsia="Arial" w:hAnsi="Arial"/>
          <w:sz w:val="16"/>
          <w:szCs w:val="16"/>
          <w:u w:val="single" w:color="auto"/>
          <w:color w:val="auto"/>
        </w:rPr>
      </w:pPr>
      <w:hyperlink w:anchor="page55">
        <w:r>
          <w:rPr>
            <w:rFonts w:ascii="Arial" w:cs="Arial" w:eastAsia="Arial" w:hAnsi="Arial"/>
            <w:sz w:val="16"/>
            <w:szCs w:val="16"/>
            <w:u w:val="single" w:color="auto"/>
            <w:color w:val="auto"/>
          </w:rPr>
          <w:t>17</w:t>
        </w:r>
      </w:hyperlink>
    </w:p>
    <w:p>
      <w:pPr>
        <w:spacing w:after="0" w:line="73" w:lineRule="exact"/>
        <w:rPr>
          <w:sz w:val="20"/>
          <w:szCs w:val="20"/>
          <w:color w:val="auto"/>
        </w:rPr>
      </w:pPr>
    </w:p>
    <w:p>
      <w:pPr>
        <w:spacing w:after="0"/>
        <w:rPr>
          <w:rFonts w:ascii="Arial" w:cs="Arial" w:eastAsia="Arial" w:hAnsi="Arial"/>
          <w:sz w:val="16"/>
          <w:szCs w:val="16"/>
          <w:u w:val="single" w:color="auto"/>
          <w:color w:val="auto"/>
        </w:rPr>
      </w:pPr>
      <w:hyperlink w:anchor="page55">
        <w:r>
          <w:rPr>
            <w:rFonts w:ascii="Arial" w:cs="Arial" w:eastAsia="Arial" w:hAnsi="Arial"/>
            <w:sz w:val="16"/>
            <w:szCs w:val="16"/>
            <w:u w:val="single" w:color="auto"/>
            <w:color w:val="auto"/>
          </w:rPr>
          <w:t>17</w:t>
        </w:r>
      </w:hyperlink>
    </w:p>
    <w:p>
      <w:pPr>
        <w:spacing w:after="0" w:line="73" w:lineRule="exact"/>
        <w:rPr>
          <w:sz w:val="20"/>
          <w:szCs w:val="20"/>
          <w:color w:val="auto"/>
        </w:rPr>
      </w:pPr>
    </w:p>
    <w:p>
      <w:pPr>
        <w:spacing w:after="0"/>
        <w:rPr>
          <w:rFonts w:ascii="Arial" w:cs="Arial" w:eastAsia="Arial" w:hAnsi="Arial"/>
          <w:sz w:val="16"/>
          <w:szCs w:val="16"/>
          <w:u w:val="single" w:color="auto"/>
          <w:color w:val="auto"/>
        </w:rPr>
      </w:pPr>
      <w:hyperlink w:anchor="page55">
        <w:r>
          <w:rPr>
            <w:rFonts w:ascii="Arial" w:cs="Arial" w:eastAsia="Arial" w:hAnsi="Arial"/>
            <w:sz w:val="16"/>
            <w:szCs w:val="16"/>
            <w:u w:val="single" w:color="auto"/>
            <w:color w:val="auto"/>
          </w:rPr>
          <w:t>17</w:t>
        </w:r>
      </w:hyperlink>
    </w:p>
    <w:p>
      <w:pPr>
        <w:spacing w:after="0" w:line="73" w:lineRule="exact"/>
        <w:rPr>
          <w:sz w:val="20"/>
          <w:szCs w:val="20"/>
          <w:color w:val="auto"/>
        </w:rPr>
      </w:pPr>
    </w:p>
    <w:p>
      <w:pPr>
        <w:spacing w:after="0"/>
        <w:rPr>
          <w:rFonts w:ascii="Arial" w:cs="Arial" w:eastAsia="Arial" w:hAnsi="Arial"/>
          <w:sz w:val="16"/>
          <w:szCs w:val="16"/>
          <w:u w:val="single" w:color="auto"/>
          <w:color w:val="auto"/>
        </w:rPr>
      </w:pPr>
      <w:hyperlink w:anchor="page55">
        <w:r>
          <w:rPr>
            <w:rFonts w:ascii="Arial" w:cs="Arial" w:eastAsia="Arial" w:hAnsi="Arial"/>
            <w:sz w:val="16"/>
            <w:szCs w:val="16"/>
            <w:u w:val="single" w:color="auto"/>
            <w:color w:val="auto"/>
          </w:rPr>
          <w:t>17</w:t>
        </w:r>
      </w:hyperlink>
    </w:p>
    <w:p>
      <w:pPr>
        <w:spacing w:after="0" w:line="73" w:lineRule="exact"/>
        <w:rPr>
          <w:sz w:val="20"/>
          <w:szCs w:val="20"/>
          <w:color w:val="auto"/>
        </w:rPr>
      </w:pPr>
    </w:p>
    <w:p>
      <w:pPr>
        <w:spacing w:after="0"/>
        <w:rPr>
          <w:rFonts w:ascii="Arial" w:cs="Arial" w:eastAsia="Arial" w:hAnsi="Arial"/>
          <w:sz w:val="16"/>
          <w:szCs w:val="16"/>
          <w:u w:val="single" w:color="auto"/>
          <w:color w:val="auto"/>
        </w:rPr>
      </w:pPr>
      <w:hyperlink w:anchor="page55">
        <w:r>
          <w:rPr>
            <w:rFonts w:ascii="Arial" w:cs="Arial" w:eastAsia="Arial" w:hAnsi="Arial"/>
            <w:sz w:val="16"/>
            <w:szCs w:val="16"/>
            <w:u w:val="single" w:color="auto"/>
            <w:color w:val="auto"/>
          </w:rPr>
          <w:t>18</w:t>
        </w:r>
      </w:hyperlink>
    </w:p>
    <w:p>
      <w:pPr>
        <w:spacing w:after="0" w:line="73" w:lineRule="exact"/>
        <w:rPr>
          <w:sz w:val="20"/>
          <w:szCs w:val="20"/>
          <w:color w:val="auto"/>
        </w:rPr>
      </w:pPr>
    </w:p>
    <w:p>
      <w:pPr>
        <w:spacing w:after="0"/>
        <w:rPr>
          <w:rFonts w:ascii="Arial" w:cs="Arial" w:eastAsia="Arial" w:hAnsi="Arial"/>
          <w:sz w:val="16"/>
          <w:szCs w:val="16"/>
          <w:u w:val="single" w:color="auto"/>
          <w:color w:val="auto"/>
        </w:rPr>
      </w:pPr>
      <w:hyperlink w:anchor="page55">
        <w:r>
          <w:rPr>
            <w:rFonts w:ascii="Arial" w:cs="Arial" w:eastAsia="Arial" w:hAnsi="Arial"/>
            <w:sz w:val="16"/>
            <w:szCs w:val="16"/>
            <w:u w:val="single" w:color="auto"/>
            <w:color w:val="auto"/>
          </w:rPr>
          <w:t>18</w:t>
        </w:r>
      </w:hyperlink>
    </w:p>
    <w:p>
      <w:pPr>
        <w:spacing w:after="0" w:line="73" w:lineRule="exact"/>
        <w:rPr>
          <w:sz w:val="20"/>
          <w:szCs w:val="20"/>
          <w:color w:val="auto"/>
        </w:rPr>
      </w:pPr>
    </w:p>
    <w:p>
      <w:pPr>
        <w:spacing w:after="0"/>
        <w:rPr>
          <w:rFonts w:ascii="Arial" w:cs="Arial" w:eastAsia="Arial" w:hAnsi="Arial"/>
          <w:sz w:val="16"/>
          <w:szCs w:val="16"/>
          <w:u w:val="single" w:color="auto"/>
          <w:color w:val="auto"/>
        </w:rPr>
      </w:pPr>
      <w:hyperlink w:anchor="page55">
        <w:r>
          <w:rPr>
            <w:rFonts w:ascii="Arial" w:cs="Arial" w:eastAsia="Arial" w:hAnsi="Arial"/>
            <w:sz w:val="16"/>
            <w:szCs w:val="16"/>
            <w:u w:val="single" w:color="auto"/>
            <w:color w:val="auto"/>
          </w:rPr>
          <w:t>19</w:t>
        </w:r>
      </w:hyperlink>
    </w:p>
    <w:p>
      <w:pPr>
        <w:sectPr>
          <w:pgSz w:w="11900" w:h="16838" w:orient="portrait"/>
          <w:cols w:equalWidth="0" w:num="2">
            <w:col w:w="9740" w:space="720"/>
            <w:col w:w="180"/>
          </w:cols>
          <w:pgMar w:left="320" w:top="1440" w:right="939" w:bottom="1440" w:gutter="0" w:footer="0" w:header="0"/>
        </w:sectPr>
      </w:pPr>
    </w:p>
    <w:bookmarkStart w:id="55" w:name="page56"/>
    <w:bookmarkEnd w:id="55"/>
    <w:p>
      <w:pPr>
        <w:spacing w:after="0" w:line="302" w:lineRule="exact"/>
        <w:rPr>
          <w:sz w:val="20"/>
          <w:szCs w:val="20"/>
          <w:color w:val="auto"/>
        </w:rPr>
      </w:pPr>
    </w:p>
    <w:p>
      <w:pPr>
        <w:ind w:left="4000" w:hanging="645"/>
        <w:spacing w:after="0"/>
        <w:tabs>
          <w:tab w:leader="none" w:pos="40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FOURTEENTH SUPPLEMENTAL INDENTURE</w:t>
      </w:r>
    </w:p>
    <w:p>
      <w:pPr>
        <w:spacing w:after="0" w:line="2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This FOURTEENTH[?] SUPPLEMENTAL INDENTURE, dated as of the 14th day of June, 2021, made and entered into by and between SUPERIOR WATER, LIGHT AND POWER COMPANY, a corporation of the State of Wisconsin, whose address is 2915 Hill Avenue, Superior, Wisconsin 54880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and U.S. BANK NATIONAL ASSOCIATION (successor to Chemical Bank, as Corporate Trustee, and Peter Morse, as Co-Trustee), a national banking association, whose principal trust office at the date hereof is in Milwaukee, Wisconsin (the </w:t>
      </w:r>
      <w:r>
        <w:rPr>
          <w:rFonts w:ascii="Arial" w:cs="Arial" w:eastAsia="Arial" w:hAnsi="Arial"/>
          <w:sz w:val="16"/>
          <w:szCs w:val="16"/>
          <w:i w:val="1"/>
          <w:iCs w:val="1"/>
          <w:color w:val="auto"/>
        </w:rPr>
        <w:t>“Trustee”</w:t>
      </w:r>
      <w:r>
        <w:rPr>
          <w:rFonts w:ascii="Arial" w:cs="Arial" w:eastAsia="Arial" w:hAnsi="Arial"/>
          <w:sz w:val="16"/>
          <w:szCs w:val="16"/>
          <w:color w:val="auto"/>
        </w:rPr>
        <w:t xml:space="preserve">), as Trustee under the Mortgage and Deed of Trust dated as of March 1, 1943 (hereinafter called the </w:t>
      </w:r>
      <w:r>
        <w:rPr>
          <w:rFonts w:ascii="Arial" w:cs="Arial" w:eastAsia="Arial" w:hAnsi="Arial"/>
          <w:sz w:val="16"/>
          <w:szCs w:val="16"/>
          <w:i w:val="1"/>
          <w:iCs w:val="1"/>
          <w:color w:val="auto"/>
        </w:rPr>
        <w:t>“Mortgage”</w:t>
      </w:r>
      <w:r>
        <w:rPr>
          <w:rFonts w:ascii="Arial" w:cs="Arial" w:eastAsia="Arial" w:hAnsi="Arial"/>
          <w:sz w:val="16"/>
          <w:szCs w:val="16"/>
          <w:color w:val="auto"/>
        </w:rPr>
        <w:t xml:space="preserve">), which Mortgage was executed and delivered by the Company to secure the payment of bonds issued or to be issued under and in accordance with the provisions of the Mortgage, reference to which Mortgage is hereby made, this Fourteenth Supplemental Indenture (the </w:t>
      </w:r>
      <w:r>
        <w:rPr>
          <w:rFonts w:ascii="Arial" w:cs="Arial" w:eastAsia="Arial" w:hAnsi="Arial"/>
          <w:sz w:val="16"/>
          <w:szCs w:val="16"/>
          <w:i w:val="1"/>
          <w:iCs w:val="1"/>
          <w:color w:val="auto"/>
        </w:rPr>
        <w:t>“Fourteenth Supplemental Indenture”</w:t>
      </w:r>
      <w:r>
        <w:rPr>
          <w:rFonts w:ascii="Arial" w:cs="Arial" w:eastAsia="Arial" w:hAnsi="Arial"/>
          <w:sz w:val="16"/>
          <w:szCs w:val="16"/>
          <w:color w:val="auto"/>
        </w:rPr>
        <w:t>) being supplemental thereto;</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said Mortgage was recorded in the office of the Register of Deeds in and for Douglas County, Wisconsin, on May 3, 1943, in Volume 191 of Mortgages at page 1, Document No. 362844; and</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an instrument dated as of September 15, 1949, was executed by the Company appointing Russell H. Sherman as Co-Trustee in succession to said Howard B. Smith, resigned, under said Mortgage, and by Russell H. Sherman accepting the appointment as Co-Trustee under said Mortgage in succession to the said Howard B. Smith, which instrument was recorded in the office of the Register of Deeds in and for Douglas County, Wisconsin, on October 8, 1949, in Volume 196 of Mortgages at page 510, Document No. 398649; and</w:t>
      </w:r>
    </w:p>
    <w:p>
      <w:pPr>
        <w:spacing w:after="0" w:line="22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WHEREAS, by the Mortgage, the Company covenanted that it would execute and deliver such supplemental indenture or indentures and such further instruments and do such further acts as might be necessary or proper to carry out more effectively the purposes of the Mortgage and to make subject to the lien of the Mortgage any property acquired after the date of the execution of the Mortgage and intended to be subject to the lien thereof; and</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the Company executed and delivered its First Supplemental Indenture, dated as of March 1, 1951 (hereinafter called its </w:t>
      </w:r>
      <w:r>
        <w:rPr>
          <w:rFonts w:ascii="Arial" w:cs="Arial" w:eastAsia="Arial" w:hAnsi="Arial"/>
          <w:sz w:val="18"/>
          <w:szCs w:val="18"/>
          <w:i w:val="1"/>
          <w:iCs w:val="1"/>
          <w:color w:val="auto"/>
        </w:rPr>
        <w:t>“First</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Supplemental Indenture”</w:t>
      </w:r>
      <w:r>
        <w:rPr>
          <w:rFonts w:ascii="Arial" w:cs="Arial" w:eastAsia="Arial" w:hAnsi="Arial"/>
          <w:sz w:val="18"/>
          <w:szCs w:val="18"/>
          <w:color w:val="auto"/>
        </w:rPr>
        <w:t>), which was recorded in the office of the Register of Deeds in and for Douglas County, Wisconsin, on March 30, 1951, in Volume</w:t>
      </w:r>
      <w:r>
        <w:rPr>
          <w:rFonts w:ascii="Arial" w:cs="Arial" w:eastAsia="Arial" w:hAnsi="Arial"/>
          <w:sz w:val="18"/>
          <w:szCs w:val="18"/>
          <w:i w:val="1"/>
          <w:iCs w:val="1"/>
          <w:color w:val="auto"/>
        </w:rPr>
        <w:t xml:space="preserve"> </w:t>
      </w:r>
      <w:r>
        <w:rPr>
          <w:rFonts w:ascii="Arial" w:cs="Arial" w:eastAsia="Arial" w:hAnsi="Arial"/>
          <w:sz w:val="18"/>
          <w:szCs w:val="18"/>
          <w:color w:val="auto"/>
        </w:rPr>
        <w:t>205 of Mortgages at page 73, Document No. 405297; and</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an instrument dated as of May 16, 1961, was executed by the Company appointing Richard G. Pintard as Co-Trustee in succession to said Russell H. Sherman, resigned, under said Mortgage and by Richard G. Pintard accepting the appointment as Co-Trustee under said Mortgage in succession to said Russell H. Sherman, which instrument was recorded in the office of the Register of Deeds in and for Douglas County, Wisconsin, on May 31, 1961, in Volume 256 of Mortgages at page 423, Document No. 453857; and</w:t>
      </w:r>
    </w:p>
    <w:p>
      <w:pPr>
        <w:spacing w:after="0" w:line="22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the Company executed and delivered its Second Supplemental Indenture, dated as of March 1, 1962 (hereinafter called its </w:t>
      </w:r>
      <w:r>
        <w:rPr>
          <w:rFonts w:ascii="Arial" w:cs="Arial" w:eastAsia="Arial" w:hAnsi="Arial"/>
          <w:sz w:val="18"/>
          <w:szCs w:val="18"/>
          <w:i w:val="1"/>
          <w:iCs w:val="1"/>
          <w:color w:val="auto"/>
        </w:rPr>
        <w:t>“Second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Supplemental Indenture”</w:t>
      </w:r>
      <w:r>
        <w:rPr>
          <w:rFonts w:ascii="Arial" w:cs="Arial" w:eastAsia="Arial" w:hAnsi="Arial"/>
          <w:sz w:val="18"/>
          <w:szCs w:val="18"/>
          <w:color w:val="auto"/>
        </w:rPr>
        <w:t>), which was recorded in the office of the Register of Deeds in and for Douglas County, Wisconsin, on March 26, 1962, in Volume</w:t>
      </w:r>
      <w:r>
        <w:rPr>
          <w:rFonts w:ascii="Arial" w:cs="Arial" w:eastAsia="Arial" w:hAnsi="Arial"/>
          <w:sz w:val="18"/>
          <w:szCs w:val="18"/>
          <w:i w:val="1"/>
          <w:iCs w:val="1"/>
          <w:color w:val="auto"/>
        </w:rPr>
        <w:t xml:space="preserve"> </w:t>
      </w:r>
      <w:r>
        <w:rPr>
          <w:rFonts w:ascii="Arial" w:cs="Arial" w:eastAsia="Arial" w:hAnsi="Arial"/>
          <w:sz w:val="18"/>
          <w:szCs w:val="18"/>
          <w:color w:val="auto"/>
        </w:rPr>
        <w:t>261 of Mortgages at page 81, Document No. 457662; and</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an instrument dated as of June 23, 1976, was executed by the Company appointing Steven F. Lasher as Co-Trustee in succession to said Richard G. Pintard, resigned, under said Mortgage and by Steven F. Lasher accepting the appointment as Co-Trustee under said Mortgage in succession to said Richard G. Pintard, which instrument was recorded in the office of the Register of Deeds in and for Douglas County, Wisconsin, on July 16, 1976, in Volume 353 of Records at page 274, Document No. 532495; and</w:t>
      </w:r>
    </w:p>
    <w:p>
      <w:pPr>
        <w:spacing w:after="0" w:line="2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WHEREAS, the Company executed and delivered its Third Supplemental Indenture, dated as of July 1, 1976 (hereinafter called its </w:t>
      </w:r>
      <w:r>
        <w:rPr>
          <w:rFonts w:ascii="Arial" w:cs="Arial" w:eastAsia="Arial" w:hAnsi="Arial"/>
          <w:sz w:val="18"/>
          <w:szCs w:val="18"/>
          <w:i w:val="1"/>
          <w:iCs w:val="1"/>
          <w:color w:val="auto"/>
        </w:rPr>
        <w:t>“Third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Supplemental Indenture”</w:t>
      </w:r>
      <w:r>
        <w:rPr>
          <w:rFonts w:ascii="Arial" w:cs="Arial" w:eastAsia="Arial" w:hAnsi="Arial"/>
          <w:sz w:val="18"/>
          <w:szCs w:val="18"/>
          <w:color w:val="auto"/>
        </w:rPr>
        <w:t>), which was recorded in the office of the Register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56" w:name="page57"/>
    <w:bookmarkEnd w:id="56"/>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Deeds in and for Douglas County, Wisconsin, on October 1, 1976, in Volume 355 of Records at page 683, Document No. 534332; and</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an instrument dated as of December 30, 1977, was executed by the Company appointing C. G. Martens as Co-Trustee in succession, to said Steven F. Lasher, resigned, under said Mortgage and by C. G. Martens accepting the appointment as Co-Trustee under said Mortgage in succession to said Steven F. Lasher, which instrument was recorded in the office of the Register of Deeds in and for Douglas County, Wisconsin, on February 13, 1985, in Volume 436 of Records at page 264, Document No. 589308; and</w:t>
      </w:r>
    </w:p>
    <w:p>
      <w:pPr>
        <w:spacing w:after="0" w:line="22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the Company executed and delivered its Fourth Supplemental Indenture, dated as of March 1, 1985 (hereinafter called its </w:t>
      </w:r>
      <w:r>
        <w:rPr>
          <w:rFonts w:ascii="Arial" w:cs="Arial" w:eastAsia="Arial" w:hAnsi="Arial"/>
          <w:sz w:val="18"/>
          <w:szCs w:val="18"/>
          <w:i w:val="1"/>
          <w:iCs w:val="1"/>
          <w:color w:val="auto"/>
        </w:rPr>
        <w:t>“Fourth</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Supplemental Indenture”</w:t>
      </w:r>
      <w:r>
        <w:rPr>
          <w:rFonts w:ascii="Arial" w:cs="Arial" w:eastAsia="Arial" w:hAnsi="Arial"/>
          <w:sz w:val="18"/>
          <w:szCs w:val="18"/>
          <w:color w:val="auto"/>
        </w:rPr>
        <w:t>), which was recorded in the office of the Register of Deeds in and for Douglas County, Wisconsin, on March 19, 1985, in Volume</w:t>
      </w:r>
      <w:r>
        <w:rPr>
          <w:rFonts w:ascii="Arial" w:cs="Arial" w:eastAsia="Arial" w:hAnsi="Arial"/>
          <w:sz w:val="18"/>
          <w:szCs w:val="18"/>
          <w:i w:val="1"/>
          <w:iCs w:val="1"/>
          <w:color w:val="auto"/>
        </w:rPr>
        <w:t xml:space="preserve"> </w:t>
      </w:r>
      <w:r>
        <w:rPr>
          <w:rFonts w:ascii="Arial" w:cs="Arial" w:eastAsia="Arial" w:hAnsi="Arial"/>
          <w:sz w:val="18"/>
          <w:szCs w:val="18"/>
          <w:color w:val="auto"/>
        </w:rPr>
        <w:t>436 of Records at page 910, Document No. 589776; and</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an instrument dated as of October 26, 1992, was executed by the Company appointing Peter Morse as Co-Trustee in succession to said C. G. Martens, resigned, under said Mortgage and by Peter Morse accepting the appointment as Co-Trustee under said Mortgage in succession to said C. G. Martens, which instrument was recorded in the office of the Register of Deeds in and for Douglas County, Wisconsin, on November 13, 1992, in Volume 539 of Records at page 9, Document No. 649056; and</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the Company executed and delivered its Fifth Supplemental Indenture, dated as of December 1, 1992, (hereinafter called its </w:t>
      </w:r>
      <w:r>
        <w:rPr>
          <w:rFonts w:ascii="Arial" w:cs="Arial" w:eastAsia="Arial" w:hAnsi="Arial"/>
          <w:sz w:val="18"/>
          <w:szCs w:val="18"/>
          <w:i w:val="1"/>
          <w:iCs w:val="1"/>
          <w:color w:val="auto"/>
        </w:rPr>
        <w:t>“Fifth</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Supplemental Indenture”</w:t>
      </w:r>
      <w:r>
        <w:rPr>
          <w:rFonts w:ascii="Arial" w:cs="Arial" w:eastAsia="Arial" w:hAnsi="Arial"/>
          <w:sz w:val="18"/>
          <w:szCs w:val="18"/>
          <w:color w:val="auto"/>
        </w:rPr>
        <w:t>), which was recorded in the office of the Register of Deeds in and for Douglas County, Wisconsin, on December 28, 1992, in</w:t>
      </w:r>
      <w:r>
        <w:rPr>
          <w:rFonts w:ascii="Arial" w:cs="Arial" w:eastAsia="Arial" w:hAnsi="Arial"/>
          <w:sz w:val="18"/>
          <w:szCs w:val="18"/>
          <w:i w:val="1"/>
          <w:iCs w:val="1"/>
          <w:color w:val="auto"/>
        </w:rPr>
        <w:t xml:space="preserve"> </w:t>
      </w:r>
      <w:r>
        <w:rPr>
          <w:rFonts w:ascii="Arial" w:cs="Arial" w:eastAsia="Arial" w:hAnsi="Arial"/>
          <w:sz w:val="18"/>
          <w:szCs w:val="18"/>
          <w:color w:val="auto"/>
        </w:rPr>
        <w:t>Volume 541 of Records at page 229, Document No. 650104; and</w:t>
      </w:r>
    </w:p>
    <w:p>
      <w:pPr>
        <w:spacing w:after="0" w:line="2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the Company executed and delivered its Sixth Supplemental Indenture, dated as of March 24, 1994 (hereinafter called its </w:t>
      </w:r>
      <w:r>
        <w:rPr>
          <w:rFonts w:ascii="Arial" w:cs="Arial" w:eastAsia="Arial" w:hAnsi="Arial"/>
          <w:sz w:val="18"/>
          <w:szCs w:val="18"/>
          <w:i w:val="1"/>
          <w:iCs w:val="1"/>
          <w:color w:val="auto"/>
        </w:rPr>
        <w:t>“Sixth</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Supplemental Indenture”</w:t>
      </w:r>
      <w:r>
        <w:rPr>
          <w:rFonts w:ascii="Arial" w:cs="Arial" w:eastAsia="Arial" w:hAnsi="Arial"/>
          <w:sz w:val="18"/>
          <w:szCs w:val="18"/>
          <w:color w:val="auto"/>
        </w:rPr>
        <w:t>), which was recorded in the office of the Register of Deeds in and for Douglas County, Wisconsin, on March 29, 1994, in Volume</w:t>
      </w:r>
      <w:r>
        <w:rPr>
          <w:rFonts w:ascii="Arial" w:cs="Arial" w:eastAsia="Arial" w:hAnsi="Arial"/>
          <w:sz w:val="18"/>
          <w:szCs w:val="18"/>
          <w:i w:val="1"/>
          <w:iCs w:val="1"/>
          <w:color w:val="auto"/>
        </w:rPr>
        <w:t xml:space="preserve"> </w:t>
      </w:r>
      <w:r>
        <w:rPr>
          <w:rFonts w:ascii="Arial" w:cs="Arial" w:eastAsia="Arial" w:hAnsi="Arial"/>
          <w:sz w:val="18"/>
          <w:szCs w:val="18"/>
          <w:color w:val="auto"/>
        </w:rPr>
        <w:t>568 of Records at page 757, Document No. 662228; and</w:t>
      </w:r>
    </w:p>
    <w:p>
      <w:pPr>
        <w:spacing w:after="0" w:line="2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the Company executed and delivered its Seventh Supplemental Indenture, dated as of November 1, 1994 (hereinafter called its </w:t>
      </w:r>
      <w:r>
        <w:rPr>
          <w:rFonts w:ascii="Arial" w:cs="Arial" w:eastAsia="Arial" w:hAnsi="Arial"/>
          <w:sz w:val="18"/>
          <w:szCs w:val="18"/>
          <w:i w:val="1"/>
          <w:iCs w:val="1"/>
          <w:color w:val="auto"/>
        </w:rPr>
        <w:t>“Seventh Supplemental Indenture”</w:t>
      </w:r>
      <w:r>
        <w:rPr>
          <w:rFonts w:ascii="Arial" w:cs="Arial" w:eastAsia="Arial" w:hAnsi="Arial"/>
          <w:sz w:val="18"/>
          <w:szCs w:val="18"/>
          <w:color w:val="auto"/>
        </w:rPr>
        <w:t>), which was recorded in the office of the Register of Deeds in and for Douglas County, Wisconsin, on January 18, 1995,</w:t>
      </w:r>
      <w:r>
        <w:rPr>
          <w:rFonts w:ascii="Arial" w:cs="Arial" w:eastAsia="Arial" w:hAnsi="Arial"/>
          <w:sz w:val="18"/>
          <w:szCs w:val="18"/>
          <w:i w:val="1"/>
          <w:iCs w:val="1"/>
          <w:color w:val="auto"/>
        </w:rPr>
        <w:t xml:space="preserve"> </w:t>
      </w:r>
      <w:r>
        <w:rPr>
          <w:rFonts w:ascii="Arial" w:cs="Arial" w:eastAsia="Arial" w:hAnsi="Arial"/>
          <w:sz w:val="18"/>
          <w:szCs w:val="18"/>
          <w:color w:val="auto"/>
        </w:rPr>
        <w:t>in Volume 583 of Records at page 242, Document No. 669350; and</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an instrument dated as of January 20, 1995, was executed by The Prudential Insurance Company pursuant to Section 102 of the Mortgage appointing First Bank (N.A.) as Trustee in succession to Chemical Bank as Corporate Trustee and Peter Morse as Co-Trustee under said Mortgage and by First Bank (N.A.) (U.S. Bank National Association, successor) accepting the appointment as Trustee under such Mortgage in succession to said Chemical Bank and said Peter Morse, which instrument was recorded in the Office of the Register of Deeds in and for Douglas County, Wisconsin on April 6, 1995 in Volume 585 of Records at page 953, Document No. 670717; and</w:t>
      </w:r>
    </w:p>
    <w:p>
      <w:pPr>
        <w:spacing w:after="0" w:line="22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the Company executed and delivered its Eighth Supplemental Indenture, dated as of January 1, 1997 (hereinafter called its </w:t>
      </w:r>
      <w:r>
        <w:rPr>
          <w:rFonts w:ascii="Arial" w:cs="Arial" w:eastAsia="Arial" w:hAnsi="Arial"/>
          <w:sz w:val="18"/>
          <w:szCs w:val="18"/>
          <w:i w:val="1"/>
          <w:iCs w:val="1"/>
          <w:color w:val="auto"/>
        </w:rPr>
        <w:t>“Eighth</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Supplemental Indenture”</w:t>
      </w:r>
      <w:r>
        <w:rPr>
          <w:rFonts w:ascii="Arial" w:cs="Arial" w:eastAsia="Arial" w:hAnsi="Arial"/>
          <w:sz w:val="18"/>
          <w:szCs w:val="18"/>
          <w:color w:val="auto"/>
        </w:rPr>
        <w:t>), which was recorded in the office of the Register of Deeds in and for Douglas County, Wisconsin, on January 7, 1997, in Volume</w:t>
      </w:r>
      <w:r>
        <w:rPr>
          <w:rFonts w:ascii="Arial" w:cs="Arial" w:eastAsia="Arial" w:hAnsi="Arial"/>
          <w:sz w:val="18"/>
          <w:szCs w:val="18"/>
          <w:i w:val="1"/>
          <w:iCs w:val="1"/>
          <w:color w:val="auto"/>
        </w:rPr>
        <w:t xml:space="preserve"> </w:t>
      </w:r>
      <w:r>
        <w:rPr>
          <w:rFonts w:ascii="Arial" w:cs="Arial" w:eastAsia="Arial" w:hAnsi="Arial"/>
          <w:sz w:val="18"/>
          <w:szCs w:val="18"/>
          <w:color w:val="auto"/>
        </w:rPr>
        <w:t>617 of Records at page 536, Document No. 685699; and</w:t>
      </w:r>
    </w:p>
    <w:p>
      <w:pPr>
        <w:spacing w:after="0" w:line="2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the Company executed and delivered its Ninth Supplemental Indenture, dated as of October 1, 2007 (hereinafter called its </w:t>
      </w:r>
      <w:r>
        <w:rPr>
          <w:rFonts w:ascii="Arial" w:cs="Arial" w:eastAsia="Arial" w:hAnsi="Arial"/>
          <w:sz w:val="18"/>
          <w:szCs w:val="18"/>
          <w:i w:val="1"/>
          <w:iCs w:val="1"/>
          <w:color w:val="auto"/>
        </w:rPr>
        <w:t>“Ninth</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Supplemental Indenture”</w:t>
      </w:r>
      <w:r>
        <w:rPr>
          <w:rFonts w:ascii="Arial" w:cs="Arial" w:eastAsia="Arial" w:hAnsi="Arial"/>
          <w:sz w:val="18"/>
          <w:szCs w:val="18"/>
          <w:color w:val="auto"/>
        </w:rPr>
        <w:t>), which was recorded in the office of the Register of Deeds in and for Douglas County, Wisconsin, on September 27, 2007, as</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No. 810920;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the Company executed and delivered its Tenth Supplemental Indenture, dated as of October 1, 2007 (hereinafter called its </w:t>
      </w:r>
      <w:r>
        <w:rPr>
          <w:rFonts w:ascii="Arial" w:cs="Arial" w:eastAsia="Arial" w:hAnsi="Arial"/>
          <w:sz w:val="18"/>
          <w:szCs w:val="18"/>
          <w:i w:val="1"/>
          <w:iCs w:val="1"/>
          <w:color w:val="auto"/>
        </w:rPr>
        <w:t>“Tenth</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Supplemental Indenture”</w:t>
      </w:r>
      <w:r>
        <w:rPr>
          <w:rFonts w:ascii="Arial" w:cs="Arial" w:eastAsia="Arial" w:hAnsi="Arial"/>
          <w:sz w:val="18"/>
          <w:szCs w:val="18"/>
          <w:color w:val="auto"/>
        </w:rPr>
        <w:t>), which was recorded in the office of the Register of Deeds in and for Douglas County, Wisconsin, on September 27, 2007, as</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No. 810921; and;</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the Company executed and delivered its Eleventh Supplemental Indenture, dated as of December 1, 2008 (hereinafter called its </w:t>
      </w:r>
      <w:r>
        <w:rPr>
          <w:rFonts w:ascii="Arial" w:cs="Arial" w:eastAsia="Arial" w:hAnsi="Arial"/>
          <w:sz w:val="18"/>
          <w:szCs w:val="18"/>
          <w:i w:val="1"/>
          <w:iCs w:val="1"/>
          <w:color w:val="auto"/>
        </w:rPr>
        <w:t>“Eleventh Supplemental Indenture”</w:t>
      </w:r>
      <w:r>
        <w:rPr>
          <w:rFonts w:ascii="Arial" w:cs="Arial" w:eastAsia="Arial" w:hAnsi="Arial"/>
          <w:sz w:val="18"/>
          <w:szCs w:val="18"/>
          <w:color w:val="auto"/>
        </w:rPr>
        <w:t>), which was recorded in the office of the Register of Deeds in and for Douglas County, Wisconsin, on December 12,</w:t>
      </w:r>
      <w:r>
        <w:rPr>
          <w:rFonts w:ascii="Arial" w:cs="Arial" w:eastAsia="Arial" w:hAnsi="Arial"/>
          <w:sz w:val="18"/>
          <w:szCs w:val="18"/>
          <w:i w:val="1"/>
          <w:iCs w:val="1"/>
          <w:color w:val="auto"/>
        </w:rPr>
        <w:t xml:space="preserve"> </w:t>
      </w:r>
      <w:r>
        <w:rPr>
          <w:rFonts w:ascii="Arial" w:cs="Arial" w:eastAsia="Arial" w:hAnsi="Arial"/>
          <w:sz w:val="18"/>
          <w:szCs w:val="18"/>
          <w:color w:val="auto"/>
        </w:rPr>
        <w:t>2008, as Document No. 821566; and</w:t>
      </w:r>
    </w:p>
    <w:p>
      <w:pPr>
        <w:spacing w:after="0" w:line="2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the Company executed and delivered its Twelfth Supplemental Indenture, dated as of December 2, 2013 (hereinafter called its </w:t>
      </w:r>
      <w:r>
        <w:rPr>
          <w:rFonts w:ascii="Arial" w:cs="Arial" w:eastAsia="Arial" w:hAnsi="Arial"/>
          <w:sz w:val="18"/>
          <w:szCs w:val="18"/>
          <w:i w:val="1"/>
          <w:iCs w:val="1"/>
          <w:color w:val="auto"/>
        </w:rPr>
        <w:t>“Twelfth Supplemental Indenture”</w:t>
      </w:r>
      <w:r>
        <w:rPr>
          <w:rFonts w:ascii="Arial" w:cs="Arial" w:eastAsia="Arial" w:hAnsi="Arial"/>
          <w:sz w:val="18"/>
          <w:szCs w:val="18"/>
          <w:color w:val="auto"/>
        </w:rPr>
        <w:t>), which was recorded in the office of the Register of Deeds in and for Douglas County, Wisconsin, on December 5,</w:t>
      </w:r>
      <w:r>
        <w:rPr>
          <w:rFonts w:ascii="Arial" w:cs="Arial" w:eastAsia="Arial" w:hAnsi="Arial"/>
          <w:sz w:val="18"/>
          <w:szCs w:val="18"/>
          <w:i w:val="1"/>
          <w:iCs w:val="1"/>
          <w:color w:val="auto"/>
        </w:rPr>
        <w:t xml:space="preserve"> </w:t>
      </w:r>
      <w:r>
        <w:rPr>
          <w:rFonts w:ascii="Arial" w:cs="Arial" w:eastAsia="Arial" w:hAnsi="Arial"/>
          <w:sz w:val="18"/>
          <w:szCs w:val="18"/>
          <w:color w:val="auto"/>
        </w:rPr>
        <w:t>2013, as Document No. 863990; and</w:t>
      </w:r>
    </w:p>
    <w:p>
      <w:pPr>
        <w:spacing w:after="0" w:line="2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the Company executed and delivered its Thirteenth Supplemental Indenture, dated as of May 21, 2018 (hereinafter called its </w:t>
      </w:r>
      <w:r>
        <w:rPr>
          <w:rFonts w:ascii="Arial" w:cs="Arial" w:eastAsia="Arial" w:hAnsi="Arial"/>
          <w:sz w:val="18"/>
          <w:szCs w:val="18"/>
          <w:i w:val="1"/>
          <w:iCs w:val="1"/>
          <w:color w:val="auto"/>
        </w:rPr>
        <w:t>“Thirteenth Supplemental Indenture”</w:t>
      </w:r>
      <w:r>
        <w:rPr>
          <w:rFonts w:ascii="Arial" w:cs="Arial" w:eastAsia="Arial" w:hAnsi="Arial"/>
          <w:sz w:val="18"/>
          <w:szCs w:val="18"/>
          <w:color w:val="auto"/>
        </w:rPr>
        <w:t>), which was recorded in the office of the Register of Deeds in and for Douglas County, Wisconsin, on May 22, 2018,</w:t>
      </w:r>
      <w:r>
        <w:rPr>
          <w:rFonts w:ascii="Arial" w:cs="Arial" w:eastAsia="Arial" w:hAnsi="Arial"/>
          <w:sz w:val="18"/>
          <w:szCs w:val="18"/>
          <w:i w:val="1"/>
          <w:iCs w:val="1"/>
          <w:color w:val="auto"/>
        </w:rPr>
        <w:t xml:space="preserve"> </w:t>
      </w:r>
      <w:r>
        <w:rPr>
          <w:rFonts w:ascii="Arial" w:cs="Arial" w:eastAsia="Arial" w:hAnsi="Arial"/>
          <w:sz w:val="18"/>
          <w:szCs w:val="18"/>
          <w:color w:val="auto"/>
        </w:rPr>
        <w:t>as Document No. 896257; and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in addition to the property described in the Mortgage, as heretofore supplemented, the Company has acquired certain other property, rights and interests in property; and</w:t>
      </w:r>
    </w:p>
    <w:p>
      <w:pPr>
        <w:spacing w:after="0" w:line="21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WHEREAS, the Company has heretofore issued, in accordance with the provisions of the Mortgage, bonds of a series entitled and designated First Mortgage Bonds, 3 3/8% Series due 1973 (the </w:t>
      </w:r>
      <w:r>
        <w:rPr>
          <w:rFonts w:ascii="Arial" w:cs="Arial" w:eastAsia="Arial" w:hAnsi="Arial"/>
          <w:sz w:val="16"/>
          <w:szCs w:val="16"/>
          <w:i w:val="1"/>
          <w:iCs w:val="1"/>
          <w:color w:val="auto"/>
        </w:rPr>
        <w:t>“Bonds of the First Series”</w:t>
      </w:r>
      <w:r>
        <w:rPr>
          <w:rFonts w:ascii="Arial" w:cs="Arial" w:eastAsia="Arial" w:hAnsi="Arial"/>
          <w:sz w:val="16"/>
          <w:szCs w:val="16"/>
          <w:color w:val="auto"/>
        </w:rPr>
        <w:t xml:space="preserve">), in the aggregate principal amount of Two Million Five Hundred Thousand Dollars ($2,500,000), none of which Bonds of the First Series are now Outstanding; bonds of a series entitled and designated First Mortgage Bonds, 3 1/10% Series due 1981 (the </w:t>
      </w:r>
      <w:r>
        <w:rPr>
          <w:rFonts w:ascii="Arial" w:cs="Arial" w:eastAsia="Arial" w:hAnsi="Arial"/>
          <w:sz w:val="16"/>
          <w:szCs w:val="16"/>
          <w:i w:val="1"/>
          <w:iCs w:val="1"/>
          <w:color w:val="auto"/>
        </w:rPr>
        <w:t>“Bonds of the Second Series”</w:t>
      </w:r>
      <w:r>
        <w:rPr>
          <w:rFonts w:ascii="Arial" w:cs="Arial" w:eastAsia="Arial" w:hAnsi="Arial"/>
          <w:sz w:val="16"/>
          <w:szCs w:val="16"/>
          <w:color w:val="auto"/>
        </w:rPr>
        <w:t xml:space="preserve">), in the aggregate principal amount of Five Million Dollars ($5,000,000), none of which Bonds of the Second Series are now outstanding; bonds of a series entitled and designated First Mortgage Bonds, 5% Series due 1992 (the </w:t>
      </w:r>
      <w:r>
        <w:rPr>
          <w:rFonts w:ascii="Arial" w:cs="Arial" w:eastAsia="Arial" w:hAnsi="Arial"/>
          <w:sz w:val="16"/>
          <w:szCs w:val="16"/>
          <w:i w:val="1"/>
          <w:iCs w:val="1"/>
          <w:color w:val="auto"/>
        </w:rPr>
        <w:t>“Bonds of the Third</w:t>
      </w:r>
      <w:r>
        <w:rPr>
          <w:rFonts w:ascii="Arial" w:cs="Arial" w:eastAsia="Arial" w:hAnsi="Arial"/>
          <w:sz w:val="16"/>
          <w:szCs w:val="16"/>
          <w:color w:val="auto"/>
        </w:rPr>
        <w:t xml:space="preserve"> </w:t>
      </w:r>
      <w:r>
        <w:rPr>
          <w:rFonts w:ascii="Arial" w:cs="Arial" w:eastAsia="Arial" w:hAnsi="Arial"/>
          <w:sz w:val="16"/>
          <w:szCs w:val="16"/>
          <w:i w:val="1"/>
          <w:iCs w:val="1"/>
          <w:color w:val="auto"/>
        </w:rPr>
        <w:t>Series”</w:t>
      </w:r>
      <w:r>
        <w:rPr>
          <w:rFonts w:ascii="Arial" w:cs="Arial" w:eastAsia="Arial" w:hAnsi="Arial"/>
          <w:sz w:val="16"/>
          <w:szCs w:val="16"/>
          <w:color w:val="auto"/>
        </w:rPr>
        <w:t>), in the aggregate principal amount of Two Million Seven Hundred Thousand Dollars ($2,700,000), none of which Bonds of the Third Series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now outstanding; bonds of a series entitled and designated First Mortgage Bonds, 9 5/8% Series due 2001 (the </w:t>
      </w:r>
      <w:r>
        <w:rPr>
          <w:rFonts w:ascii="Arial" w:cs="Arial" w:eastAsia="Arial" w:hAnsi="Arial"/>
          <w:sz w:val="16"/>
          <w:szCs w:val="16"/>
          <w:i w:val="1"/>
          <w:iCs w:val="1"/>
          <w:color w:val="auto"/>
        </w:rPr>
        <w:t>“Bonds of the Fourth Series”</w:t>
      </w:r>
      <w:r>
        <w:rPr>
          <w:rFonts w:ascii="Arial" w:cs="Arial" w:eastAsia="Arial" w:hAnsi="Arial"/>
          <w:sz w:val="16"/>
          <w:szCs w:val="16"/>
          <w:color w:val="auto"/>
        </w:rPr>
        <w:t xml:space="preserve">), the interest rate for which bonds was modified to 6.10% by the Sixth Supplemental Indenture, in the aggregate principal amount of Three Million Dollars ($3,000,000), none of which bonds of the Fourth Series are now outstanding; bonds of a series entitled and designated First Mortgage Bonds, 12 1/2% Series due 1992 (the </w:t>
      </w:r>
      <w:r>
        <w:rPr>
          <w:rFonts w:ascii="Arial" w:cs="Arial" w:eastAsia="Arial" w:hAnsi="Arial"/>
          <w:sz w:val="16"/>
          <w:szCs w:val="16"/>
          <w:i w:val="1"/>
          <w:iCs w:val="1"/>
          <w:color w:val="auto"/>
        </w:rPr>
        <w:t>“Bonds of the Fifth Series”</w:t>
      </w:r>
      <w:r>
        <w:rPr>
          <w:rFonts w:ascii="Arial" w:cs="Arial" w:eastAsia="Arial" w:hAnsi="Arial"/>
          <w:sz w:val="16"/>
          <w:szCs w:val="16"/>
          <w:color w:val="auto"/>
        </w:rPr>
        <w:t xml:space="preserve">), in the aggregate principal amount of Three Million Five Hundred Thousand Dollars ($3,500,000), none of which Bonds of the Fifth Series are now outstanding; Bonds of a series entitled and designated First Mortgage Bonds, 7.91% Series due 2013 (the </w:t>
      </w:r>
      <w:r>
        <w:rPr>
          <w:rFonts w:ascii="Arial" w:cs="Arial" w:eastAsia="Arial" w:hAnsi="Arial"/>
          <w:sz w:val="16"/>
          <w:szCs w:val="16"/>
          <w:i w:val="1"/>
          <w:iCs w:val="1"/>
          <w:color w:val="auto"/>
        </w:rPr>
        <w:t>“Bonds of the Sixth</w:t>
      </w:r>
      <w:r>
        <w:rPr>
          <w:rFonts w:ascii="Arial" w:cs="Arial" w:eastAsia="Arial" w:hAnsi="Arial"/>
          <w:sz w:val="16"/>
          <w:szCs w:val="16"/>
          <w:color w:val="auto"/>
        </w:rPr>
        <w:t xml:space="preserve"> </w:t>
      </w:r>
      <w:r>
        <w:rPr>
          <w:rFonts w:ascii="Arial" w:cs="Arial" w:eastAsia="Arial" w:hAnsi="Arial"/>
          <w:sz w:val="16"/>
          <w:szCs w:val="16"/>
          <w:i w:val="1"/>
          <w:iCs w:val="1"/>
          <w:color w:val="auto"/>
        </w:rPr>
        <w:t>Series”</w:t>
      </w:r>
      <w:r>
        <w:rPr>
          <w:rFonts w:ascii="Arial" w:cs="Arial" w:eastAsia="Arial" w:hAnsi="Arial"/>
          <w:sz w:val="16"/>
          <w:szCs w:val="16"/>
          <w:color w:val="auto"/>
        </w:rPr>
        <w:t>), in the aggregate principal amount of Five Million Dollars ($5,000,000), none of which Bonds of the Sixth Series is now outstanding; Bonds of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series entitled and designated First Mortgage Bonds, 7.27% Series due December 15, 2008 (the </w:t>
      </w:r>
      <w:r>
        <w:rPr>
          <w:rFonts w:ascii="Arial" w:cs="Arial" w:eastAsia="Arial" w:hAnsi="Arial"/>
          <w:sz w:val="16"/>
          <w:szCs w:val="16"/>
          <w:i w:val="1"/>
          <w:iCs w:val="1"/>
          <w:color w:val="auto"/>
        </w:rPr>
        <w:t>“Bonds of the Seventh Series”</w:t>
      </w:r>
      <w:r>
        <w:rPr>
          <w:rFonts w:ascii="Arial" w:cs="Arial" w:eastAsia="Arial" w:hAnsi="Arial"/>
          <w:sz w:val="16"/>
          <w:szCs w:val="16"/>
          <w:color w:val="auto"/>
        </w:rPr>
        <w:t xml:space="preserve">), in the aggregate principal amount of Six Million Dollars ($6,000,000), none of which Bonds of the Seventh Series remains outstanding; Bonds of a series entitled and designated First Mortgage Bonds, 5.375% Series due 2021 (the </w:t>
      </w:r>
      <w:r>
        <w:rPr>
          <w:rFonts w:ascii="Arial" w:cs="Arial" w:eastAsia="Arial" w:hAnsi="Arial"/>
          <w:sz w:val="16"/>
          <w:szCs w:val="16"/>
          <w:i w:val="1"/>
          <w:iCs w:val="1"/>
          <w:color w:val="auto"/>
        </w:rPr>
        <w:t>“Bonds of the Eighth Series”</w:t>
      </w:r>
      <w:r>
        <w:rPr>
          <w:rFonts w:ascii="Arial" w:cs="Arial" w:eastAsia="Arial" w:hAnsi="Arial"/>
          <w:sz w:val="16"/>
          <w:szCs w:val="16"/>
          <w:color w:val="auto"/>
        </w:rPr>
        <w:t xml:space="preserve">), in the aggregate principal amount of Six Million Three Hundred Seventy Thousand Dollars ($6,370,000), the full amount of which remains outstanding; Bonds of a series entitled and designated First Mortgage Bonds, 5.75% Series due November 1, 2037 (the </w:t>
      </w:r>
      <w:r>
        <w:rPr>
          <w:rFonts w:ascii="Arial" w:cs="Arial" w:eastAsia="Arial" w:hAnsi="Arial"/>
          <w:sz w:val="16"/>
          <w:szCs w:val="16"/>
          <w:i w:val="1"/>
          <w:iCs w:val="1"/>
          <w:color w:val="auto"/>
        </w:rPr>
        <w:t>“Bonds of the Ninth Series”</w:t>
      </w:r>
      <w:r>
        <w:rPr>
          <w:rFonts w:ascii="Arial" w:cs="Arial" w:eastAsia="Arial" w:hAnsi="Arial"/>
          <w:sz w:val="16"/>
          <w:szCs w:val="16"/>
          <w:color w:val="auto"/>
        </w:rPr>
        <w:t xml:space="preserve">), in the aggregate principal amount of Six Million One Hundred Thirty Thousand Dollars ($6,130,000), the full amount of which remains outstanding; Bonds of a series entitled and designated First Mortgage Bonds, 7.25% Series due December 15, 2013 (the </w:t>
      </w:r>
      <w:r>
        <w:rPr>
          <w:rFonts w:ascii="Arial" w:cs="Arial" w:eastAsia="Arial" w:hAnsi="Arial"/>
          <w:sz w:val="16"/>
          <w:szCs w:val="16"/>
          <w:i w:val="1"/>
          <w:iCs w:val="1"/>
          <w:color w:val="auto"/>
        </w:rPr>
        <w:t>“Bonds of the Tenth Series”</w:t>
      </w:r>
      <w:r>
        <w:rPr>
          <w:rFonts w:ascii="Arial" w:cs="Arial" w:eastAsia="Arial" w:hAnsi="Arial"/>
          <w:sz w:val="16"/>
          <w:szCs w:val="16"/>
          <w:color w:val="auto"/>
        </w:rPr>
        <w:t xml:space="preserve">), in the aggregate principal amount of Ten Million Dollars ($10,000,000), none of which Bonds of the Tenth Series are now outstanding; and Bonds of a series entitled and designated First Mortgage Bonds, 4.15% Series due December 15, 2028 (the </w:t>
      </w:r>
      <w:r>
        <w:rPr>
          <w:rFonts w:ascii="Arial" w:cs="Arial" w:eastAsia="Arial" w:hAnsi="Arial"/>
          <w:sz w:val="16"/>
          <w:szCs w:val="16"/>
          <w:i w:val="1"/>
          <w:iCs w:val="1"/>
          <w:color w:val="auto"/>
        </w:rPr>
        <w:t>“Bonds</w:t>
      </w:r>
      <w:r>
        <w:rPr>
          <w:rFonts w:ascii="Arial" w:cs="Arial" w:eastAsia="Arial" w:hAnsi="Arial"/>
          <w:sz w:val="16"/>
          <w:szCs w:val="16"/>
          <w:color w:val="auto"/>
        </w:rPr>
        <w:t xml:space="preserve"> </w:t>
      </w:r>
      <w:r>
        <w:rPr>
          <w:rFonts w:ascii="Arial" w:cs="Arial" w:eastAsia="Arial" w:hAnsi="Arial"/>
          <w:sz w:val="16"/>
          <w:szCs w:val="16"/>
          <w:i w:val="1"/>
          <w:iCs w:val="1"/>
          <w:color w:val="auto"/>
        </w:rPr>
        <w:t>of the Eleventh Series”</w:t>
      </w:r>
      <w:r>
        <w:rPr>
          <w:rFonts w:ascii="Arial" w:cs="Arial" w:eastAsia="Arial" w:hAnsi="Arial"/>
          <w:sz w:val="16"/>
          <w:szCs w:val="16"/>
          <w:color w:val="auto"/>
        </w:rPr>
        <w:t>), in the aggregate principal amount of Fifteen Million Dollars ($15,000,000), the full amount of which remains outstanding;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bonds of a series entitled and designated First Mortgage Bonds, 4.14% Series due May 29, 2048 (the </w:t>
      </w:r>
      <w:r>
        <w:rPr>
          <w:rFonts w:ascii="Arial" w:cs="Arial" w:eastAsia="Arial" w:hAnsi="Arial"/>
          <w:sz w:val="16"/>
          <w:szCs w:val="16"/>
          <w:i w:val="1"/>
          <w:iCs w:val="1"/>
          <w:color w:val="auto"/>
        </w:rPr>
        <w:t>“Bonds of the Twelfth Series”</w:t>
      </w:r>
      <w:r>
        <w:rPr>
          <w:rFonts w:ascii="Arial" w:cs="Arial" w:eastAsia="Arial" w:hAnsi="Arial"/>
          <w:sz w:val="16"/>
          <w:szCs w:val="16"/>
          <w:color w:val="auto"/>
        </w:rPr>
        <w:t>), in the aggregate principal amount of Twelve Million Dollars ($12,000,000), the full amount of which remains outstanding; and</w:t>
      </w:r>
    </w:p>
    <w:p>
      <w:pPr>
        <w:spacing w:after="0" w:line="2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Section 8 of the Mortgage provides that the form of each series of bonds (other than Bonds of the First Series) issued thereunder shall be established by Resolution of the Board of Directors of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that the 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and</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Section 120 of the Mortgage provides, among other things, that the Company may enter into any further covenants, limitations or restrictions for the benefit of any one or more series of bonds issued thereunder, or the Company may establish the terms and provisions of any series of bonds other than said Bonds of the First Series, by an instrument in writing executed and acknowledged by the Company in such manner as would be necessary to entitle a conveyance of real estate to be of record in all of the states in which any property at the time subject to the lien of the Mortgage shall be situated; and</w:t>
      </w:r>
    </w:p>
    <w:p>
      <w:pPr>
        <w:spacing w:after="0" w:line="22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now desires to create a new series of bonds and to add to the covenants, limitations or restrictions contained in the Mortgage certain other covenants, limitations or restrictions to be observed by it and to amend the Mortgage; and</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the execution and delivery by the Company of this Fourteenth Supplemental Indenture, and the terms of the Bonds of the Thirteenth Series hereinafter referred to, have been duly authorized by the Board of Directors of the Company by appropriate resolutions of said Board of Directors;</w:t>
      </w:r>
    </w:p>
    <w:p>
      <w:pPr>
        <w:spacing w:after="0" w:line="15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NOW, THEREFORE, THIS INDENTURE WITNESSETH: That Superior Water, Light and Power Company, in consideration of the premises and of One Dollar ($1) to it duly paid by the Trustee at or before the ensealing and delivery of these presents, the receipt whereof is hereby acknowledged, and in further evidence of assurance of the estate, title and rights of the Trustee and in order further to secure the payment both of the principal of and interest and premium, if any, on the bonds from time to time issued under the Mortgage,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Encumbrances as defined in Section 6 of the Mortgage) unto U.S. Bank National Association, as Trustee under the Mortgage, and to its successor or successors in said trust, and to said Trustee and its successors and assigns forever, all and singular the permits, franchises, rights, privileges, grants and property, real, personal and mixed, now owned or which may be hereafter acquired by the Company (except any of the character herein or in the Mortgage expressly excepted), including (but not limited to) its electric light and power works, gas works, water works, buildings, structures, machinery, equipment, mains, pipes, lines, poles, wires, easements, rights of way, permits, franchises, rights, privileges, grants and all property of every kind and description, situated in the City of Superior, Douglas County, Wisconsin, or elsewhere in Douglas County, Wisconsin, in Washburn County, Wisconsin, or in any other place or places now owned by the Company, or that may be hereafter acquired by it, including, but not limited to, the following described properties of the Company--that is to say: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Lands and Rights and Interests in Lands of the Company (except any such property as may have been released from the lien of the Mortgage), including, but not limited to, all such property acquired by the Company under the following deed which is referred to for more particular description thereof, to wit:</w:t>
      </w:r>
    </w:p>
    <w:p>
      <w:pPr>
        <w:spacing w:after="0" w:line="224" w:lineRule="exact"/>
        <w:rPr>
          <w:sz w:val="20"/>
          <w:szCs w:val="20"/>
          <w:color w:val="auto"/>
        </w:rPr>
      </w:pPr>
    </w:p>
    <w:p>
      <w:pPr>
        <w:ind w:left="660" w:right="660"/>
        <w:spacing w:after="0" w:line="324" w:lineRule="auto"/>
        <w:rPr>
          <w:sz w:val="20"/>
          <w:szCs w:val="20"/>
          <w:color w:val="auto"/>
        </w:rPr>
      </w:pPr>
      <w:r>
        <w:rPr>
          <w:rFonts w:ascii="Arial" w:cs="Arial" w:eastAsia="Arial" w:hAnsi="Arial"/>
          <w:sz w:val="16"/>
          <w:szCs w:val="16"/>
          <w:color w:val="auto"/>
        </w:rPr>
        <w:t>Deed dated September 18, 2020, from the County of Douglas, in the State of Wisconsin, to the Company, which deed was recorded in the office of the Register of Deeds of the County of Douglas, State of Wisconsin, on September 22, 2020, as Document No. 914069; and</w:t>
      </w:r>
    </w:p>
    <w:p>
      <w:pPr>
        <w:spacing w:after="0" w:line="151" w:lineRule="exact"/>
        <w:rPr>
          <w:sz w:val="20"/>
          <w:szCs w:val="20"/>
          <w:color w:val="auto"/>
        </w:rPr>
      </w:pPr>
    </w:p>
    <w:p>
      <w:pPr>
        <w:ind w:left="660" w:right="660"/>
        <w:spacing w:after="0" w:line="261" w:lineRule="auto"/>
        <w:rPr>
          <w:sz w:val="20"/>
          <w:szCs w:val="20"/>
          <w:color w:val="auto"/>
        </w:rPr>
      </w:pPr>
      <w:r>
        <w:rPr>
          <w:rFonts w:ascii="Arial" w:cs="Arial" w:eastAsia="Arial" w:hAnsi="Arial"/>
          <w:sz w:val="18"/>
          <w:szCs w:val="18"/>
          <w:color w:val="auto"/>
        </w:rPr>
        <w:t>Deed dated October 19, 2020, from the City of Superior, Wisconsin, to the Company, which deed was recorded in the office of the Register of Deeds of the County of Douglas, State of Wisconsin, on October 28, 2020 as Document No. 915192; and</w:t>
      </w:r>
    </w:p>
    <w:p>
      <w:pPr>
        <w:spacing w:after="0" w:line="211" w:lineRule="exact"/>
        <w:rPr>
          <w:sz w:val="20"/>
          <w:szCs w:val="20"/>
          <w:color w:val="auto"/>
        </w:rPr>
      </w:pPr>
    </w:p>
    <w:p>
      <w:pPr>
        <w:ind w:left="660" w:right="660"/>
        <w:spacing w:after="0" w:line="291" w:lineRule="auto"/>
        <w:rPr>
          <w:sz w:val="20"/>
          <w:szCs w:val="20"/>
          <w:color w:val="auto"/>
        </w:rPr>
      </w:pPr>
      <w:r>
        <w:rPr>
          <w:rFonts w:ascii="Arial" w:cs="Arial" w:eastAsia="Arial" w:hAnsi="Arial"/>
          <w:sz w:val="17"/>
          <w:szCs w:val="17"/>
          <w:color w:val="auto"/>
        </w:rPr>
        <w:t>Deed dated January 29, 2021, from Superior Refining Company LLC, to the Company, which deed was recorded in the office of the Register of Deeds of the County of Douglas, State of Wisconsin, on February 2, 2021 as Document No. 917851;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59" w:name="page60"/>
    <w:bookmarkEnd w:id="59"/>
    <w:p>
      <w:pPr>
        <w:spacing w:after="0" w:line="23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All other property, real, personal and mixed, acquired by the Company after the date of the execution and delivery of the Mortgage (except any herein or in the Mortgage, as heretofore supplemented, expressly excepted), now owned or hereafter acquired by the Company and wheresoever situated, including (without in any wise limiting or impairing by the enumeration of the same the scope and intent of the foregoing or of any general description contained in this Fourteenth Supplemental Indenture) all lands, power sites, flowage rights, water rights, water franchises, water locations, water appropriations, ditches, flumes, reservoirs, reservoir sites, canals, raceways, dams, dam sites, aqueducts, and all other rights or means for appropriating, conveying, storing and supplying water; all rights of way and roads; all plants, works, reservoirs and tanks for the pumping and purification of water; all water works; all plants for the generation of electricity by water, steam and/or other power; all power houses, gas plants, street lighting systems, standards and other equipment incidental thereto, telephone, radio and television systems, air-conditioning systems and equipment incidental thereto, water systems, steam heat and hot water plants, substations, lines, service and supply systems, bridges, culverts, tracks, street and interurban railway systems, offices, buildings and other structures and the equipment thereof; all machinery, engines, boilers, dynamos, water, electric, gas and other machines, regulators, meters, transformers, generators, motors, water, electrical, gas and mechanical appliances, conduits, cables, water, steam, heat, gas or other mains and pipes, service pipes, fittings, valves and connections, pole and transmission lines, wires, cables, tools, implements, apparatus, furniture, chattels and choses in action; all municipal and other franchises, consents or permits; all lines for the transmission and distribution of water, electric current, gas, steam heat or hot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nature appertaining to and/or used and/or occupied and/or enjoyed in connection with any property hereinbefore or in the Mortgage, as heretofore supplemented, described.</w:t>
      </w:r>
    </w:p>
    <w:p>
      <w:pPr>
        <w:spacing w:after="0" w:line="19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Together with all and singular the tenements, hereditaments and appurtenances belonging or in any 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It is hereby agreed by the Company that all the property, rights and franchises acquired by the Company after the date hereof (except any herein or in the Mortgage, as heretofore supplemented, expressly excepted) shall be and are as fully granted and conveyed hereby and as fully embraced within the lien of the Mortgage as if such property, rights and franchises were now owned by the Company and were specifically described herein and conveyed hereby.</w:t>
      </w:r>
    </w:p>
    <w:p>
      <w:pPr>
        <w:spacing w:after="0" w:line="22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following are not and are not intended to be now or hereafter granted, bargained, sold, released, conveyed, assigned, transferred,</w:t>
      </w:r>
      <w:r>
        <w:rPr>
          <w:rFonts w:ascii="Arial" w:cs="Arial" w:eastAsia="Arial" w:hAnsi="Arial"/>
          <w:sz w:val="16"/>
          <w:szCs w:val="16"/>
          <w:i w:val="1"/>
          <w:iCs w:val="1"/>
          <w:color w:val="auto"/>
        </w:rPr>
        <w:t xml:space="preserve"> </w:t>
      </w:r>
      <w:r>
        <w:rPr>
          <w:rFonts w:ascii="Arial" w:cs="Arial" w:eastAsia="Arial" w:hAnsi="Arial"/>
          <w:sz w:val="16"/>
          <w:szCs w:val="16"/>
          <w:color w:val="auto"/>
        </w:rPr>
        <w:t>mortgaged, pledged, set over or confirmed hereunder and are hereby expressly excepted from the lien and operation of the Mortgage, viz: (1) cash, shares of stock, bonds, notes and other obligations and other securities not hereafter specifically pledged, paid, deposited, delivered or held under the Mortgage or covenanted so to be; (2) merchandise, equipment, materials or supplies held for the purpose of sale in the usual course of business and fuel, oil and similar materials and supplies consumable in the operation of any properties of the Company; rolling stock, buses, motor coaches, automobiles and other vehicles;</w:t>
      </w:r>
    </w:p>
    <w:p>
      <w:pPr>
        <w:spacing w:after="0" w:line="2" w:lineRule="exact"/>
        <w:rPr>
          <w:sz w:val="20"/>
          <w:szCs w:val="20"/>
          <w:color w:val="auto"/>
        </w:rPr>
      </w:pPr>
    </w:p>
    <w:p>
      <w:pPr>
        <w:jc w:val="both"/>
        <w:ind w:firstLine="8"/>
        <w:spacing w:after="0" w:line="252" w:lineRule="auto"/>
        <w:tabs>
          <w:tab w:leader="none" w:pos="25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bills, notes and accounts receivable, and all contracts, leases and operating agreements not specifically pledged under the Mortgage or covenanted so to be; the last day of the term of any lease or leasehold which may heretofore have or hereafter may become subject to the lien of the Mortgage; (4) water, electric energy, gas, ice and other materials or products pumped, stored, generated, manufactured, produced or purchased by the Company for sale, distribution or use in the ordinary course of its business; (5) the Company's franchise to be a corporation; and (6) all permits, franchises, rights, privileges, grants and property in the state of Minnesota now owned or hereafter acquired unless such permits, franchises, rights, privileges, grants and property in the state of Minnesota shall have been subjected to the lien of the Mortgage by an indenture or indentures supplemental to the Mortgage, pursuant to authorization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60" w:name="page61"/>
    <w:bookmarkEnd w:id="60"/>
    <w:p>
      <w:pPr>
        <w:spacing w:after="0" w:line="23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Board of Directors of the Company, whereupon all the permits, franchises, rights, privileges, grants and property then owned or thereafter acquired by the Company in the state of Minnesota (except property of the character expressly excepted from the lien of the Mortgage in clauses (1) to (5) above, inclusive), shall become and be subject to the lien of the Mortgage as part of the Mortgaged and Pledged Property and may be released, funded and otherwise dealt with on the same terms and subject to the same conditions and restrictions as though not theretofore excepted from the lien of the Mortgage;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property and rights expressly excepted from the lien and operation of the Mortgage in the above subdivisions (2) and</w:t>
      </w:r>
    </w:p>
    <w:p>
      <w:pPr>
        <w:spacing w:after="0" w:line="2" w:lineRule="exact"/>
        <w:rPr>
          <w:sz w:val="20"/>
          <w:szCs w:val="20"/>
          <w:color w:val="auto"/>
        </w:rPr>
      </w:pPr>
    </w:p>
    <w:p>
      <w:pPr>
        <w:jc w:val="both"/>
        <w:ind w:firstLine="8"/>
        <w:spacing w:after="0" w:line="255" w:lineRule="auto"/>
        <w:tabs>
          <w:tab w:leader="none" w:pos="257"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shall (to the extent permitted by law) cease to be so excepted in the event and as of the date that the Trustee or a receiver or trustee shall enter upon and take possession of the Mortgaged and Pledged Property in the manner provided in Article XIII of the Mortgage by reason of the occurrence of a Default as defined in Section 65 of the Mortgage.</w:t>
      </w:r>
    </w:p>
    <w:p>
      <w:pPr>
        <w:spacing w:after="0" w:line="2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have and to hold all such properties, real, personal and mixed, granted, bargained, sold, released, conveyed, assigned, transferred, mortgaged, pledged, set over or confirmed by the Company as aforesaid, or intended so to be, unto U.S. Bank National Association as Trustee, and its successors and assigns forever.</w:t>
      </w:r>
    </w:p>
    <w:p>
      <w:pPr>
        <w:spacing w:after="0" w:line="22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trust nevertheless, for the same purposes and upon the same terms, trusts and conditions and subject to and with the same provisos and covenants as are set forth in the Mortgage, as heretofore supplemented, this Fourteenth Supplemental Indenture being supplemental thereto.</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And it is hereby covenanted by the Company that all the terms, conditions, provisos, covenants and provisions contained in the Mortgage, as heretofore supplemented, shall affect and apply to the property hereinbefore described and conveyed and to the estate, rights, obligations and duties of the Company and the Trustee and the beneficiaries of the trust with respect to said property, and to the Trustee and its successors as Trustee of said property, in the same manner and with the same effect as if said property had been owned by the Company at the time of the execution of the Mortgage, and had been specifically and at length described in and conveyed to the Trustee by the Mortgage as part of the property therein stated to be conveyed.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further covenants and agrees to and with the Trustee and its successors in said trust under the Mortgage as follows: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BONDS OF THE THIRTEENTH SERIES</w:t>
      </w:r>
    </w:p>
    <w:p>
      <w:pPr>
        <w:spacing w:after="0" w:line="251"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6"/>
          <w:szCs w:val="16"/>
          <w:i w:val="1"/>
          <w:iCs w:val="1"/>
          <w:color w:val="auto"/>
        </w:rPr>
        <w:t xml:space="preserve">Section 1.1. </w:t>
      </w:r>
      <w:r>
        <w:rPr>
          <w:rFonts w:ascii="Arial" w:cs="Arial" w:eastAsia="Arial" w:hAnsi="Arial"/>
          <w:sz w:val="16"/>
          <w:szCs w:val="16"/>
          <w:color w:val="auto"/>
        </w:rPr>
        <w:t>There shall be a Thirteenth Series of bonds designated</w:t>
      </w:r>
      <w:r>
        <w:rPr>
          <w:rFonts w:ascii="Arial" w:cs="Arial" w:eastAsia="Arial" w:hAnsi="Arial"/>
          <w:sz w:val="16"/>
          <w:szCs w:val="16"/>
          <w:i w:val="1"/>
          <w:iCs w:val="1"/>
          <w:color w:val="auto"/>
        </w:rPr>
        <w:t xml:space="preserve"> “First Mortgage Bonds, 2.16% Series due July 17, 2031” </w:t>
      </w:r>
      <w:r>
        <w:rPr>
          <w:rFonts w:ascii="Arial" w:cs="Arial" w:eastAsia="Arial" w:hAnsi="Arial"/>
          <w:sz w:val="16"/>
          <w:szCs w:val="16"/>
          <w:color w:val="auto"/>
        </w:rPr>
        <w:t>(the</w:t>
      </w:r>
      <w:r>
        <w:rPr>
          <w:rFonts w:ascii="Arial" w:cs="Arial" w:eastAsia="Arial" w:hAnsi="Arial"/>
          <w:sz w:val="16"/>
          <w:szCs w:val="16"/>
          <w:i w:val="1"/>
          <w:iCs w:val="1"/>
          <w:color w:val="auto"/>
        </w:rPr>
        <w:t xml:space="preserve"> “Bonds of the Thirteenth Series”</w:t>
      </w:r>
      <w:r>
        <w:rPr>
          <w:rFonts w:ascii="Arial" w:cs="Arial" w:eastAsia="Arial" w:hAnsi="Arial"/>
          <w:sz w:val="16"/>
          <w:szCs w:val="16"/>
          <w:color w:val="auto"/>
        </w:rPr>
        <w:t>), which shall be limited to $8,750,000 aggregate principal amount, and shall be issued as fully registered bonds without coupons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denominations of $1,000 or any multiple thereof. The Bonds of the Thirteenth Series shall be dated on the date of issuance thereof, mature on the date determined as set forth on Schedule C hereto or upon earlier acceleration or redemption, and shall bear interest (computed on the basis of a 360day year of twelve 30 day months) on the unpaid principal balance thereof at the Applicable Interest Rate determined as set forth on Schedule C hereto (such rate being referred to herein as the </w:t>
      </w:r>
      <w:r>
        <w:rPr>
          <w:rFonts w:ascii="Arial" w:cs="Arial" w:eastAsia="Arial" w:hAnsi="Arial"/>
          <w:sz w:val="16"/>
          <w:szCs w:val="16"/>
          <w:i w:val="1"/>
          <w:iCs w:val="1"/>
          <w:color w:val="auto"/>
        </w:rPr>
        <w:t>“Applicable Interest Rate”</w:t>
      </w:r>
      <w:r>
        <w:rPr>
          <w:rFonts w:ascii="Arial" w:cs="Arial" w:eastAsia="Arial" w:hAnsi="Arial"/>
          <w:sz w:val="16"/>
          <w:szCs w:val="16"/>
          <w:color w:val="auto"/>
        </w:rPr>
        <w:t xml:space="preserve">) from the date of issuance, payable semi-annually, on the interest payment dates determined as set forth on Schedule C hereto (each such date being referred to herein as an </w:t>
      </w:r>
      <w:r>
        <w:rPr>
          <w:rFonts w:ascii="Arial" w:cs="Arial" w:eastAsia="Arial" w:hAnsi="Arial"/>
          <w:sz w:val="16"/>
          <w:szCs w:val="16"/>
          <w:i w:val="1"/>
          <w:iCs w:val="1"/>
          <w:color w:val="auto"/>
        </w:rPr>
        <w:t>“Interest Payment Date”</w:t>
      </w:r>
      <w:r>
        <w:rPr>
          <w:rFonts w:ascii="Arial" w:cs="Arial" w:eastAsia="Arial" w:hAnsi="Arial"/>
          <w:sz w:val="16"/>
          <w:szCs w:val="16"/>
          <w:color w:val="auto"/>
        </w:rPr>
        <w:t xml:space="preserve">), until such principal amount shall have become due and payable, and, to the extent permitted by applicable law, on any overdue payment of interest and, during the continuance of an Event of Default, on such unpaid balance and on any overdue payment of any Make-Whole Amount, at a rate per annum from time to time equal to the applicable Default Rate, payable semi-annually on each Interest Payment Date as aforesaid. The Maturity Date of the Bonds of the Thirteenth Series shall be determined as set forth in Schedule C hereto (such date being referred to herein as the </w:t>
      </w:r>
      <w:r>
        <w:rPr>
          <w:rFonts w:ascii="Arial" w:cs="Arial" w:eastAsia="Arial" w:hAnsi="Arial"/>
          <w:sz w:val="16"/>
          <w:szCs w:val="16"/>
          <w:i w:val="1"/>
          <w:iCs w:val="1"/>
          <w:color w:val="auto"/>
        </w:rPr>
        <w:t>“Maturity Date”</w:t>
      </w:r>
      <w:r>
        <w:rPr>
          <w:rFonts w:ascii="Arial" w:cs="Arial" w:eastAsia="Arial" w:hAnsi="Arial"/>
          <w:sz w:val="16"/>
          <w:szCs w:val="16"/>
          <w:color w:val="auto"/>
        </w:rPr>
        <w:t>). The Bonds of the Thirteenth Series shall be numbered R1 and upward and otherwise shall be substantially in the form attached hereto as Exhibit A. Except as hereinafter provided, the principal of, and the premium, if any, and the interest on each said bond to be payable at the office of the Company in Superior, Wisconsin or agency of the Company in the City of St. Paul, Minnesota, in such coin or currency of the United States of America as at the time of payment is legal tender for public and private debts.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61" w:name="page62"/>
    <w:bookmarkEnd w:id="61"/>
    <w:p>
      <w:pPr>
        <w:spacing w:after="0" w:line="23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Notwithstanding any provision to the contrary in the Mortgage or the Bonds of the Thirteenth Series, the first paragraph of Section 9 of the Bond Purchase Agreement shall govern the method of payment of principal, premium, if any, and interest on the Bonds of the Thirteenth Series to the holders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Trustee shall have no obligation to comply with the provisions of Section 9 of the Bond Purchase Agreement with respect to any transferee of the Purchaser or any other holder of the Bonds of the Thirteenth Series until such transferee or holder shall have made the agreement described in Section 9 of the Bond Purchase Agreement. Subject to such proviso, the Trustee hereby consents to the method of payment described in Section 9 of the Bond Purchase Agreement. The Trustee shall not be liable or responsible to any holder of Bonds of the Thirteenth Series entitled to the benefits of Section 9 of the Bond Purchase Agreement or to any transferee thereof or to the Company for any act or omission to act on the part of the Company or any such holder of Bonds of the Thirteenth Series in connection with Section 9 of the Bond Purchase Agreement. The Company hereby indemnifies the Trustee against all liabilities, if any, resulting from acts or omissions on its part or on the part of the Company in connection with Section 9 of the Bond Purchase Agreement.</w:t>
      </w:r>
    </w:p>
    <w:p>
      <w:pPr>
        <w:spacing w:after="0" w:line="21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Bonds of the Thirteenth Series shall be dated as of the date of authentication thereof by the Trustee (except that if any Bond of the Thirteenth Series shall be authenticated on an interest payment date for the Bonds of the Thirteenth Series to which interest has been paid, such Bond shall be dated as of the day following) and shall bear interest from the Interest Payment Date next preceding the date of such Bond to which interest has been paid;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with respect to the first Interest Payment Date, such Bond shall bear interest from the date of the original issue of the Bonds of the Thirteenth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Series;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if the Company shall at the time of the authentication of any Bond of the Thirteenth Series be in default in the payment of interest upon the Bonds of the Thirteenth Series, such Bond shall be dated as of, and shall bear interest from, the date of the beginning of the period for which such interest is so in default.</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Upon notice as provided in the following paragraph, the Bonds of the Thirteenth Series may be redeemed prior to maturity, in whole at any time or in part (in multiples of $500,000) from time to time, at the option of the Company, or by the application (either at the option of the Company or pursuant to the requirements of the Mortgage) of cash delivered to or deposited with the Trustee pursuant to the provisions of Section 39, Section 55, Section 61, Section 64 or Section 118 of the Mortgage or with the Proceeds of Released Property, in any such case at 100% of the principal amount of the Bonds being redeemed plus interest accrued thereon to the date of redemption, together with a premium equal to the Make-Whole Amount, if any, with respect to the Bonds of the Thirteenth Series being redeemed determined five Business Days prior to the date of such redemption.</w:t>
      </w:r>
    </w:p>
    <w:p>
      <w:pPr>
        <w:spacing w:after="0" w:line="21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Notice of any redemption of the Bonds of the Thirteenth Series shall be given by the Company by mail, postage prepaid, at least 30 but not more than 60 days prior to the date of redemption, to the registered owners of all Bonds of the Thirteenth Series to be so redeemed at their respective addresses appearing on the books maintained by the Company pursuant to Section 13 of the Mortgage. Any notice which is mailed as herein provided shall be conclusively presumed to have been properly and sufficiently given on the date of such mailing, whether or not the registered owner receives the notice. In any case, failure to give notice by mail, or any defect in such notice, to the registered owner of any Bond of the Thirteenth Series designated for redemption in whole or in part shall not affect the validity of the proceedings for the redemption of any other Bond of the Thirteenth Series. Two Business Days prior to the redemption date specified in such notice, the Company shall provide each registered owner of Bonds of the Thirteenth Series to be redeemed with written notice of the premium, if any, payable with respect thereto and a reasonably detailed computation of the Make-Whole Amount.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partial redemptions of Bonds of the Thirteenth Series shall be made ratably among all registered owners thereof in the proportion which the principal amount of the Bonds held by each registered owner bears to the aggregate principal amount of all Bonds of the Thirteenth Series then outstanding, computed to the nearest $1,000 principal amount of the Bonds of the Thirteenth Series.</w:t>
      </w:r>
    </w:p>
    <w:p>
      <w:pPr>
        <w:spacing w:after="0" w:line="2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event that the principal amount of the Bonds of the Thirteenth Series is declared due and payable upon the occurrence of a Default or becomes due and payable pursuant to Section 73 of the Mortgage, there shall then become due and payable, together with the principal amount of the Bonds of the Thirteenth Series and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62" w:name="page63"/>
    <w:bookmarkEnd w:id="62"/>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accrued thereon, a premium equal to the amount of the Make-Whole Amount which would have been payable with respect to such Bonds of the Thirteenth Series, if they had been redeemed at the option of the Company pursuant to Section 1.1 in this Fourteenth Supplemental Indenture on the date on which the Bonds of the Thirteenth Series became due and payable;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premium, if any, with respect to the Bonds of the Thirteenth Series shall become due and payable only if such Default is, or such sale is made following a Default, other than one specified in subsections (e) or (f) of Section 65 of the Mortgage.</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Any Bonds of the Thirteenth Series shall be transferable by the registered owner thereof in person, or by its attorney duly authorized in writing, at the office or agency of the Company in the City of St. Paul, Minnesota, or the office of the Company in Superior, Wisconsin, upon surrender thereof for cancellation, together with a written instrument of transfer in form approved by the Company duly executed by such registered owner or by its duly authorized attorney. Upon any such transfer, a new Bond or Bonds of the Thirteenth Series for the same aggregate principal amount will be issued to the transferee in exchange therefor. Any Bond of the Thirteenth Series may, at the option of the registered owner thereof and upon surrender thereof for cancellation at such office or agency, be exchanged as prescribed in the Mortgage for another Bond or Bonds of the Thirteenth Series of other authorized denominations having the same aggregate principal amount. In the event any written instrument of transfer is required in connection with any transfer or exchange of any Bond of the Thirteenth Series, an instrument in the form attached hereto as Exhibit B is hereby approved by the Company for the purposes of Section 12 of the Mortgage.</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Notwithstanding any provision of Section 12 or Section 16 of the Mortgage, (a) no charge will be made by the Company for any transfer or exchange of any Bond of the Thirteenth Series or, in the case of any lost, destroyed or mutilated Bond, the issuance, authentication and delivery of a new Bond of the Thirteenth Series in substitution thereof, whether for any stamp tax or other governmental charge, if any, applicable thereto or otherwise, and the Company shall reimburse the Trustee for all expenses incurred in connection therewith and (b) in the event of any loss, destruction or mutilation of any Bond of the Thirteenth Series, and a request by the holder for issuance of a new Bond of the Thirteenth Series in substitution therefor, the holder's unsecured indemnity agreement shall be deemed to be satisfactory to the Company and the Trustee for purposes of Section 16 of the Mortgage.</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Notwithstanding any provision of Section 15 of the Mortgage, Bonds of the Thirteenth Series shall be authenticated, issued and delivered only as definitive bonds. Bonds of the Thirteenth Series so authenticated, issued and delivered may be in the form of fully engraved bonds, bonds printed or lithographed on engraved borders, bonds printed or bonds typewritten.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AND RESTRICTIONS</w:t>
      </w:r>
    </w:p>
    <w:p>
      <w:pPr>
        <w:spacing w:after="0" w:line="238" w:lineRule="exact"/>
        <w:rPr>
          <w:sz w:val="20"/>
          <w:szCs w:val="20"/>
          <w:color w:val="auto"/>
        </w:rPr>
      </w:pPr>
    </w:p>
    <w:p>
      <w:pPr>
        <w:jc w:val="both"/>
        <w:ind w:firstLine="223"/>
        <w:spacing w:after="0" w:line="268" w:lineRule="auto"/>
        <w:rPr>
          <w:sz w:val="20"/>
          <w:szCs w:val="20"/>
          <w:color w:val="auto"/>
        </w:rPr>
      </w:pPr>
      <w:r>
        <w:rPr>
          <w:rFonts w:ascii="Arial" w:cs="Arial" w:eastAsia="Arial" w:hAnsi="Arial"/>
          <w:sz w:val="17"/>
          <w:szCs w:val="17"/>
          <w:i w:val="1"/>
          <w:iCs w:val="1"/>
          <w:color w:val="auto"/>
        </w:rPr>
        <w:t xml:space="preserve">Section 2.1. </w:t>
      </w:r>
      <w:r>
        <w:rPr>
          <w:rFonts w:ascii="Arial" w:cs="Arial" w:eastAsia="Arial" w:hAnsi="Arial"/>
          <w:sz w:val="17"/>
          <w:szCs w:val="17"/>
          <w:color w:val="auto"/>
        </w:rPr>
        <w:t>The Company covenants that, so long as any Bonds of the Thirteenth Series are outstanding, it will not merge or consolidate with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other Person or sell, lease or transfer or otherwise dispose (a </w:t>
      </w:r>
      <w:r>
        <w:rPr>
          <w:rFonts w:ascii="Arial" w:cs="Arial" w:eastAsia="Arial" w:hAnsi="Arial"/>
          <w:sz w:val="17"/>
          <w:szCs w:val="17"/>
          <w:i w:val="1"/>
          <w:iCs w:val="1"/>
          <w:color w:val="auto"/>
        </w:rPr>
        <w:t>“Disposition”</w:t>
      </w:r>
      <w:r>
        <w:rPr>
          <w:rFonts w:ascii="Arial" w:cs="Arial" w:eastAsia="Arial" w:hAnsi="Arial"/>
          <w:sz w:val="17"/>
          <w:szCs w:val="17"/>
          <w:color w:val="auto"/>
        </w:rPr>
        <w:t xml:space="preserve">) of all or a Substantial Part of its assets, or assets which shall have contributed a Substantial Part of net income of the Company for any of the three fiscal years then most recently ended, to any Person;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may merge or consolidate with, or sell or transfer all or substantially all of its assets to, Allete, but only if (a) in the event that Allete is the continuing or surviving corporation or the acquiring corporation, Allete shall be a solvent corporation and shall expressly assume in writing all of the obligations of the Company under the Mortgage, this Fourteenth Supplemental Indenture, the Bonds of the Thirteenth Series and the Bond Purchase Agreement, including all covenants therein and herein contained, and Allete shall succeed to and be substituted for the Company with the same effect as if it had been named herein as a party hereto, and (b) the Company as the continuing or surviving corporation or Allete as the continuing or surviving corporation or acquiring corporation, as the case may be, shall not, immediately after such merger or consolidation, or such sale or other disposition, be in default under any of such obligations. Notwithstanding the foregoing, the Company may make a Disposition and the assets subject to such Disposition shall not be included in the determination of Substantial Part to the extent that an amount equal to the net proceeds from such Disposition are, within 365 days of such Disposition (A) reinvested in assets of a similar nature of at least equivalent value to be used in the existing business of the Company, and/or (B) applied to the payment or prepayment of the Bonds of the Thirteenth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purposes of the foregoing clause (B), the net proceeds from such Disposition shall be used to prepay (not less than 30 or more than 60 days following such offer) the Bonds of the Thirteenth Series at a price of 100% of the principal amount of the Bonds of the Thirteenth Series to be prepaid (without any Make-Whole Amount) together with interest accrued to the date of prepayment; provided that if any holder of the Bonds of the Thirteenth Series declines such offer, the amount that would have been paid to such holder shall be offered pro rata to the other holders of the Bonds of the Thirteenth Series that have accepted the offer. A failure by a holder of Bonds of the Thirteenth Series to respond in writing not later than 10 Business Days prior to the proposed prepayment date to an offer to prepay made pursuant to this Section 2.1 shall be deemed to constitute a rejection of such offer by such holder.</w:t>
      </w:r>
    </w:p>
    <w:p>
      <w:pPr>
        <w:spacing w:after="0" w:line="191" w:lineRule="exact"/>
        <w:rPr>
          <w:sz w:val="20"/>
          <w:szCs w:val="20"/>
          <w:color w:val="auto"/>
        </w:rPr>
      </w:pPr>
    </w:p>
    <w:p>
      <w:pPr>
        <w:jc w:val="both"/>
        <w:ind w:firstLine="193"/>
        <w:spacing w:after="0" w:line="277" w:lineRule="auto"/>
        <w:rPr>
          <w:sz w:val="20"/>
          <w:szCs w:val="20"/>
          <w:color w:val="auto"/>
        </w:rPr>
      </w:pPr>
      <w:r>
        <w:rPr>
          <w:rFonts w:ascii="Arial" w:cs="Arial" w:eastAsia="Arial" w:hAnsi="Arial"/>
          <w:sz w:val="18"/>
          <w:szCs w:val="18"/>
          <w:i w:val="1"/>
          <w:iCs w:val="1"/>
          <w:color w:val="auto"/>
        </w:rPr>
        <w:t xml:space="preserve">Section 2.2. </w:t>
      </w:r>
      <w:r>
        <w:rPr>
          <w:rFonts w:ascii="Arial" w:cs="Arial" w:eastAsia="Arial" w:hAnsi="Arial"/>
          <w:sz w:val="18"/>
          <w:szCs w:val="18"/>
          <w:color w:val="auto"/>
        </w:rPr>
        <w:t>The Company covenants that, so long as any Bonds of the Thirteenth Series shall remain outstanding, the Company will not issue, sell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dispose of any of its shares of capital stock to any Person other than Allete.</w:t>
      </w:r>
    </w:p>
    <w:p>
      <w:pPr>
        <w:spacing w:after="0" w:line="211" w:lineRule="exact"/>
        <w:rPr>
          <w:sz w:val="20"/>
          <w:szCs w:val="20"/>
          <w:color w:val="auto"/>
        </w:rPr>
      </w:pPr>
    </w:p>
    <w:p>
      <w:pPr>
        <w:jc w:val="both"/>
        <w:ind w:right="20" w:firstLine="193"/>
        <w:spacing w:after="0" w:line="277" w:lineRule="auto"/>
        <w:rPr>
          <w:sz w:val="20"/>
          <w:szCs w:val="20"/>
          <w:color w:val="auto"/>
        </w:rPr>
      </w:pPr>
      <w:r>
        <w:rPr>
          <w:rFonts w:ascii="Arial" w:cs="Arial" w:eastAsia="Arial" w:hAnsi="Arial"/>
          <w:sz w:val="18"/>
          <w:szCs w:val="18"/>
          <w:i w:val="1"/>
          <w:iCs w:val="1"/>
          <w:color w:val="auto"/>
        </w:rPr>
        <w:t xml:space="preserve">Section 2.3. </w:t>
      </w:r>
      <w:r>
        <w:rPr>
          <w:rFonts w:ascii="Arial" w:cs="Arial" w:eastAsia="Arial" w:hAnsi="Arial"/>
          <w:sz w:val="18"/>
          <w:szCs w:val="18"/>
          <w:color w:val="auto"/>
        </w:rPr>
        <w:t>The Company covenants that, so long as the Company is subject to any covenant in any other debt instrument prohibiting it from owning</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Company shall not have any Subsidiaries.</w:t>
      </w:r>
    </w:p>
    <w:p>
      <w:pPr>
        <w:spacing w:after="0" w:line="211" w:lineRule="exact"/>
        <w:rPr>
          <w:sz w:val="20"/>
          <w:szCs w:val="20"/>
          <w:color w:val="auto"/>
        </w:rPr>
      </w:pPr>
    </w:p>
    <w:p>
      <w:pPr>
        <w:jc w:val="both"/>
        <w:ind w:firstLine="212"/>
        <w:spacing w:after="0" w:line="277" w:lineRule="auto"/>
        <w:rPr>
          <w:sz w:val="20"/>
          <w:szCs w:val="20"/>
          <w:color w:val="auto"/>
        </w:rPr>
      </w:pPr>
      <w:r>
        <w:rPr>
          <w:rFonts w:ascii="Arial" w:cs="Arial" w:eastAsia="Arial" w:hAnsi="Arial"/>
          <w:sz w:val="18"/>
          <w:szCs w:val="18"/>
          <w:i w:val="1"/>
          <w:iCs w:val="1"/>
          <w:color w:val="auto"/>
        </w:rPr>
        <w:t xml:space="preserve">Section 2.4. </w:t>
      </w:r>
      <w:r>
        <w:rPr>
          <w:rFonts w:ascii="Arial" w:cs="Arial" w:eastAsia="Arial" w:hAnsi="Arial"/>
          <w:sz w:val="18"/>
          <w:szCs w:val="18"/>
          <w:color w:val="auto"/>
        </w:rPr>
        <w:t>The Company will not at any time permit any Subsidiary to, directly or indirectly, create, incur, assume, guarantee, have outstanding,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become or remain directly or indirectly liable with respect to, any Debt other than:</w:t>
      </w:r>
    </w:p>
    <w:p>
      <w:pPr>
        <w:spacing w:after="0" w:line="197" w:lineRule="exact"/>
        <w:rPr>
          <w:sz w:val="20"/>
          <w:szCs w:val="20"/>
          <w:color w:val="auto"/>
        </w:rPr>
      </w:pPr>
    </w:p>
    <w:p>
      <w:pPr>
        <w:ind w:left="1220" w:hanging="384"/>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Debt of a Subsidiary owed to the Company;</w:t>
      </w:r>
    </w:p>
    <w:p>
      <w:pPr>
        <w:spacing w:after="0" w:line="265" w:lineRule="exact"/>
        <w:rPr>
          <w:rFonts w:ascii="Arial" w:cs="Arial" w:eastAsia="Arial" w:hAnsi="Arial"/>
          <w:sz w:val="18"/>
          <w:szCs w:val="18"/>
          <w:color w:val="auto"/>
        </w:rPr>
      </w:pPr>
    </w:p>
    <w:p>
      <w:pPr>
        <w:jc w:val="both"/>
        <w:ind w:left="660" w:firstLine="258"/>
        <w:spacing w:after="0" w:line="259" w:lineRule="auto"/>
        <w:tabs>
          <w:tab w:leader="none" w:pos="1394" w:val="left"/>
        </w:tabs>
        <w:numPr>
          <w:ilvl w:val="2"/>
          <w:numId w:val="18"/>
        </w:numPr>
        <w:rPr>
          <w:rFonts w:ascii="Arial" w:cs="Arial" w:eastAsia="Arial" w:hAnsi="Arial"/>
          <w:sz w:val="18"/>
          <w:szCs w:val="18"/>
          <w:color w:val="auto"/>
        </w:rPr>
      </w:pPr>
      <w:r>
        <w:rPr>
          <w:rFonts w:ascii="Arial" w:cs="Arial" w:eastAsia="Arial" w:hAnsi="Arial"/>
          <w:sz w:val="18"/>
          <w:szCs w:val="18"/>
          <w:color w:val="auto"/>
        </w:rPr>
        <w:t xml:space="preserve">Debt of a Subsidiary outstanding at the time such Subsidiary becomes a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Debt shall not have been incurred in contemplation of such Subsidiary becoming a Subsidiary and (ii) immediately after such Subsidiary becomes a Subsidiary no Default or Potential Default shall exist,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such Debt may not be extended, renewed or refunded except as otherwise permitted by this Agreement; and</w:t>
      </w:r>
    </w:p>
    <w:p>
      <w:pPr>
        <w:spacing w:after="0" w:line="227" w:lineRule="exact"/>
        <w:rPr>
          <w:rFonts w:ascii="Arial" w:cs="Arial" w:eastAsia="Arial" w:hAnsi="Arial"/>
          <w:sz w:val="18"/>
          <w:szCs w:val="18"/>
          <w:color w:val="auto"/>
        </w:rPr>
      </w:pPr>
    </w:p>
    <w:p>
      <w:pPr>
        <w:jc w:val="both"/>
        <w:ind w:left="660" w:firstLine="203"/>
        <w:spacing w:after="0" w:line="263" w:lineRule="auto"/>
        <w:tabs>
          <w:tab w:leader="none" w:pos="1274"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Debt of a Subsidiary in addition to that otherwise permitted by the foregoing provisions of this Section 2.4,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on the date the Subsidiary incurs or otherwise becomes liable with respect to any such additional Debt and immediately after giving effect thereto and the concurrent retirement of any other Debt,</w:t>
      </w:r>
    </w:p>
    <w:p>
      <w:pPr>
        <w:spacing w:after="0" w:line="210" w:lineRule="exact"/>
        <w:rPr>
          <w:rFonts w:ascii="Arial" w:cs="Arial" w:eastAsia="Arial" w:hAnsi="Arial"/>
          <w:sz w:val="18"/>
          <w:szCs w:val="18"/>
          <w:color w:val="auto"/>
        </w:rPr>
      </w:pPr>
    </w:p>
    <w:p>
      <w:pPr>
        <w:ind w:left="1840" w:hanging="356"/>
        <w:spacing w:after="0"/>
        <w:tabs>
          <w:tab w:leader="none" w:pos="1840" w:val="left"/>
        </w:tabs>
        <w:numPr>
          <w:ilvl w:val="3"/>
          <w:numId w:val="18"/>
        </w:numPr>
        <w:rPr>
          <w:rFonts w:ascii="Arial" w:cs="Arial" w:eastAsia="Arial" w:hAnsi="Arial"/>
          <w:sz w:val="18"/>
          <w:szCs w:val="18"/>
          <w:color w:val="auto"/>
        </w:rPr>
      </w:pPr>
      <w:r>
        <w:rPr>
          <w:rFonts w:ascii="Arial" w:cs="Arial" w:eastAsia="Arial" w:hAnsi="Arial"/>
          <w:sz w:val="18"/>
          <w:szCs w:val="18"/>
          <w:color w:val="auto"/>
        </w:rPr>
        <w:t>no Default or Potential Default exists, and</w:t>
      </w:r>
    </w:p>
    <w:p>
      <w:pPr>
        <w:spacing w:after="0" w:line="265" w:lineRule="exact"/>
        <w:rPr>
          <w:rFonts w:ascii="Arial" w:cs="Arial" w:eastAsia="Arial" w:hAnsi="Arial"/>
          <w:sz w:val="18"/>
          <w:szCs w:val="18"/>
          <w:color w:val="auto"/>
        </w:rPr>
      </w:pPr>
    </w:p>
    <w:p>
      <w:pPr>
        <w:jc w:val="both"/>
        <w:ind w:left="1300" w:firstLine="201"/>
        <w:spacing w:after="0" w:line="263" w:lineRule="auto"/>
        <w:tabs>
          <w:tab w:leader="none" w:pos="1913" w:val="left"/>
        </w:tabs>
        <w:numPr>
          <w:ilvl w:val="4"/>
          <w:numId w:val="18"/>
        </w:numPr>
        <w:rPr>
          <w:rFonts w:ascii="Arial" w:cs="Arial" w:eastAsia="Arial" w:hAnsi="Arial"/>
          <w:sz w:val="18"/>
          <w:szCs w:val="18"/>
          <w:color w:val="auto"/>
        </w:rPr>
      </w:pPr>
      <w:r>
        <w:rPr>
          <w:rFonts w:ascii="Arial" w:cs="Arial" w:eastAsia="Arial" w:hAnsi="Arial"/>
          <w:sz w:val="18"/>
          <w:szCs w:val="18"/>
          <w:color w:val="auto"/>
        </w:rPr>
        <w:t>simultaneously with the incurrence thereof, the Company delivers a Net Earnings Certificate showing, on the date of issuance of such Debt by such Subsidiary, the Company’s Adjusted Net Earnings to be as required by Section 27 of the Indenture to issue at least $1.00 of additional bonds under the Indenture.</w:t>
      </w:r>
    </w:p>
    <w:p>
      <w:pPr>
        <w:spacing w:after="0" w:line="224" w:lineRule="exact"/>
        <w:rPr>
          <w:sz w:val="20"/>
          <w:szCs w:val="20"/>
          <w:color w:val="auto"/>
        </w:rPr>
      </w:pPr>
    </w:p>
    <w:p>
      <w:pPr>
        <w:jc w:val="both"/>
        <w:ind w:firstLine="256"/>
        <w:spacing w:after="0" w:line="275" w:lineRule="auto"/>
        <w:rPr>
          <w:sz w:val="20"/>
          <w:szCs w:val="20"/>
          <w:color w:val="auto"/>
        </w:rPr>
      </w:pPr>
      <w:r>
        <w:rPr>
          <w:rFonts w:ascii="Arial" w:cs="Arial" w:eastAsia="Arial" w:hAnsi="Arial"/>
          <w:sz w:val="17"/>
          <w:szCs w:val="17"/>
          <w:i w:val="1"/>
          <w:iCs w:val="1"/>
          <w:color w:val="auto"/>
        </w:rPr>
        <w:t xml:space="preserve">Section 2.5. </w:t>
      </w:r>
      <w:r>
        <w:rPr>
          <w:rFonts w:ascii="Arial" w:cs="Arial" w:eastAsia="Arial" w:hAnsi="Arial"/>
          <w:sz w:val="17"/>
          <w:szCs w:val="17"/>
          <w:color w:val="auto"/>
        </w:rPr>
        <w:t>A default by the Company in the observance of any covenant or agreement contained in Sections 2.1 through 2.4, inclusive,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Fourteenth Supplemental Indenture or the occurrence of an Event of Default (as defined herein) shall be deemed to constitute an additional and independent Default under, and defined in, Section 65 of the Mortgage. None of the additional Defaults provided for pursuant to this Section 2.5 are intended or shall be deemed to limit any of the Defaults currently expressed in the Mortgage and none of the Defaults currently expressed in the Mortgage are intended or shall be deemed to limit any of the additional Defaults provided for pursuant to this Section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64" w:name="page65"/>
    <w:bookmarkEnd w:id="64"/>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51" w:lineRule="exact"/>
        <w:rPr>
          <w:sz w:val="20"/>
          <w:szCs w:val="20"/>
          <w:color w:val="auto"/>
        </w:rPr>
      </w:pPr>
    </w:p>
    <w:p>
      <w:pPr>
        <w:ind w:left="180"/>
        <w:spacing w:after="0"/>
        <w:tabs>
          <w:tab w:leader="none" w:pos="1200" w:val="left"/>
        </w:tabs>
        <w:rPr>
          <w:sz w:val="20"/>
          <w:szCs w:val="20"/>
          <w:color w:val="auto"/>
        </w:rPr>
      </w:pPr>
      <w:r>
        <w:rPr>
          <w:rFonts w:ascii="Arial" w:cs="Arial" w:eastAsia="Arial" w:hAnsi="Arial"/>
          <w:sz w:val="18"/>
          <w:szCs w:val="18"/>
          <w:i w:val="1"/>
          <w:iCs w:val="1"/>
          <w:color w:val="auto"/>
        </w:rPr>
        <w:t>Section 3.1.</w:t>
      </w:r>
      <w:r>
        <w:rPr>
          <w:sz w:val="20"/>
          <w:szCs w:val="20"/>
          <w:color w:val="auto"/>
        </w:rPr>
        <w:tab/>
      </w:r>
      <w:r>
        <w:rPr>
          <w:rFonts w:ascii="Arial" w:cs="Arial" w:eastAsia="Arial" w:hAnsi="Arial"/>
          <w:sz w:val="16"/>
          <w:szCs w:val="16"/>
          <w:color w:val="auto"/>
        </w:rPr>
        <w:t>For purposes of this Fourteenth Supplemental Indenture, the following terms have the following meanings indicated below: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“Allete” </w:t>
      </w:r>
      <w:r>
        <w:rPr>
          <w:rFonts w:ascii="Arial" w:cs="Arial" w:eastAsia="Arial" w:hAnsi="Arial"/>
          <w:sz w:val="18"/>
          <w:szCs w:val="18"/>
          <w:color w:val="auto"/>
        </w:rPr>
        <w:t>shall mean ALLETE, Inc., a Minnesota corporation, or any successor to Allete, Inc.</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“Bond Purchase Agreement” </w:t>
      </w:r>
      <w:r>
        <w:rPr>
          <w:rFonts w:ascii="Arial" w:cs="Arial" w:eastAsia="Arial" w:hAnsi="Arial"/>
          <w:sz w:val="16"/>
          <w:szCs w:val="16"/>
          <w:color w:val="auto"/>
        </w:rPr>
        <w:t>shall mean the Bond Purchase Agreement dated as of June 28, 2021, between the Company and the Purchaser.</w:t>
      </w:r>
    </w:p>
    <w:p>
      <w:pPr>
        <w:spacing w:after="0" w:line="2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shall mean any day other than a Saturday, Sunday or a day on which commercial banks in Chicago, Illinois, or Milwaukee,</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are required or authorized to be closed.</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“Capitalized Lease Obligation” </w:t>
      </w:r>
      <w:r>
        <w:rPr>
          <w:rFonts w:ascii="Arial" w:cs="Arial" w:eastAsia="Arial" w:hAnsi="Arial"/>
          <w:sz w:val="18"/>
          <w:szCs w:val="18"/>
          <w:color w:val="auto"/>
        </w:rPr>
        <w:t>shall mean with respect to any Person any rental obligation which, under generally accepted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principles, would be required to be capitalized on the books of such Person, taken at the amount thereof accounted for as indebtedness (net of interest expense) in accordance with such principles.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“Consolidated Net Worth” </w:t>
      </w:r>
      <w:r>
        <w:rPr>
          <w:rFonts w:ascii="Arial" w:cs="Arial" w:eastAsia="Arial" w:hAnsi="Arial"/>
          <w:sz w:val="16"/>
          <w:szCs w:val="16"/>
          <w:color w:val="auto"/>
        </w:rPr>
        <w:t>shall mean the net worth of the Company and its Subsidiaries determined on a consolidated basis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means, with respect to any Person, without duplication,</w:t>
      </w:r>
    </w:p>
    <w:p>
      <w:pPr>
        <w:spacing w:after="0" w:line="252" w:lineRule="exact"/>
        <w:rPr>
          <w:sz w:val="20"/>
          <w:szCs w:val="20"/>
          <w:color w:val="auto"/>
        </w:rPr>
      </w:pPr>
    </w:p>
    <w:p>
      <w:pPr>
        <w:ind w:left="1220" w:hanging="384"/>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its liabilities for borrowed money;</w:t>
      </w:r>
    </w:p>
    <w:p>
      <w:pPr>
        <w:spacing w:after="0" w:line="265" w:lineRule="exact"/>
        <w:rPr>
          <w:rFonts w:ascii="Arial" w:cs="Arial" w:eastAsia="Arial" w:hAnsi="Arial"/>
          <w:sz w:val="18"/>
          <w:szCs w:val="18"/>
          <w:color w:val="auto"/>
        </w:rPr>
      </w:pPr>
    </w:p>
    <w:p>
      <w:pPr>
        <w:jc w:val="both"/>
        <w:ind w:left="660" w:firstLine="248"/>
        <w:spacing w:after="0" w:line="263" w:lineRule="auto"/>
        <w:tabs>
          <w:tab w:leader="none" w:pos="1374" w:val="left"/>
        </w:tabs>
        <w:numPr>
          <w:ilvl w:val="1"/>
          <w:numId w:val="19"/>
        </w:numPr>
        <w:rPr>
          <w:rFonts w:ascii="Arial" w:cs="Arial" w:eastAsia="Arial" w:hAnsi="Arial"/>
          <w:sz w:val="18"/>
          <w:szCs w:val="18"/>
          <w:color w:val="auto"/>
        </w:rPr>
      </w:pPr>
      <w:r>
        <w:rPr>
          <w:rFonts w:ascii="Arial" w:cs="Arial" w:eastAsia="Arial" w:hAnsi="Arial"/>
          <w:sz w:val="18"/>
          <w:szCs w:val="18"/>
          <w:color w:val="auto"/>
        </w:rPr>
        <w:t>its liabilities for the deferred purchase price of property acquired by such Person (excluding accounts payable arising in the ordinary course of business but including, without limitation, all liabilities created or arising under any conditional sale or other title retention agreement with respect to any such property);</w:t>
      </w:r>
    </w:p>
    <w:p>
      <w:pPr>
        <w:spacing w:after="0" w:line="224" w:lineRule="exact"/>
        <w:rPr>
          <w:sz w:val="20"/>
          <w:szCs w:val="20"/>
          <w:color w:val="auto"/>
        </w:rPr>
      </w:pPr>
    </w:p>
    <w:p>
      <w:pPr>
        <w:ind w:left="1220" w:hanging="384"/>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its Capital Lease Obligations;</w:t>
      </w:r>
    </w:p>
    <w:p>
      <w:pPr>
        <w:spacing w:after="0" w:line="252" w:lineRule="exact"/>
        <w:rPr>
          <w:rFonts w:ascii="Arial" w:cs="Arial" w:eastAsia="Arial" w:hAnsi="Arial"/>
          <w:sz w:val="18"/>
          <w:szCs w:val="18"/>
          <w:color w:val="auto"/>
        </w:rPr>
      </w:pPr>
    </w:p>
    <w:p>
      <w:pPr>
        <w:ind w:left="660" w:right="20" w:firstLine="199"/>
        <w:spacing w:after="0" w:line="277" w:lineRule="auto"/>
        <w:tabs>
          <w:tab w:leader="none" w:pos="127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liabilities for borrowed money secured by any lien with respect to any property owned by such Person (whether or not it has assumed or otherwise become liable for such liabilities); and</w:t>
      </w:r>
    </w:p>
    <w:p>
      <w:pPr>
        <w:spacing w:after="0" w:line="211" w:lineRule="exact"/>
        <w:rPr>
          <w:sz w:val="20"/>
          <w:szCs w:val="20"/>
          <w:color w:val="auto"/>
        </w:rPr>
      </w:pPr>
    </w:p>
    <w:p>
      <w:pPr>
        <w:ind w:left="1220" w:hanging="384"/>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guaranty of such Person with respect to liabilities of a type described in any of clauses (a) through (d) hereof.</w:t>
      </w:r>
    </w:p>
    <w:p>
      <w:pPr>
        <w:spacing w:after="0" w:line="2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Debt of any Person shall include all obligations of such Person of the character described in clauses (a) through (e) to the extent such Person remains legally liable in respect thereof notwithstanding that any such obligation is deemed to be extinguished under GAAP.</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“Disposition” </w:t>
      </w:r>
      <w:r>
        <w:rPr>
          <w:rFonts w:ascii="Arial" w:cs="Arial" w:eastAsia="Arial" w:hAnsi="Arial"/>
          <w:sz w:val="18"/>
          <w:szCs w:val="18"/>
          <w:color w:val="auto"/>
        </w:rPr>
        <w:t>shall have the meaning set forth for such term in Section 2.1.</w:t>
      </w:r>
    </w:p>
    <w:p>
      <w:pPr>
        <w:spacing w:after="0" w:line="2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“Event of Default” </w:t>
      </w:r>
      <w:r>
        <w:rPr>
          <w:rFonts w:ascii="Arial" w:cs="Arial" w:eastAsia="Arial" w:hAnsi="Arial"/>
          <w:sz w:val="18"/>
          <w:szCs w:val="18"/>
          <w:color w:val="auto"/>
        </w:rPr>
        <w:t>shall mean any of the following events which shall occur and be continuing for any reason whatsoever at any time when any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Bonds of the Thirteenth Series shall be outstanding (and whether such occurrence shall be voluntary or involuntary or come about or be effected by operation of law or otherwise):</w:t>
      </w:r>
    </w:p>
    <w:p>
      <w:pPr>
        <w:spacing w:after="0" w:line="224" w:lineRule="exact"/>
        <w:rPr>
          <w:sz w:val="20"/>
          <w:szCs w:val="20"/>
          <w:color w:val="auto"/>
        </w:rPr>
      </w:pPr>
    </w:p>
    <w:p>
      <w:pPr>
        <w:ind w:left="660" w:firstLine="192"/>
        <w:spacing w:after="0" w:line="277" w:lineRule="auto"/>
        <w:tabs>
          <w:tab w:leader="none" w:pos="12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defaults in the payment of any principal or premium, if any, payable with respect to any Bond of the Thirteenth Series when the same shall become due, either by the terms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65" w:name="page66"/>
    <w:bookmarkEnd w:id="65"/>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otherwise as provided in the Mortgage, this Fourteenth Supplemental Indenture or the Bond Purchase Agreement; or</w:t>
      </w:r>
    </w:p>
    <w:p>
      <w:pPr>
        <w:spacing w:after="0" w:line="252" w:lineRule="exact"/>
        <w:rPr>
          <w:sz w:val="20"/>
          <w:szCs w:val="20"/>
          <w:color w:val="auto"/>
        </w:rPr>
      </w:pPr>
    </w:p>
    <w:p>
      <w:pPr>
        <w:ind w:left="580" w:hanging="404"/>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 defaults in the payment of any interest on any Bond of the Thirteenth Series for more than 5 days after the due date; or</w:t>
      </w:r>
    </w:p>
    <w:p>
      <w:pPr>
        <w:spacing w:after="0" w:line="277" w:lineRule="exact"/>
        <w:rPr>
          <w:rFonts w:ascii="Arial" w:cs="Arial" w:eastAsia="Arial" w:hAnsi="Arial"/>
          <w:sz w:val="17"/>
          <w:szCs w:val="17"/>
          <w:color w:val="auto"/>
        </w:rPr>
      </w:pPr>
    </w:p>
    <w:p>
      <w:pPr>
        <w:jc w:val="both"/>
        <w:ind w:firstLine="188"/>
        <w:spacing w:after="0" w:line="270" w:lineRule="auto"/>
        <w:tabs>
          <w:tab w:leader="none" w:pos="654"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Company defaults (whether as primary obligor or as guarantor or other surety) in any payment of principal of or interest on any other obligation for money borrowed (or any Capitalized Lease Obligation, any obligation under a conditional sale or other title retention agreement, any obligation issued or assumed as full or partial payment for property whether or not secured by a purchase money mortgage or any obligation under notes payable or drafts accepted representing extensions of credit) beyond any period of grace provided with respect thereto and as a result, the aggregate principal amount of all such defaulted obligations exceeds $100,000 or the Company fails to perform or observe any other agreement, term or condition contained in any agreement under which any such obligations are created (or if any other event thereunder or under any such agreement shall occur and be continuing) and the effect of such failure or other event is to cause, or to permit the holder or holders of such obligations (or a trustee on behalf of such holder or holders) to cause, such obligations in the aggregate principal amount in excess of $100,000 to become due (or to be repurchased by the Company) prior to any stated maturity; or</w:t>
      </w:r>
    </w:p>
    <w:p>
      <w:pPr>
        <w:spacing w:after="0" w:line="221" w:lineRule="exact"/>
        <w:rPr>
          <w:rFonts w:ascii="Arial" w:cs="Arial" w:eastAsia="Arial" w:hAnsi="Arial"/>
          <w:sz w:val="17"/>
          <w:szCs w:val="17"/>
          <w:color w:val="auto"/>
        </w:rPr>
      </w:pPr>
    </w:p>
    <w:p>
      <w:pPr>
        <w:jc w:val="both"/>
        <w:ind w:firstLine="198"/>
        <w:spacing w:after="0" w:line="263" w:lineRule="auto"/>
        <w:tabs>
          <w:tab w:leader="none" w:pos="66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representation or warranty made by the Company in this Fourteenth Supplemental Indenture or the Bond Purchase Agreement or by the Company or any of its officers in any writing furnished in connection with or pursuant to this Fourteenth Supplemental Indenture or the Bond Purchase Agreement shall be false in any material respect on the date as of which made; or</w:t>
      </w:r>
    </w:p>
    <w:p>
      <w:pPr>
        <w:spacing w:after="0" w:line="210" w:lineRule="exact"/>
        <w:rPr>
          <w:rFonts w:ascii="Arial" w:cs="Arial" w:eastAsia="Arial" w:hAnsi="Arial"/>
          <w:sz w:val="18"/>
          <w:szCs w:val="18"/>
          <w:color w:val="auto"/>
        </w:rPr>
      </w:pPr>
    </w:p>
    <w:p>
      <w:pPr>
        <w:ind w:firstLine="253"/>
        <w:spacing w:after="0" w:line="277" w:lineRule="auto"/>
        <w:tabs>
          <w:tab w:leader="none" w:pos="723"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fails to perform or observe any agreement, term or condition contained in the Mortgage, this Fourteenth Supplemental Indenture or the Bond Purchase Agreement; or</w:t>
      </w:r>
    </w:p>
    <w:p>
      <w:pPr>
        <w:spacing w:after="0" w:line="211" w:lineRule="exact"/>
        <w:rPr>
          <w:sz w:val="20"/>
          <w:szCs w:val="20"/>
          <w:color w:val="auto"/>
        </w:rPr>
      </w:pPr>
    </w:p>
    <w:p>
      <w:pPr>
        <w:ind w:left="620" w:hanging="444"/>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Company makes an assignment for the benefit of creditors or is generally not paying its debts as such debts become due; or</w:t>
      </w:r>
    </w:p>
    <w:p>
      <w:pPr>
        <w:spacing w:after="0" w:line="277" w:lineRule="exact"/>
        <w:rPr>
          <w:rFonts w:ascii="Arial" w:cs="Arial" w:eastAsia="Arial" w:hAnsi="Arial"/>
          <w:sz w:val="17"/>
          <w:szCs w:val="17"/>
          <w:color w:val="auto"/>
        </w:rPr>
      </w:pPr>
    </w:p>
    <w:p>
      <w:pPr>
        <w:jc w:val="both"/>
        <w:ind w:firstLine="238"/>
        <w:spacing w:after="0" w:line="263" w:lineRule="auto"/>
        <w:tabs>
          <w:tab w:leader="none" w:pos="794" w:val="left"/>
        </w:tabs>
        <w:numPr>
          <w:ilvl w:val="2"/>
          <w:numId w:val="24"/>
        </w:numPr>
        <w:rPr>
          <w:rFonts w:ascii="Arial" w:cs="Arial" w:eastAsia="Arial" w:hAnsi="Arial"/>
          <w:sz w:val="18"/>
          <w:szCs w:val="18"/>
          <w:color w:val="auto"/>
        </w:rPr>
      </w:pPr>
      <w:r>
        <w:rPr>
          <w:rFonts w:ascii="Arial" w:cs="Arial" w:eastAsia="Arial" w:hAnsi="Arial"/>
          <w:sz w:val="18"/>
          <w:szCs w:val="18"/>
          <w:color w:val="auto"/>
        </w:rPr>
        <w:t>any decree or order for relief in respect of the Company is entered under any bankruptcy, reorganization, compromise, arrangement, insolvency, readjustment of debt, dissolution or liquidation or similar law, whether now or hereafter in effect (herein called the Bankruptcy Law), of any jurisdiction; or</w:t>
      </w:r>
    </w:p>
    <w:p>
      <w:pPr>
        <w:spacing w:after="0" w:line="210" w:lineRule="exact"/>
        <w:rPr>
          <w:rFonts w:ascii="Arial" w:cs="Arial" w:eastAsia="Arial" w:hAnsi="Arial"/>
          <w:sz w:val="18"/>
          <w:szCs w:val="18"/>
          <w:color w:val="auto"/>
        </w:rPr>
      </w:pPr>
    </w:p>
    <w:p>
      <w:pPr>
        <w:jc w:val="both"/>
        <w:ind w:firstLine="236"/>
        <w:spacing w:after="0" w:line="259" w:lineRule="auto"/>
        <w:tabs>
          <w:tab w:leader="none" w:pos="839"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the Company petitions or applies to any tribunal for, or consents to, the appointment of, or taking possession by, a trustee, receiver, custodian, liquidator or similar official of the Company or of any Substantial Part of the assets of the Company or commences a voluntary case under the Bankruptcy Law of the United States or any proceedings relating to the Company under the Bankruptcy Law of any other jurisdiction; or</w:t>
      </w:r>
    </w:p>
    <w:p>
      <w:pPr>
        <w:spacing w:after="0" w:line="227" w:lineRule="exact"/>
        <w:rPr>
          <w:rFonts w:ascii="Arial" w:cs="Arial" w:eastAsia="Arial" w:hAnsi="Arial"/>
          <w:sz w:val="18"/>
          <w:szCs w:val="18"/>
          <w:color w:val="auto"/>
        </w:rPr>
      </w:pPr>
    </w:p>
    <w:p>
      <w:pPr>
        <w:jc w:val="both"/>
        <w:ind w:right="20" w:firstLine="230"/>
        <w:spacing w:after="0" w:line="263" w:lineRule="auto"/>
        <w:tabs>
          <w:tab w:leader="none" w:pos="728" w:val="left"/>
        </w:tabs>
        <w:numPr>
          <w:ilvl w:val="2"/>
          <w:numId w:val="24"/>
        </w:numPr>
        <w:rPr>
          <w:rFonts w:ascii="Arial" w:cs="Arial" w:eastAsia="Arial" w:hAnsi="Arial"/>
          <w:sz w:val="18"/>
          <w:szCs w:val="18"/>
          <w:color w:val="auto"/>
        </w:rPr>
      </w:pPr>
      <w:r>
        <w:rPr>
          <w:rFonts w:ascii="Arial" w:cs="Arial" w:eastAsia="Arial" w:hAnsi="Arial"/>
          <w:sz w:val="18"/>
          <w:szCs w:val="18"/>
          <w:color w:val="auto"/>
        </w:rPr>
        <w:t>any such petition or application is filed, or any such proceedings are commenced, against the Company, and the Company by any act indicates its approval thereof, consent thereto or acquiescence therein, or an order, judgment or decree is entered appointing any such trustee, receiver, custodian, liquidator or similar official, or approving the petition in any such proceedings; or</w:t>
      </w:r>
    </w:p>
    <w:p>
      <w:pPr>
        <w:spacing w:after="0" w:line="224" w:lineRule="exact"/>
        <w:rPr>
          <w:rFonts w:ascii="Arial" w:cs="Arial" w:eastAsia="Arial" w:hAnsi="Arial"/>
          <w:sz w:val="18"/>
          <w:szCs w:val="18"/>
          <w:color w:val="auto"/>
        </w:rPr>
      </w:pPr>
    </w:p>
    <w:p>
      <w:pPr>
        <w:ind w:firstLine="236"/>
        <w:spacing w:after="0" w:line="277" w:lineRule="auto"/>
        <w:tabs>
          <w:tab w:leader="none" w:pos="689" w:val="left"/>
        </w:tabs>
        <w:numPr>
          <w:ilvl w:val="2"/>
          <w:numId w:val="24"/>
        </w:numPr>
        <w:rPr>
          <w:rFonts w:ascii="Arial" w:cs="Arial" w:eastAsia="Arial" w:hAnsi="Arial"/>
          <w:sz w:val="18"/>
          <w:szCs w:val="18"/>
          <w:color w:val="auto"/>
        </w:rPr>
      </w:pPr>
      <w:r>
        <w:rPr>
          <w:rFonts w:ascii="Arial" w:cs="Arial" w:eastAsia="Arial" w:hAnsi="Arial"/>
          <w:sz w:val="18"/>
          <w:szCs w:val="18"/>
          <w:color w:val="auto"/>
        </w:rPr>
        <w:t>any order, judgment or decree is entered in any proceedings against the Company decreeing the dissolution of the Company and such order, judgment or decree remains unstayed and in effect for more than 60 days; or</w:t>
      </w:r>
    </w:p>
    <w:p>
      <w:pPr>
        <w:spacing w:after="0" w:line="197" w:lineRule="exact"/>
        <w:rPr>
          <w:rFonts w:ascii="Arial" w:cs="Arial" w:eastAsia="Arial" w:hAnsi="Arial"/>
          <w:sz w:val="18"/>
          <w:szCs w:val="18"/>
          <w:color w:val="auto"/>
        </w:rPr>
      </w:pPr>
    </w:p>
    <w:p>
      <w:pPr>
        <w:jc w:val="both"/>
        <w:ind w:firstLine="183"/>
        <w:spacing w:after="0" w:line="263" w:lineRule="auto"/>
        <w:tabs>
          <w:tab w:leader="none" w:pos="63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order, judgment or decree is entered in any proceedings against the Company decreeing a split-up of the Company which requires the divestiture of assets representing a Substantial Part of the assets of the Company or which requires the divestiture of assets which shall have contributed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580"/>
          </w:cols>
          <w:pgMar w:left="980" w:top="1440" w:right="339" w:bottom="1440" w:gutter="0" w:footer="0" w:header="0"/>
        </w:sectPr>
      </w:pPr>
    </w:p>
    <w:bookmarkStart w:id="66" w:name="page67"/>
    <w:bookmarkEnd w:id="66"/>
    <w:p>
      <w:pPr>
        <w:spacing w:after="0" w:line="23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Substantial Part of the net income of the Company for any of the three fiscal years then most recently ended, and such order, judgment or decree remains unstayed and in effect for more than 60 days; or</w:t>
      </w:r>
    </w:p>
    <w:p>
      <w:pPr>
        <w:spacing w:after="0" w:line="197" w:lineRule="exact"/>
        <w:rPr>
          <w:sz w:val="20"/>
          <w:szCs w:val="20"/>
          <w:color w:val="auto"/>
        </w:rPr>
      </w:pPr>
    </w:p>
    <w:p>
      <w:pPr>
        <w:jc w:val="both"/>
        <w:ind w:left="660" w:firstLine="244"/>
        <w:spacing w:after="0" w:line="263" w:lineRule="auto"/>
        <w:tabs>
          <w:tab w:leader="none" w:pos="1466"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final judgment in an amount in excess of $100,000 is rendered against the Company and, within 60 days after entry thereof, such judgment is not discharged or execution thereof stayed pending appeal, or within 60 days after the expiration of any such stay, such judgment is not discharged; or</w:t>
      </w:r>
    </w:p>
    <w:p>
      <w:pPr>
        <w:spacing w:after="0" w:line="224" w:lineRule="exact"/>
        <w:rPr>
          <w:rFonts w:ascii="Arial" w:cs="Arial" w:eastAsia="Arial" w:hAnsi="Arial"/>
          <w:sz w:val="18"/>
          <w:szCs w:val="18"/>
          <w:color w:val="auto"/>
        </w:rPr>
      </w:pPr>
    </w:p>
    <w:p>
      <w:pPr>
        <w:ind w:left="1360" w:hanging="52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Allete shall cease to own of record and beneficially 100% of the outstanding shares of capital stock of the Company.</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GAAP</w:t>
      </w:r>
      <w:r>
        <w:rPr>
          <w:rFonts w:ascii="Arial" w:cs="Arial" w:eastAsia="Arial" w:hAnsi="Arial"/>
          <w:sz w:val="18"/>
          <w:szCs w:val="18"/>
          <w:i w:val="1"/>
          <w:iCs w:val="1"/>
          <w:color w:val="auto"/>
        </w:rPr>
        <w:t xml:space="preserve">” </w:t>
      </w:r>
      <w:r>
        <w:rPr>
          <w:rFonts w:ascii="Arial" w:cs="Arial" w:eastAsia="Arial" w:hAnsi="Arial"/>
          <w:sz w:val="18"/>
          <w:szCs w:val="18"/>
          <w:color w:val="auto"/>
        </w:rPr>
        <w:t>means generally accepted accounting principles as in effect from time to time in the United States of America.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“Interest Payment Date” </w:t>
      </w:r>
      <w:r>
        <w:rPr>
          <w:rFonts w:ascii="Arial" w:cs="Arial" w:eastAsia="Arial" w:hAnsi="Arial"/>
          <w:sz w:val="18"/>
          <w:szCs w:val="18"/>
          <w:color w:val="auto"/>
        </w:rPr>
        <w:t>means the dates identified for the payment of interest determined as set forth on Schedule C hereto.</w:t>
      </w:r>
    </w:p>
    <w:p>
      <w:pPr>
        <w:spacing w:after="0" w:line="2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“Make-Whole Amount” </w:t>
      </w:r>
      <w:r>
        <w:rPr>
          <w:rFonts w:ascii="Arial" w:cs="Arial" w:eastAsia="Arial" w:hAnsi="Arial"/>
          <w:sz w:val="18"/>
          <w:szCs w:val="18"/>
          <w:color w:val="auto"/>
        </w:rPr>
        <w:t>means, with respect to any Bond of the Thirteenth Series, an amount equal to the excess, if any, of the Discounted Value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 Remaining Scheduled Payments with respect to the Called Principal of such Bond of the Thirteenth Series over the amount of such Called Principal,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Make-Whole Amount may in no event be less than zero. For the purposes of determining the Make-Whole Amount, the following terms</w:t>
      </w:r>
      <w:r>
        <w:rPr>
          <w:rFonts w:ascii="Arial" w:cs="Arial" w:eastAsia="Arial" w:hAnsi="Arial"/>
          <w:sz w:val="18"/>
          <w:szCs w:val="18"/>
          <w:i w:val="1"/>
          <w:iCs w:val="1"/>
          <w:color w:val="auto"/>
        </w:rPr>
        <w:t xml:space="preserve"> </w:t>
      </w:r>
      <w:r>
        <w:rPr>
          <w:rFonts w:ascii="Arial" w:cs="Arial" w:eastAsia="Arial" w:hAnsi="Arial"/>
          <w:sz w:val="18"/>
          <w:szCs w:val="18"/>
          <w:color w:val="auto"/>
        </w:rPr>
        <w:t>have the following meanings:</w:t>
      </w:r>
    </w:p>
    <w:p>
      <w:pPr>
        <w:spacing w:after="0" w:line="227"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i w:val="1"/>
          <w:iCs w:val="1"/>
          <w:color w:val="auto"/>
        </w:rPr>
        <w:t xml:space="preserve">“Called Principal” </w:t>
      </w:r>
      <w:r>
        <w:rPr>
          <w:rFonts w:ascii="Arial" w:cs="Arial" w:eastAsia="Arial" w:hAnsi="Arial"/>
          <w:sz w:val="18"/>
          <w:szCs w:val="18"/>
          <w:color w:val="auto"/>
        </w:rPr>
        <w:t>means, with respect to any Bond of the Thirteenth Series, the principal of such Bond of the Thirteenth Series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to be prepaid or has become or is declared to be immediately due and payable, as the context requires.</w:t>
      </w:r>
    </w:p>
    <w:p>
      <w:pPr>
        <w:spacing w:after="0" w:line="197" w:lineRule="exact"/>
        <w:rPr>
          <w:sz w:val="20"/>
          <w:szCs w:val="20"/>
          <w:color w:val="auto"/>
        </w:rPr>
      </w:pPr>
    </w:p>
    <w:p>
      <w:pPr>
        <w:jc w:val="both"/>
        <w:ind w:left="660" w:firstLine="648"/>
        <w:spacing w:after="0" w:line="301" w:lineRule="auto"/>
        <w:rPr>
          <w:sz w:val="20"/>
          <w:szCs w:val="20"/>
          <w:color w:val="auto"/>
        </w:rPr>
      </w:pPr>
      <w:r>
        <w:rPr>
          <w:rFonts w:ascii="Arial" w:cs="Arial" w:eastAsia="Arial" w:hAnsi="Arial"/>
          <w:sz w:val="16"/>
          <w:szCs w:val="16"/>
          <w:i w:val="1"/>
          <w:iCs w:val="1"/>
          <w:color w:val="auto"/>
        </w:rPr>
        <w:t xml:space="preserve">“Discounted Value” </w:t>
      </w:r>
      <w:r>
        <w:rPr>
          <w:rFonts w:ascii="Arial" w:cs="Arial" w:eastAsia="Arial" w:hAnsi="Arial"/>
          <w:sz w:val="16"/>
          <w:szCs w:val="16"/>
          <w:color w:val="auto"/>
        </w:rPr>
        <w:t>means, with respect to the Called Principal of any Bond of the Thirteenth Series, the amount obtained by discounting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 of the Thirteenth Series is payable) equal to the Reinvestment Yield with respect to such Called Principal.</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 xml:space="preserve">“Reinvestment Yield” </w:t>
      </w:r>
      <w:r>
        <w:rPr>
          <w:rFonts w:ascii="Arial" w:cs="Arial" w:eastAsia="Arial" w:hAnsi="Arial"/>
          <w:sz w:val="16"/>
          <w:szCs w:val="16"/>
          <w:color w:val="auto"/>
        </w:rPr>
        <w:t>means, with respect to the Called Principal of any Bond of the Thirteenth Series, the yield to maturity implied by</w:t>
      </w:r>
    </w:p>
    <w:p>
      <w:pPr>
        <w:spacing w:after="0" w:line="46" w:lineRule="exact"/>
        <w:rPr>
          <w:sz w:val="20"/>
          <w:szCs w:val="20"/>
          <w:color w:val="auto"/>
        </w:rPr>
      </w:pPr>
    </w:p>
    <w:p>
      <w:pPr>
        <w:jc w:val="both"/>
        <w:ind w:left="660" w:hanging="4"/>
        <w:spacing w:after="0" w:line="268" w:lineRule="auto"/>
        <w:tabs>
          <w:tab w:leader="none" w:pos="89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 the run U.S. Treasury securities having a maturity equal to the Remaining Average Life of such Called Principal as of such Settlement Date, or (ii)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(or any comparable successor publication) for U.S. Treasury securities having a constant maturity equal to the Remaining Average Life of such Called Principal as of such Settlement Date.</w:t>
      </w:r>
    </w:p>
    <w:p>
      <w:pPr>
        <w:spacing w:after="0" w:line="224"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In the case of each determination under clause (i) or clause (ii), as the case may be, of the preceding paragraph, such implied yield will be determined, if necessary, by (a) converting U.S. Treasury bill quotations to bond equivalent yields in accordance with accepted financial practice and (b) interpolating linearly between (1) the applicable U.S. Treasury security with the maturity closest to and greater than such Remaining Average Life and (2) the applicable U.S. Treasury security with the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67" w:name="page68"/>
    <w:bookmarkEnd w:id="67"/>
    <w:p>
      <w:pPr>
        <w:spacing w:after="0" w:line="238"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closest to and less than such Remaining Average Life. The Reinvestment Yield shall be rounded to the number of decimal places as appears in the interest rate of the applicable Bond of the Thirteenth Series.</w:t>
      </w:r>
    </w:p>
    <w:p>
      <w:pPr>
        <w:spacing w:after="0" w:line="197" w:lineRule="exact"/>
        <w:rPr>
          <w:sz w:val="20"/>
          <w:szCs w:val="20"/>
          <w:color w:val="auto"/>
        </w:rPr>
      </w:pPr>
    </w:p>
    <w:p>
      <w:pPr>
        <w:jc w:val="both"/>
        <w:ind w:left="660" w:firstLine="648"/>
        <w:spacing w:after="0" w:line="301" w:lineRule="auto"/>
        <w:rPr>
          <w:sz w:val="20"/>
          <w:szCs w:val="20"/>
          <w:color w:val="auto"/>
        </w:rPr>
      </w:pPr>
      <w:r>
        <w:rPr>
          <w:rFonts w:ascii="Arial" w:cs="Arial" w:eastAsia="Arial" w:hAnsi="Arial"/>
          <w:sz w:val="16"/>
          <w:szCs w:val="16"/>
          <w:i w:val="1"/>
          <w:iCs w:val="1"/>
          <w:color w:val="auto"/>
        </w:rPr>
        <w:t xml:space="preserve">“Remaining Average Life” </w:t>
      </w:r>
      <w:r>
        <w:rPr>
          <w:rFonts w:ascii="Arial" w:cs="Arial" w:eastAsia="Arial" w:hAnsi="Arial"/>
          <w:sz w:val="16"/>
          <w:szCs w:val="16"/>
          <w:color w:val="auto"/>
        </w:rPr>
        <w:t>means, with respect to any Called Principal, the number of years (calculated to the nearest one-twelfth year)</w:t>
      </w:r>
      <w:r>
        <w:rPr>
          <w:rFonts w:ascii="Arial" w:cs="Arial" w:eastAsia="Arial" w:hAnsi="Arial"/>
          <w:sz w:val="16"/>
          <w:szCs w:val="16"/>
          <w:i w:val="1"/>
          <w:iCs w:val="1"/>
          <w:color w:val="auto"/>
        </w:rPr>
        <w:t xml:space="preserve"> </w:t>
      </w:r>
      <w:r>
        <w:rPr>
          <w:rFonts w:ascii="Arial" w:cs="Arial" w:eastAsia="Arial" w:hAnsi="Arial"/>
          <w:sz w:val="16"/>
          <w:szCs w:val="16"/>
          <w:color w:val="auto"/>
        </w:rPr>
        <w:t>obtained by 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198" w:lineRule="exact"/>
        <w:rPr>
          <w:sz w:val="20"/>
          <w:szCs w:val="20"/>
          <w:color w:val="auto"/>
        </w:rPr>
      </w:pPr>
    </w:p>
    <w:p>
      <w:pPr>
        <w:jc w:val="both"/>
        <w:ind w:left="660" w:firstLine="648"/>
        <w:spacing w:after="0" w:line="296" w:lineRule="auto"/>
        <w:rPr>
          <w:sz w:val="20"/>
          <w:szCs w:val="20"/>
          <w:color w:val="auto"/>
        </w:rPr>
      </w:pPr>
      <w:r>
        <w:rPr>
          <w:rFonts w:ascii="Arial" w:cs="Arial" w:eastAsia="Arial" w:hAnsi="Arial"/>
          <w:sz w:val="16"/>
          <w:szCs w:val="16"/>
          <w:i w:val="1"/>
          <w:iCs w:val="1"/>
          <w:color w:val="auto"/>
        </w:rPr>
        <w:t xml:space="preserve">“Remaining Scheduled Payments” </w:t>
      </w:r>
      <w:r>
        <w:rPr>
          <w:rFonts w:ascii="Arial" w:cs="Arial" w:eastAsia="Arial" w:hAnsi="Arial"/>
          <w:sz w:val="16"/>
          <w:szCs w:val="16"/>
          <w:color w:val="auto"/>
        </w:rPr>
        <w:t>means, with respect to the Called Principal of any Bond of the Thirteenth Series, all payments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Called Principal and interest thereon that would be due after the Settlement Date with respect to such Called Principal if no payment of such Called Principal were made prior to its scheduled due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Settlement Date is not a date on which interest payments are due to be made under the terms of the Bond of the Thirteenth Series, then the amount of the next succeeding scheduled interest payment will be reduced by the amount of interest accrued to such Settlement Date and required to be paid on such Settlement Date.</w:t>
      </w:r>
    </w:p>
    <w:p>
      <w:pPr>
        <w:spacing w:after="0" w:line="202"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i w:val="1"/>
          <w:iCs w:val="1"/>
          <w:color w:val="auto"/>
        </w:rPr>
        <w:t xml:space="preserve">“Settlement Date” </w:t>
      </w:r>
      <w:r>
        <w:rPr>
          <w:rFonts w:ascii="Arial" w:cs="Arial" w:eastAsia="Arial" w:hAnsi="Arial"/>
          <w:sz w:val="18"/>
          <w:szCs w:val="18"/>
          <w:color w:val="auto"/>
        </w:rPr>
        <w:t>means, with respect to the Called Principal of any Bond of the Thirteenth Series, the date on which such Called</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is to be prepaid or has become or is declared to be immediately due and payable, as the context requires.</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shall mean and include an individual, a partnership, a joint venture, a corporation, a limited liability company, a trust, an unincorporated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and a government or any department or agency thereof.</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“Proceeds of Released Property” </w:t>
      </w:r>
      <w:r>
        <w:rPr>
          <w:rFonts w:ascii="Arial" w:cs="Arial" w:eastAsia="Arial" w:hAnsi="Arial"/>
          <w:sz w:val="18"/>
          <w:szCs w:val="18"/>
          <w:color w:val="auto"/>
        </w:rPr>
        <w:t>shall mean the aggregate of the cash deposited with or received by the Corporate Trustee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Section 59, Section 60, Section 61 (except such cash as is to be paid over to the Company under the provisions of Section 61), or Section 62 of the Mortgage.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“Purchaser” </w:t>
      </w:r>
      <w:r>
        <w:rPr>
          <w:rFonts w:ascii="Arial" w:cs="Arial" w:eastAsia="Arial" w:hAnsi="Arial"/>
          <w:sz w:val="18"/>
          <w:szCs w:val="18"/>
          <w:color w:val="auto"/>
        </w:rPr>
        <w:t>means Thrivent Financial for Lutherans.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“Subsidiary” </w:t>
      </w:r>
      <w:r>
        <w:rPr>
          <w:rFonts w:ascii="Arial" w:cs="Arial" w:eastAsia="Arial" w:hAnsi="Arial"/>
          <w:sz w:val="16"/>
          <w:szCs w:val="16"/>
          <w:color w:val="auto"/>
        </w:rPr>
        <w:t>means, as to any Person, any other Person in which such first Person or one or more of its Subsidiaries or such first Person and one</w:t>
      </w:r>
      <w:r>
        <w:rPr>
          <w:rFonts w:ascii="Arial" w:cs="Arial" w:eastAsia="Arial" w:hAnsi="Arial"/>
          <w:sz w:val="16"/>
          <w:szCs w:val="16"/>
          <w:i w:val="1"/>
          <w:iCs w:val="1"/>
          <w:color w:val="auto"/>
        </w:rPr>
        <w:t xml:space="preserve"> </w:t>
      </w:r>
      <w:r>
        <w:rPr>
          <w:rFonts w:ascii="Arial" w:cs="Arial" w:eastAsia="Arial" w:hAnsi="Arial"/>
          <w:sz w:val="16"/>
          <w:szCs w:val="16"/>
          <w:color w:val="auto"/>
        </w:rPr>
        <w:t>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“Substantial Part” </w:t>
      </w:r>
      <w:r>
        <w:rPr>
          <w:rFonts w:ascii="Arial" w:cs="Arial" w:eastAsia="Arial" w:hAnsi="Arial"/>
          <w:sz w:val="17"/>
          <w:szCs w:val="17"/>
          <w:color w:val="auto"/>
        </w:rPr>
        <w:t>shall mean when used with respect to assets or net income 15% or more of such assets or net income, respectively.</w:t>
      </w:r>
    </w:p>
    <w:p>
      <w:pPr>
        <w:spacing w:after="0" w:line="277" w:lineRule="exact"/>
        <w:rPr>
          <w:sz w:val="20"/>
          <w:szCs w:val="20"/>
          <w:color w:val="auto"/>
        </w:rPr>
      </w:pPr>
    </w:p>
    <w:p>
      <w:pPr>
        <w:jc w:val="both"/>
        <w:ind w:right="20" w:firstLine="180"/>
        <w:spacing w:after="0" w:line="277" w:lineRule="auto"/>
        <w:rPr>
          <w:sz w:val="20"/>
          <w:szCs w:val="20"/>
          <w:color w:val="auto"/>
        </w:rPr>
      </w:pPr>
      <w:r>
        <w:rPr>
          <w:rFonts w:ascii="Arial" w:cs="Arial" w:eastAsia="Arial" w:hAnsi="Arial"/>
          <w:sz w:val="18"/>
          <w:szCs w:val="18"/>
          <w:i w:val="1"/>
          <w:iCs w:val="1"/>
          <w:color w:val="auto"/>
        </w:rPr>
        <w:t xml:space="preserve">Section 3.2. </w:t>
      </w:r>
      <w:r>
        <w:rPr>
          <w:rFonts w:ascii="Arial" w:cs="Arial" w:eastAsia="Arial" w:hAnsi="Arial"/>
          <w:sz w:val="18"/>
          <w:szCs w:val="18"/>
          <w:color w:val="auto"/>
        </w:rPr>
        <w:t>The terms defined in the Mortgage, as heretofore supplemented, shall for all purposes of this Fourteenth Supplemental Indenture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meanings specified in the Mortgage, as heretofore supplemented.</w:t>
      </w:r>
    </w:p>
    <w:p>
      <w:pPr>
        <w:spacing w:after="0" w:line="197" w:lineRule="exact"/>
        <w:rPr>
          <w:sz w:val="20"/>
          <w:szCs w:val="20"/>
          <w:color w:val="auto"/>
        </w:rPr>
      </w:pPr>
    </w:p>
    <w:p>
      <w:pPr>
        <w:jc w:val="both"/>
        <w:ind w:firstLine="191"/>
        <w:spacing w:after="0" w:line="277" w:lineRule="auto"/>
        <w:rPr>
          <w:sz w:val="20"/>
          <w:szCs w:val="20"/>
          <w:color w:val="auto"/>
        </w:rPr>
      </w:pPr>
      <w:r>
        <w:rPr>
          <w:rFonts w:ascii="Arial" w:cs="Arial" w:eastAsia="Arial" w:hAnsi="Arial"/>
          <w:sz w:val="18"/>
          <w:szCs w:val="18"/>
          <w:i w:val="1"/>
          <w:iCs w:val="1"/>
          <w:color w:val="auto"/>
        </w:rPr>
        <w:t xml:space="preserve">Section 3.3. </w:t>
      </w:r>
      <w:r>
        <w:rPr>
          <w:rFonts w:ascii="Arial" w:cs="Arial" w:eastAsia="Arial" w:hAnsi="Arial"/>
          <w:sz w:val="18"/>
          <w:szCs w:val="18"/>
          <w:color w:val="auto"/>
        </w:rPr>
        <w:t>The Trustee hereby accepts the trust herein declared, provided and created and agrees to perform the same upon the terms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herein and in the Mortgage, as heretofore supplemented, set forth and upon the following terms and conditions.</w:t>
      </w:r>
    </w:p>
    <w:p>
      <w:pPr>
        <w:spacing w:after="0" w:line="211" w:lineRule="exact"/>
        <w:rPr>
          <w:sz w:val="20"/>
          <w:szCs w:val="20"/>
          <w:color w:val="auto"/>
        </w:rPr>
      </w:pPr>
    </w:p>
    <w:p>
      <w:pPr>
        <w:jc w:val="both"/>
        <w:ind w:firstLine="288"/>
        <w:spacing w:after="0" w:line="277" w:lineRule="auto"/>
        <w:rPr>
          <w:sz w:val="20"/>
          <w:szCs w:val="20"/>
          <w:color w:val="auto"/>
        </w:rPr>
      </w:pPr>
      <w:r>
        <w:rPr>
          <w:rFonts w:ascii="Arial" w:cs="Arial" w:eastAsia="Arial" w:hAnsi="Arial"/>
          <w:sz w:val="18"/>
          <w:szCs w:val="18"/>
          <w:i w:val="1"/>
          <w:iCs w:val="1"/>
          <w:color w:val="auto"/>
        </w:rPr>
        <w:t xml:space="preserve">Section 3.4. </w:t>
      </w:r>
      <w:r>
        <w:rPr>
          <w:rFonts w:ascii="Arial" w:cs="Arial" w:eastAsia="Arial" w:hAnsi="Arial"/>
          <w:sz w:val="18"/>
          <w:szCs w:val="18"/>
          <w:color w:val="auto"/>
        </w:rPr>
        <w:t>The Trustee shall not be responsible in any manner whatsoever for or in respect of the validity or sufficiency of this Fourteenth</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Indenture or for or in respect of the recitals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all of which recitals are made by the Company solely. In general, each and every term and condition contained in Article XVII of the Mortgage shall apply to and form part of this Fourteenth Supplemental Indenture with the same force and effect as if the same were herein set forth in full, with such omissions, variations and insertions, if any, as may be appropriate to make the same conform to the provisions of this Fourteenth Supplemental Indenture.</w:t>
      </w:r>
    </w:p>
    <w:p>
      <w:pPr>
        <w:spacing w:after="0" w:line="176" w:lineRule="exact"/>
        <w:rPr>
          <w:sz w:val="20"/>
          <w:szCs w:val="20"/>
          <w:color w:val="auto"/>
        </w:rPr>
      </w:pPr>
    </w:p>
    <w:p>
      <w:pPr>
        <w:jc w:val="both"/>
        <w:ind w:firstLine="212"/>
        <w:spacing w:after="0" w:line="259" w:lineRule="auto"/>
        <w:rPr>
          <w:sz w:val="20"/>
          <w:szCs w:val="20"/>
          <w:color w:val="auto"/>
        </w:rPr>
      </w:pPr>
      <w:r>
        <w:rPr>
          <w:rFonts w:ascii="Arial" w:cs="Arial" w:eastAsia="Arial" w:hAnsi="Arial"/>
          <w:sz w:val="18"/>
          <w:szCs w:val="18"/>
          <w:i w:val="1"/>
          <w:iCs w:val="1"/>
          <w:color w:val="auto"/>
        </w:rPr>
        <w:t xml:space="preserve">Section 3.5. </w:t>
      </w:r>
      <w:r>
        <w:rPr>
          <w:rFonts w:ascii="Arial" w:cs="Arial" w:eastAsia="Arial" w:hAnsi="Arial"/>
          <w:sz w:val="18"/>
          <w:szCs w:val="18"/>
          <w:color w:val="auto"/>
        </w:rPr>
        <w:t>Subject to the provisions of Article XVI and Article XVII of the Mortgage, whenever in this Fourteenth Supplemental Indenture any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parties hereto is named or referred to, this shall be deemed to include the successors or assigns of such party, and all the covenants and agreements in this Fourteenth Supplemental Indenture contained by or on behalf of the Company or by or on behalf of the Trustee shall bind and inure to the benefit of the respective successors and assigns of such parties whether so expressed or not.</w:t>
      </w:r>
    </w:p>
    <w:p>
      <w:pPr>
        <w:spacing w:after="0" w:line="227" w:lineRule="exact"/>
        <w:rPr>
          <w:sz w:val="20"/>
          <w:szCs w:val="20"/>
          <w:color w:val="auto"/>
        </w:rPr>
      </w:pPr>
    </w:p>
    <w:p>
      <w:pPr>
        <w:jc w:val="both"/>
        <w:ind w:firstLine="212"/>
        <w:spacing w:after="0" w:line="275" w:lineRule="auto"/>
        <w:rPr>
          <w:sz w:val="20"/>
          <w:szCs w:val="20"/>
          <w:color w:val="auto"/>
        </w:rPr>
      </w:pPr>
      <w:r>
        <w:rPr>
          <w:rFonts w:ascii="Arial" w:cs="Arial" w:eastAsia="Arial" w:hAnsi="Arial"/>
          <w:sz w:val="17"/>
          <w:szCs w:val="17"/>
          <w:i w:val="1"/>
          <w:iCs w:val="1"/>
          <w:color w:val="auto"/>
        </w:rPr>
        <w:t xml:space="preserve">Section 3.6. </w:t>
      </w:r>
      <w:r>
        <w:rPr>
          <w:rFonts w:ascii="Arial" w:cs="Arial" w:eastAsia="Arial" w:hAnsi="Arial"/>
          <w:sz w:val="17"/>
          <w:szCs w:val="17"/>
          <w:color w:val="auto"/>
        </w:rPr>
        <w:t>Nothing in this Fourteenth Supplemental Indenture, express or implied, is intended, or shall be construed, to confer upon, or to give to,</w:t>
      </w:r>
      <w:r>
        <w:rPr>
          <w:rFonts w:ascii="Arial" w:cs="Arial" w:eastAsia="Arial" w:hAnsi="Arial"/>
          <w:sz w:val="17"/>
          <w:szCs w:val="17"/>
          <w:i w:val="1"/>
          <w:iCs w:val="1"/>
          <w:color w:val="auto"/>
        </w:rPr>
        <w:t xml:space="preserve"> </w:t>
      </w:r>
      <w:r>
        <w:rPr>
          <w:rFonts w:ascii="Arial" w:cs="Arial" w:eastAsia="Arial" w:hAnsi="Arial"/>
          <w:sz w:val="17"/>
          <w:szCs w:val="17"/>
          <w:color w:val="auto"/>
        </w:rPr>
        <w:t>any person, firm or corporation, other than the parties hereto and the holders of the bonds Outstanding under the Mortgage, any right, remedy or claim under or by reason of this Fourteenth Supplemental Indenture or any covenant, condition, stipulation, promise or agreement hereof, and all the covenants, conditions, stipulations, promises and agreements of this Fourteenth Supplemental Indenture contained by or on behalf of the Company shall be for the sole and exclusive benefit of the parties hereto, and of the holders of the bonds and of the coupons Outstanding under the Mortgage.</w:t>
      </w:r>
    </w:p>
    <w:p>
      <w:pPr>
        <w:spacing w:after="0" w:line="217" w:lineRule="exact"/>
        <w:rPr>
          <w:sz w:val="20"/>
          <w:szCs w:val="20"/>
          <w:color w:val="auto"/>
        </w:rPr>
      </w:pPr>
    </w:p>
    <w:p>
      <w:pPr>
        <w:jc w:val="both"/>
        <w:ind w:firstLine="180"/>
        <w:spacing w:after="0" w:line="277" w:lineRule="auto"/>
        <w:rPr>
          <w:sz w:val="20"/>
          <w:szCs w:val="20"/>
          <w:color w:val="auto"/>
        </w:rPr>
      </w:pPr>
      <w:r>
        <w:rPr>
          <w:rFonts w:ascii="Arial" w:cs="Arial" w:eastAsia="Arial" w:hAnsi="Arial"/>
          <w:sz w:val="18"/>
          <w:szCs w:val="18"/>
          <w:i w:val="1"/>
          <w:iCs w:val="1"/>
          <w:color w:val="auto"/>
        </w:rPr>
        <w:t xml:space="preserve">Section 3.7. </w:t>
      </w:r>
      <w:r>
        <w:rPr>
          <w:rFonts w:ascii="Arial" w:cs="Arial" w:eastAsia="Arial" w:hAnsi="Arial"/>
          <w:sz w:val="18"/>
          <w:szCs w:val="18"/>
          <w:color w:val="auto"/>
        </w:rPr>
        <w:t>This Fourteenth Supplemental Indenture may be executed in several counterparts, each of which shall be an original and all of which shall</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but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69" w:name="page70"/>
    <w:bookmarkEnd w:id="69"/>
    <w:p>
      <w:pPr>
        <w:jc w:val="both"/>
        <w:spacing w:after="0" w:line="279" w:lineRule="auto"/>
        <w:rPr>
          <w:sz w:val="20"/>
          <w:szCs w:val="20"/>
          <w:color w:val="auto"/>
        </w:rPr>
      </w:pPr>
      <w:r>
        <w:rPr>
          <w:rFonts w:ascii="Arial" w:cs="Arial" w:eastAsia="Arial" w:hAnsi="Arial"/>
          <w:sz w:val="17"/>
          <w:szCs w:val="17"/>
          <w:color w:val="auto"/>
        </w:rPr>
        <w:t>IN WITNESS WHEREOF, Superior Water, Light and Power Company has caused its corporate name to be hereunto affixed, and this instrument to be signed and sealed by its President or one of its Vice Presidents, its Treasurer or one of its Assistant Treasurers, and its corporate seal to be attested by its Secretary or one of its Assistant Secretaries for and in its behalf, and U.S. Bank National Association has caused its corporate name to be hereunto affixed, and this instrument to be signed by its President and to be attested by its Secretary, all as of the 14th day of June, 2021.</w:t>
      </w:r>
    </w:p>
    <w:p>
      <w:pPr>
        <w:spacing w:after="0" w:line="200" w:lineRule="exact"/>
        <w:rPr>
          <w:sz w:val="20"/>
          <w:szCs w:val="20"/>
          <w:color w:val="auto"/>
        </w:rPr>
      </w:pPr>
    </w:p>
    <w:p>
      <w:pPr>
        <w:spacing w:after="0" w:line="24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SUPERIOR WATER, LIGHT AND POWER COMPANY</w:t>
      </w:r>
    </w:p>
    <w:p>
      <w:pPr>
        <w:spacing w:after="0" w:line="200" w:lineRule="exact"/>
        <w:rPr>
          <w:sz w:val="20"/>
          <w:szCs w:val="20"/>
          <w:color w:val="auto"/>
        </w:rPr>
      </w:pPr>
    </w:p>
    <w:p>
      <w:pPr>
        <w:spacing w:after="0" w:line="29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Robert P. Sandstrom</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8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Paul M. Holt</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Joscelyn A. Skandel</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Executed, sealed and delivered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Superior Water, Light and Power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in the presence of:</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1" w:right="339" w:bottom="1440" w:gutter="0" w:footer="0" w:header="0"/>
        </w:sectPr>
      </w:pPr>
    </w:p>
    <w:bookmarkStart w:id="70" w:name="page71"/>
    <w:bookmarkEnd w:id="70"/>
    <w:p>
      <w:pPr>
        <w:jc w:val="right"/>
        <w:ind w:right="1779"/>
        <w:spacing w:after="0"/>
        <w:rPr>
          <w:sz w:val="20"/>
          <w:szCs w:val="20"/>
          <w:color w:val="auto"/>
        </w:rPr>
      </w:pPr>
      <w:r>
        <w:rPr>
          <w:rFonts w:ascii="Arial" w:cs="Arial" w:eastAsia="Arial" w:hAnsi="Arial"/>
          <w:sz w:val="18"/>
          <w:szCs w:val="18"/>
          <w:color w:val="auto"/>
        </w:rPr>
        <w:t>U.S. BANK NATIONAL ASSOCIATION, as Trustee</w:t>
      </w:r>
    </w:p>
    <w:p>
      <w:pPr>
        <w:spacing w:after="0" w:line="200" w:lineRule="exact"/>
        <w:rPr>
          <w:sz w:val="20"/>
          <w:szCs w:val="20"/>
          <w:color w:val="auto"/>
        </w:rPr>
      </w:pPr>
    </w:p>
    <w:p>
      <w:pPr>
        <w:spacing w:after="0" w:line="29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139"/>
          </w:cols>
          <w:pgMar w:left="320" w:top="1421" w:right="1440" w:bottom="1440" w:gutter="0" w:footer="0" w:header="0"/>
        </w:sectPr>
      </w:pPr>
    </w:p>
    <w:bookmarkStart w:id="71" w:name="page72"/>
    <w:bookmarkEnd w:id="71"/>
    <w:p>
      <w:pPr>
        <w:spacing w:after="0" w:line="225"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STATE OF WISCONSIN</w:t>
        <w:tab/>
        <w:t>)</w:t>
      </w:r>
    </w:p>
    <w:p>
      <w:pPr>
        <w:spacing w:after="0" w:line="23" w:lineRule="exact"/>
        <w:rPr>
          <w:sz w:val="20"/>
          <w:szCs w:val="20"/>
          <w:color w:val="auto"/>
        </w:rPr>
      </w:pPr>
    </w:p>
    <w:p>
      <w:pPr>
        <w:ind w:left="1760" w:hanging="96"/>
        <w:spacing w:after="0"/>
        <w:tabs>
          <w:tab w:leader="none" w:pos="1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COUNTY OF DOUGLAS  )</w:t>
      </w:r>
    </w:p>
    <w:p>
      <w:pPr>
        <w:spacing w:after="0" w:line="25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Personally came before me this ___ day of June, 2021, Robert P. Sandstrom, to me known to be the President, Paul M. Holt, to me known to be the Treasurer, and Joscelyn A. Skandel, to me known to be the Secretary of the above-named SUPERIOR WATER, LIGHT AND POWER COMPANY,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respectively the President and Secretary of said corporation, that the seal affixed to said instrument is the corporate seal of said corporation, and that they signed, sealed and delivered said instrument in the name and on behalf of said corporation by authority of its Board of Directors, and said President and Secretary, then and there acknowledged said instrument to be the free act and deed of said corporation and that such corporation executed the same.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Given under my hand and notarial seal this ___ day of _____________,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Notary Public, State of Wisconsin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My Commission 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40" w:right="339" w:bottom="1440" w:gutter="0" w:footer="0" w:header="0"/>
        </w:sectPr>
      </w:pPr>
    </w:p>
    <w:bookmarkStart w:id="72" w:name="page73"/>
    <w:bookmarkEnd w:id="72"/>
    <w:p>
      <w:pPr>
        <w:spacing w:after="0"/>
        <w:tabs>
          <w:tab w:leader="none" w:pos="2020" w:val="left"/>
        </w:tabs>
        <w:rPr>
          <w:sz w:val="20"/>
          <w:szCs w:val="20"/>
          <w:color w:val="auto"/>
        </w:rPr>
      </w:pPr>
      <w:r>
        <w:rPr>
          <w:rFonts w:ascii="Arial" w:cs="Arial" w:eastAsia="Arial" w:hAnsi="Arial"/>
          <w:sz w:val="18"/>
          <w:szCs w:val="18"/>
          <w:color w:val="auto"/>
        </w:rPr>
        <w:t>STATE OF WISCONSIN</w:t>
        <w:tab/>
        <w: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SS.</w:t>
      </w:r>
    </w:p>
    <w:p>
      <w:pPr>
        <w:spacing w:after="0" w:line="9" w:lineRule="exact"/>
        <w:rPr>
          <w:sz w:val="20"/>
          <w:szCs w:val="20"/>
          <w:color w:val="auto"/>
        </w:rPr>
      </w:pPr>
    </w:p>
    <w:p>
      <w:pPr>
        <w:spacing w:after="0"/>
        <w:tabs>
          <w:tab w:leader="none" w:pos="2320" w:val="left"/>
        </w:tabs>
        <w:rPr>
          <w:sz w:val="20"/>
          <w:szCs w:val="20"/>
          <w:color w:val="auto"/>
        </w:rPr>
      </w:pPr>
      <w:r>
        <w:rPr>
          <w:rFonts w:ascii="Arial" w:cs="Arial" w:eastAsia="Arial" w:hAnsi="Arial"/>
          <w:sz w:val="18"/>
          <w:szCs w:val="18"/>
          <w:color w:val="auto"/>
        </w:rPr>
        <w:t>COUNTY OF MILWAUKEE</w:t>
        <w:tab/>
        <w:t>)</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Personally came before me this ____ day of June, 2021, Steven F. Posto, to me known to be the Vice President, and ______________, to me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known to be the __________, of the above-named U.S. BANK NATIONAL ASSOCIATION, the corporation described in and which executed the</w:t>
      </w:r>
    </w:p>
    <w:p>
      <w:pPr>
        <w:spacing w:after="0" w:line="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foregoing instrument, and to me personally known to be the persons who as such officers executed the foregoing instrument in the name and behalf of said corporation, who, being by me duly sworn, did depose and say and acknowledge that he is the Vice President of said corporation, and that he signed and delivered said instrument in the name and on behalf of said corporation by authority of its Board of Directors, and said Vice President then and there acknowledged said instrument to be the free act and deed of said corporation and that such corporation executed the same.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Given under my hand and notarial seal this ____day of June, 2021.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Notary Public, State of Wisconsin</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My Commission 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color w:val="auto"/>
        </w:rPr>
        <w:t>Exhibit 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300"/>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p>
        </w:tc>
        <w:tc>
          <w:tcPr>
            <w:tcW w:w="8520" w:type="dxa"/>
            <w:vAlign w:val="bottom"/>
          </w:tcPr>
          <w:p>
            <w:pPr>
              <w:jc w:val="center"/>
              <w:ind w:right="530"/>
              <w:spacing w:after="0"/>
              <w:rPr>
                <w:sz w:val="20"/>
                <w:szCs w:val="20"/>
                <w:color w:val="auto"/>
              </w:rPr>
            </w:pPr>
            <w:r>
              <w:rPr>
                <w:rFonts w:ascii="Arial" w:cs="Arial" w:eastAsia="Arial" w:hAnsi="Arial"/>
                <w:sz w:val="18"/>
                <w:szCs w:val="18"/>
                <w:b w:val="1"/>
                <w:bCs w:val="1"/>
                <w:color w:val="auto"/>
              </w:rPr>
              <w:t>[FORM OF BOND OF THE THIRTEENTH SERIES]</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41"/>
        </w:trPr>
        <w:tc>
          <w:tcPr>
            <w:tcW w:w="1680" w:type="dxa"/>
            <w:vAlign w:val="bottom"/>
          </w:tcPr>
          <w:p>
            <w:pPr>
              <w:spacing w:after="0"/>
              <w:rPr>
                <w:sz w:val="24"/>
                <w:szCs w:val="24"/>
                <w:color w:val="auto"/>
              </w:rPr>
            </w:pPr>
          </w:p>
        </w:tc>
        <w:tc>
          <w:tcPr>
            <w:tcW w:w="8520" w:type="dxa"/>
            <w:vAlign w:val="bottom"/>
          </w:tcPr>
          <w:p>
            <w:pPr>
              <w:jc w:val="center"/>
              <w:ind w:right="550"/>
              <w:spacing w:after="0"/>
              <w:rPr>
                <w:sz w:val="20"/>
                <w:szCs w:val="20"/>
                <w:color w:val="auto"/>
              </w:rPr>
            </w:pPr>
            <w:r>
              <w:rPr>
                <w:rFonts w:ascii="Arial" w:cs="Arial" w:eastAsia="Arial" w:hAnsi="Arial"/>
                <w:sz w:val="18"/>
                <w:szCs w:val="18"/>
                <w:b w:val="1"/>
                <w:bCs w:val="1"/>
                <w:color w:val="auto"/>
              </w:rPr>
              <w:t>SUPERIOR WATER, LIGHT AND POWER COMPANY</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4"/>
        </w:trPr>
        <w:tc>
          <w:tcPr>
            <w:tcW w:w="1680" w:type="dxa"/>
            <w:vAlign w:val="bottom"/>
          </w:tcPr>
          <w:p>
            <w:pPr>
              <w:spacing w:after="0"/>
              <w:rPr>
                <w:sz w:val="20"/>
                <w:szCs w:val="20"/>
                <w:color w:val="auto"/>
              </w:rPr>
            </w:pPr>
          </w:p>
        </w:tc>
        <w:tc>
          <w:tcPr>
            <w:tcW w:w="8520" w:type="dxa"/>
            <w:vAlign w:val="bottom"/>
          </w:tcPr>
          <w:p>
            <w:pPr>
              <w:jc w:val="center"/>
              <w:ind w:right="530"/>
              <w:spacing w:after="0"/>
              <w:rPr>
                <w:sz w:val="20"/>
                <w:szCs w:val="20"/>
                <w:color w:val="auto"/>
              </w:rPr>
            </w:pPr>
            <w:r>
              <w:rPr>
                <w:rFonts w:ascii="Arial" w:cs="Arial" w:eastAsia="Arial" w:hAnsi="Arial"/>
                <w:sz w:val="18"/>
                <w:szCs w:val="18"/>
                <w:b w:val="1"/>
                <w:bCs w:val="1"/>
                <w:color w:val="auto"/>
              </w:rPr>
              <w:t>FIRST MORTGAGE BOND</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45"/>
        </w:trPr>
        <w:tc>
          <w:tcPr>
            <w:tcW w:w="1680" w:type="dxa"/>
            <w:vAlign w:val="bottom"/>
          </w:tcPr>
          <w:p>
            <w:pPr>
              <w:spacing w:after="0"/>
              <w:rPr>
                <w:sz w:val="24"/>
                <w:szCs w:val="24"/>
                <w:color w:val="auto"/>
              </w:rPr>
            </w:pPr>
          </w:p>
        </w:tc>
        <w:tc>
          <w:tcPr>
            <w:tcW w:w="8520" w:type="dxa"/>
            <w:vAlign w:val="bottom"/>
          </w:tcPr>
          <w:p>
            <w:pPr>
              <w:jc w:val="center"/>
              <w:ind w:right="530"/>
              <w:spacing w:after="0"/>
              <w:rPr>
                <w:sz w:val="20"/>
                <w:szCs w:val="20"/>
                <w:color w:val="auto"/>
              </w:rPr>
            </w:pPr>
            <w:r>
              <w:rPr>
                <w:rFonts w:ascii="Arial" w:cs="Arial" w:eastAsia="Arial" w:hAnsi="Arial"/>
                <w:sz w:val="18"/>
                <w:szCs w:val="18"/>
                <w:b w:val="1"/>
                <w:bCs w:val="1"/>
                <w:color w:val="auto"/>
                <w:w w:val="90"/>
              </w:rPr>
              <w:t>2.16% Series due July 17, 2031</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No. R-___</w:t>
            </w:r>
          </w:p>
        </w:tc>
        <w:tc>
          <w:tcPr>
            <w:tcW w:w="8520" w:type="dxa"/>
            <w:vAlign w:val="bottom"/>
          </w:tcPr>
          <w:p>
            <w:pPr>
              <w:jc w:val="right"/>
              <w:ind w:right="6510"/>
              <w:spacing w:after="0"/>
              <w:rPr>
                <w:sz w:val="20"/>
                <w:szCs w:val="20"/>
                <w:color w:val="auto"/>
              </w:rPr>
            </w:pPr>
            <w:r>
              <w:rPr>
                <w:rFonts w:ascii="Arial" w:cs="Arial" w:eastAsia="Arial" w:hAnsi="Arial"/>
                <w:sz w:val="18"/>
                <w:szCs w:val="18"/>
                <w:color w:val="auto"/>
              </w:rPr>
              <w:t>$__________</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45"/>
        </w:trPr>
        <w:tc>
          <w:tcPr>
            <w:tcW w:w="11220" w:type="dxa"/>
            <w:vAlign w:val="bottom"/>
            <w:gridSpan w:val="4"/>
          </w:tcPr>
          <w:p>
            <w:pPr>
              <w:jc w:val="right"/>
              <w:spacing w:after="0"/>
              <w:rPr>
                <w:sz w:val="20"/>
                <w:szCs w:val="20"/>
                <w:color w:val="auto"/>
              </w:rPr>
            </w:pPr>
            <w:r>
              <w:rPr>
                <w:rFonts w:ascii="Arial" w:cs="Arial" w:eastAsia="Arial" w:hAnsi="Arial"/>
                <w:sz w:val="18"/>
                <w:szCs w:val="18"/>
                <w:color w:val="auto"/>
              </w:rPr>
              <w:t xml:space="preserve">SUPERIOR WATER, LIGHT AND POWER COMPANY, a corporation of the State of Wisconsin (hereinafter called the </w:t>
            </w:r>
            <w:r>
              <w:rPr>
                <w:rFonts w:ascii="Arial" w:cs="Arial" w:eastAsia="Arial" w:hAnsi="Arial"/>
                <w:sz w:val="18"/>
                <w:szCs w:val="18"/>
                <w:i w:val="1"/>
                <w:iCs w:val="1"/>
                <w:color w:val="auto"/>
              </w:rPr>
              <w:t>“Company”</w:t>
            </w:r>
            <w:r>
              <w:rPr>
                <w:rFonts w:ascii="Arial" w:cs="Arial" w:eastAsia="Arial" w:hAnsi="Arial"/>
                <w:sz w:val="18"/>
                <w:szCs w:val="18"/>
                <w:color w:val="auto"/>
              </w:rPr>
              <w:t>), for value</w:t>
            </w:r>
          </w:p>
        </w:tc>
      </w:tr>
      <w:tr>
        <w:trPr>
          <w:trHeight w:val="190"/>
        </w:trPr>
        <w:tc>
          <w:tcPr>
            <w:tcW w:w="10200" w:type="dxa"/>
            <w:vAlign w:val="bottom"/>
            <w:gridSpan w:val="2"/>
          </w:tcPr>
          <w:p>
            <w:pPr>
              <w:spacing w:after="0" w:line="190" w:lineRule="exact"/>
              <w:rPr>
                <w:sz w:val="20"/>
                <w:szCs w:val="20"/>
                <w:color w:val="auto"/>
              </w:rPr>
            </w:pPr>
            <w:r>
              <w:rPr>
                <w:rFonts w:ascii="Arial" w:cs="Arial" w:eastAsia="Arial" w:hAnsi="Arial"/>
                <w:sz w:val="18"/>
                <w:szCs w:val="18"/>
                <w:color w:val="auto"/>
                <w:w w:val="90"/>
              </w:rPr>
              <w:t>received, hereby promises to pay to ____________________________, or registered assigns, on July 17, 2031, ___________ DOLLARS ($</w:t>
            </w:r>
          </w:p>
        </w:tc>
        <w:tc>
          <w:tcPr>
            <w:tcW w:w="400" w:type="dxa"/>
            <w:vAlign w:val="bottom"/>
            <w:tcBorders>
              <w:bottom w:val="single" w:sz="8" w:color="auto"/>
            </w:tcBorders>
          </w:tcPr>
          <w:p>
            <w:pPr>
              <w:spacing w:after="0"/>
              <w:rPr>
                <w:sz w:val="16"/>
                <w:szCs w:val="16"/>
                <w:color w:val="auto"/>
              </w:rPr>
            </w:pPr>
          </w:p>
        </w:tc>
        <w:tc>
          <w:tcPr>
            <w:tcW w:w="620" w:type="dxa"/>
            <w:vAlign w:val="bottom"/>
          </w:tcPr>
          <w:p>
            <w:pPr>
              <w:jc w:val="right"/>
              <w:spacing w:after="0" w:line="190" w:lineRule="exact"/>
              <w:rPr>
                <w:sz w:val="20"/>
                <w:szCs w:val="20"/>
                <w:color w:val="auto"/>
              </w:rPr>
            </w:pPr>
            <w:r>
              <w:rPr>
                <w:rFonts w:ascii="Arial" w:cs="Arial" w:eastAsia="Arial" w:hAnsi="Arial"/>
                <w:sz w:val="18"/>
                <w:szCs w:val="18"/>
                <w:color w:val="auto"/>
                <w:w w:val="88"/>
              </w:rPr>
              <w:t>) in such</w:t>
            </w:r>
          </w:p>
        </w:tc>
      </w:tr>
    </w:tbl>
    <w:p>
      <w:pPr>
        <w:spacing w:after="0" w:line="1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coin or currency of the United States of America as at the time of payment is legal tender for public and private debts, and to pay to the registered owner hereof interest thereon in like coin or currency (computed on the basis of a 360day year of twelve 30day months) at the rate of two and sixteen-hundredths percent (2.16%) per annum semiannually on __________ and __________ of each year commencing _______, 202_ until the principal thereof shall have</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become due and payable and at the rate of four and sixteen hundredths percent (4.16%) per annum on any overdue payment of principal or premium, if any, and, to the extent enforceable under applicable law, on any overdue payment of interest. The principal hereof (and premium, if any) and interest hereon shall be paid at the office or agency of the Company in the City of St. Paul, Minnesota, or the office of the Company in Superior, Wisconsin or as shall be otherwise agreed to pursuant to the provisions of the Fourteenth Supplemental Indenture hereinafter referred to.</w:t>
      </w:r>
    </w:p>
    <w:p>
      <w:pPr>
        <w:spacing w:after="0" w:line="2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This bond is one of an issue of bonds of the Company issuable in series and is one of a series designated the First Mortgage Bonds 2.16% Series due July17, 2031 (the </w:t>
      </w:r>
      <w:r>
        <w:rPr>
          <w:rFonts w:ascii="Arial" w:cs="Arial" w:eastAsia="Arial" w:hAnsi="Arial"/>
          <w:sz w:val="16"/>
          <w:szCs w:val="16"/>
          <w:i w:val="1"/>
          <w:iCs w:val="1"/>
          <w:color w:val="auto"/>
        </w:rPr>
        <w:t>“Bonds of the Thirteenth Series”</w:t>
      </w:r>
      <w:r>
        <w:rPr>
          <w:rFonts w:ascii="Arial" w:cs="Arial" w:eastAsia="Arial" w:hAnsi="Arial"/>
          <w:sz w:val="16"/>
          <w:szCs w:val="16"/>
          <w:color w:val="auto"/>
        </w:rPr>
        <w:t xml:space="preserve">) created by the Fourteenth Supplemental Indenture dated as of June 14, 2021 executed by the Company to U.S. Bank National Association (successor Trustee to Chemical Bank and Peter Morse), as Trustee, all bonds of all series being issued and to be issued under and equally secured by a Mortgage and Deed of Trust (herein, together with any indentures supplemental thereto, called the </w:t>
      </w:r>
      <w:r>
        <w:rPr>
          <w:rFonts w:ascii="Arial" w:cs="Arial" w:eastAsia="Arial" w:hAnsi="Arial"/>
          <w:sz w:val="16"/>
          <w:szCs w:val="16"/>
          <w:i w:val="1"/>
          <w:iCs w:val="1"/>
          <w:color w:val="auto"/>
        </w:rPr>
        <w:t>“Mortgage”</w:t>
      </w:r>
      <w:r>
        <w:rPr>
          <w:rFonts w:ascii="Arial" w:cs="Arial" w:eastAsia="Arial" w:hAnsi="Arial"/>
          <w:sz w:val="16"/>
          <w:szCs w:val="16"/>
          <w:color w:val="auto"/>
        </w:rPr>
        <w:t>), dated as of March 1, 1943, executed by the Company to Chemical Bank &amp; Trust Company and Howard B. Smith, as Trustees (U.S. Bank National Association, successor Trustee). Reference is made to the Mortgage for a description of the property mortgaged and pledged, the nature and extent of the security, the rights of the holders of the bonds and of the Trustee in respect thereof, the duties and immunities of the Trustee and terms and conditions upon which the bonds are and are to be secured and the circumstances under which additional bonds may be issued.</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With the consent of the Company and to the extent permitted by and as provided in the Mortgage, the rights and obligations of the Company and/or the rights of the holders of the bonds and/or coupons and/or the terms and provisions of the Mortgage may be modified or altered by affirmative vote of the holders of at least seventy per centum (70%) in principal amount of the bonds then outstanding under the Mortgage and, if the rights of the holders of one or more, but less than all, series of bonds then outstanding are to be affected, then also by affirmative vote of the holders of at least seventy per centum (70%) in principal amount of the bonds then outstanding of each series of bonds so to be affected (excluding in any case bonds disqualified from voting by reason of the Company's interest therein as provided in the Mortgage); provided that, without the consent of the holder hereof, no such modification or alteration shall, among other things, impair or affect the right of the holder to receive payment of the principal of (and premium, if any) and interest on this bond, on or after the respective due dates and at the places and in the respective amounts expressed herein, or permit the creation of any lien equal or prior to the lien of the Mortgage or deprive the holder of the benefit of a lien on the mortgaged and pledged property, or give any bond or bonds secured by the Mortgage any preference over any other bond or bonds so secured, or reduce the percentage in principal amount of the bonds required to authorize or consent to any such modification or alteration of the Mortgage.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40"/>
          </w:cols>
          <w:pgMar w:left="320" w:top="118"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color w:val="auto"/>
        </w:rPr>
        <w:t>Exhibit 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Bonds of the Thirteenth Series may be redeemed prior to maturity, in whole at any time or in part (in multiples of $500,000) from time to time, at the option of the Company, or by the application (either at the option of the Company or pursuant to the requirements of the Mortgage) of cash delivered to or deposited with the Trustee pursuant to the provisions of Section 39, Section 55, Section 61, Section 64 or Section 118 of the Mortgage or with the Proceeds of Released Property (as defined in said Fourteenth Supplemental Indenture), in any such case at 100% of the principal amount to be so redeemed, plus accrued interest thereon to the redemption date together with a premium equal to the MakeWhole Amount (as defined in said Fourteenth Supplemental Indenture), if any, with respect to the Bonds of the Thirteenth Series, being redeemed.</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Notice of any redemption of the Bonds of the Thirteenth Series shall be given by mail at least 30 days prior to the redemption date, all as more fully provided in said Fourteenth Supplemental Indenture and the Mortgage. Notice of redemption having been duly given, the Bonds of the Thirteenth Series called for redemption shall become due and payable upon the redemption date, and if the redemption price shall have been deposited with the Trustee, interest thereon shall cease to accrue on and after the redemption date (unless such bonds shall have been properly presented for payment on, or within one year after, the redemption date and shall not have been paid) and on the redemption date or whenever thereafter the redemption price thereof shall have been deposited with the Trustee such bonds shall no longer be entitled to the lien of the Mortgage.</w:t>
      </w: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principal hereof may be declared or may become due prior to the maturity date hereinbefore named on the conditions, in the manner and at the time set forth in the Mortgage, upon the occurrence of a default as in the Mortgage provided.</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bond is transferable as prescribed in the Mortgage by the registered owner hereof in person, or by its duly authorized attorney, at the office or agency of the Company in the City of St. Paul, Minnesota or the office of the Company in Superior, Wisconsin upon surrender hereof for cancellation, together with a written instrument of transfer in form approved by the Company duly executed by the registered owner hereof or by its duly authorized attorney, and thereupon a new fully registered bond or bonds of the same series for a like principal amount will be issued to the transferee in exchange herefor as provided in the Mortgage. This bond may, at the option of the registered owner hereof and upon surrender hereof for cancellation at such office or agency, be exchanged as prescribed in the Mortgage for other registered bonds of the same series of other authorized denominations having a like aggregate principal amount. No charge will be made by the Company for any transfer or exchange of this bond or, in case this bond shall be lost, destroyed or mutilated, the issuance, authentication and delivery of a new bond in substitution hereof. The Company and the Trustee may deem and treat the person in whose name this bond is registered as the absolute owner hereof for the purpose of receiving payment and for all other purposes and neither the Company nor the Trustee shall be affected by any notice to the contrary.</w:t>
      </w:r>
    </w:p>
    <w:p>
      <w:pPr>
        <w:spacing w:after="0" w:line="2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provided in the Mortgage, the Company shall not be required to make transfers or exchanges of bonds of any series for a period of ten (10) days next preceding any interest payment date for bonds of said series, or next preceding any designation of bonds of said series to be redeemed, and the Company shall not be required to make transfers or exchanges of any bonds designated in whole or in part for redemption.</w:t>
      </w:r>
    </w:p>
    <w:p>
      <w:pPr>
        <w:spacing w:after="0" w:line="2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recourse shall be had for the payment of the principal of or interest on this bond against any incorporator or any past, present or future subscriber to the capital stock, stockholder, officer, or director of the Company or of any predecessor or successor corporation, as such, either directly or through the Company or any predecessor of successor corporation, under any rule of law, statute, or constitution or by the enforcement of any assessment or otherwise, all such liability of incorporators, subscribers, stockholders, officers, and directors being released by the holder or owner hereof by the acceptance of this bond and being likewise waived and released by the terms of the Mortgage.</w:t>
      </w:r>
    </w:p>
    <w:p>
      <w:pPr>
        <w:spacing w:after="0" w:line="22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bond shall not become obligatory until U.S. Bank National Association, the Trustee under the Mortgage, or its successor thereunder, shall have signed the form of authentication certificate endorsed 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240"/>
          </w:cols>
          <w:pgMar w:left="320" w:top="118"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color w:val="auto"/>
        </w:rPr>
        <w:t>Exhibit 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WITNESS WHEREOF, SUPERIOR WATER, LIGHT AND POWER COMPANY has caused this bond to be signed in its corporate name by its President or one of its Vice-Presidents and its Treasurer and its corporate seal to be impressed or imprinted hereon and attested by its Secretary or one of</w:t>
      </w:r>
    </w:p>
    <w:p>
      <w:pPr>
        <w:spacing w:after="0"/>
        <w:tabs>
          <w:tab w:leader="none" w:pos="2500" w:val="left"/>
        </w:tabs>
        <w:rPr>
          <w:sz w:val="20"/>
          <w:szCs w:val="20"/>
          <w:color w:val="auto"/>
        </w:rPr>
      </w:pPr>
      <w:r>
        <w:rPr>
          <w:rFonts w:ascii="Arial" w:cs="Arial" w:eastAsia="Arial" w:hAnsi="Arial"/>
          <w:sz w:val="18"/>
          <w:szCs w:val="18"/>
          <w:color w:val="auto"/>
        </w:rPr>
        <w:t>its Assistant Secretaries on</w:t>
      </w:r>
      <w:r>
        <w:rPr>
          <w:sz w:val="20"/>
          <w:szCs w:val="20"/>
          <w:color w:val="auto"/>
        </w:rPr>
        <w:tab/>
      </w:r>
      <w:r>
        <w:rPr>
          <w:rFonts w:ascii="Arial" w:cs="Arial" w:eastAsia="Arial" w:hAnsi="Arial"/>
          <w:sz w:val="16"/>
          <w:szCs w:val="16"/>
          <w:color w:val="auto"/>
        </w:rPr>
        <w:t>, 20____.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1261745</wp:posOffset>
            </wp:positionH>
            <wp:positionV relativeFrom="paragraph">
              <wp:posOffset>-19050</wp:posOffset>
            </wp:positionV>
            <wp:extent cx="3429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1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SUPERIOR WATER, LIGHT AND POWER</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8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_________________________</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8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240"/>
          </w:cols>
          <w:pgMar w:left="320" w:top="118"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color w:val="auto"/>
        </w:rPr>
        <w:t>Exhibit 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TRUSTEE'S AUTHENTICATION CERTIFICATE]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bond is one of the bonds, of the series herein designated, described or provided for in the within-mentioned Mortgage.</w:t>
      </w:r>
    </w:p>
    <w:p>
      <w:pPr>
        <w:spacing w:after="0" w:line="200" w:lineRule="exact"/>
        <w:rPr>
          <w:sz w:val="20"/>
          <w:szCs w:val="20"/>
          <w:color w:val="auto"/>
        </w:rPr>
      </w:pPr>
    </w:p>
    <w:p>
      <w:pPr>
        <w:spacing w:after="0" w:line="29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as Trustee</w:t>
      </w:r>
    </w:p>
    <w:p>
      <w:pPr>
        <w:spacing w:after="0" w:line="23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240"/>
          </w:cols>
          <w:pgMar w:left="320" w:top="118"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22"/>
          <w:szCs w:val="22"/>
          <w:color w:val="auto"/>
        </w:rPr>
        <w:t>Exhibit 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IRREVOCABLE BOND POWER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SUPERIOR WATER, LIGHT AND POWER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MORTGAGE BOND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 SERIES DUE JULY 17, 2031</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VALUE RECEIVED, ___________________________________ do___ hereby sell, assign and transfer unto _________________________</w:t>
      </w:r>
    </w:p>
    <w:p>
      <w:pPr>
        <w:spacing w:after="0" w:line="46" w:lineRule="exact"/>
        <w:rPr>
          <w:sz w:val="20"/>
          <w:szCs w:val="20"/>
          <w:color w:val="auto"/>
        </w:rPr>
      </w:pPr>
    </w:p>
    <w:p>
      <w:pPr>
        <w:spacing w:after="0"/>
        <w:tabs>
          <w:tab w:leader="none" w:pos="400" w:val="left"/>
          <w:tab w:leader="none" w:pos="900" w:val="left"/>
          <w:tab w:leader="none" w:pos="1760" w:val="left"/>
          <w:tab w:leader="none" w:pos="2300" w:val="left"/>
          <w:tab w:leader="none" w:pos="2920" w:val="left"/>
          <w:tab w:leader="none" w:pos="3520" w:val="left"/>
          <w:tab w:leader="none" w:pos="3940" w:val="left"/>
          <w:tab w:leader="none" w:pos="4400" w:val="left"/>
          <w:tab w:leader="none" w:pos="4780" w:val="left"/>
          <w:tab w:leader="none" w:pos="5300" w:val="left"/>
          <w:tab w:leader="none" w:pos="5620" w:val="left"/>
          <w:tab w:leader="none" w:pos="6400" w:val="left"/>
          <w:tab w:leader="none" w:pos="7020" w:val="left"/>
          <w:tab w:leader="none" w:pos="7560" w:val="left"/>
          <w:tab w:leader="none" w:pos="7980" w:val="left"/>
          <w:tab w:leader="none" w:pos="8600" w:val="left"/>
          <w:tab w:leader="none" w:pos="9460" w:val="left"/>
          <w:tab w:leader="none" w:pos="9900" w:val="left"/>
          <w:tab w:leader="none" w:pos="11000" w:val="left"/>
        </w:tabs>
        <w:rPr>
          <w:sz w:val="20"/>
          <w:szCs w:val="20"/>
          <w:color w:val="auto"/>
        </w:rPr>
      </w:pPr>
      <w:r>
        <w:rPr>
          <w:rFonts w:ascii="Arial" w:cs="Arial" w:eastAsia="Arial" w:hAnsi="Arial"/>
          <w:sz w:val="18"/>
          <w:szCs w:val="18"/>
          <w:color w:val="auto"/>
        </w:rPr>
        <w:t>one</w:t>
        <w:tab/>
        <w:t>First</w:t>
        <w:tab/>
        <w:t>Mortgage</w:t>
        <w:tab/>
        <w:t>Bond</w:t>
        <w:tab/>
        <w:t>2.16%</w:t>
        <w:tab/>
        <w:t>Series</w:t>
        <w:tab/>
        <w:t>due</w:t>
        <w:tab/>
        <w:t>July</w:t>
        <w:tab/>
        <w:t>17,</w:t>
        <w:tab/>
        <w:t>2031</w:t>
        <w:tab/>
        <w:t>of</w:t>
        <w:tab/>
        <w:t>Superior</w:t>
        <w:tab/>
        <w:t>Water,</w:t>
        <w:tab/>
        <w:t>Light</w:t>
        <w:tab/>
        <w:t>and</w:t>
        <w:tab/>
        <w:t>Power</w:t>
        <w:tab/>
        <w:t>Company</w:t>
        <w:tab/>
        <w:t>(the</w:t>
      </w:r>
      <w:r>
        <w:rPr>
          <w:sz w:val="20"/>
          <w:szCs w:val="20"/>
          <w:color w:val="auto"/>
        </w:rPr>
        <w:tab/>
      </w:r>
      <w:r>
        <w:rPr>
          <w:rFonts w:ascii="Arial" w:cs="Arial" w:eastAsia="Arial" w:hAnsi="Arial"/>
          <w:sz w:val="18"/>
          <w:szCs w:val="18"/>
          <w:i w:val="1"/>
          <w:iCs w:val="1"/>
          <w:color w:val="auto"/>
        </w:rPr>
        <w:t>“Company”</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for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 dollars ($____________), No. ________, standing in __________________ name __________ on the books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and do___ hereby irrevocably constitute and appoint __________________________________ attorney to transfer the said bond on the books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with full power of substitution in the premises.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_________________________  ha___  hereunto  set  ____  hand  ___________  [and  seal  ___________]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 this ____ day of ___________________, 20_____.</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 [SEAL]</w:t>
      </w:r>
    </w:p>
    <w:p>
      <w:pPr>
        <w:spacing w:after="0" w:line="200" w:lineRule="exact"/>
        <w:rPr>
          <w:sz w:val="20"/>
          <w:szCs w:val="20"/>
          <w:color w:val="auto"/>
        </w:rPr>
      </w:pPr>
    </w:p>
    <w:p>
      <w:pPr>
        <w:sectPr>
          <w:pgSz w:w="11900" w:h="16838" w:orient="portrait"/>
          <w:cols w:equalWidth="0" w:num="2">
            <w:col w:w="2700" w:space="180"/>
            <w:col w:w="8360"/>
          </w:cols>
          <w:pgMar w:left="320" w:top="118" w:right="339" w:bottom="1440" w:gutter="0" w:footer="0" w:header="0"/>
          <w:type w:val="continuous"/>
        </w:sect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 [SEAL]</w:t>
      </w:r>
    </w:p>
    <w:p>
      <w:pPr>
        <w:spacing w:after="0" w:line="200" w:lineRule="exact"/>
        <w:rPr>
          <w:sz w:val="20"/>
          <w:szCs w:val="20"/>
          <w:color w:val="auto"/>
        </w:rPr>
      </w:pPr>
    </w:p>
    <w:p>
      <w:pPr>
        <w:sectPr>
          <w:pgSz w:w="11900" w:h="16838" w:orient="portrait"/>
          <w:cols w:equalWidth="0" w:num="2">
            <w:col w:w="2700" w:space="180"/>
            <w:col w:w="8360"/>
          </w:cols>
          <w:pgMar w:left="320" w:top="118" w:right="339" w:bottom="1440" w:gutter="0" w:footer="0" w:header="0"/>
          <w:type w:val="continuous"/>
        </w:sect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STATE OF ________________</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2300" w:space="180"/>
            <w:col w:w="8760"/>
          </w:cols>
          <w:pgMar w:left="320" w:top="118" w:right="33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 SS.</w:t>
      </w:r>
    </w:p>
    <w:p>
      <w:pPr>
        <w:sectPr>
          <w:pgSz w:w="11900" w:h="16838" w:orient="portrait"/>
          <w:cols w:equalWidth="0" w:num="1">
            <w:col w:w="11240"/>
          </w:cols>
          <w:pgMar w:left="320" w:top="118" w:right="3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COUNTY OF ______________</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340" w:space="180"/>
            <w:col w:w="8720"/>
          </w:cols>
          <w:pgMar w:left="320" w:top="118" w:right="339" w:bottom="1440" w:gutter="0" w:footer="0" w:header="0"/>
          <w:type w:val="continuous"/>
        </w:sectPr>
      </w:pPr>
    </w:p>
    <w:p>
      <w:pPr>
        <w:spacing w:after="0" w:line="51" w:lineRule="exact"/>
        <w:rPr>
          <w:sz w:val="20"/>
          <w:szCs w:val="20"/>
          <w:color w:val="auto"/>
        </w:rPr>
      </w:pPr>
    </w:p>
    <w:p>
      <w:pPr>
        <w:ind w:left="660"/>
        <w:spacing w:after="0"/>
        <w:tabs>
          <w:tab w:leader="none" w:pos="880" w:val="left"/>
          <w:tab w:leader="none" w:pos="3680" w:val="left"/>
          <w:tab w:leader="none" w:pos="3920" w:val="left"/>
          <w:tab w:leader="none" w:pos="4520" w:val="left"/>
          <w:tab w:leader="none" w:pos="5120" w:val="left"/>
          <w:tab w:leader="none" w:pos="5400" w:val="left"/>
          <w:tab w:leader="none" w:pos="5820" w:val="left"/>
          <w:tab w:leader="none" w:pos="6180" w:val="left"/>
          <w:tab w:leader="none" w:pos="6620" w:val="left"/>
          <w:tab w:leader="none" w:pos="7320" w:val="left"/>
          <w:tab w:leader="none" w:pos="7600" w:val="left"/>
          <w:tab w:leader="none" w:pos="7980" w:val="left"/>
          <w:tab w:leader="none" w:pos="8480" w:val="left"/>
          <w:tab w:leader="none" w:pos="9340" w:val="left"/>
          <w:tab w:leader="none" w:pos="9660" w:val="left"/>
          <w:tab w:leader="none" w:pos="10300" w:val="left"/>
          <w:tab w:leader="none" w:pos="109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7"/>
          <w:szCs w:val="17"/>
          <w:color w:val="auto"/>
        </w:rPr>
        <w:t>_____________________________,</w:t>
      </w:r>
      <w:r>
        <w:rPr>
          <w:sz w:val="20"/>
          <w:szCs w:val="20"/>
          <w:color w:val="auto"/>
        </w:rPr>
        <w:tab/>
      </w:r>
      <w:r>
        <w:rPr>
          <w:rFonts w:ascii="Arial" w:cs="Arial" w:eastAsia="Arial" w:hAnsi="Arial"/>
          <w:sz w:val="18"/>
          <w:szCs w:val="18"/>
          <w:color w:val="auto"/>
        </w:rPr>
        <w:t>a</w:t>
        <w:tab/>
        <w:t>notary</w:t>
        <w:tab/>
        <w:t>public</w:t>
        <w:tab/>
        <w:t>in</w:t>
        <w:tab/>
        <w:t>and</w:t>
        <w:tab/>
        <w:t>for</w:t>
        <w:tab/>
        <w:t>said</w:t>
        <w:tab/>
        <w:t>County,</w:t>
        <w:tab/>
        <w:t>in</w:t>
        <w:tab/>
        <w:t>the</w:t>
        <w:tab/>
        <w:t>State</w:t>
        <w:tab/>
        <w:t>aforesaid,</w:t>
        <w:tab/>
        <w:t>do</w:t>
        <w:tab/>
        <w:t>hereby</w:t>
        <w:tab/>
        <w:t>certify,</w:t>
      </w:r>
      <w:r>
        <w:rPr>
          <w:sz w:val="20"/>
          <w:szCs w:val="20"/>
          <w:color w:val="auto"/>
        </w:rPr>
        <w:tab/>
      </w:r>
      <w:r>
        <w:rPr>
          <w:rFonts w:ascii="Arial" w:cs="Arial" w:eastAsia="Arial" w:hAnsi="Arial"/>
          <w:sz w:val="16"/>
          <w:szCs w:val="16"/>
          <w:color w:val="auto"/>
        </w:rPr>
        <w:t>that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who _____ personally known to me to be the same person__ whose name__ _____ subscribed to the foregoing instrument, appeared before me this day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 and acknowledged that ___________________________ signed, sealed and delivered the said instrument as _______ free and voluntary act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use and purposes therein set forth.</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Given under my hand and official seal this ____ day of _______________, 20_____.</w:t>
      </w:r>
    </w:p>
    <w:p>
      <w:pPr>
        <w:spacing w:after="0" w:line="200" w:lineRule="exact"/>
        <w:rPr>
          <w:sz w:val="20"/>
          <w:szCs w:val="20"/>
          <w:color w:val="auto"/>
        </w:rPr>
      </w:pPr>
    </w:p>
    <w:p>
      <w:pPr>
        <w:spacing w:after="0" w:line="26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Notary Public</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My Commission Expires 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240"/>
          </w:cols>
          <w:pgMar w:left="320" w:top="118" w:right="339" w:bottom="1440" w:gutter="0" w:footer="0" w:header="0"/>
          <w:type w:val="continuous"/>
        </w:sectPr>
      </w:pPr>
    </w:p>
    <w:bookmarkStart w:id="78" w:name="page79"/>
    <w:bookmarkEnd w:id="78"/>
    <w:p>
      <w:pPr>
        <w:jc w:val="right"/>
        <w:spacing w:after="0"/>
        <w:rPr>
          <w:sz w:val="20"/>
          <w:szCs w:val="20"/>
          <w:color w:val="auto"/>
        </w:rPr>
      </w:pPr>
      <w:r>
        <w:rPr>
          <w:rFonts w:ascii="Arial" w:cs="Arial" w:eastAsia="Arial" w:hAnsi="Arial"/>
          <w:sz w:val="22"/>
          <w:szCs w:val="22"/>
          <w:color w:val="auto"/>
        </w:rPr>
        <w:t>Exhibit 4B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SUPERIOR WATER, LIGHT AND POWER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2915 Hill Avenue, Superior, WI 54880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(formerly First Bank (N.A.))</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Trustee Under Superior Water, Light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Power Company's Mortgage and Deed of Trust,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March 1, 1943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FIFTEENTH SUPPLEMENTAL INDENTURE</w:t>
      </w:r>
    </w:p>
    <w:p>
      <w:pPr>
        <w:spacing w:after="0" w:line="2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Dated as of June 14,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This instrument drafted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Chapman and Cutler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w:t>
      </w:r>
    </w:p>
    <w:p>
      <w:pPr>
        <w:sectPr>
          <w:pgSz w:w="11900" w:h="16838" w:orient="portrait"/>
          <w:cols w:equalWidth="0" w:num="1">
            <w:col w:w="11240"/>
          </w:cols>
          <w:pgMar w:left="320" w:top="375" w:right="339" w:bottom="1440" w:gutter="0" w:footer="0" w:header="0"/>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3000"/>
        <w:spacing w:after="0"/>
        <w:rPr>
          <w:sz w:val="20"/>
          <w:szCs w:val="20"/>
          <w:color w:val="auto"/>
        </w:rPr>
      </w:pPr>
      <w:r>
        <w:rPr>
          <w:rFonts w:ascii="Arial" w:cs="Arial" w:eastAsia="Arial" w:hAnsi="Arial"/>
          <w:sz w:val="18"/>
          <w:szCs w:val="18"/>
          <w:b w:val="1"/>
          <w:bCs w:val="1"/>
          <w:color w:val="auto"/>
        </w:rPr>
        <w:t>TABLE OF CONTENTS</w:t>
      </w:r>
    </w:p>
    <w:p>
      <w:pPr>
        <w:spacing w:after="0" w:line="270" w:lineRule="exact"/>
        <w:rPr>
          <w:sz w:val="20"/>
          <w:szCs w:val="20"/>
          <w:color w:val="auto"/>
        </w:rPr>
      </w:pPr>
    </w:p>
    <w:p>
      <w:pPr>
        <w:spacing w:after="0"/>
        <w:tabs>
          <w:tab w:leader="none" w:pos="700" w:val="left"/>
          <w:tab w:leader="none" w:pos="1500" w:val="left"/>
        </w:tabs>
        <w:rPr>
          <w:sz w:val="20"/>
          <w:szCs w:val="20"/>
          <w:color w:val="auto"/>
        </w:rPr>
      </w:pPr>
      <w:r>
        <w:rPr>
          <w:rFonts w:ascii="Arial" w:cs="Arial" w:eastAsia="Arial" w:hAnsi="Arial"/>
          <w:sz w:val="18"/>
          <w:szCs w:val="18"/>
          <w:color w:val="auto"/>
        </w:rPr>
        <w:t>Section</w:t>
        <w:tab/>
        <w:t>Heading</w:t>
      </w:r>
      <w:r>
        <w:rPr>
          <w:sz w:val="20"/>
          <w:szCs w:val="20"/>
          <w:color w:val="auto"/>
        </w:rPr>
        <w:tab/>
      </w:r>
      <w:r>
        <w:rPr>
          <w:rFonts w:ascii="Arial" w:cs="Arial" w:eastAsia="Arial" w:hAnsi="Arial"/>
          <w:sz w:val="13"/>
          <w:szCs w:val="13"/>
          <w:color w:val="auto"/>
        </w:rPr>
        <w:t>Page</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Parties</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Recitals</w:t>
      </w:r>
    </w:p>
    <w:p>
      <w:pPr>
        <w:spacing w:after="0" w:line="50" w:lineRule="exact"/>
        <w:rPr>
          <w:sz w:val="20"/>
          <w:szCs w:val="20"/>
          <w:color w:val="auto"/>
        </w:rPr>
      </w:pPr>
    </w:p>
    <w:p>
      <w:pPr>
        <w:ind w:left="80"/>
        <w:spacing w:after="0"/>
        <w:tabs>
          <w:tab w:leader="none" w:pos="1080" w:val="left"/>
        </w:tabs>
        <w:rPr>
          <w:sz w:val="20"/>
          <w:szCs w:val="20"/>
          <w:color w:val="auto"/>
        </w:rPr>
      </w:pPr>
      <w:r>
        <w:rPr>
          <w:rFonts w:ascii="Arial" w:cs="Arial" w:eastAsia="Arial" w:hAnsi="Arial"/>
          <w:sz w:val="18"/>
          <w:szCs w:val="18"/>
          <w:color w:val="auto"/>
        </w:rPr>
        <w:t>ARTICLE I</w:t>
      </w:r>
      <w:r>
        <w:rPr>
          <w:sz w:val="20"/>
          <w:szCs w:val="20"/>
          <w:color w:val="auto"/>
        </w:rPr>
        <w:tab/>
      </w:r>
      <w:r>
        <w:rPr>
          <w:rFonts w:ascii="Arial" w:cs="Arial" w:eastAsia="Arial" w:hAnsi="Arial"/>
          <w:sz w:val="16"/>
          <w:szCs w:val="16"/>
          <w:color w:val="auto"/>
        </w:rPr>
        <w:t>BONDS OF THE FOURTEENTH SERIES</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1.1.</w:t>
      </w:r>
    </w:p>
    <w:p>
      <w:pPr>
        <w:spacing w:after="0" w:line="50" w:lineRule="exact"/>
        <w:rPr>
          <w:sz w:val="20"/>
          <w:szCs w:val="20"/>
          <w:color w:val="auto"/>
        </w:rPr>
      </w:pPr>
    </w:p>
    <w:p>
      <w:pPr>
        <w:ind w:left="80"/>
        <w:spacing w:after="0"/>
        <w:tabs>
          <w:tab w:leader="none" w:pos="1140" w:val="left"/>
        </w:tabs>
        <w:rPr>
          <w:sz w:val="20"/>
          <w:szCs w:val="20"/>
          <w:color w:val="auto"/>
        </w:rPr>
      </w:pPr>
      <w:r>
        <w:rPr>
          <w:rFonts w:ascii="Arial" w:cs="Arial" w:eastAsia="Arial" w:hAnsi="Arial"/>
          <w:sz w:val="18"/>
          <w:szCs w:val="18"/>
          <w:color w:val="auto"/>
        </w:rPr>
        <w:t>ARTICLE II</w:t>
      </w:r>
      <w:r>
        <w:rPr>
          <w:sz w:val="20"/>
          <w:szCs w:val="20"/>
          <w:color w:val="auto"/>
        </w:rPr>
        <w:tab/>
      </w:r>
      <w:r>
        <w:rPr>
          <w:rFonts w:ascii="Arial" w:cs="Arial" w:eastAsia="Arial" w:hAnsi="Arial"/>
          <w:sz w:val="17"/>
          <w:szCs w:val="17"/>
          <w:color w:val="auto"/>
        </w:rPr>
        <w:t>COVENANTS AND RESTRICTIONS</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2.1.</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2.2.</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2.3.</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2.4.</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2.5.</w:t>
      </w:r>
    </w:p>
    <w:p>
      <w:pPr>
        <w:spacing w:after="0" w:line="50" w:lineRule="exact"/>
        <w:rPr>
          <w:sz w:val="20"/>
          <w:szCs w:val="20"/>
          <w:color w:val="auto"/>
        </w:rPr>
      </w:pPr>
    </w:p>
    <w:p>
      <w:pPr>
        <w:ind w:left="80"/>
        <w:spacing w:after="0"/>
        <w:tabs>
          <w:tab w:leader="none" w:pos="1200" w:val="left"/>
        </w:tabs>
        <w:rPr>
          <w:sz w:val="20"/>
          <w:szCs w:val="20"/>
          <w:color w:val="auto"/>
        </w:rPr>
      </w:pPr>
      <w:r>
        <w:rPr>
          <w:rFonts w:ascii="Arial" w:cs="Arial" w:eastAsia="Arial" w:hAnsi="Arial"/>
          <w:sz w:val="18"/>
          <w:szCs w:val="18"/>
          <w:color w:val="auto"/>
        </w:rPr>
        <w:t>ARTICLE III</w:t>
      </w:r>
      <w:r>
        <w:rPr>
          <w:sz w:val="20"/>
          <w:szCs w:val="20"/>
          <w:color w:val="auto"/>
        </w:rPr>
        <w:tab/>
      </w:r>
      <w:r>
        <w:rPr>
          <w:rFonts w:ascii="Arial" w:cs="Arial" w:eastAsia="Arial" w:hAnsi="Arial"/>
          <w:sz w:val="17"/>
          <w:szCs w:val="17"/>
          <w:color w:val="auto"/>
        </w:rPr>
        <w:t>MISCELLANEOUS PROVISIONS</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3.1.</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3.2.</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3.3.</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3.4.</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3.5.</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3.6.</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3.7.</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ATTACHMENTS TO SUPPLEMENTAL INDENTURE: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A - Form of Bond of the Fourteenth Series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B - Assignment and Irrevocable Bond Power</w:t>
      </w:r>
    </w:p>
    <w:p>
      <w:pPr>
        <w:spacing w:after="0" w:line="252" w:lineRule="exact"/>
        <w:rPr>
          <w:sz w:val="20"/>
          <w:szCs w:val="20"/>
          <w:color w:val="auto"/>
        </w:rPr>
      </w:pPr>
    </w:p>
    <w:p>
      <w:pPr>
        <w:ind w:left="1540" w:right="4260" w:hanging="1538"/>
        <w:spacing w:after="0" w:line="342" w:lineRule="auto"/>
        <w:rPr>
          <w:sz w:val="20"/>
          <w:szCs w:val="20"/>
          <w:color w:val="auto"/>
        </w:rPr>
      </w:pPr>
      <w:r>
        <w:rPr>
          <w:rFonts w:ascii="Arial" w:cs="Arial" w:eastAsia="Arial" w:hAnsi="Arial"/>
          <w:sz w:val="16"/>
          <w:szCs w:val="16"/>
          <w:color w:val="auto"/>
        </w:rPr>
        <w:t>SCHEDULE C - Maturity Dates, Interest Payment Dates and Applicable Interest Rates for the Bonds of the Fourteenth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Exhibit 4B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spacing w:after="0"/>
        <w:rPr>
          <w:rFonts w:ascii="Arial" w:cs="Arial" w:eastAsia="Arial" w:hAnsi="Arial"/>
          <w:sz w:val="18"/>
          <w:szCs w:val="18"/>
          <w:u w:val="single" w:color="auto"/>
          <w:color w:val="auto"/>
        </w:rPr>
      </w:pPr>
      <w:hyperlink w:anchor="page80">
        <w:r>
          <w:rPr>
            <w:rFonts w:ascii="Arial" w:cs="Arial" w:eastAsia="Arial" w:hAnsi="Arial"/>
            <w:sz w:val="18"/>
            <w:szCs w:val="18"/>
            <w:u w:val="single" w:color="auto"/>
            <w:color w:val="auto"/>
          </w:rPr>
          <w:t>1</w:t>
        </w:r>
      </w:hyperlink>
    </w:p>
    <w:p>
      <w:pPr>
        <w:spacing w:after="0" w:line="50" w:lineRule="exact"/>
        <w:rPr>
          <w:sz w:val="20"/>
          <w:szCs w:val="20"/>
          <w:color w:val="auto"/>
        </w:rPr>
      </w:pPr>
    </w:p>
    <w:p>
      <w:pPr>
        <w:ind w:left="180"/>
        <w:spacing w:after="0"/>
        <w:rPr>
          <w:rFonts w:ascii="Arial" w:cs="Arial" w:eastAsia="Arial" w:hAnsi="Arial"/>
          <w:sz w:val="18"/>
          <w:szCs w:val="18"/>
          <w:u w:val="single" w:color="auto"/>
          <w:color w:val="auto"/>
        </w:rPr>
      </w:pPr>
      <w:hyperlink w:anchor="page80">
        <w:r>
          <w:rPr>
            <w:rFonts w:ascii="Arial" w:cs="Arial" w:eastAsia="Arial" w:hAnsi="Arial"/>
            <w:sz w:val="18"/>
            <w:szCs w:val="18"/>
            <w:u w:val="single" w:color="auto"/>
            <w:color w:val="auto"/>
          </w:rPr>
          <w:t>1</w:t>
        </w:r>
      </w:hyperlink>
    </w:p>
    <w:p>
      <w:pPr>
        <w:spacing w:after="0" w:line="50" w:lineRule="exact"/>
        <w:rPr>
          <w:sz w:val="20"/>
          <w:szCs w:val="20"/>
          <w:color w:val="auto"/>
        </w:rPr>
      </w:pPr>
    </w:p>
    <w:p>
      <w:pPr>
        <w:ind w:left="180"/>
        <w:spacing w:after="0"/>
        <w:rPr>
          <w:rFonts w:ascii="Arial" w:cs="Arial" w:eastAsia="Arial" w:hAnsi="Arial"/>
          <w:sz w:val="18"/>
          <w:szCs w:val="18"/>
          <w:u w:val="single" w:color="auto"/>
          <w:color w:val="auto"/>
        </w:rPr>
      </w:pPr>
      <w:hyperlink w:anchor="page80">
        <w:r>
          <w:rPr>
            <w:rFonts w:ascii="Arial" w:cs="Arial" w:eastAsia="Arial" w:hAnsi="Arial"/>
            <w:sz w:val="18"/>
            <w:szCs w:val="18"/>
            <w:u w:val="single" w:color="auto"/>
            <w:color w:val="auto"/>
          </w:rPr>
          <w:t>8</w:t>
        </w:r>
      </w:hyperlink>
    </w:p>
    <w:p>
      <w:pPr>
        <w:spacing w:after="0" w:line="50" w:lineRule="exact"/>
        <w:rPr>
          <w:sz w:val="20"/>
          <w:szCs w:val="20"/>
          <w:color w:val="auto"/>
        </w:rPr>
      </w:pPr>
    </w:p>
    <w:p>
      <w:pPr>
        <w:ind w:left="180"/>
        <w:spacing w:after="0"/>
        <w:rPr>
          <w:rFonts w:ascii="Arial" w:cs="Arial" w:eastAsia="Arial" w:hAnsi="Arial"/>
          <w:sz w:val="18"/>
          <w:szCs w:val="18"/>
          <w:u w:val="single" w:color="auto"/>
          <w:color w:val="auto"/>
        </w:rPr>
      </w:pPr>
      <w:hyperlink w:anchor="page80">
        <w:r>
          <w:rPr>
            <w:rFonts w:ascii="Arial" w:cs="Arial" w:eastAsia="Arial" w:hAnsi="Arial"/>
            <w:sz w:val="18"/>
            <w:szCs w:val="18"/>
            <w:u w:val="single" w:color="auto"/>
            <w:color w:val="auto"/>
          </w:rPr>
          <w:t>8</w:t>
        </w:r>
      </w:hyperlink>
    </w:p>
    <w:p>
      <w:pPr>
        <w:spacing w:after="0" w:line="50" w:lineRule="exact"/>
        <w:rPr>
          <w:sz w:val="20"/>
          <w:szCs w:val="20"/>
          <w:color w:val="auto"/>
        </w:rPr>
      </w:pPr>
    </w:p>
    <w:p>
      <w:pPr>
        <w:ind w:left="180"/>
        <w:spacing w:after="0"/>
        <w:rPr>
          <w:rFonts w:ascii="Arial" w:cs="Arial" w:eastAsia="Arial" w:hAnsi="Arial"/>
          <w:sz w:val="18"/>
          <w:szCs w:val="18"/>
          <w:u w:val="single" w:color="auto"/>
          <w:color w:val="auto"/>
        </w:rPr>
      </w:pPr>
      <w:hyperlink w:anchor="page80">
        <w:r>
          <w:rPr>
            <w:rFonts w:ascii="Arial" w:cs="Arial" w:eastAsia="Arial" w:hAnsi="Arial"/>
            <w:sz w:val="18"/>
            <w:szCs w:val="18"/>
            <w:u w:val="single" w:color="auto"/>
            <w:color w:val="auto"/>
          </w:rPr>
          <w:t>10</w:t>
        </w:r>
      </w:hyperlink>
    </w:p>
    <w:p>
      <w:pPr>
        <w:spacing w:after="0" w:line="50" w:lineRule="exact"/>
        <w:rPr>
          <w:sz w:val="20"/>
          <w:szCs w:val="20"/>
          <w:color w:val="auto"/>
        </w:rPr>
      </w:pPr>
    </w:p>
    <w:p>
      <w:pPr>
        <w:ind w:left="180"/>
        <w:spacing w:after="0"/>
        <w:rPr>
          <w:rFonts w:ascii="Arial" w:cs="Arial" w:eastAsia="Arial" w:hAnsi="Arial"/>
          <w:sz w:val="18"/>
          <w:szCs w:val="18"/>
          <w:u w:val="single" w:color="auto"/>
          <w:color w:val="auto"/>
        </w:rPr>
      </w:pPr>
      <w:hyperlink w:anchor="page80">
        <w:r>
          <w:rPr>
            <w:rFonts w:ascii="Arial" w:cs="Arial" w:eastAsia="Arial" w:hAnsi="Arial"/>
            <w:sz w:val="18"/>
            <w:szCs w:val="18"/>
            <w:u w:val="single" w:color="auto"/>
            <w:color w:val="auto"/>
          </w:rPr>
          <w:t>10</w:t>
        </w:r>
      </w:hyperlink>
    </w:p>
    <w:p>
      <w:pPr>
        <w:spacing w:after="0" w:line="50" w:lineRule="exact"/>
        <w:rPr>
          <w:sz w:val="20"/>
          <w:szCs w:val="20"/>
          <w:color w:val="auto"/>
        </w:rPr>
      </w:pPr>
    </w:p>
    <w:p>
      <w:pPr>
        <w:ind w:left="180"/>
        <w:spacing w:after="0"/>
        <w:rPr>
          <w:rFonts w:ascii="Arial" w:cs="Arial" w:eastAsia="Arial" w:hAnsi="Arial"/>
          <w:sz w:val="18"/>
          <w:szCs w:val="18"/>
          <w:u w:val="single" w:color="auto"/>
          <w:color w:val="auto"/>
        </w:rPr>
      </w:pPr>
      <w:hyperlink w:anchor="page80">
        <w:r>
          <w:rPr>
            <w:rFonts w:ascii="Arial" w:cs="Arial" w:eastAsia="Arial" w:hAnsi="Arial"/>
            <w:sz w:val="18"/>
            <w:szCs w:val="18"/>
            <w:u w:val="single" w:color="auto"/>
            <w:color w:val="auto"/>
          </w:rPr>
          <w:t>11</w:t>
        </w:r>
      </w:hyperlink>
    </w:p>
    <w:p>
      <w:pPr>
        <w:spacing w:after="0" w:line="50" w:lineRule="exact"/>
        <w:rPr>
          <w:sz w:val="20"/>
          <w:szCs w:val="20"/>
          <w:color w:val="auto"/>
        </w:rPr>
      </w:pPr>
    </w:p>
    <w:p>
      <w:pPr>
        <w:ind w:left="180"/>
        <w:spacing w:after="0"/>
        <w:rPr>
          <w:rFonts w:ascii="Arial" w:cs="Arial" w:eastAsia="Arial" w:hAnsi="Arial"/>
          <w:sz w:val="18"/>
          <w:szCs w:val="18"/>
          <w:u w:val="single" w:color="auto"/>
          <w:color w:val="auto"/>
        </w:rPr>
      </w:pPr>
      <w:hyperlink w:anchor="page80">
        <w:r>
          <w:rPr>
            <w:rFonts w:ascii="Arial" w:cs="Arial" w:eastAsia="Arial" w:hAnsi="Arial"/>
            <w:sz w:val="18"/>
            <w:szCs w:val="18"/>
            <w:u w:val="single" w:color="auto"/>
            <w:color w:val="auto"/>
          </w:rPr>
          <w:t>11</w:t>
        </w:r>
      </w:hyperlink>
    </w:p>
    <w:p>
      <w:pPr>
        <w:spacing w:after="0" w:line="50" w:lineRule="exact"/>
        <w:rPr>
          <w:sz w:val="20"/>
          <w:szCs w:val="20"/>
          <w:color w:val="auto"/>
        </w:rPr>
      </w:pPr>
    </w:p>
    <w:p>
      <w:pPr>
        <w:ind w:left="180"/>
        <w:spacing w:after="0"/>
        <w:rPr>
          <w:rFonts w:ascii="Arial" w:cs="Arial" w:eastAsia="Arial" w:hAnsi="Arial"/>
          <w:sz w:val="18"/>
          <w:szCs w:val="18"/>
          <w:u w:val="single" w:color="auto"/>
          <w:color w:val="auto"/>
        </w:rPr>
      </w:pPr>
      <w:hyperlink w:anchor="page80">
        <w:r>
          <w:rPr>
            <w:rFonts w:ascii="Arial" w:cs="Arial" w:eastAsia="Arial" w:hAnsi="Arial"/>
            <w:sz w:val="18"/>
            <w:szCs w:val="18"/>
            <w:u w:val="single" w:color="auto"/>
            <w:color w:val="auto"/>
          </w:rPr>
          <w:t>11</w:t>
        </w:r>
      </w:hyperlink>
    </w:p>
    <w:p>
      <w:pPr>
        <w:spacing w:after="0" w:line="50" w:lineRule="exact"/>
        <w:rPr>
          <w:sz w:val="20"/>
          <w:szCs w:val="20"/>
          <w:color w:val="auto"/>
        </w:rPr>
      </w:pPr>
    </w:p>
    <w:p>
      <w:pPr>
        <w:ind w:left="180"/>
        <w:spacing w:after="0"/>
        <w:rPr>
          <w:rFonts w:ascii="Arial" w:cs="Arial" w:eastAsia="Arial" w:hAnsi="Arial"/>
          <w:sz w:val="18"/>
          <w:szCs w:val="18"/>
          <w:u w:val="single" w:color="auto"/>
          <w:color w:val="auto"/>
        </w:rPr>
      </w:pPr>
      <w:hyperlink w:anchor="page80">
        <w:r>
          <w:rPr>
            <w:rFonts w:ascii="Arial" w:cs="Arial" w:eastAsia="Arial" w:hAnsi="Arial"/>
            <w:sz w:val="18"/>
            <w:szCs w:val="18"/>
            <w:u w:val="single" w:color="auto"/>
            <w:color w:val="auto"/>
          </w:rPr>
          <w:t>12</w:t>
        </w:r>
      </w:hyperlink>
    </w:p>
    <w:p>
      <w:pPr>
        <w:spacing w:after="0" w:line="50" w:lineRule="exact"/>
        <w:rPr>
          <w:sz w:val="20"/>
          <w:szCs w:val="20"/>
          <w:color w:val="auto"/>
        </w:rPr>
      </w:pPr>
    </w:p>
    <w:p>
      <w:pPr>
        <w:ind w:left="180"/>
        <w:spacing w:after="0"/>
        <w:rPr>
          <w:rFonts w:ascii="Arial" w:cs="Arial" w:eastAsia="Arial" w:hAnsi="Arial"/>
          <w:sz w:val="18"/>
          <w:szCs w:val="18"/>
          <w:u w:val="single" w:color="auto"/>
          <w:color w:val="auto"/>
        </w:rPr>
      </w:pPr>
      <w:hyperlink w:anchor="page80">
        <w:r>
          <w:rPr>
            <w:rFonts w:ascii="Arial" w:cs="Arial" w:eastAsia="Arial" w:hAnsi="Arial"/>
            <w:sz w:val="18"/>
            <w:szCs w:val="18"/>
            <w:u w:val="single" w:color="auto"/>
            <w:color w:val="auto"/>
          </w:rPr>
          <w:t>12</w:t>
        </w:r>
      </w:hyperlink>
    </w:p>
    <w:p>
      <w:pPr>
        <w:spacing w:after="0" w:line="50" w:lineRule="exact"/>
        <w:rPr>
          <w:sz w:val="20"/>
          <w:szCs w:val="20"/>
          <w:color w:val="auto"/>
        </w:rPr>
      </w:pPr>
    </w:p>
    <w:p>
      <w:pPr>
        <w:ind w:left="180"/>
        <w:spacing w:after="0"/>
        <w:rPr>
          <w:rFonts w:ascii="Arial" w:cs="Arial" w:eastAsia="Arial" w:hAnsi="Arial"/>
          <w:sz w:val="18"/>
          <w:szCs w:val="18"/>
          <w:u w:val="single" w:color="auto"/>
          <w:color w:val="auto"/>
        </w:rPr>
      </w:pPr>
      <w:hyperlink w:anchor="page80">
        <w:r>
          <w:rPr>
            <w:rFonts w:ascii="Arial" w:cs="Arial" w:eastAsia="Arial" w:hAnsi="Arial"/>
            <w:sz w:val="18"/>
            <w:szCs w:val="18"/>
            <w:u w:val="single" w:color="auto"/>
            <w:color w:val="auto"/>
          </w:rPr>
          <w:t>12</w:t>
        </w:r>
      </w:hyperlink>
    </w:p>
    <w:p>
      <w:pPr>
        <w:spacing w:after="0" w:line="50" w:lineRule="exact"/>
        <w:rPr>
          <w:sz w:val="20"/>
          <w:szCs w:val="20"/>
          <w:color w:val="auto"/>
        </w:rPr>
      </w:pPr>
    </w:p>
    <w:p>
      <w:pPr>
        <w:ind w:left="180"/>
        <w:spacing w:after="0"/>
        <w:rPr>
          <w:rFonts w:ascii="Arial" w:cs="Arial" w:eastAsia="Arial" w:hAnsi="Arial"/>
          <w:sz w:val="18"/>
          <w:szCs w:val="18"/>
          <w:u w:val="single" w:color="auto"/>
          <w:color w:val="auto"/>
        </w:rPr>
      </w:pPr>
      <w:hyperlink w:anchor="page80">
        <w:r>
          <w:rPr>
            <w:rFonts w:ascii="Arial" w:cs="Arial" w:eastAsia="Arial" w:hAnsi="Arial"/>
            <w:sz w:val="18"/>
            <w:szCs w:val="18"/>
            <w:u w:val="single" w:color="auto"/>
            <w:color w:val="auto"/>
          </w:rPr>
          <w:t>17</w:t>
        </w:r>
      </w:hyperlink>
    </w:p>
    <w:p>
      <w:pPr>
        <w:spacing w:after="0" w:line="50" w:lineRule="exact"/>
        <w:rPr>
          <w:sz w:val="20"/>
          <w:szCs w:val="20"/>
          <w:color w:val="auto"/>
        </w:rPr>
      </w:pPr>
    </w:p>
    <w:p>
      <w:pPr>
        <w:ind w:left="180"/>
        <w:spacing w:after="0"/>
        <w:rPr>
          <w:rFonts w:ascii="Arial" w:cs="Arial" w:eastAsia="Arial" w:hAnsi="Arial"/>
          <w:sz w:val="18"/>
          <w:szCs w:val="18"/>
          <w:u w:val="single" w:color="auto"/>
          <w:color w:val="auto"/>
        </w:rPr>
      </w:pPr>
      <w:hyperlink w:anchor="page80">
        <w:r>
          <w:rPr>
            <w:rFonts w:ascii="Arial" w:cs="Arial" w:eastAsia="Arial" w:hAnsi="Arial"/>
            <w:sz w:val="18"/>
            <w:szCs w:val="18"/>
            <w:u w:val="single" w:color="auto"/>
            <w:color w:val="auto"/>
          </w:rPr>
          <w:t>17</w:t>
        </w:r>
      </w:hyperlink>
    </w:p>
    <w:p>
      <w:pPr>
        <w:spacing w:after="0" w:line="50" w:lineRule="exact"/>
        <w:rPr>
          <w:sz w:val="20"/>
          <w:szCs w:val="20"/>
          <w:color w:val="auto"/>
        </w:rPr>
      </w:pPr>
    </w:p>
    <w:p>
      <w:pPr>
        <w:ind w:left="180"/>
        <w:spacing w:after="0"/>
        <w:rPr>
          <w:rFonts w:ascii="Arial" w:cs="Arial" w:eastAsia="Arial" w:hAnsi="Arial"/>
          <w:sz w:val="18"/>
          <w:szCs w:val="18"/>
          <w:u w:val="single" w:color="auto"/>
          <w:color w:val="auto"/>
        </w:rPr>
      </w:pPr>
      <w:hyperlink w:anchor="page80">
        <w:r>
          <w:rPr>
            <w:rFonts w:ascii="Arial" w:cs="Arial" w:eastAsia="Arial" w:hAnsi="Arial"/>
            <w:sz w:val="18"/>
            <w:szCs w:val="18"/>
            <w:u w:val="single" w:color="auto"/>
            <w:color w:val="auto"/>
          </w:rPr>
          <w:t>17</w:t>
        </w:r>
      </w:hyperlink>
    </w:p>
    <w:p>
      <w:pPr>
        <w:spacing w:after="0" w:line="50" w:lineRule="exact"/>
        <w:rPr>
          <w:sz w:val="20"/>
          <w:szCs w:val="20"/>
          <w:color w:val="auto"/>
        </w:rPr>
      </w:pPr>
    </w:p>
    <w:p>
      <w:pPr>
        <w:ind w:left="180"/>
        <w:spacing w:after="0"/>
        <w:rPr>
          <w:rFonts w:ascii="Arial" w:cs="Arial" w:eastAsia="Arial" w:hAnsi="Arial"/>
          <w:sz w:val="18"/>
          <w:szCs w:val="18"/>
          <w:u w:val="single" w:color="auto"/>
          <w:color w:val="auto"/>
        </w:rPr>
      </w:pPr>
      <w:hyperlink w:anchor="page80">
        <w:r>
          <w:rPr>
            <w:rFonts w:ascii="Arial" w:cs="Arial" w:eastAsia="Arial" w:hAnsi="Arial"/>
            <w:sz w:val="18"/>
            <w:szCs w:val="18"/>
            <w:u w:val="single" w:color="auto"/>
            <w:color w:val="auto"/>
          </w:rPr>
          <w:t>17</w:t>
        </w:r>
      </w:hyperlink>
    </w:p>
    <w:p>
      <w:pPr>
        <w:spacing w:after="0" w:line="50" w:lineRule="exact"/>
        <w:rPr>
          <w:sz w:val="20"/>
          <w:szCs w:val="20"/>
          <w:color w:val="auto"/>
        </w:rPr>
      </w:pPr>
    </w:p>
    <w:p>
      <w:pPr>
        <w:ind w:left="180"/>
        <w:spacing w:after="0"/>
        <w:rPr>
          <w:rFonts w:ascii="Arial" w:cs="Arial" w:eastAsia="Arial" w:hAnsi="Arial"/>
          <w:sz w:val="18"/>
          <w:szCs w:val="18"/>
          <w:u w:val="single" w:color="auto"/>
          <w:color w:val="auto"/>
        </w:rPr>
      </w:pPr>
      <w:hyperlink w:anchor="page80">
        <w:r>
          <w:rPr>
            <w:rFonts w:ascii="Arial" w:cs="Arial" w:eastAsia="Arial" w:hAnsi="Arial"/>
            <w:sz w:val="18"/>
            <w:szCs w:val="18"/>
            <w:u w:val="single" w:color="auto"/>
            <w:color w:val="auto"/>
          </w:rPr>
          <w:t>17</w:t>
        </w:r>
      </w:hyperlink>
    </w:p>
    <w:p>
      <w:pPr>
        <w:spacing w:after="0" w:line="50" w:lineRule="exact"/>
        <w:rPr>
          <w:sz w:val="20"/>
          <w:szCs w:val="20"/>
          <w:color w:val="auto"/>
        </w:rPr>
      </w:pPr>
    </w:p>
    <w:p>
      <w:pPr>
        <w:ind w:left="180"/>
        <w:spacing w:after="0"/>
        <w:rPr>
          <w:rFonts w:ascii="Arial" w:cs="Arial" w:eastAsia="Arial" w:hAnsi="Arial"/>
          <w:sz w:val="18"/>
          <w:szCs w:val="18"/>
          <w:u w:val="single" w:color="auto"/>
          <w:color w:val="auto"/>
        </w:rPr>
      </w:pPr>
      <w:hyperlink w:anchor="page80">
        <w:r>
          <w:rPr>
            <w:rFonts w:ascii="Arial" w:cs="Arial" w:eastAsia="Arial" w:hAnsi="Arial"/>
            <w:sz w:val="18"/>
            <w:szCs w:val="18"/>
            <w:u w:val="single" w:color="auto"/>
            <w:color w:val="auto"/>
          </w:rPr>
          <w:t>18</w:t>
        </w:r>
      </w:hyperlink>
    </w:p>
    <w:p>
      <w:pPr>
        <w:spacing w:after="0" w:line="50" w:lineRule="exact"/>
        <w:rPr>
          <w:sz w:val="20"/>
          <w:szCs w:val="20"/>
          <w:color w:val="auto"/>
        </w:rPr>
      </w:pPr>
    </w:p>
    <w:p>
      <w:pPr>
        <w:ind w:left="180"/>
        <w:spacing w:after="0"/>
        <w:rPr>
          <w:rFonts w:ascii="Arial" w:cs="Arial" w:eastAsia="Arial" w:hAnsi="Arial"/>
          <w:sz w:val="18"/>
          <w:szCs w:val="18"/>
          <w:u w:val="single" w:color="auto"/>
          <w:color w:val="auto"/>
        </w:rPr>
      </w:pPr>
      <w:hyperlink w:anchor="page80">
        <w:r>
          <w:rPr>
            <w:rFonts w:ascii="Arial" w:cs="Arial" w:eastAsia="Arial" w:hAnsi="Arial"/>
            <w:sz w:val="18"/>
            <w:szCs w:val="18"/>
            <w:u w:val="single" w:color="auto"/>
            <w:color w:val="auto"/>
          </w:rPr>
          <w:t>18</w:t>
        </w:r>
      </w:hyperlink>
    </w:p>
    <w:p>
      <w:pPr>
        <w:sectPr>
          <w:pgSz w:w="11900" w:h="16838" w:orient="portrait"/>
          <w:cols w:equalWidth="0" w:num="2">
            <w:col w:w="9580" w:space="720"/>
            <w:col w:w="940"/>
          </w:cols>
          <w:pgMar w:left="320" w:top="118" w:right="339" w:bottom="1440" w:gutter="0" w:footer="0" w:header="0"/>
        </w:sectPr>
      </w:pPr>
    </w:p>
    <w:bookmarkStart w:id="80" w:name="page81"/>
    <w:bookmarkEnd w:id="80"/>
    <w:p>
      <w:pPr>
        <w:spacing w:after="0" w:line="302" w:lineRule="exact"/>
        <w:rPr>
          <w:sz w:val="20"/>
          <w:szCs w:val="20"/>
          <w:color w:val="auto"/>
        </w:rPr>
      </w:pPr>
    </w:p>
    <w:p>
      <w:pPr>
        <w:ind w:left="4120" w:hanging="658"/>
        <w:spacing w:after="0"/>
        <w:tabs>
          <w:tab w:leader="none" w:pos="41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FIFTEENTH SUPPLEMENTAL INDENTURE</w:t>
      </w:r>
    </w:p>
    <w:p>
      <w:pPr>
        <w:spacing w:after="0" w:line="2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This FIFTEENTH [?] SUPPLEMENTAL INDENTURE, dated as of the 14th day of June, 2021, made and entered into by and between SUPERIOR WATER, LIGHT AND POWER COMPANY, a corporation of the State of Wisconsin, whose address is 2915 Hill Avenue, Superior, Wisconsin 54880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and U.S. BANK NATIONAL ASSOCIATION (successor to Chemical Bank, as Corporate Trustee, and Peter Morse, as Co-Trustee), a national banking association, whose principal trust office at the date hereof is in Milwaukee, Wisconsin (the </w:t>
      </w:r>
      <w:r>
        <w:rPr>
          <w:rFonts w:ascii="Arial" w:cs="Arial" w:eastAsia="Arial" w:hAnsi="Arial"/>
          <w:sz w:val="16"/>
          <w:szCs w:val="16"/>
          <w:i w:val="1"/>
          <w:iCs w:val="1"/>
          <w:color w:val="auto"/>
        </w:rPr>
        <w:t>“Trustee”</w:t>
      </w:r>
      <w:r>
        <w:rPr>
          <w:rFonts w:ascii="Arial" w:cs="Arial" w:eastAsia="Arial" w:hAnsi="Arial"/>
          <w:sz w:val="16"/>
          <w:szCs w:val="16"/>
          <w:color w:val="auto"/>
        </w:rPr>
        <w:t xml:space="preserve">), as Trustee under the Mortgage and Deed of Trust dated as of March 1, 1943 (hereinafter called the </w:t>
      </w:r>
      <w:r>
        <w:rPr>
          <w:rFonts w:ascii="Arial" w:cs="Arial" w:eastAsia="Arial" w:hAnsi="Arial"/>
          <w:sz w:val="16"/>
          <w:szCs w:val="16"/>
          <w:i w:val="1"/>
          <w:iCs w:val="1"/>
          <w:color w:val="auto"/>
        </w:rPr>
        <w:t>“Mortgage”</w:t>
      </w:r>
      <w:r>
        <w:rPr>
          <w:rFonts w:ascii="Arial" w:cs="Arial" w:eastAsia="Arial" w:hAnsi="Arial"/>
          <w:sz w:val="16"/>
          <w:szCs w:val="16"/>
          <w:color w:val="auto"/>
        </w:rPr>
        <w:t xml:space="preserve">), which Mortgage was executed and delivered by the Company to secure the payment of bonds issued or to be issued under and in accordance with the provisions of the Mortgage, reference to which Mortgage is hereby made, this Fifteenth Supplemental Indenture (the </w:t>
      </w:r>
      <w:r>
        <w:rPr>
          <w:rFonts w:ascii="Arial" w:cs="Arial" w:eastAsia="Arial" w:hAnsi="Arial"/>
          <w:sz w:val="16"/>
          <w:szCs w:val="16"/>
          <w:i w:val="1"/>
          <w:iCs w:val="1"/>
          <w:color w:val="auto"/>
        </w:rPr>
        <w:t>“Fifteenth Supplemental Indenture”</w:t>
      </w:r>
      <w:r>
        <w:rPr>
          <w:rFonts w:ascii="Arial" w:cs="Arial" w:eastAsia="Arial" w:hAnsi="Arial"/>
          <w:sz w:val="16"/>
          <w:szCs w:val="16"/>
          <w:color w:val="auto"/>
        </w:rPr>
        <w:t>) being supplemental thereto;</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said Mortgage was recorded in the office of the Register of Deeds in and for Douglas County, Wisconsin, on May 3, 1943, in Volume 191 of Mortgages at page 1, Document No. 362844; and</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an instrument dated as of September 15, 1949, was executed by the Company appointing Russell H. Sherman as Co-Trustee in succession to said Howard B. Smith, resigned, under said Mortgage, and by Russell H. Sherman accepting the appointment as Co-Trustee under said Mortgage in succession to the said Howard B. Smith, which instrument was recorded in the office of the Register of Deeds in and for Douglas County, Wisconsin, on October 8, 1949, in Volume 196 of Mortgages at page 510, Document No. 398649; and</w:t>
      </w:r>
    </w:p>
    <w:p>
      <w:pPr>
        <w:spacing w:after="0" w:line="22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WHEREAS, by the Mortgage, the Company covenanted that it would execute and deliver such supplemental indenture or indentures and such further instruments and do such further acts as might be necessary or proper to carry out more effectively the purposes of the Mortgage and to make subject to the lien of the Mortgage any property acquired after the date of the execution of the Mortgage and intended to be subject to the lien thereof; and</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the Company executed and delivered its First Supplemental Indenture, dated as of March 1, 1951 (hereinafter called its </w:t>
      </w:r>
      <w:r>
        <w:rPr>
          <w:rFonts w:ascii="Arial" w:cs="Arial" w:eastAsia="Arial" w:hAnsi="Arial"/>
          <w:sz w:val="18"/>
          <w:szCs w:val="18"/>
          <w:i w:val="1"/>
          <w:iCs w:val="1"/>
          <w:color w:val="auto"/>
        </w:rPr>
        <w:t>“First</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Supplemental Indenture”</w:t>
      </w:r>
      <w:r>
        <w:rPr>
          <w:rFonts w:ascii="Arial" w:cs="Arial" w:eastAsia="Arial" w:hAnsi="Arial"/>
          <w:sz w:val="18"/>
          <w:szCs w:val="18"/>
          <w:color w:val="auto"/>
        </w:rPr>
        <w:t>), which was recorded in the office of the Register of Deeds in and for Douglas County, Wisconsin, on March 30, 1951, in Volume</w:t>
      </w:r>
      <w:r>
        <w:rPr>
          <w:rFonts w:ascii="Arial" w:cs="Arial" w:eastAsia="Arial" w:hAnsi="Arial"/>
          <w:sz w:val="18"/>
          <w:szCs w:val="18"/>
          <w:i w:val="1"/>
          <w:iCs w:val="1"/>
          <w:color w:val="auto"/>
        </w:rPr>
        <w:t xml:space="preserve"> </w:t>
      </w:r>
      <w:r>
        <w:rPr>
          <w:rFonts w:ascii="Arial" w:cs="Arial" w:eastAsia="Arial" w:hAnsi="Arial"/>
          <w:sz w:val="18"/>
          <w:szCs w:val="18"/>
          <w:color w:val="auto"/>
        </w:rPr>
        <w:t>205 of Mortgages at page 73, Document No. 405297; and</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an instrument dated as of May 16, 1961, was executed by the Company appointing Richard G. Pintard as Co-Trustee in succession to said Russell H. Sherman, resigned, under said Mortgage and by Richard G. Pintard accepting the appointment as Co-Trustee under said Mortgage in succession to said Russell H. Sherman, which instrument was recorded in the office of the Register of Deeds in and for Douglas County, Wisconsin, on May 31, 1961, in Volume 256 of Mortgages at page 423, Document No. 453857; and</w:t>
      </w:r>
    </w:p>
    <w:p>
      <w:pPr>
        <w:spacing w:after="0" w:line="22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the Company executed and delivered its Second Supplemental Indenture, dated as of March 1, 1962 (hereinafter called its </w:t>
      </w:r>
      <w:r>
        <w:rPr>
          <w:rFonts w:ascii="Arial" w:cs="Arial" w:eastAsia="Arial" w:hAnsi="Arial"/>
          <w:sz w:val="18"/>
          <w:szCs w:val="18"/>
          <w:i w:val="1"/>
          <w:iCs w:val="1"/>
          <w:color w:val="auto"/>
        </w:rPr>
        <w:t>“Second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Supplemental Indenture”</w:t>
      </w:r>
      <w:r>
        <w:rPr>
          <w:rFonts w:ascii="Arial" w:cs="Arial" w:eastAsia="Arial" w:hAnsi="Arial"/>
          <w:sz w:val="18"/>
          <w:szCs w:val="18"/>
          <w:color w:val="auto"/>
        </w:rPr>
        <w:t>), which was recorded in the office of the Register of Deeds in and for Douglas County, Wisconsin, on March 26, 1962, in Volume</w:t>
      </w:r>
      <w:r>
        <w:rPr>
          <w:rFonts w:ascii="Arial" w:cs="Arial" w:eastAsia="Arial" w:hAnsi="Arial"/>
          <w:sz w:val="18"/>
          <w:szCs w:val="18"/>
          <w:i w:val="1"/>
          <w:iCs w:val="1"/>
          <w:color w:val="auto"/>
        </w:rPr>
        <w:t xml:space="preserve"> </w:t>
      </w:r>
      <w:r>
        <w:rPr>
          <w:rFonts w:ascii="Arial" w:cs="Arial" w:eastAsia="Arial" w:hAnsi="Arial"/>
          <w:sz w:val="18"/>
          <w:szCs w:val="18"/>
          <w:color w:val="auto"/>
        </w:rPr>
        <w:t>261 of Mortgages at page 81, Document No. 457662; and</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an instrument dated as of June 23, 1976, was executed by the Company appointing Steven F. Lasher as Co-Trustee in succession to said Richard G. Pintard, resigned, under said Mortgage and by Steven F. Lasher accepting the appointment as Co-Trustee under said Mortgage in succession to said Richard G. Pintard, which instrument was recorded in the office of the Register of Deeds in and for Douglas County, Wisconsin, on July 16, 1976, in Volume 353 of Records at page 274, Document No. 532495; and</w:t>
      </w:r>
    </w:p>
    <w:p>
      <w:pPr>
        <w:spacing w:after="0" w:line="2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WHEREAS, the Company executed and delivered its Third Supplemental Indenture, dated as of July 1, 1976 (hereinafter called its </w:t>
      </w:r>
      <w:r>
        <w:rPr>
          <w:rFonts w:ascii="Arial" w:cs="Arial" w:eastAsia="Arial" w:hAnsi="Arial"/>
          <w:sz w:val="18"/>
          <w:szCs w:val="18"/>
          <w:i w:val="1"/>
          <w:iCs w:val="1"/>
          <w:color w:val="auto"/>
        </w:rPr>
        <w:t>“Third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Supplemental Indenture”</w:t>
      </w:r>
      <w:r>
        <w:rPr>
          <w:rFonts w:ascii="Arial" w:cs="Arial" w:eastAsia="Arial" w:hAnsi="Arial"/>
          <w:sz w:val="18"/>
          <w:szCs w:val="18"/>
          <w:color w:val="auto"/>
        </w:rPr>
        <w:t>), which was recorded in the office of the Register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81" w:name="page82"/>
    <w:bookmarkEnd w:id="81"/>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Deeds in and for Douglas County, Wisconsin, on October 1, 1976, in Volume 355 of Records at page 683, Document No. 534332; and</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an instrument dated as of December 30, 1977, was executed by the Company appointing C. G. Martens as Co-Trustee in succession, to said Steven F. Lasher, resigned, under said Mortgage and by C. G. Martens accepting the appointment as Co-Trustee under said Mortgage in succession to said Steven F. Lasher, which instrument was recorded in the office of the Register of Deeds in and for Douglas County, Wisconsin, on February 13, 1985, in Volume 436 of Records at page 264, Document No. 589308; and</w:t>
      </w:r>
    </w:p>
    <w:p>
      <w:pPr>
        <w:spacing w:after="0" w:line="22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the Company executed and delivered its Fourth Supplemental Indenture, dated as of March 1, 1985 (hereinafter called its </w:t>
      </w:r>
      <w:r>
        <w:rPr>
          <w:rFonts w:ascii="Arial" w:cs="Arial" w:eastAsia="Arial" w:hAnsi="Arial"/>
          <w:sz w:val="18"/>
          <w:szCs w:val="18"/>
          <w:i w:val="1"/>
          <w:iCs w:val="1"/>
          <w:color w:val="auto"/>
        </w:rPr>
        <w:t>“Fourth</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Supplemental Indenture”</w:t>
      </w:r>
      <w:r>
        <w:rPr>
          <w:rFonts w:ascii="Arial" w:cs="Arial" w:eastAsia="Arial" w:hAnsi="Arial"/>
          <w:sz w:val="18"/>
          <w:szCs w:val="18"/>
          <w:color w:val="auto"/>
        </w:rPr>
        <w:t>), which was recorded in the office of the Register of Deeds in and for Douglas County, Wisconsin, on March 19, 1985, in Volume</w:t>
      </w:r>
      <w:r>
        <w:rPr>
          <w:rFonts w:ascii="Arial" w:cs="Arial" w:eastAsia="Arial" w:hAnsi="Arial"/>
          <w:sz w:val="18"/>
          <w:szCs w:val="18"/>
          <w:i w:val="1"/>
          <w:iCs w:val="1"/>
          <w:color w:val="auto"/>
        </w:rPr>
        <w:t xml:space="preserve"> </w:t>
      </w:r>
      <w:r>
        <w:rPr>
          <w:rFonts w:ascii="Arial" w:cs="Arial" w:eastAsia="Arial" w:hAnsi="Arial"/>
          <w:sz w:val="18"/>
          <w:szCs w:val="18"/>
          <w:color w:val="auto"/>
        </w:rPr>
        <w:t>436 of Records at page 910, Document No. 589776; and</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an instrument dated as of October 26, 1992, was executed by the Company appointing Peter Morse as Co-Trustee in succession to said C. G. Martens, resigned, under said Mortgage and by Peter Morse accepting the appointment as Co-Trustee under said Mortgage in succession to said C. G. Martens, which instrument was recorded in the office of the Register of Deeds in and for Douglas County, Wisconsin, on November 13, 1992, in Volume 539 of Records at page 9, Document No. 649056; and</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the Company executed and delivered its Fifth Supplemental Indenture, dated as of December 1, 1992, (hereinafter called its </w:t>
      </w:r>
      <w:r>
        <w:rPr>
          <w:rFonts w:ascii="Arial" w:cs="Arial" w:eastAsia="Arial" w:hAnsi="Arial"/>
          <w:sz w:val="18"/>
          <w:szCs w:val="18"/>
          <w:i w:val="1"/>
          <w:iCs w:val="1"/>
          <w:color w:val="auto"/>
        </w:rPr>
        <w:t>“Fifth</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Supplemental Indenture”</w:t>
      </w:r>
      <w:r>
        <w:rPr>
          <w:rFonts w:ascii="Arial" w:cs="Arial" w:eastAsia="Arial" w:hAnsi="Arial"/>
          <w:sz w:val="18"/>
          <w:szCs w:val="18"/>
          <w:color w:val="auto"/>
        </w:rPr>
        <w:t>), which was recorded in the office of the Register of Deeds in and for Douglas County, Wisconsin, on December 28, 1992, in</w:t>
      </w:r>
      <w:r>
        <w:rPr>
          <w:rFonts w:ascii="Arial" w:cs="Arial" w:eastAsia="Arial" w:hAnsi="Arial"/>
          <w:sz w:val="18"/>
          <w:szCs w:val="18"/>
          <w:i w:val="1"/>
          <w:iCs w:val="1"/>
          <w:color w:val="auto"/>
        </w:rPr>
        <w:t xml:space="preserve"> </w:t>
      </w:r>
      <w:r>
        <w:rPr>
          <w:rFonts w:ascii="Arial" w:cs="Arial" w:eastAsia="Arial" w:hAnsi="Arial"/>
          <w:sz w:val="18"/>
          <w:szCs w:val="18"/>
          <w:color w:val="auto"/>
        </w:rPr>
        <w:t>Volume 541 of Records at page 229, Document No. 650104; and</w:t>
      </w:r>
    </w:p>
    <w:p>
      <w:pPr>
        <w:spacing w:after="0" w:line="2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the Company executed and delivered its Sixth Supplemental Indenture, dated as of March 24, 1994 (hereinafter called its </w:t>
      </w:r>
      <w:r>
        <w:rPr>
          <w:rFonts w:ascii="Arial" w:cs="Arial" w:eastAsia="Arial" w:hAnsi="Arial"/>
          <w:sz w:val="18"/>
          <w:szCs w:val="18"/>
          <w:i w:val="1"/>
          <w:iCs w:val="1"/>
          <w:color w:val="auto"/>
        </w:rPr>
        <w:t>“Sixth</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Supplemental Indenture”</w:t>
      </w:r>
      <w:r>
        <w:rPr>
          <w:rFonts w:ascii="Arial" w:cs="Arial" w:eastAsia="Arial" w:hAnsi="Arial"/>
          <w:sz w:val="18"/>
          <w:szCs w:val="18"/>
          <w:color w:val="auto"/>
        </w:rPr>
        <w:t>), which was recorded in the office of the Register of Deeds in and for Douglas County, Wisconsin, on March 29, 1994, in Volume</w:t>
      </w:r>
      <w:r>
        <w:rPr>
          <w:rFonts w:ascii="Arial" w:cs="Arial" w:eastAsia="Arial" w:hAnsi="Arial"/>
          <w:sz w:val="18"/>
          <w:szCs w:val="18"/>
          <w:i w:val="1"/>
          <w:iCs w:val="1"/>
          <w:color w:val="auto"/>
        </w:rPr>
        <w:t xml:space="preserve"> </w:t>
      </w:r>
      <w:r>
        <w:rPr>
          <w:rFonts w:ascii="Arial" w:cs="Arial" w:eastAsia="Arial" w:hAnsi="Arial"/>
          <w:sz w:val="18"/>
          <w:szCs w:val="18"/>
          <w:color w:val="auto"/>
        </w:rPr>
        <w:t>568 of Records at page 757, Document No. 662228; and</w:t>
      </w:r>
    </w:p>
    <w:p>
      <w:pPr>
        <w:spacing w:after="0" w:line="2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the Company executed and delivered its Seventh Supplemental Indenture, dated as of November 1, 1994 (hereinafter called its </w:t>
      </w:r>
      <w:r>
        <w:rPr>
          <w:rFonts w:ascii="Arial" w:cs="Arial" w:eastAsia="Arial" w:hAnsi="Arial"/>
          <w:sz w:val="18"/>
          <w:szCs w:val="18"/>
          <w:i w:val="1"/>
          <w:iCs w:val="1"/>
          <w:color w:val="auto"/>
        </w:rPr>
        <w:t>“Seventh Supplemental Indenture”</w:t>
      </w:r>
      <w:r>
        <w:rPr>
          <w:rFonts w:ascii="Arial" w:cs="Arial" w:eastAsia="Arial" w:hAnsi="Arial"/>
          <w:sz w:val="18"/>
          <w:szCs w:val="18"/>
          <w:color w:val="auto"/>
        </w:rPr>
        <w:t>), which was recorded in the office of the Register of Deeds in and for Douglas County, Wisconsin, on January 18, 1995,</w:t>
      </w:r>
      <w:r>
        <w:rPr>
          <w:rFonts w:ascii="Arial" w:cs="Arial" w:eastAsia="Arial" w:hAnsi="Arial"/>
          <w:sz w:val="18"/>
          <w:szCs w:val="18"/>
          <w:i w:val="1"/>
          <w:iCs w:val="1"/>
          <w:color w:val="auto"/>
        </w:rPr>
        <w:t xml:space="preserve"> </w:t>
      </w:r>
      <w:r>
        <w:rPr>
          <w:rFonts w:ascii="Arial" w:cs="Arial" w:eastAsia="Arial" w:hAnsi="Arial"/>
          <w:sz w:val="18"/>
          <w:szCs w:val="18"/>
          <w:color w:val="auto"/>
        </w:rPr>
        <w:t>in Volume 583 of Records at page 242, Document No. 669350; and</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an instrument dated as of January 20, 1995, was executed by The Prudential Insurance Company pursuant to Section 102 of the Mortgage appointing First Bank (N.A.) as Trustee in succession to Chemical Bank as Corporate Trustee and Peter Morse as Co-Trustee under said Mortgage and by First Bank (N.A.) (U.S. Bank National Association, successor) accepting the appointment as Trustee under such Mortgage in succession to said Chemical Bank and said Peter Morse, which instrument was recorded in the Office of the Register of Deeds in and for Douglas County, Wisconsin on April 6, 1995 in Volume 585 of Records at page 953, Document No. 670717; and</w:t>
      </w:r>
    </w:p>
    <w:p>
      <w:pPr>
        <w:spacing w:after="0" w:line="22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the Company executed and delivered its Eighth Supplemental Indenture, dated as of January 1, 1997 (hereinafter called its </w:t>
      </w:r>
      <w:r>
        <w:rPr>
          <w:rFonts w:ascii="Arial" w:cs="Arial" w:eastAsia="Arial" w:hAnsi="Arial"/>
          <w:sz w:val="18"/>
          <w:szCs w:val="18"/>
          <w:i w:val="1"/>
          <w:iCs w:val="1"/>
          <w:color w:val="auto"/>
        </w:rPr>
        <w:t>“Eighth</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Supplemental Indenture”</w:t>
      </w:r>
      <w:r>
        <w:rPr>
          <w:rFonts w:ascii="Arial" w:cs="Arial" w:eastAsia="Arial" w:hAnsi="Arial"/>
          <w:sz w:val="18"/>
          <w:szCs w:val="18"/>
          <w:color w:val="auto"/>
        </w:rPr>
        <w:t>), which was recorded in the office of the Register of Deeds in and for Douglas County, Wisconsin, on January 7, 1997, in Volume</w:t>
      </w:r>
      <w:r>
        <w:rPr>
          <w:rFonts w:ascii="Arial" w:cs="Arial" w:eastAsia="Arial" w:hAnsi="Arial"/>
          <w:sz w:val="18"/>
          <w:szCs w:val="18"/>
          <w:i w:val="1"/>
          <w:iCs w:val="1"/>
          <w:color w:val="auto"/>
        </w:rPr>
        <w:t xml:space="preserve"> </w:t>
      </w:r>
      <w:r>
        <w:rPr>
          <w:rFonts w:ascii="Arial" w:cs="Arial" w:eastAsia="Arial" w:hAnsi="Arial"/>
          <w:sz w:val="18"/>
          <w:szCs w:val="18"/>
          <w:color w:val="auto"/>
        </w:rPr>
        <w:t>617 of Records at page 536, Document No. 685699; and</w:t>
      </w:r>
    </w:p>
    <w:p>
      <w:pPr>
        <w:spacing w:after="0" w:line="2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the Company executed and delivered its Ninth Supplemental Indenture, dated as of October 1, 2007 (hereinafter called its </w:t>
      </w:r>
      <w:r>
        <w:rPr>
          <w:rFonts w:ascii="Arial" w:cs="Arial" w:eastAsia="Arial" w:hAnsi="Arial"/>
          <w:sz w:val="18"/>
          <w:szCs w:val="18"/>
          <w:i w:val="1"/>
          <w:iCs w:val="1"/>
          <w:color w:val="auto"/>
        </w:rPr>
        <w:t>“Ninth</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Supplemental Indenture”</w:t>
      </w:r>
      <w:r>
        <w:rPr>
          <w:rFonts w:ascii="Arial" w:cs="Arial" w:eastAsia="Arial" w:hAnsi="Arial"/>
          <w:sz w:val="18"/>
          <w:szCs w:val="18"/>
          <w:color w:val="auto"/>
        </w:rPr>
        <w:t>), which was recorded in the office of the Register of Deeds in and for Douglas County, Wisconsin, on September 27, 2007, as</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No. 810920;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82" w:name="page83"/>
    <w:bookmarkEnd w:id="82"/>
    <w:p>
      <w:pPr>
        <w:spacing w:after="0" w:line="2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the Company executed and delivered its Tenth Supplemental Indenture, dated as of October 1, 2007 (hereinafter called its </w:t>
      </w:r>
      <w:r>
        <w:rPr>
          <w:rFonts w:ascii="Arial" w:cs="Arial" w:eastAsia="Arial" w:hAnsi="Arial"/>
          <w:sz w:val="18"/>
          <w:szCs w:val="18"/>
          <w:i w:val="1"/>
          <w:iCs w:val="1"/>
          <w:color w:val="auto"/>
        </w:rPr>
        <w:t>“Tenth</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Supplemental Indenture”</w:t>
      </w:r>
      <w:r>
        <w:rPr>
          <w:rFonts w:ascii="Arial" w:cs="Arial" w:eastAsia="Arial" w:hAnsi="Arial"/>
          <w:sz w:val="18"/>
          <w:szCs w:val="18"/>
          <w:color w:val="auto"/>
        </w:rPr>
        <w:t>), which was recorded in the office of the Register of Deeds in and for Douglas County, Wisconsin, on September 27, 2007, as</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No. 810921; and;</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the Company executed and delivered its Eleventh Supplemental Indenture, dated as of December 1, 2008 (hereinafter called its </w:t>
      </w:r>
      <w:r>
        <w:rPr>
          <w:rFonts w:ascii="Arial" w:cs="Arial" w:eastAsia="Arial" w:hAnsi="Arial"/>
          <w:sz w:val="18"/>
          <w:szCs w:val="18"/>
          <w:i w:val="1"/>
          <w:iCs w:val="1"/>
          <w:color w:val="auto"/>
        </w:rPr>
        <w:t>“Eleventh Supplemental Indenture”</w:t>
      </w:r>
      <w:r>
        <w:rPr>
          <w:rFonts w:ascii="Arial" w:cs="Arial" w:eastAsia="Arial" w:hAnsi="Arial"/>
          <w:sz w:val="18"/>
          <w:szCs w:val="18"/>
          <w:color w:val="auto"/>
        </w:rPr>
        <w:t>), which was recorded in the office of the Register of Deeds in and for Douglas County, Wisconsin, on December 12,</w:t>
      </w:r>
      <w:r>
        <w:rPr>
          <w:rFonts w:ascii="Arial" w:cs="Arial" w:eastAsia="Arial" w:hAnsi="Arial"/>
          <w:sz w:val="18"/>
          <w:szCs w:val="18"/>
          <w:i w:val="1"/>
          <w:iCs w:val="1"/>
          <w:color w:val="auto"/>
        </w:rPr>
        <w:t xml:space="preserve"> </w:t>
      </w:r>
      <w:r>
        <w:rPr>
          <w:rFonts w:ascii="Arial" w:cs="Arial" w:eastAsia="Arial" w:hAnsi="Arial"/>
          <w:sz w:val="18"/>
          <w:szCs w:val="18"/>
          <w:color w:val="auto"/>
        </w:rPr>
        <w:t>2008, as Document No. 821566; and</w:t>
      </w:r>
    </w:p>
    <w:p>
      <w:pPr>
        <w:spacing w:after="0" w:line="2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the Company executed and delivered its Twelfth Supplemental Indenture, dated as of December 2, 2013 (hereinafter called its </w:t>
      </w:r>
      <w:r>
        <w:rPr>
          <w:rFonts w:ascii="Arial" w:cs="Arial" w:eastAsia="Arial" w:hAnsi="Arial"/>
          <w:sz w:val="18"/>
          <w:szCs w:val="18"/>
          <w:i w:val="1"/>
          <w:iCs w:val="1"/>
          <w:color w:val="auto"/>
        </w:rPr>
        <w:t>“Twelfth Supplemental Indenture”</w:t>
      </w:r>
      <w:r>
        <w:rPr>
          <w:rFonts w:ascii="Arial" w:cs="Arial" w:eastAsia="Arial" w:hAnsi="Arial"/>
          <w:sz w:val="18"/>
          <w:szCs w:val="18"/>
          <w:color w:val="auto"/>
        </w:rPr>
        <w:t>), which was recorded in the office of the Register of Deeds in and for Douglas County, Wisconsin, on December 5,</w:t>
      </w:r>
      <w:r>
        <w:rPr>
          <w:rFonts w:ascii="Arial" w:cs="Arial" w:eastAsia="Arial" w:hAnsi="Arial"/>
          <w:sz w:val="18"/>
          <w:szCs w:val="18"/>
          <w:i w:val="1"/>
          <w:iCs w:val="1"/>
          <w:color w:val="auto"/>
        </w:rPr>
        <w:t xml:space="preserve"> </w:t>
      </w:r>
      <w:r>
        <w:rPr>
          <w:rFonts w:ascii="Arial" w:cs="Arial" w:eastAsia="Arial" w:hAnsi="Arial"/>
          <w:sz w:val="18"/>
          <w:szCs w:val="18"/>
          <w:color w:val="auto"/>
        </w:rPr>
        <w:t>2013, as Document No. 863990; and</w:t>
      </w:r>
    </w:p>
    <w:p>
      <w:pPr>
        <w:spacing w:after="0" w:line="2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the Company executed and delivered its Thirteenth Supplemental Indenture, dated as of May 21, 2018 (hereinafter called its </w:t>
      </w:r>
      <w:r>
        <w:rPr>
          <w:rFonts w:ascii="Arial" w:cs="Arial" w:eastAsia="Arial" w:hAnsi="Arial"/>
          <w:sz w:val="18"/>
          <w:szCs w:val="18"/>
          <w:i w:val="1"/>
          <w:iCs w:val="1"/>
          <w:color w:val="auto"/>
        </w:rPr>
        <w:t>“Thirteenth Supplemental Indenture”</w:t>
      </w:r>
      <w:r>
        <w:rPr>
          <w:rFonts w:ascii="Arial" w:cs="Arial" w:eastAsia="Arial" w:hAnsi="Arial"/>
          <w:sz w:val="18"/>
          <w:szCs w:val="18"/>
          <w:color w:val="auto"/>
        </w:rPr>
        <w:t>), which was recorded in the office of the Register of Deeds in and for Douglas County, Wisconsin, on May 22, 2018,</w:t>
      </w:r>
      <w:r>
        <w:rPr>
          <w:rFonts w:ascii="Arial" w:cs="Arial" w:eastAsia="Arial" w:hAnsi="Arial"/>
          <w:sz w:val="18"/>
          <w:szCs w:val="18"/>
          <w:i w:val="1"/>
          <w:iCs w:val="1"/>
          <w:color w:val="auto"/>
        </w:rPr>
        <w:t xml:space="preserve"> </w:t>
      </w:r>
      <w:r>
        <w:rPr>
          <w:rFonts w:ascii="Arial" w:cs="Arial" w:eastAsia="Arial" w:hAnsi="Arial"/>
          <w:sz w:val="18"/>
          <w:szCs w:val="18"/>
          <w:color w:val="auto"/>
        </w:rPr>
        <w:t>as Document No. 896257;</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WHEREAS, the Company executed and delivered its Fourteenth Supplemental Indenture, dated as of June 14, 2021 (hereinafter called its </w:t>
      </w:r>
      <w:r>
        <w:rPr>
          <w:rFonts w:ascii="Arial" w:cs="Arial" w:eastAsia="Arial" w:hAnsi="Arial"/>
          <w:sz w:val="18"/>
          <w:szCs w:val="18"/>
          <w:i w:val="1"/>
          <w:iCs w:val="1"/>
          <w:color w:val="auto"/>
        </w:rPr>
        <w:t>“Fourteenth Supplemental Indenture”</w:t>
      </w:r>
      <w:r>
        <w:rPr>
          <w:rFonts w:ascii="Arial" w:cs="Arial" w:eastAsia="Arial" w:hAnsi="Arial"/>
          <w:sz w:val="18"/>
          <w:szCs w:val="18"/>
          <w:color w:val="auto"/>
        </w:rPr>
        <w:t>), which will be recorded contemporaneously with this instrument;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in addition to the property described in the Mortgage, as heretofore supplemented, the Company has acquired certain other property, rights and interests in property; and</w:t>
      </w:r>
    </w:p>
    <w:p>
      <w:pPr>
        <w:spacing w:after="0" w:line="21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WHEREAS, the Company has heretofore issued, in accordance with the provisions of the Mortgage, bonds of a series entitled and designated First Mortgage Bonds, 3 3/8% Series due 1973 (the </w:t>
      </w:r>
      <w:r>
        <w:rPr>
          <w:rFonts w:ascii="Arial" w:cs="Arial" w:eastAsia="Arial" w:hAnsi="Arial"/>
          <w:sz w:val="16"/>
          <w:szCs w:val="16"/>
          <w:i w:val="1"/>
          <w:iCs w:val="1"/>
          <w:color w:val="auto"/>
        </w:rPr>
        <w:t>“Bonds of the First Series”</w:t>
      </w:r>
      <w:r>
        <w:rPr>
          <w:rFonts w:ascii="Arial" w:cs="Arial" w:eastAsia="Arial" w:hAnsi="Arial"/>
          <w:sz w:val="16"/>
          <w:szCs w:val="16"/>
          <w:color w:val="auto"/>
        </w:rPr>
        <w:t xml:space="preserve">), in the aggregate principal amount of Two Million Five Hundred Thousand Dollars ($2,500,000), none of which Bonds of the First Series are now Outstanding; bonds of a series entitled and designated First Mortgage Bonds, 3 1/10% Series due 1981 (the </w:t>
      </w:r>
      <w:r>
        <w:rPr>
          <w:rFonts w:ascii="Arial" w:cs="Arial" w:eastAsia="Arial" w:hAnsi="Arial"/>
          <w:sz w:val="16"/>
          <w:szCs w:val="16"/>
          <w:i w:val="1"/>
          <w:iCs w:val="1"/>
          <w:color w:val="auto"/>
        </w:rPr>
        <w:t>“Bonds of the Second Series”</w:t>
      </w:r>
      <w:r>
        <w:rPr>
          <w:rFonts w:ascii="Arial" w:cs="Arial" w:eastAsia="Arial" w:hAnsi="Arial"/>
          <w:sz w:val="16"/>
          <w:szCs w:val="16"/>
          <w:color w:val="auto"/>
        </w:rPr>
        <w:t xml:space="preserve">), in the aggregate principal amount of Five Million Dollars ($5,000,000), none of which Bonds of the Second Series are now outstanding; bonds of a series entitled and designated First Mortgage Bonds, 5% Series due 1992 (the </w:t>
      </w:r>
      <w:r>
        <w:rPr>
          <w:rFonts w:ascii="Arial" w:cs="Arial" w:eastAsia="Arial" w:hAnsi="Arial"/>
          <w:sz w:val="16"/>
          <w:szCs w:val="16"/>
          <w:i w:val="1"/>
          <w:iCs w:val="1"/>
          <w:color w:val="auto"/>
        </w:rPr>
        <w:t>“Bonds of the Third</w:t>
      </w:r>
      <w:r>
        <w:rPr>
          <w:rFonts w:ascii="Arial" w:cs="Arial" w:eastAsia="Arial" w:hAnsi="Arial"/>
          <w:sz w:val="16"/>
          <w:szCs w:val="16"/>
          <w:color w:val="auto"/>
        </w:rPr>
        <w:t xml:space="preserve"> </w:t>
      </w:r>
      <w:r>
        <w:rPr>
          <w:rFonts w:ascii="Arial" w:cs="Arial" w:eastAsia="Arial" w:hAnsi="Arial"/>
          <w:sz w:val="16"/>
          <w:szCs w:val="16"/>
          <w:i w:val="1"/>
          <w:iCs w:val="1"/>
          <w:color w:val="auto"/>
        </w:rPr>
        <w:t>Series”</w:t>
      </w:r>
      <w:r>
        <w:rPr>
          <w:rFonts w:ascii="Arial" w:cs="Arial" w:eastAsia="Arial" w:hAnsi="Arial"/>
          <w:sz w:val="16"/>
          <w:szCs w:val="16"/>
          <w:color w:val="auto"/>
        </w:rPr>
        <w:t>), in the aggregate principal amount of Two Million Seven Hundred Thousand Dollars ($2,700,000), none of which Bonds of the Third Series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now outstanding; bonds of a series entitled and designated First Mortgage Bonds, 9 5/8% Series due 2001 (the </w:t>
      </w:r>
      <w:r>
        <w:rPr>
          <w:rFonts w:ascii="Arial" w:cs="Arial" w:eastAsia="Arial" w:hAnsi="Arial"/>
          <w:sz w:val="16"/>
          <w:szCs w:val="16"/>
          <w:i w:val="1"/>
          <w:iCs w:val="1"/>
          <w:color w:val="auto"/>
        </w:rPr>
        <w:t>“Bonds of the Fourth Series”</w:t>
      </w:r>
      <w:r>
        <w:rPr>
          <w:rFonts w:ascii="Arial" w:cs="Arial" w:eastAsia="Arial" w:hAnsi="Arial"/>
          <w:sz w:val="16"/>
          <w:szCs w:val="16"/>
          <w:color w:val="auto"/>
        </w:rPr>
        <w:t xml:space="preserve">), the interest rate for which bonds was modified to 6.10% by the Sixth Supplemental Indenture, in the aggregate principal amount of Three Million Dollars ($3,000,000), none of which bonds of the Fourth Series are now outstanding; bonds of a series entitled and designated First Mortgage Bonds, 12 1/2% Series due 1992 (the </w:t>
      </w:r>
      <w:r>
        <w:rPr>
          <w:rFonts w:ascii="Arial" w:cs="Arial" w:eastAsia="Arial" w:hAnsi="Arial"/>
          <w:sz w:val="16"/>
          <w:szCs w:val="16"/>
          <w:i w:val="1"/>
          <w:iCs w:val="1"/>
          <w:color w:val="auto"/>
        </w:rPr>
        <w:t>“Bonds of the Fifth Series”</w:t>
      </w:r>
      <w:r>
        <w:rPr>
          <w:rFonts w:ascii="Arial" w:cs="Arial" w:eastAsia="Arial" w:hAnsi="Arial"/>
          <w:sz w:val="16"/>
          <w:szCs w:val="16"/>
          <w:color w:val="auto"/>
        </w:rPr>
        <w:t xml:space="preserve">), in the aggregate principal amount of Three Million Five Hundred Thousand Dollars ($3,500,000), none of which Bonds of the Fifth Series are now outstanding; Bonds of a series entitled and designated First Mortgage Bonds, 7.91% Series due 2013 (the </w:t>
      </w:r>
      <w:r>
        <w:rPr>
          <w:rFonts w:ascii="Arial" w:cs="Arial" w:eastAsia="Arial" w:hAnsi="Arial"/>
          <w:sz w:val="16"/>
          <w:szCs w:val="16"/>
          <w:i w:val="1"/>
          <w:iCs w:val="1"/>
          <w:color w:val="auto"/>
        </w:rPr>
        <w:t>“Bonds of the Sixth</w:t>
      </w:r>
      <w:r>
        <w:rPr>
          <w:rFonts w:ascii="Arial" w:cs="Arial" w:eastAsia="Arial" w:hAnsi="Arial"/>
          <w:sz w:val="16"/>
          <w:szCs w:val="16"/>
          <w:color w:val="auto"/>
        </w:rPr>
        <w:t xml:space="preserve"> </w:t>
      </w:r>
      <w:r>
        <w:rPr>
          <w:rFonts w:ascii="Arial" w:cs="Arial" w:eastAsia="Arial" w:hAnsi="Arial"/>
          <w:sz w:val="16"/>
          <w:szCs w:val="16"/>
          <w:i w:val="1"/>
          <w:iCs w:val="1"/>
          <w:color w:val="auto"/>
        </w:rPr>
        <w:t>Series”</w:t>
      </w:r>
      <w:r>
        <w:rPr>
          <w:rFonts w:ascii="Arial" w:cs="Arial" w:eastAsia="Arial" w:hAnsi="Arial"/>
          <w:sz w:val="16"/>
          <w:szCs w:val="16"/>
          <w:color w:val="auto"/>
        </w:rPr>
        <w:t>), in the aggregate principal amount of Five Million Dollars ($5,000,000), none of which Bonds of the Sixth Series is now outstanding; Bonds of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series entitled and designated First Mortgage Bonds, 7.27% Series due December 15, 2008 (the </w:t>
      </w:r>
      <w:r>
        <w:rPr>
          <w:rFonts w:ascii="Arial" w:cs="Arial" w:eastAsia="Arial" w:hAnsi="Arial"/>
          <w:sz w:val="16"/>
          <w:szCs w:val="16"/>
          <w:i w:val="1"/>
          <w:iCs w:val="1"/>
          <w:color w:val="auto"/>
        </w:rPr>
        <w:t>“Bonds of the Seventh Series”</w:t>
      </w:r>
      <w:r>
        <w:rPr>
          <w:rFonts w:ascii="Arial" w:cs="Arial" w:eastAsia="Arial" w:hAnsi="Arial"/>
          <w:sz w:val="16"/>
          <w:szCs w:val="16"/>
          <w:color w:val="auto"/>
        </w:rPr>
        <w:t xml:space="preserve">), in the aggregate principal amount of Six Million Dollars ($6,000,000), none of which Bonds of the Seventh Series remains outstanding; Bonds of a series entitled and designated First Mortgage Bonds, 5.375% Series due 2021 (the </w:t>
      </w:r>
      <w:r>
        <w:rPr>
          <w:rFonts w:ascii="Arial" w:cs="Arial" w:eastAsia="Arial" w:hAnsi="Arial"/>
          <w:sz w:val="16"/>
          <w:szCs w:val="16"/>
          <w:i w:val="1"/>
          <w:iCs w:val="1"/>
          <w:color w:val="auto"/>
        </w:rPr>
        <w:t>“Bonds of the Eighth Series”</w:t>
      </w:r>
      <w:r>
        <w:rPr>
          <w:rFonts w:ascii="Arial" w:cs="Arial" w:eastAsia="Arial" w:hAnsi="Arial"/>
          <w:sz w:val="16"/>
          <w:szCs w:val="16"/>
          <w:color w:val="auto"/>
        </w:rPr>
        <w:t xml:space="preserve">), in the aggregate principal amount of Six Million Three Hundred Seventy Thousand Dollars ($6,370,000), the full amount of which remains outstanding; Bonds of a series entitled and designated First Mortgage Bonds, 5.75% Series due November 1, 2037 (the </w:t>
      </w:r>
      <w:r>
        <w:rPr>
          <w:rFonts w:ascii="Arial" w:cs="Arial" w:eastAsia="Arial" w:hAnsi="Arial"/>
          <w:sz w:val="16"/>
          <w:szCs w:val="16"/>
          <w:i w:val="1"/>
          <w:iCs w:val="1"/>
          <w:color w:val="auto"/>
        </w:rPr>
        <w:t>“Bonds of the Ninth Series”</w:t>
      </w:r>
      <w:r>
        <w:rPr>
          <w:rFonts w:ascii="Arial" w:cs="Arial" w:eastAsia="Arial" w:hAnsi="Arial"/>
          <w:sz w:val="16"/>
          <w:szCs w:val="16"/>
          <w:color w:val="auto"/>
        </w:rPr>
        <w:t xml:space="preserve">), in the aggregate principal amount of Six Million One Hundred Thirty Thousand Dollars ($6,130,000), the full amount of which remains outstanding; Bonds of a series entitled and designated First Mortgage Bonds, 7.25% Series due December 15, 2013 (the </w:t>
      </w:r>
      <w:r>
        <w:rPr>
          <w:rFonts w:ascii="Arial" w:cs="Arial" w:eastAsia="Arial" w:hAnsi="Arial"/>
          <w:sz w:val="16"/>
          <w:szCs w:val="16"/>
          <w:i w:val="1"/>
          <w:iCs w:val="1"/>
          <w:color w:val="auto"/>
        </w:rPr>
        <w:t>“Bonds of the Tenth Series”</w:t>
      </w:r>
      <w:r>
        <w:rPr>
          <w:rFonts w:ascii="Arial" w:cs="Arial" w:eastAsia="Arial" w:hAnsi="Arial"/>
          <w:sz w:val="16"/>
          <w:szCs w:val="16"/>
          <w:color w:val="auto"/>
        </w:rPr>
        <w:t xml:space="preserve">), in the aggregate principal amount of Ten Million Dollars ($10,000,000), none of which Bonds of the Tenth Series are now outstanding; and Bonds of a series entitled and designated First Mortgage Bonds, 4.15% Series due December 15, 2028 (the </w:t>
      </w:r>
      <w:r>
        <w:rPr>
          <w:rFonts w:ascii="Arial" w:cs="Arial" w:eastAsia="Arial" w:hAnsi="Arial"/>
          <w:sz w:val="16"/>
          <w:szCs w:val="16"/>
          <w:i w:val="1"/>
          <w:iCs w:val="1"/>
          <w:color w:val="auto"/>
        </w:rPr>
        <w:t>“Bonds</w:t>
      </w:r>
      <w:r>
        <w:rPr>
          <w:rFonts w:ascii="Arial" w:cs="Arial" w:eastAsia="Arial" w:hAnsi="Arial"/>
          <w:sz w:val="16"/>
          <w:szCs w:val="16"/>
          <w:color w:val="auto"/>
        </w:rPr>
        <w:t xml:space="preserve"> </w:t>
      </w:r>
      <w:r>
        <w:rPr>
          <w:rFonts w:ascii="Arial" w:cs="Arial" w:eastAsia="Arial" w:hAnsi="Arial"/>
          <w:sz w:val="16"/>
          <w:szCs w:val="16"/>
          <w:i w:val="1"/>
          <w:iCs w:val="1"/>
          <w:color w:val="auto"/>
        </w:rPr>
        <w:t>of the Eleventh Series”</w:t>
      </w:r>
      <w:r>
        <w:rPr>
          <w:rFonts w:ascii="Arial" w:cs="Arial" w:eastAsia="Arial" w:hAnsi="Arial"/>
          <w:sz w:val="16"/>
          <w:szCs w:val="16"/>
          <w:color w:val="auto"/>
        </w:rPr>
        <w:t>), in the aggregate principal amount of Fifteen Million Dollars ($15,000,000), the full amount of which remains outstanding; bonds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a series entitled and designated First Mortgage Bonds, 4.14% Series due May 29, 2048 (the </w:t>
      </w:r>
      <w:r>
        <w:rPr>
          <w:rFonts w:ascii="Arial" w:cs="Arial" w:eastAsia="Arial" w:hAnsi="Arial"/>
          <w:sz w:val="16"/>
          <w:szCs w:val="16"/>
          <w:i w:val="1"/>
          <w:iCs w:val="1"/>
          <w:color w:val="auto"/>
        </w:rPr>
        <w:t>“Bonds of the Twelfth Series”</w:t>
      </w:r>
      <w:r>
        <w:rPr>
          <w:rFonts w:ascii="Arial" w:cs="Arial" w:eastAsia="Arial" w:hAnsi="Arial"/>
          <w:sz w:val="16"/>
          <w:szCs w:val="16"/>
          <w:color w:val="auto"/>
        </w:rPr>
        <w:t>), in the aggregate principal amount of Twelve Million Dollars ($12,000,000), the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83" w:name="page84"/>
    <w:bookmarkEnd w:id="83"/>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amount of which remains outstanding; and bonds of a series entitled and designated First Mortgage Bonds, 2.16% Series due July 17, 2031 (the </w:t>
      </w:r>
      <w:r>
        <w:rPr>
          <w:rFonts w:ascii="Arial" w:cs="Arial" w:eastAsia="Arial" w:hAnsi="Arial"/>
          <w:sz w:val="18"/>
          <w:szCs w:val="18"/>
          <w:i w:val="1"/>
          <w:iCs w:val="1"/>
          <w:color w:val="auto"/>
        </w:rPr>
        <w:t>“Bonds of</w:t>
      </w:r>
      <w:r>
        <w:rPr>
          <w:rFonts w:ascii="Arial" w:cs="Arial" w:eastAsia="Arial" w:hAnsi="Arial"/>
          <w:sz w:val="18"/>
          <w:szCs w:val="18"/>
          <w:color w:val="auto"/>
        </w:rPr>
        <w:t xml:space="preserve"> </w:t>
      </w:r>
      <w:r>
        <w:rPr>
          <w:rFonts w:ascii="Arial" w:cs="Arial" w:eastAsia="Arial" w:hAnsi="Arial"/>
          <w:sz w:val="18"/>
          <w:szCs w:val="18"/>
          <w:i w:val="1"/>
          <w:iCs w:val="1"/>
          <w:color w:val="auto"/>
        </w:rPr>
        <w:t>the Thirteenth Series”</w:t>
      </w:r>
      <w:r>
        <w:rPr>
          <w:rFonts w:ascii="Arial" w:cs="Arial" w:eastAsia="Arial" w:hAnsi="Arial"/>
          <w:sz w:val="18"/>
          <w:szCs w:val="18"/>
          <w:color w:val="auto"/>
        </w:rPr>
        <w:t>), in the aggregate principal amount of Eight Million, Seven Hundred Fifty Thousand Dollars ($8,750,000), the full amount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remains outstanding; and</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Section 8 of the Mortgage provides that the form of each series of bonds (other than Bonds of the First Series) issued thereunder shall be established by Resolution of the Board of Directors of the Company and that the 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and</w:t>
      </w:r>
    </w:p>
    <w:p>
      <w:pPr>
        <w:spacing w:after="0" w:line="2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Section 120 of the Mortgage provides, among other things, that the Company may enter into any further covenants, limitations or restrictions for the benefit of any one or more series of bonds issued thereunder, or the Company may establish the terms and provisions of any series of bonds other than said Bonds of the First Series, by an instrument in writing executed and acknowledged by the Company in such manner as would be necessary to entitle a conveyance of real estate to be of record in all of the states in which any property at the time subject to the lien of the Mortgage shall be situated; and</w:t>
      </w:r>
    </w:p>
    <w:p>
      <w:pPr>
        <w:spacing w:after="0" w:line="22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now desires to create a new series of bonds and to add to the covenants, limitations or restrictions contained in the Mortgage certain other covenants, limitations or restrictions to be observed by it and to amend the Mortgage; and</w:t>
      </w:r>
    </w:p>
    <w:p>
      <w:pPr>
        <w:spacing w:after="0" w:line="19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WHEREAS, the execution and delivery by the Company of this Fifteenth Supplemental Indenture, and the terms of the Bonds of the Fourteenth Series hereinafter referred to, have been duly authorized by the Board of Directors of the Company by appropriate resolutions of said Board of Directors;</w:t>
      </w:r>
    </w:p>
    <w:p>
      <w:pPr>
        <w:spacing w:after="0" w:line="16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NOW, THEREFORE, THIS INDENTURE WITNESSETH: That Superior Water, Light and Power Company, in consideration of the premises and of One Dollar ($1) to it duly paid by the Trustee at or before the ensealing and delivery of these presents, the receipt whereof is hereby acknowledged, and in further evidence of assurance of the estate, title and rights of the Trustee and in order further to secure the payment both of the principal of and interest and premium, if any, on the bonds from time to time issued under the Mortgage,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Encumbrances as defined in Section 6 of the Mortgage) unto U.S. Bank National Association, as Trustee under the Mortgage, and to its successor or successors in said trust, and to said Trustee and its successors and assigns forever, all and singular the permits, franchises, rights, privileges, grants and property, real, personal and mixed, now owned or which may be hereafter acquired by the Company (except any of the character herein or in the Mortgage expressly excepted), including (but not limited to) its electric light and power works, gas works, water works, buildings, structures, machinery, equipment, mains, pipes, lines, poles, wires, easements, rights of way, permits, franchises, rights, privileges, grants and all property of every kind and description, situated in the City of Superior, Douglas County, Wisconsin, or elsewhere in Douglas County, Wisconsin, in Washburn County, Wisconsin, or in any other place or places now owned by the Company, or that may be hereafter acquired by it, including, but not limited to, the following described properties of the Company--that is to say: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Lands and Rights and Interests in Lands of the Company (except any such property as may have been released from the lien of the Mortgage),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other property, real, personal and mixed, acquired by the Company after the date of the execution and delivery of the Mortgage (except any herein or in the Mortgage, as heretofore supplemented, expressly excepted), now owned or hereafter acquired by the Company and wheresoever situated, including (without in any wise limiting or impairing by the enumeration of the same the scope and intent of the foregoing or of any general description contained in this Fifteenth Supplemental Indenture) all lands, power sites, flowage rights, water rights, water franchises, water locations, water appropriations, ditches, flumes, reservoirs, reservoir sites, canals, raceways, dams,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84" w:name="page85"/>
    <w:bookmarkEnd w:id="84"/>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dam sites, aqueducts, and all other rights or means for appropriating, conveying, storing and supplying water; all rights of way and roads; all plants, works, reservoirs and tanks for the pumping and purification of water; all water works; all plants for the generation of electricity by water, steam and/or other power; all power houses, gas plants, street lighting systems, standards and other equipment incidental thereto, telephone, radio and television systems, air-conditioning systems and equipment incidental thereto, water systems, steam heat and hot water plants, substations, lines, service and supply systems, bridges, culverts, tracks, street and interurban railway systems, offices, buildings and other structures and the equipment thereof; all machinery, engines, boilers, dynamos, water, electric, gas and other machines, regulators, meters, transformers, generators, motors, water, electrical, gas and mechanical appliances, conduits, cables, water, steam, heat, gas or other mains and pipes, service pipes, fittings, valves and connections, pole and transmission lines, wires, cables, tools, implements, apparatus, furniture, chattels and choses in action; all municipal and other franchises, consents or permits; all lines for the transmission and distribution of water, electric current, gas, steam heat or hot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nature appertaining to and/or used and/or occupied and/or enjoyed in connection with any property hereinbefore or in the Mortgage, as heretofore supplemented, described.</w:t>
      </w:r>
    </w:p>
    <w:p>
      <w:pPr>
        <w:spacing w:after="0" w:line="20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Together with all and singular the tenements, hereditaments and appurtenances belonging or in any 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It is hereby agreed by the Company that all the property, rights and franchises acquired by the Company after the date hereof (except any herein or in the Mortgage, as heretofore supplemented, expressly excepted) shall be and are as fully granted and conveyed hereby and as fully embraced within the lien of the Mortgage as if such property, rights and franchises were now owned by the Company and were specifically described herein and conveyed hereby.</w:t>
      </w:r>
    </w:p>
    <w:p>
      <w:pPr>
        <w:spacing w:after="0" w:line="22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following are not and are not intended to be now or hereafter granted, bargained, sold, released, conveyed, assigned, transferred,</w:t>
      </w:r>
      <w:r>
        <w:rPr>
          <w:rFonts w:ascii="Arial" w:cs="Arial" w:eastAsia="Arial" w:hAnsi="Arial"/>
          <w:sz w:val="16"/>
          <w:szCs w:val="16"/>
          <w:i w:val="1"/>
          <w:iCs w:val="1"/>
          <w:color w:val="auto"/>
        </w:rPr>
        <w:t xml:space="preserve"> </w:t>
      </w:r>
      <w:r>
        <w:rPr>
          <w:rFonts w:ascii="Arial" w:cs="Arial" w:eastAsia="Arial" w:hAnsi="Arial"/>
          <w:sz w:val="16"/>
          <w:szCs w:val="16"/>
          <w:color w:val="auto"/>
        </w:rPr>
        <w:t>mortgaged, pledged, set over or confirmed hereunder and are hereby expressly excepted from the lien and operation of the Mortgage, viz: (1) cash, shares of stock, bonds, notes and other obligations and other securities not hereafter specifically pledged, paid, deposited, delivered or held under the Mortgage or covenanted so to be; (2) merchandise, equipment, materials or supplies held for the purpose of sale in the usual course of business and fuel, oil and similar materials and supplies consumable in the operation of any properties of the Company; rolling stock, buses, motor coaches, automobiles and other vehicles;</w:t>
      </w:r>
    </w:p>
    <w:p>
      <w:pPr>
        <w:spacing w:after="0" w:line="2" w:lineRule="exact"/>
        <w:rPr>
          <w:sz w:val="20"/>
          <w:szCs w:val="20"/>
          <w:color w:val="auto"/>
        </w:rPr>
      </w:pPr>
    </w:p>
    <w:p>
      <w:pPr>
        <w:jc w:val="both"/>
        <w:ind w:firstLine="8"/>
        <w:spacing w:after="0" w:line="281" w:lineRule="auto"/>
        <w:tabs>
          <w:tab w:leader="none" w:pos="258" w:val="left"/>
        </w:tabs>
        <w:numPr>
          <w:ilvl w:val="0"/>
          <w:numId w:val="30"/>
        </w:numPr>
        <w:rPr>
          <w:rFonts w:ascii="Arial" w:cs="Arial" w:eastAsia="Arial" w:hAnsi="Arial"/>
          <w:sz w:val="16"/>
          <w:szCs w:val="16"/>
          <w:color w:val="auto"/>
        </w:rPr>
      </w:pPr>
      <w:r>
        <w:rPr>
          <w:rFonts w:ascii="Arial" w:cs="Arial" w:eastAsia="Arial" w:hAnsi="Arial"/>
          <w:sz w:val="16"/>
          <w:szCs w:val="16"/>
          <w:color w:val="auto"/>
        </w:rPr>
        <w:t>bills, notes and accounts receivable, and all contracts, leases and operating agreements not specifically pledged under the Mortgage or covenanted so to be; the last day of the term of any lease or leasehold which may heretofore have or hereafter may become subject to the lien of the Mortgage; (4) water, electric energy, gas, ice and other materials or products pumped, stored, generated, manufactured, produced or purchased by the Company for sale, distribution or use in the ordinary course of its business; (5) the Company's franchise to be a corporation; and (6) all permits, franchises, rights, privileges, grants and property in the state of Minnesota now owned or hereafter acquired unless such permits, franchises, rights, privileges, grants and property in the state of Minnesota shall have been subjected to the lien of the Mortgage by an indenture or indentures supplemental to the Mortgage, pursuant to authorization of the Board of Directors of the Company, whereupon all the permits, franchises, rights, privileges, grants and property then owned or thereafter acquired by the Company in the state of Minnesota (except property of the character expressly excepted from the lien of the Mortgage in clauses</w:t>
      </w:r>
    </w:p>
    <w:p>
      <w:pPr>
        <w:spacing w:after="0" w:line="4" w:lineRule="exact"/>
        <w:rPr>
          <w:rFonts w:ascii="Arial" w:cs="Arial" w:eastAsia="Arial" w:hAnsi="Arial"/>
          <w:sz w:val="16"/>
          <w:szCs w:val="16"/>
          <w:color w:val="auto"/>
        </w:rPr>
      </w:pPr>
    </w:p>
    <w:p>
      <w:pPr>
        <w:jc w:val="both"/>
        <w:ind w:firstLine="8"/>
        <w:spacing w:after="0" w:line="255" w:lineRule="auto"/>
        <w:tabs>
          <w:tab w:leader="none" w:pos="2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to (5) above, inclusive), shall become and be subject to the lien of the Mortgage as part of the Mortgaged and Pledged Property and may be released, funded and otherwise dealt with on the same terms and subject to the same conditions and restrictions as though not theretofore excepted from the lien of the Mortgage;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property and rights expressly excepted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85" w:name="page86"/>
    <w:bookmarkEnd w:id="85"/>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lien and operation of the Mortgage in the above subdivisions (2) and (3) shall (to the extent permitted by law) cease to be so excepted in the event and as of the date that the Trustee or a receiver or trustee shall enter upon and take possession of the Mortgaged and Pledged Property in the manner provided in Article XIII of the Mortgage by reason of the occurrence of a Default as defined in Section 65 of the Mortgage.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have and to hold all such properties, real, personal and mixed, granted, bargained, sold, released, conveyed, assigned, transferred, mortgaged, pledged, set over or confirmed by the Company as aforesaid, or intended so to be, unto U.S. Bank National Association as Trustee, and its successors and assigns forever.</w:t>
      </w:r>
    </w:p>
    <w:p>
      <w:pPr>
        <w:spacing w:after="0" w:line="22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trust nevertheless, for the same purposes and upon the same terms, trusts and conditions and subject to and with the same provisos and covenants as are set forth in the Mortgage, as heretofore supplemented, this Fifteenth Supplemental Indenture being supplemental thereto.</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And it is hereby covenanted by the Company that all the terms, conditions, provisos, covenants and provisions contained in the Mortgage, as heretofore supplemented, shall affect and apply to the property hereinbefore described and conveyed and to the estate, rights, obligations and duties of the Company and the Trustee and the beneficiaries of the trust with respect to said property, and to the Trustee and its successors as Trustee of said property, in the same manner and with the same effect as if said property had been owned by the Company at the time of the execution of the Mortgage, and had been specifically and at length described in and conveyed to the Trustee by the Mortgage as part of the property therein stated to be conveyed.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further covenants and agrees to and with the Trustee and its successors in said trust under the Mortgage as follows: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BONDS OF THE FOURTEENTH SERIES</w:t>
      </w:r>
    </w:p>
    <w:p>
      <w:pPr>
        <w:spacing w:after="0" w:line="251"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6"/>
          <w:szCs w:val="16"/>
          <w:i w:val="1"/>
          <w:iCs w:val="1"/>
          <w:color w:val="auto"/>
        </w:rPr>
        <w:t xml:space="preserve">Section 1.1. </w:t>
      </w:r>
      <w:r>
        <w:rPr>
          <w:rFonts w:ascii="Arial" w:cs="Arial" w:eastAsia="Arial" w:hAnsi="Arial"/>
          <w:sz w:val="16"/>
          <w:szCs w:val="16"/>
          <w:color w:val="auto"/>
        </w:rPr>
        <w:t>There shall be a Fourteenth Series of bonds designated</w:t>
      </w:r>
      <w:r>
        <w:rPr>
          <w:rFonts w:ascii="Arial" w:cs="Arial" w:eastAsia="Arial" w:hAnsi="Arial"/>
          <w:sz w:val="16"/>
          <w:szCs w:val="16"/>
          <w:i w:val="1"/>
          <w:iCs w:val="1"/>
          <w:color w:val="auto"/>
        </w:rPr>
        <w:t xml:space="preserve"> “First Mortgage Bonds, 3.18% Series due July 17, 2051” </w:t>
      </w:r>
      <w:r>
        <w:rPr>
          <w:rFonts w:ascii="Arial" w:cs="Arial" w:eastAsia="Arial" w:hAnsi="Arial"/>
          <w:sz w:val="16"/>
          <w:szCs w:val="16"/>
          <w:color w:val="auto"/>
        </w:rPr>
        <w:t>(the</w:t>
      </w:r>
      <w:r>
        <w:rPr>
          <w:rFonts w:ascii="Arial" w:cs="Arial" w:eastAsia="Arial" w:hAnsi="Arial"/>
          <w:sz w:val="16"/>
          <w:szCs w:val="16"/>
          <w:i w:val="1"/>
          <w:iCs w:val="1"/>
          <w:color w:val="auto"/>
        </w:rPr>
        <w:t xml:space="preserve"> “Bonds of the Fourteenth Series”</w:t>
      </w:r>
      <w:r>
        <w:rPr>
          <w:rFonts w:ascii="Arial" w:cs="Arial" w:eastAsia="Arial" w:hAnsi="Arial"/>
          <w:sz w:val="16"/>
          <w:szCs w:val="16"/>
          <w:color w:val="auto"/>
        </w:rPr>
        <w:t>), which shall be limited to $8,750,000 aggregate principal amount, and shall be issued as fully registered bonds without coupons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denominations of $1,000 or any multiple thereof. The Bonds of the Fourteenth Series shall be dated on the date of issuance thereof, mature on the date determined as set forth on Schedule C hereto or upon earlier acceleration or redemption, and shall bear interest (computed on the basis of a 360day year of twelve 30 day months) on the unpaid principal balance thereof at the Applicable Interest Rate determined as set forth on Schedule C hereto (such rate being referred to herein as the </w:t>
      </w:r>
      <w:r>
        <w:rPr>
          <w:rFonts w:ascii="Arial" w:cs="Arial" w:eastAsia="Arial" w:hAnsi="Arial"/>
          <w:sz w:val="16"/>
          <w:szCs w:val="16"/>
          <w:i w:val="1"/>
          <w:iCs w:val="1"/>
          <w:color w:val="auto"/>
        </w:rPr>
        <w:t>“Applicable Interest Rate”</w:t>
      </w:r>
      <w:r>
        <w:rPr>
          <w:rFonts w:ascii="Arial" w:cs="Arial" w:eastAsia="Arial" w:hAnsi="Arial"/>
          <w:sz w:val="16"/>
          <w:szCs w:val="16"/>
          <w:color w:val="auto"/>
        </w:rPr>
        <w:t xml:space="preserve">) from the date of issuance, payable semi-annually, on the interest payment dates determined as set forth on Schedule C hereto (each such date being referred to herein as an </w:t>
      </w:r>
      <w:r>
        <w:rPr>
          <w:rFonts w:ascii="Arial" w:cs="Arial" w:eastAsia="Arial" w:hAnsi="Arial"/>
          <w:sz w:val="16"/>
          <w:szCs w:val="16"/>
          <w:i w:val="1"/>
          <w:iCs w:val="1"/>
          <w:color w:val="auto"/>
        </w:rPr>
        <w:t>“Interest Payment Date”</w:t>
      </w:r>
      <w:r>
        <w:rPr>
          <w:rFonts w:ascii="Arial" w:cs="Arial" w:eastAsia="Arial" w:hAnsi="Arial"/>
          <w:sz w:val="16"/>
          <w:szCs w:val="16"/>
          <w:color w:val="auto"/>
        </w:rPr>
        <w:t xml:space="preserve">), until such principal amount shall have become due and payable, and, to the extent permitted by applicable law, on any overdue payment of interest and, during the continuance of an Event of Default, on such unpaid balance and on any overdue payment of any Make-Whole Amount, at a rate per annum from time to time equal to the applicable Default Rate, payable semi-annually on each Interest Payment Date as aforesaid. The Maturity Date of the Bonds of the Fourteenth Series shall be determined as set forth in Schedule C hereto (such date being referred to herein as the </w:t>
      </w:r>
      <w:r>
        <w:rPr>
          <w:rFonts w:ascii="Arial" w:cs="Arial" w:eastAsia="Arial" w:hAnsi="Arial"/>
          <w:sz w:val="16"/>
          <w:szCs w:val="16"/>
          <w:i w:val="1"/>
          <w:iCs w:val="1"/>
          <w:color w:val="auto"/>
        </w:rPr>
        <w:t>“Maturity Date”</w:t>
      </w:r>
      <w:r>
        <w:rPr>
          <w:rFonts w:ascii="Arial" w:cs="Arial" w:eastAsia="Arial" w:hAnsi="Arial"/>
          <w:sz w:val="16"/>
          <w:szCs w:val="16"/>
          <w:color w:val="auto"/>
        </w:rPr>
        <w:t>). The Bonds of the Fourteenth Series shall be numbered R1 and upward and otherwise shall be substantially in the form attached hereto as Exhibit A. Except as hereinafter provided, the principal of, and the premium, if any, and the interest on each said bond to be payable at the office of the Company in Superior, Wisconsin or agency of the Company in the City of St. Paul, Minnesota, in such coin or currency of the United States of America as at the time of payment is legal tender for public and private debts.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Notwithstanding any provision to the contrary in the Mortgage or the Bonds of the Fourteenth Series, the first paragraph of Section 9 of the Bond Purchase Agreement shall govern the method of payment of principal, premium, if any, and interest on the Bonds of the Fourteenth Series to the holders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Trustee shall have no obligation to comply with the provisions of Section 9 of the Bond Purchase Agreement with respect to any transferee of the Purchaser or any other holder of the Bonds of the Fourteenth Series until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86" w:name="page87"/>
    <w:bookmarkEnd w:id="86"/>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transferee or holder shall have made the agreement described in Section 9 of the Bond Purchase Agreement. Subject to such proviso, the Trustee hereby consents to the method of payment described in Section 9 of the Bond Purchase Agreement. The Trustee shall not be liable or responsible to any holder of Bonds of the Fourteenth Series entitled to the benefits of Section 9 of the Bond Purchase Agreement or to any transferee thereof or to the Company for any act or omission to act on the part of the Company or any such holder of Bonds of the Fourteenth Series in connection with Section 9 of the Bond Purchase Agreement. The Company hereby indemnifies the Trustee against all liabilities, if any, resulting from acts or omissions on its part or on the part of the Company in connection with Section 9 of the Bond Purchase Agreement.</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Bonds of the Fourteenth Series shall be dated as of the date of authentication thereof by the Trustee (except that if any Bond of the Fourteenth Series shall be authenticated on an interest payment date for the Bonds of the Fourteenth Series to which interest has been paid, such Bond shall be dated as of the day following) and shall bear interest from the Interest Payment Date next preceding the date of such Bond to which interest has been paid;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with respect to the first Interest Payment Date, such Bond shall bear interest from the date of the original issue of the Bonds of the Fourteenth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Series;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if the Company shall at the time of the authentication of any Bond of the Fourteenth Series be in default in the payment of interest upon the Bonds of the Fourteenth Series, such Bond shall be dated as of, and shall bear interest from, the date of the beginning of the period for which such interest is so in default.</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Upon notice as provided in the following paragraph, the Bonds of the Fourteenth Series may be redeemed prior to maturity, in whole at any time or in part (in multiples of $500,000) from time to time, at the option of the Company, or by the application (either at the option of the Company or pursuant to the requirements of the Mortgage) of cash delivered to or deposited with the Trustee pursuant to the provisions of Section 39, Section 55, Section 61, Section 64 or Section 118 of the Mortgage or with the Proceeds of Released Property, in any such case at 100% of the principal amount of the Bonds being redeemed plus interest accrued thereon to the date of redemption, together with a premium equal to the Make-Whole Amount, if any, with respect to the Bonds of the Fourteenth Series being redeemed determined five Business Days prior to the date of such redemption.</w:t>
      </w:r>
    </w:p>
    <w:p>
      <w:pPr>
        <w:spacing w:after="0" w:line="21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Notice of any redemption of the Bonds of the Fourteenth Series shall be given by the Company by mail, postage prepaid, at least 30 but not more than 60 days prior to the date of redemption, to the registered owners of all Bonds of the Fourteenth Series to be so redeemed at their respective addresses appearing on the books maintained by the Company pursuant to Section 13 of the Mortgage. Any notice which is mailed as herein provided shall be conclusively presumed to have been properly and sufficiently given on the date of such mailing, whether or not the registered owner receives the notice. In any case, failure to give notice by mail, or any defect in such notice, to the registered owner of any Bond of the Fourteenth Series designated for redemption in whole or in part shall not affect the validity of the proceedings for the redemption of any other Bond of the Fourteenth Series. Two Business Days prior to the redemption date specified in such notice, the Company shall provide each registered owner of Bonds of the Fourteenth Series to be redeemed with written notice of the premium, if any, payable with respect thereto and a reasonably detailed computation of the Make-Whole Amount.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partial redemptions of Bonds of the Fourteenth Series shall be made ratably among all registered owners thereof in the proportion which the principal amount of the Bonds held by each registered owner bears to the aggregate principal amount of all Bonds of the Fourteenth Series then outstanding, computed to the nearest $1,000 principal amount of the Bonds of the Fourteenth Series.</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the event that the principal amount of the Bonds of the Fourteenth Series is declared due and payable upon the occurrence of a Default or becomes due and payable pursuant to Section 73 of the Mortgage, there shall then become due and payable, together with the principal amount of the Bonds of the Fourteenth Series and interest accrued thereon, a premium equal to the amount of the Make-Whole Amount which would have been payable with respect to such Bonds of the Fourteenth Series, if they had been redeemed at the option of the Company pursuant to Section 1.1 in this Fifteenth Supplemental Indenture on the date on which the Bonds of the Fourteenth Series became due and payable;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premium, if any, with respect to the Bonds of the Fourteenth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87" w:name="page88"/>
    <w:bookmarkEnd w:id="87"/>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shall become due and payable only if such Default is, or such sale is made following a Default, other than one specified in subsections (e) or (f) of Section 65 of the Mortgage.</w:t>
      </w:r>
    </w:p>
    <w:p>
      <w:pPr>
        <w:spacing w:after="0" w:line="1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Any Bonds of the Fourteenth Series shall be transferable by the registered owner thereof in person, or by its attorney duly authorized in writing, at the office or agency of the Company in the City of St. Paul, Minnesota, or the office of the Company in Superior, Wisconsin, upon surrender thereof for cancellation, together with a written instrument of transfer in form approved by the Company duly executed by such registered owner or by its duly authorized attorney. Upon any such transfer, a new Bond or Bonds of the Fourteenth Series for the same aggregate principal amount will be issued to the transferee in exchange therefor. Any Bond of the Fourteenth Series may, at the option of the registered owner thereof and upon surrender thereof for cancellation at such office or agency, be exchanged as prescribed in the Mortgage for another Bond or Bonds of the Fourteenth Series of other authorized denominations having the same aggregate principal amount. In the event any written instrument of transfer is required in connection with any transfer or exchange of any Bond of the Fourteenth Series, an instrument in the form attached hereto as Exhibit B is hereby approved by the Company for the purposes of Section 12 of the Mortgage.</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Notwithstanding any provision of Section 12 or Section 16 of the Mortgage, (a) no charge will be made by the Company for any transfer or exchange of any Bond of the Fourteenth Series or, in the case of any lost, destroyed or mutilated Bond, the issuance, authentication and delivery of a new Bond of the Fourteenth Series in substitution thereof, whether for any stamp tax or other governmental charge, if any, applicable thereto or otherwise, and the Company shall reimburse the Trustee for all expenses incurred in connection therewith and (b) in the event of any loss, destruction or mutilation of any Bond of the Fourteenth Series, and a request by the holder for issuance of a new Bond of the Fourteenth Series in substitution therefor, the holder's unsecured indemnity agreement shall be deemed to be satisfactory to the Company and the Trustee for purposes of Section 16 of the Mortgage.</w:t>
      </w:r>
    </w:p>
    <w:p>
      <w:pPr>
        <w:spacing w:after="0" w:line="20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Notwithstanding any provision of Section 15 of the Mortgage, Bonds of the Fourteenth Series shall be authenticated, issued and delivered only as definitive bonds. Bonds of the Fourteenth Series so authenticated, issued and delivered may be in the form of fully engraved bonds, bonds printed or lithographed on engraved borders, bonds printed or bonds typewritten.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AND RESTRICTIONS</w:t>
      </w:r>
    </w:p>
    <w:p>
      <w:pPr>
        <w:spacing w:after="0" w:line="238" w:lineRule="exact"/>
        <w:rPr>
          <w:sz w:val="20"/>
          <w:szCs w:val="20"/>
          <w:color w:val="auto"/>
        </w:rPr>
      </w:pPr>
    </w:p>
    <w:p>
      <w:pPr>
        <w:jc w:val="both"/>
        <w:ind w:firstLine="223"/>
        <w:spacing w:after="0" w:line="268" w:lineRule="auto"/>
        <w:rPr>
          <w:sz w:val="20"/>
          <w:szCs w:val="20"/>
          <w:color w:val="auto"/>
        </w:rPr>
      </w:pPr>
      <w:r>
        <w:rPr>
          <w:rFonts w:ascii="Arial" w:cs="Arial" w:eastAsia="Arial" w:hAnsi="Arial"/>
          <w:sz w:val="17"/>
          <w:szCs w:val="17"/>
          <w:i w:val="1"/>
          <w:iCs w:val="1"/>
          <w:color w:val="auto"/>
        </w:rPr>
        <w:t xml:space="preserve">Section 2.1. </w:t>
      </w:r>
      <w:r>
        <w:rPr>
          <w:rFonts w:ascii="Arial" w:cs="Arial" w:eastAsia="Arial" w:hAnsi="Arial"/>
          <w:sz w:val="17"/>
          <w:szCs w:val="17"/>
          <w:color w:val="auto"/>
        </w:rPr>
        <w:t>The Company covenants that, so long as any Bonds of the Fourteenth Series are outstanding, it will not merge or consolidate with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other Person or sell, lease or transfer or otherwise dispose (a </w:t>
      </w:r>
      <w:r>
        <w:rPr>
          <w:rFonts w:ascii="Arial" w:cs="Arial" w:eastAsia="Arial" w:hAnsi="Arial"/>
          <w:sz w:val="17"/>
          <w:szCs w:val="17"/>
          <w:i w:val="1"/>
          <w:iCs w:val="1"/>
          <w:color w:val="auto"/>
        </w:rPr>
        <w:t>“Disposition”</w:t>
      </w:r>
      <w:r>
        <w:rPr>
          <w:rFonts w:ascii="Arial" w:cs="Arial" w:eastAsia="Arial" w:hAnsi="Arial"/>
          <w:sz w:val="17"/>
          <w:szCs w:val="17"/>
          <w:color w:val="auto"/>
        </w:rPr>
        <w:t xml:space="preserve">) of all or a Substantial Part of its assets, or assets which shall have contributed a Substantial Part of net income of the Company for any of the three fiscal years then most recently ended, to any Person;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may merge or consolidate with, or sell or transfer all or substantially all of its assets to, Allete, but only if (a) in the event that Allete is the continuing or surviving corporation or the acquiring corporation, Allete shall be a solvent corporation and shall expressly assume in writing all of the obligations of the Company under the Mortgage, this Fifteenth Supplemental Indenture, the Bonds of the Fourteenth Series and the Bond Purchase Agreement, including all covenants therein and herein contained, and Allete shall succeed to and be substituted for the Company with the same effect as if it had been named herein as a party hereto, and (b) the Company as the continuing or surviving corporation or Allete as the continuing or surviving corporation or acquiring corporation, as the case may be, shall not, immediately after such merger or consolidation, or such sale or other disposition, be in default under any of such obligations. Notwithstanding the foregoing, the Company may make a Disposition and the assets subject to such Disposition shall not be included in the determination of Substantial Part to the extent that an amount equal to the net proceeds from such Disposition are, within 365 days of such Disposition (A) reinvested in assets of a similar nature of at least equivalent value to be used in the existing business of the Company, and/or (B) applied to the payment or prepayment of the Bonds of the Fourteenth Series. For purposes of the foregoing clause (B), the net proceeds from such Disposition shall be used to prepay (not less than 30 or more than 60 days following such offer) the Bonds of the Fourteenth Series at a price of 100% of the principal amount of the Bonds of the Fourteenth Series to be prepaid (without any Make-Whole Amount) together with interest accrued to the date of prepayment; provided that if any holder of the Bonds of the Fourteenth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88" w:name="page89"/>
    <w:bookmarkEnd w:id="88"/>
    <w:p>
      <w:pPr>
        <w:spacing w:after="0" w:line="2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declines such offer, the amount that would have been paid to such holder shall be offered pro rata to the other holders of the Bonds of the Fourteenth Series that have accepted the offer. A failure by a holder of Bonds of the Fourteenth Series to respond in writing not later than 10 Business Days prior to the proposed prepayment date to an offer to prepay made pursuant to this Section 2.1 shall be deemed to constitute a rejection of such offer by such holder.</w:t>
      </w:r>
    </w:p>
    <w:p>
      <w:pPr>
        <w:spacing w:after="0" w:line="176" w:lineRule="exact"/>
        <w:rPr>
          <w:sz w:val="20"/>
          <w:szCs w:val="20"/>
          <w:color w:val="auto"/>
        </w:rPr>
      </w:pPr>
    </w:p>
    <w:p>
      <w:pPr>
        <w:jc w:val="both"/>
        <w:ind w:firstLine="193"/>
        <w:spacing w:after="0" w:line="277" w:lineRule="auto"/>
        <w:rPr>
          <w:sz w:val="20"/>
          <w:szCs w:val="20"/>
          <w:color w:val="auto"/>
        </w:rPr>
      </w:pPr>
      <w:r>
        <w:rPr>
          <w:rFonts w:ascii="Arial" w:cs="Arial" w:eastAsia="Arial" w:hAnsi="Arial"/>
          <w:sz w:val="18"/>
          <w:szCs w:val="18"/>
          <w:i w:val="1"/>
          <w:iCs w:val="1"/>
          <w:color w:val="auto"/>
        </w:rPr>
        <w:t xml:space="preserve">Section 2.2. </w:t>
      </w:r>
      <w:r>
        <w:rPr>
          <w:rFonts w:ascii="Arial" w:cs="Arial" w:eastAsia="Arial" w:hAnsi="Arial"/>
          <w:sz w:val="18"/>
          <w:szCs w:val="18"/>
          <w:color w:val="auto"/>
        </w:rPr>
        <w:t>The Company covenants that, so long as any Bonds of the Fourteenth Series shall remain outstanding, the Company will not issue, sell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dispose of any of its shares of capital stock to any Person other than Allete.</w:t>
      </w:r>
    </w:p>
    <w:p>
      <w:pPr>
        <w:spacing w:after="0" w:line="211" w:lineRule="exact"/>
        <w:rPr>
          <w:sz w:val="20"/>
          <w:szCs w:val="20"/>
          <w:color w:val="auto"/>
        </w:rPr>
      </w:pPr>
    </w:p>
    <w:p>
      <w:pPr>
        <w:jc w:val="both"/>
        <w:ind w:right="20" w:firstLine="193"/>
        <w:spacing w:after="0" w:line="277" w:lineRule="auto"/>
        <w:rPr>
          <w:sz w:val="20"/>
          <w:szCs w:val="20"/>
          <w:color w:val="auto"/>
        </w:rPr>
      </w:pPr>
      <w:r>
        <w:rPr>
          <w:rFonts w:ascii="Arial" w:cs="Arial" w:eastAsia="Arial" w:hAnsi="Arial"/>
          <w:sz w:val="18"/>
          <w:szCs w:val="18"/>
          <w:i w:val="1"/>
          <w:iCs w:val="1"/>
          <w:color w:val="auto"/>
        </w:rPr>
        <w:t xml:space="preserve">Section 2.3. </w:t>
      </w:r>
      <w:r>
        <w:rPr>
          <w:rFonts w:ascii="Arial" w:cs="Arial" w:eastAsia="Arial" w:hAnsi="Arial"/>
          <w:sz w:val="18"/>
          <w:szCs w:val="18"/>
          <w:color w:val="auto"/>
        </w:rPr>
        <w:t>The Company covenants that, so long as the Company is subject to any covenant in any other debt instrument prohibiting it from owning</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Company shall not have any Subsidiaries.</w:t>
      </w:r>
    </w:p>
    <w:p>
      <w:pPr>
        <w:spacing w:after="0" w:line="211" w:lineRule="exact"/>
        <w:rPr>
          <w:sz w:val="20"/>
          <w:szCs w:val="20"/>
          <w:color w:val="auto"/>
        </w:rPr>
      </w:pPr>
    </w:p>
    <w:p>
      <w:pPr>
        <w:jc w:val="both"/>
        <w:ind w:firstLine="212"/>
        <w:spacing w:after="0" w:line="277" w:lineRule="auto"/>
        <w:rPr>
          <w:sz w:val="20"/>
          <w:szCs w:val="20"/>
          <w:color w:val="auto"/>
        </w:rPr>
      </w:pPr>
      <w:r>
        <w:rPr>
          <w:rFonts w:ascii="Arial" w:cs="Arial" w:eastAsia="Arial" w:hAnsi="Arial"/>
          <w:sz w:val="18"/>
          <w:szCs w:val="18"/>
          <w:i w:val="1"/>
          <w:iCs w:val="1"/>
          <w:color w:val="auto"/>
        </w:rPr>
        <w:t xml:space="preserve">Section 2.4. </w:t>
      </w:r>
      <w:r>
        <w:rPr>
          <w:rFonts w:ascii="Arial" w:cs="Arial" w:eastAsia="Arial" w:hAnsi="Arial"/>
          <w:sz w:val="18"/>
          <w:szCs w:val="18"/>
          <w:color w:val="auto"/>
        </w:rPr>
        <w:t>The Company will not at any time permit any Subsidiary to, directly or indirectly, create, incur, assume, guarantee, have outstanding,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become or remain directly or indirectly liable with respect to, any Debt other than:</w:t>
      </w:r>
    </w:p>
    <w:p>
      <w:pPr>
        <w:spacing w:after="0" w:line="197" w:lineRule="exact"/>
        <w:rPr>
          <w:sz w:val="20"/>
          <w:szCs w:val="20"/>
          <w:color w:val="auto"/>
        </w:rPr>
      </w:pPr>
    </w:p>
    <w:p>
      <w:pPr>
        <w:ind w:left="1220" w:hanging="384"/>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Debt of a Subsidiary owed to the Company;</w:t>
      </w:r>
    </w:p>
    <w:p>
      <w:pPr>
        <w:spacing w:after="0" w:line="265" w:lineRule="exact"/>
        <w:rPr>
          <w:rFonts w:ascii="Arial" w:cs="Arial" w:eastAsia="Arial" w:hAnsi="Arial"/>
          <w:sz w:val="18"/>
          <w:szCs w:val="18"/>
          <w:color w:val="auto"/>
        </w:rPr>
      </w:pPr>
    </w:p>
    <w:p>
      <w:pPr>
        <w:jc w:val="both"/>
        <w:ind w:left="660" w:firstLine="258"/>
        <w:spacing w:after="0" w:line="259" w:lineRule="auto"/>
        <w:tabs>
          <w:tab w:leader="none" w:pos="1394" w:val="left"/>
        </w:tabs>
        <w:numPr>
          <w:ilvl w:val="2"/>
          <w:numId w:val="32"/>
        </w:numPr>
        <w:rPr>
          <w:rFonts w:ascii="Arial" w:cs="Arial" w:eastAsia="Arial" w:hAnsi="Arial"/>
          <w:sz w:val="18"/>
          <w:szCs w:val="18"/>
          <w:color w:val="auto"/>
        </w:rPr>
      </w:pPr>
      <w:r>
        <w:rPr>
          <w:rFonts w:ascii="Arial" w:cs="Arial" w:eastAsia="Arial" w:hAnsi="Arial"/>
          <w:sz w:val="18"/>
          <w:szCs w:val="18"/>
          <w:color w:val="auto"/>
        </w:rPr>
        <w:t xml:space="preserve">Debt of a Subsidiary outstanding at the time such Subsidiary becomes a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Debt shall not have been incurred in contemplation of such Subsidiary becoming a Subsidiary and (ii) immediately after such Subsidiary becomes a Subsidiary no Default or Potential Default shall exist,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such Debt may not be extended, renewed or refunded except as otherwise permitted by this Agreement; and</w:t>
      </w:r>
    </w:p>
    <w:p>
      <w:pPr>
        <w:spacing w:after="0" w:line="227" w:lineRule="exact"/>
        <w:rPr>
          <w:rFonts w:ascii="Arial" w:cs="Arial" w:eastAsia="Arial" w:hAnsi="Arial"/>
          <w:sz w:val="18"/>
          <w:szCs w:val="18"/>
          <w:color w:val="auto"/>
        </w:rPr>
      </w:pPr>
    </w:p>
    <w:p>
      <w:pPr>
        <w:jc w:val="both"/>
        <w:ind w:left="660" w:firstLine="203"/>
        <w:spacing w:after="0" w:line="263" w:lineRule="auto"/>
        <w:tabs>
          <w:tab w:leader="none" w:pos="1274"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Debt of a Subsidiary in addition to that otherwise permitted by the foregoing provisions of this Section 2.4,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on the date the Subsidiary incurs or otherwise becomes liable with respect to any such additional Debt and immediately after giving effect thereto and the concurrent retirement of any other Debt,</w:t>
      </w:r>
    </w:p>
    <w:p>
      <w:pPr>
        <w:spacing w:after="0" w:line="210" w:lineRule="exact"/>
        <w:rPr>
          <w:rFonts w:ascii="Arial" w:cs="Arial" w:eastAsia="Arial" w:hAnsi="Arial"/>
          <w:sz w:val="18"/>
          <w:szCs w:val="18"/>
          <w:color w:val="auto"/>
        </w:rPr>
      </w:pPr>
    </w:p>
    <w:p>
      <w:pPr>
        <w:ind w:left="1840" w:hanging="356"/>
        <w:spacing w:after="0"/>
        <w:tabs>
          <w:tab w:leader="none" w:pos="1840" w:val="left"/>
        </w:tabs>
        <w:numPr>
          <w:ilvl w:val="3"/>
          <w:numId w:val="32"/>
        </w:numPr>
        <w:rPr>
          <w:rFonts w:ascii="Arial" w:cs="Arial" w:eastAsia="Arial" w:hAnsi="Arial"/>
          <w:sz w:val="18"/>
          <w:szCs w:val="18"/>
          <w:color w:val="auto"/>
        </w:rPr>
      </w:pPr>
      <w:r>
        <w:rPr>
          <w:rFonts w:ascii="Arial" w:cs="Arial" w:eastAsia="Arial" w:hAnsi="Arial"/>
          <w:sz w:val="18"/>
          <w:szCs w:val="18"/>
          <w:color w:val="auto"/>
        </w:rPr>
        <w:t>no Default or Potential Default exists, and</w:t>
      </w:r>
    </w:p>
    <w:p>
      <w:pPr>
        <w:spacing w:after="0" w:line="266" w:lineRule="exact"/>
        <w:rPr>
          <w:sz w:val="20"/>
          <w:szCs w:val="20"/>
          <w:color w:val="auto"/>
        </w:rPr>
      </w:pPr>
    </w:p>
    <w:p>
      <w:pPr>
        <w:jc w:val="both"/>
        <w:ind w:left="1300" w:firstLine="201"/>
        <w:spacing w:after="0" w:line="263" w:lineRule="auto"/>
        <w:tabs>
          <w:tab w:leader="none" w:pos="1913"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simultaneously with the incurrence thereof, the Company delivers a Net Earnings Certificate showing, on the date of issuance of such Debt by such Subsidiary, the Company’s Adjusted Net Earnings to be as required by Section 27 of the Indenture to issue at least $1.00 of additional bonds under the Indenture.</w:t>
      </w:r>
    </w:p>
    <w:p>
      <w:pPr>
        <w:spacing w:after="0" w:line="224" w:lineRule="exact"/>
        <w:rPr>
          <w:sz w:val="20"/>
          <w:szCs w:val="20"/>
          <w:color w:val="auto"/>
        </w:rPr>
      </w:pPr>
    </w:p>
    <w:p>
      <w:pPr>
        <w:jc w:val="both"/>
        <w:ind w:firstLine="256"/>
        <w:spacing w:after="0" w:line="275" w:lineRule="auto"/>
        <w:rPr>
          <w:sz w:val="20"/>
          <w:szCs w:val="20"/>
          <w:color w:val="auto"/>
        </w:rPr>
      </w:pPr>
      <w:r>
        <w:rPr>
          <w:rFonts w:ascii="Arial" w:cs="Arial" w:eastAsia="Arial" w:hAnsi="Arial"/>
          <w:sz w:val="17"/>
          <w:szCs w:val="17"/>
          <w:i w:val="1"/>
          <w:iCs w:val="1"/>
          <w:color w:val="auto"/>
        </w:rPr>
        <w:t xml:space="preserve">Section 2.5. </w:t>
      </w:r>
      <w:r>
        <w:rPr>
          <w:rFonts w:ascii="Arial" w:cs="Arial" w:eastAsia="Arial" w:hAnsi="Arial"/>
          <w:sz w:val="17"/>
          <w:szCs w:val="17"/>
          <w:color w:val="auto"/>
        </w:rPr>
        <w:t>A default by the Company in the observance of any covenant or agreement contained in Sections 2.1 through 2.4, inclusive,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Fifteenth Supplemental Indenture or the occurrence of an Event of Default (as defined herein) shall be deemed to constitute an additional and independent Default under, and defined in, Section 65 of the Mortgage. None of the additional Defaults provided for pursuant to this Section 2.5 are intended or shall be deemed to limit any of the Defaults currently expressed in the Mortgage and none of the Defaults currently expressed in the Mortgage are intended or shall be deemed to limit any of the additional Defaults provided for pursuant to this Section 2.5.</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38" w:lineRule="exact"/>
        <w:rPr>
          <w:sz w:val="20"/>
          <w:szCs w:val="20"/>
          <w:color w:val="auto"/>
        </w:rPr>
      </w:pPr>
    </w:p>
    <w:p>
      <w:pPr>
        <w:ind w:left="180"/>
        <w:spacing w:after="0"/>
        <w:tabs>
          <w:tab w:leader="none" w:pos="1200" w:val="left"/>
        </w:tabs>
        <w:rPr>
          <w:sz w:val="20"/>
          <w:szCs w:val="20"/>
          <w:color w:val="auto"/>
        </w:rPr>
      </w:pPr>
      <w:r>
        <w:rPr>
          <w:rFonts w:ascii="Arial" w:cs="Arial" w:eastAsia="Arial" w:hAnsi="Arial"/>
          <w:sz w:val="18"/>
          <w:szCs w:val="18"/>
          <w:i w:val="1"/>
          <w:iCs w:val="1"/>
          <w:color w:val="auto"/>
        </w:rPr>
        <w:t>Section 3.1.</w:t>
      </w:r>
      <w:r>
        <w:rPr>
          <w:sz w:val="20"/>
          <w:szCs w:val="20"/>
          <w:color w:val="auto"/>
        </w:rPr>
        <w:tab/>
      </w:r>
      <w:r>
        <w:rPr>
          <w:rFonts w:ascii="Arial" w:cs="Arial" w:eastAsia="Arial" w:hAnsi="Arial"/>
          <w:sz w:val="16"/>
          <w:szCs w:val="16"/>
          <w:color w:val="auto"/>
        </w:rPr>
        <w:t>For purposes of this Fifteenth Supplemental Indenture, the following terms have the following meanings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89" w:name="page90"/>
    <w:bookmarkEnd w:id="89"/>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“Allete” </w:t>
      </w:r>
      <w:r>
        <w:rPr>
          <w:rFonts w:ascii="Arial" w:cs="Arial" w:eastAsia="Arial" w:hAnsi="Arial"/>
          <w:sz w:val="18"/>
          <w:szCs w:val="18"/>
          <w:color w:val="auto"/>
        </w:rPr>
        <w:t>shall mean ALLETE, Inc., a Minnesota corporation, or any successor to Allete, Inc.</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“Bond Purchase Agreement” </w:t>
      </w:r>
      <w:r>
        <w:rPr>
          <w:rFonts w:ascii="Arial" w:cs="Arial" w:eastAsia="Arial" w:hAnsi="Arial"/>
          <w:sz w:val="16"/>
          <w:szCs w:val="16"/>
          <w:color w:val="auto"/>
        </w:rPr>
        <w:t>shall mean the Bond Purchase Agreement dated as of June 28th, 2021, between the Company and the Purchaser.</w:t>
      </w:r>
    </w:p>
    <w:p>
      <w:pPr>
        <w:spacing w:after="0" w:line="2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shall mean any day other than a Saturday, Sunday or a day on which commercial banks in Chicago, Illinois, or Milwaukee,</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are required or authorized to be closed.</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“Capitalized Lease Obligation” </w:t>
      </w:r>
      <w:r>
        <w:rPr>
          <w:rFonts w:ascii="Arial" w:cs="Arial" w:eastAsia="Arial" w:hAnsi="Arial"/>
          <w:sz w:val="18"/>
          <w:szCs w:val="18"/>
          <w:color w:val="auto"/>
        </w:rPr>
        <w:t>shall mean with respect to any Person any rental obligation which, under generally accepted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principles, would be required to be capitalized on the books of such Person, taken at the amount thereof accounted for as indebtedness (net of interest expense) in accordance with such principles.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“Consolidated Net Worth” </w:t>
      </w:r>
      <w:r>
        <w:rPr>
          <w:rFonts w:ascii="Arial" w:cs="Arial" w:eastAsia="Arial" w:hAnsi="Arial"/>
          <w:sz w:val="16"/>
          <w:szCs w:val="16"/>
          <w:color w:val="auto"/>
        </w:rPr>
        <w:t>shall mean the net worth of the Company and its Subsidiaries determined on a consolidated basis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means, with respect to any Person, without duplication,</w:t>
      </w:r>
    </w:p>
    <w:p>
      <w:pPr>
        <w:spacing w:after="0" w:line="266" w:lineRule="exact"/>
        <w:rPr>
          <w:sz w:val="20"/>
          <w:szCs w:val="20"/>
          <w:color w:val="auto"/>
        </w:rPr>
      </w:pPr>
    </w:p>
    <w:p>
      <w:pPr>
        <w:ind w:left="1220" w:hanging="384"/>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its liabilities for borrowed money;</w:t>
      </w:r>
    </w:p>
    <w:p>
      <w:pPr>
        <w:spacing w:after="0" w:line="252" w:lineRule="exact"/>
        <w:rPr>
          <w:rFonts w:ascii="Arial" w:cs="Arial" w:eastAsia="Arial" w:hAnsi="Arial"/>
          <w:sz w:val="18"/>
          <w:szCs w:val="18"/>
          <w:color w:val="auto"/>
        </w:rPr>
      </w:pPr>
    </w:p>
    <w:p>
      <w:pPr>
        <w:jc w:val="both"/>
        <w:ind w:left="660" w:firstLine="248"/>
        <w:spacing w:after="0" w:line="263" w:lineRule="auto"/>
        <w:tabs>
          <w:tab w:leader="none" w:pos="1374" w:val="left"/>
        </w:tabs>
        <w:numPr>
          <w:ilvl w:val="1"/>
          <w:numId w:val="34"/>
        </w:numPr>
        <w:rPr>
          <w:rFonts w:ascii="Arial" w:cs="Arial" w:eastAsia="Arial" w:hAnsi="Arial"/>
          <w:sz w:val="18"/>
          <w:szCs w:val="18"/>
          <w:color w:val="auto"/>
        </w:rPr>
      </w:pPr>
      <w:r>
        <w:rPr>
          <w:rFonts w:ascii="Arial" w:cs="Arial" w:eastAsia="Arial" w:hAnsi="Arial"/>
          <w:sz w:val="18"/>
          <w:szCs w:val="18"/>
          <w:color w:val="auto"/>
        </w:rPr>
        <w:t>its liabilities for the deferred purchase price of property acquired by such Person (excluding accounts payable arising in the ordinary course of business but including, without limitation, all liabilities created or arising under any conditional sale or other title retention agreement with respect to any such property);</w:t>
      </w:r>
    </w:p>
    <w:p>
      <w:pPr>
        <w:spacing w:after="0" w:line="224" w:lineRule="exact"/>
        <w:rPr>
          <w:sz w:val="20"/>
          <w:szCs w:val="20"/>
          <w:color w:val="auto"/>
        </w:rPr>
      </w:pPr>
    </w:p>
    <w:p>
      <w:pPr>
        <w:ind w:left="1220" w:hanging="384"/>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its Capital Lease Obligations;</w:t>
      </w:r>
    </w:p>
    <w:p>
      <w:pPr>
        <w:spacing w:after="0" w:line="265" w:lineRule="exact"/>
        <w:rPr>
          <w:rFonts w:ascii="Arial" w:cs="Arial" w:eastAsia="Arial" w:hAnsi="Arial"/>
          <w:sz w:val="18"/>
          <w:szCs w:val="18"/>
          <w:color w:val="auto"/>
        </w:rPr>
      </w:pPr>
    </w:p>
    <w:p>
      <w:pPr>
        <w:ind w:left="660" w:right="20" w:firstLine="199"/>
        <w:spacing w:after="0" w:line="277" w:lineRule="auto"/>
        <w:tabs>
          <w:tab w:leader="none" w:pos="127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liabilities for borrowed money secured by any lien with respect to any property owned by such Person (whether or not it has assumed or otherwise become liable for such liabilities); and</w:t>
      </w:r>
    </w:p>
    <w:p>
      <w:pPr>
        <w:spacing w:after="0" w:line="197" w:lineRule="exact"/>
        <w:rPr>
          <w:sz w:val="20"/>
          <w:szCs w:val="20"/>
          <w:color w:val="auto"/>
        </w:rPr>
      </w:pPr>
    </w:p>
    <w:p>
      <w:pPr>
        <w:ind w:left="1220" w:hanging="384"/>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guaranty of such Person with respect to liabilities of a type described in any of clauses (a) through (d) hereof.</w:t>
      </w:r>
    </w:p>
    <w:p>
      <w:pPr>
        <w:spacing w:after="0" w:line="2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Debt of any Person shall include all obligations of such Person of the character described in clauses (a) through (e) to the extent such Person remains legally liable in respect thereof notwithstanding that any such obligation is deemed to be extinguished under GAAP.</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“Disposition” </w:t>
      </w:r>
      <w:r>
        <w:rPr>
          <w:rFonts w:ascii="Arial" w:cs="Arial" w:eastAsia="Arial" w:hAnsi="Arial"/>
          <w:sz w:val="18"/>
          <w:szCs w:val="18"/>
          <w:color w:val="auto"/>
        </w:rPr>
        <w:t>shall have the meaning set forth for such term in Section 2.1.</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“Event of Default” </w:t>
      </w:r>
      <w:r>
        <w:rPr>
          <w:rFonts w:ascii="Arial" w:cs="Arial" w:eastAsia="Arial" w:hAnsi="Arial"/>
          <w:sz w:val="18"/>
          <w:szCs w:val="18"/>
          <w:color w:val="auto"/>
        </w:rPr>
        <w:t>shall mean any of the following events which shall occur and be continuing for any reason whatsoever at any time when any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Bonds of the Fourteenth Series shall be outstanding (and whether such occurrence shall be voluntary or involuntary or come about or be effected by operation of law or otherwise):</w:t>
      </w:r>
    </w:p>
    <w:p>
      <w:pPr>
        <w:spacing w:after="0" w:line="224" w:lineRule="exact"/>
        <w:rPr>
          <w:sz w:val="20"/>
          <w:szCs w:val="20"/>
          <w:color w:val="auto"/>
        </w:rPr>
      </w:pPr>
    </w:p>
    <w:p>
      <w:pPr>
        <w:jc w:val="both"/>
        <w:ind w:left="660" w:firstLine="188"/>
        <w:spacing w:after="0" w:line="263" w:lineRule="auto"/>
        <w:tabs>
          <w:tab w:leader="none" w:pos="12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defaults in the payment of any principal or premium, if any, payable with respect to any Bond of the Fourteenth Series when the same shall become due, either by the terms thereof or otherwise as provided in the Mortgage, this Fifteenth Supplemental Indenture or the Bond Purchase Agreement; or</w:t>
      </w:r>
    </w:p>
    <w:p>
      <w:pPr>
        <w:spacing w:after="0" w:line="224" w:lineRule="exact"/>
        <w:rPr>
          <w:sz w:val="20"/>
          <w:szCs w:val="20"/>
          <w:color w:val="auto"/>
        </w:rPr>
      </w:pPr>
    </w:p>
    <w:p>
      <w:pPr>
        <w:ind w:left="840"/>
        <w:spacing w:after="0"/>
        <w:tabs>
          <w:tab w:leader="none" w:pos="122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the Company defaults in the payment of any interest on any Bond of the Fourteenth Series for more than 5 days after the due date;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38" w:lineRule="exact"/>
        <w:rPr>
          <w:sz w:val="20"/>
          <w:szCs w:val="20"/>
          <w:color w:val="auto"/>
        </w:rPr>
      </w:pPr>
    </w:p>
    <w:p>
      <w:pPr>
        <w:jc w:val="both"/>
        <w:ind w:left="-176" w:firstLine="188"/>
        <w:spacing w:after="0" w:line="270" w:lineRule="auto"/>
        <w:tabs>
          <w:tab w:leader="none" w:pos="478" w:val="left"/>
        </w:tabs>
        <w:numPr>
          <w:ilvl w:val="2"/>
          <w:numId w:val="38"/>
        </w:numPr>
        <w:rPr>
          <w:rFonts w:ascii="Arial" w:cs="Arial" w:eastAsia="Arial" w:hAnsi="Arial"/>
          <w:sz w:val="17"/>
          <w:szCs w:val="17"/>
          <w:color w:val="auto"/>
        </w:rPr>
      </w:pPr>
      <w:r>
        <w:rPr>
          <w:rFonts w:ascii="Arial" w:cs="Arial" w:eastAsia="Arial" w:hAnsi="Arial"/>
          <w:sz w:val="17"/>
          <w:szCs w:val="17"/>
          <w:color w:val="auto"/>
        </w:rPr>
        <w:t>the Company defaults (whether as primary obligor or as guarantor or other surety) in any payment of principal of or interest on any other obligation for money borrowed (or any Capitalized Lease Obligation, any obligation under a conditional sale or other title retention agreement, any obligation issued or assumed as full or partial payment for property whether or not secured by a purchase money mortgage or any obligation under notes payable or drafts accepted representing extensions of credit) beyond any period of grace provided with respect thereto and as a result, the aggregate principal amount of all such defaulted obligations exceeds $100,000 or the Company fails to perform or observe any other agreement, term or condition contained in any agreement under which any such obligations are created (or if any other event thereunder or under any such agreement shall occur and be continuing) and the effect of such failure or other event is to cause, or to permit the holder or holders of such obligations (or a trustee on behalf of such holder or holders) to cause, such obligations in the aggregate principal amount in excess of $100,000 to become due (or to be repurchased by the Company) prior to any stated maturity; or</w:t>
      </w:r>
    </w:p>
    <w:p>
      <w:pPr>
        <w:spacing w:after="0" w:line="207" w:lineRule="exact"/>
        <w:rPr>
          <w:rFonts w:ascii="Arial" w:cs="Arial" w:eastAsia="Arial" w:hAnsi="Arial"/>
          <w:sz w:val="17"/>
          <w:szCs w:val="17"/>
          <w:color w:val="auto"/>
        </w:rPr>
      </w:pPr>
    </w:p>
    <w:p>
      <w:pPr>
        <w:jc w:val="both"/>
        <w:ind w:left="-176" w:firstLine="178"/>
        <w:spacing w:after="0" w:line="263" w:lineRule="auto"/>
        <w:tabs>
          <w:tab w:leader="none" w:pos="44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representation or warranty made by the Company in this Fifteenth Supplemental Indenture or the Bond Purchase Agreement or by the Company or any of its officers in any writing furnished in connection with or pursuant to this Fifteenth Supplemental Indenture or the Bond Purchase Agreement shall be false in any material respect on the date as of which made; or</w:t>
      </w:r>
    </w:p>
    <w:p>
      <w:pPr>
        <w:spacing w:after="0" w:line="224" w:lineRule="exact"/>
        <w:rPr>
          <w:rFonts w:ascii="Arial" w:cs="Arial" w:eastAsia="Arial" w:hAnsi="Arial"/>
          <w:sz w:val="18"/>
          <w:szCs w:val="18"/>
          <w:color w:val="auto"/>
        </w:rPr>
      </w:pPr>
    </w:p>
    <w:p>
      <w:pPr>
        <w:ind w:left="-176" w:firstLine="271"/>
        <w:spacing w:after="0" w:line="277" w:lineRule="auto"/>
        <w:tabs>
          <w:tab w:leader="none" w:pos="585" w:val="left"/>
        </w:tabs>
        <w:numPr>
          <w:ilvl w:val="3"/>
          <w:numId w:val="39"/>
        </w:numPr>
        <w:rPr>
          <w:rFonts w:ascii="Arial" w:cs="Arial" w:eastAsia="Arial" w:hAnsi="Arial"/>
          <w:sz w:val="18"/>
          <w:szCs w:val="18"/>
          <w:color w:val="auto"/>
        </w:rPr>
      </w:pPr>
      <w:r>
        <w:rPr>
          <w:rFonts w:ascii="Arial" w:cs="Arial" w:eastAsia="Arial" w:hAnsi="Arial"/>
          <w:sz w:val="18"/>
          <w:szCs w:val="18"/>
          <w:color w:val="auto"/>
        </w:rPr>
        <w:t>the Company fails to perform or observe any agreement, term or condition contained in the Mortgage, this Fifteenth Supplemental Indenture or the Bond Purchase Agreement; or</w:t>
      </w:r>
    </w:p>
    <w:p>
      <w:pPr>
        <w:spacing w:after="0" w:line="210" w:lineRule="exact"/>
        <w:rPr>
          <w:rFonts w:ascii="Arial" w:cs="Arial" w:eastAsia="Arial" w:hAnsi="Arial"/>
          <w:sz w:val="18"/>
          <w:szCs w:val="18"/>
          <w:color w:val="auto"/>
        </w:rPr>
      </w:pPr>
    </w:p>
    <w:p>
      <w:pPr>
        <w:ind w:left="444" w:hanging="444"/>
        <w:spacing w:after="0"/>
        <w:tabs>
          <w:tab w:leader="none" w:pos="444"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Company makes an assignment for the benefit of creditors or is generally not paying its debts as such debts become due; or</w:t>
      </w:r>
    </w:p>
    <w:p>
      <w:pPr>
        <w:spacing w:after="0" w:line="264" w:lineRule="exact"/>
        <w:rPr>
          <w:sz w:val="20"/>
          <w:szCs w:val="20"/>
          <w:color w:val="auto"/>
        </w:rPr>
      </w:pPr>
    </w:p>
    <w:p>
      <w:pPr>
        <w:jc w:val="both"/>
        <w:ind w:left="-176" w:firstLine="238"/>
        <w:spacing w:after="0" w:line="263" w:lineRule="auto"/>
        <w:tabs>
          <w:tab w:leader="none" w:pos="61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decree or order for relief in respect of the Company is entered under any bankruptcy, reorganization, compromise, arrangement, insolvency, readjustment of debt, dissolution or liquidation or similar law, whether now or hereafter in effect (herein called the Bankruptcy Law), of any jurisdiction; or</w:t>
      </w:r>
    </w:p>
    <w:p>
      <w:pPr>
        <w:spacing w:after="0" w:line="224" w:lineRule="exact"/>
        <w:rPr>
          <w:rFonts w:ascii="Arial" w:cs="Arial" w:eastAsia="Arial" w:hAnsi="Arial"/>
          <w:sz w:val="18"/>
          <w:szCs w:val="18"/>
          <w:color w:val="auto"/>
        </w:rPr>
      </w:pPr>
    </w:p>
    <w:p>
      <w:pPr>
        <w:jc w:val="both"/>
        <w:ind w:left="-176" w:firstLine="236"/>
        <w:spacing w:after="0" w:line="259" w:lineRule="auto"/>
        <w:tabs>
          <w:tab w:leader="none" w:pos="663"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Company petitions or applies to any tribunal for, or consents to, the appointment of, or taking possession by, a trustee, receiver, custodian, liquidator or similar official of the Company or of any Substantial Part of the assets of the Company or commences a voluntary case under the Bankruptcy Law of the United States or any proceedings relating to the Company under the Bankruptcy Law of any other jurisdiction; or</w:t>
      </w:r>
    </w:p>
    <w:p>
      <w:pPr>
        <w:spacing w:after="0" w:line="227" w:lineRule="exact"/>
        <w:rPr>
          <w:rFonts w:ascii="Arial" w:cs="Arial" w:eastAsia="Arial" w:hAnsi="Arial"/>
          <w:sz w:val="18"/>
          <w:szCs w:val="18"/>
          <w:color w:val="auto"/>
        </w:rPr>
      </w:pPr>
    </w:p>
    <w:p>
      <w:pPr>
        <w:jc w:val="both"/>
        <w:ind w:left="-176" w:right="20" w:firstLine="230"/>
        <w:spacing w:after="0" w:line="263" w:lineRule="auto"/>
        <w:tabs>
          <w:tab w:leader="none" w:pos="552"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such petition or application is filed, or any such proceedings are commenced, against the Company, and the Company by any act indicates its approval thereof, consent thereto or acquiescence therein, or an order, judgment or decree is entered appointing any such trustee, receiver, custodian, liquidator or similar official, or approving the petition in any such proceedings; or</w:t>
      </w:r>
    </w:p>
    <w:p>
      <w:pPr>
        <w:spacing w:after="0" w:line="210" w:lineRule="exact"/>
        <w:rPr>
          <w:rFonts w:ascii="Arial" w:cs="Arial" w:eastAsia="Arial" w:hAnsi="Arial"/>
          <w:sz w:val="18"/>
          <w:szCs w:val="18"/>
          <w:color w:val="auto"/>
        </w:rPr>
      </w:pPr>
    </w:p>
    <w:p>
      <w:pPr>
        <w:ind w:left="-176" w:firstLine="236"/>
        <w:spacing w:after="0" w:line="277" w:lineRule="auto"/>
        <w:tabs>
          <w:tab w:leader="none" w:pos="513"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order, judgment or decree is entered in any proceedings against the Company decreeing the dissolution of the Company and such order, judgment or decree remains unstayed and in effect for more than 60 days; or</w:t>
      </w:r>
    </w:p>
    <w:p>
      <w:pPr>
        <w:spacing w:after="0" w:line="210" w:lineRule="exact"/>
        <w:rPr>
          <w:rFonts w:ascii="Arial" w:cs="Arial" w:eastAsia="Arial" w:hAnsi="Arial"/>
          <w:sz w:val="18"/>
          <w:szCs w:val="18"/>
          <w:color w:val="auto"/>
        </w:rPr>
      </w:pPr>
    </w:p>
    <w:p>
      <w:pPr>
        <w:jc w:val="both"/>
        <w:ind w:left="-176" w:firstLine="183"/>
        <w:spacing w:after="0" w:line="259" w:lineRule="auto"/>
        <w:tabs>
          <w:tab w:leader="none" w:pos="459"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order, judgment or decree is entered in any proceedings against the Company decreeing a split-up of the Company which requires the divestiture of assets representing a Substantial Part of the assets of the Company or which requires the divestiture of assets which shall have contributed a Substantial Part of the net income of the Company for any of the three fiscal years then most recently ended, and such order, judgment or decree remains unstayed and in effect for more than 60 days; or</w:t>
      </w:r>
    </w:p>
    <w:p>
      <w:pPr>
        <w:spacing w:after="0" w:line="227" w:lineRule="exact"/>
        <w:rPr>
          <w:rFonts w:ascii="Arial" w:cs="Arial" w:eastAsia="Arial" w:hAnsi="Arial"/>
          <w:sz w:val="18"/>
          <w:szCs w:val="18"/>
          <w:color w:val="auto"/>
        </w:rPr>
      </w:pPr>
    </w:p>
    <w:p>
      <w:pPr>
        <w:jc w:val="both"/>
        <w:ind w:left="-176" w:firstLine="244"/>
        <w:spacing w:after="0" w:line="263" w:lineRule="auto"/>
        <w:tabs>
          <w:tab w:leader="none" w:pos="63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final judgment in an amount in excess of $100,000 is rendered against the Company and, within 60 days after entry thereof, such judgment is not discharged or execution thereof stayed pending appeal, or within 60 days after the expiration of any such stay, such judgment is not discharged;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604"/>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404"/>
          </w:cols>
          <w:pgMar w:left="1156" w:top="1440" w:right="339" w:bottom="1440" w:gutter="0" w:footer="0" w:header="0"/>
        </w:sectPr>
      </w:pPr>
    </w:p>
    <w:bookmarkStart w:id="91" w:name="page92"/>
    <w:bookmarkEnd w:id="91"/>
    <w:p>
      <w:pPr>
        <w:spacing w:after="0" w:line="238" w:lineRule="exact"/>
        <w:rPr>
          <w:sz w:val="20"/>
          <w:szCs w:val="20"/>
          <w:color w:val="auto"/>
        </w:rPr>
      </w:pPr>
    </w:p>
    <w:p>
      <w:pPr>
        <w:ind w:left="840"/>
        <w:spacing w:after="0"/>
        <w:tabs>
          <w:tab w:leader="none" w:pos="1340" w:val="left"/>
        </w:tabs>
        <w:rPr>
          <w:sz w:val="20"/>
          <w:szCs w:val="20"/>
          <w:color w:val="auto"/>
        </w:rPr>
      </w:pPr>
      <w:r>
        <w:rPr>
          <w:rFonts w:ascii="Arial" w:cs="Arial" w:eastAsia="Arial" w:hAnsi="Arial"/>
          <w:sz w:val="18"/>
          <w:szCs w:val="18"/>
          <w:color w:val="auto"/>
        </w:rPr>
        <w:t>(xiii)</w:t>
      </w:r>
      <w:r>
        <w:rPr>
          <w:sz w:val="20"/>
          <w:szCs w:val="20"/>
          <w:color w:val="auto"/>
        </w:rPr>
        <w:tab/>
      </w:r>
      <w:r>
        <w:rPr>
          <w:rFonts w:ascii="Arial" w:cs="Arial" w:eastAsia="Arial" w:hAnsi="Arial"/>
          <w:sz w:val="16"/>
          <w:szCs w:val="16"/>
          <w:color w:val="auto"/>
        </w:rPr>
        <w:t>Allete shall cease to own of record and beneficially 100% of the outstanding shares of capital stock of the Company.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GAAP</w:t>
      </w:r>
      <w:r>
        <w:rPr>
          <w:rFonts w:ascii="Arial" w:cs="Arial" w:eastAsia="Arial" w:hAnsi="Arial"/>
          <w:sz w:val="18"/>
          <w:szCs w:val="18"/>
          <w:i w:val="1"/>
          <w:iCs w:val="1"/>
          <w:color w:val="auto"/>
        </w:rPr>
        <w:t xml:space="preserve">” </w:t>
      </w:r>
      <w:r>
        <w:rPr>
          <w:rFonts w:ascii="Arial" w:cs="Arial" w:eastAsia="Arial" w:hAnsi="Arial"/>
          <w:sz w:val="18"/>
          <w:szCs w:val="18"/>
          <w:color w:val="auto"/>
        </w:rPr>
        <w:t>means generally accepted accounting principles as in effect from time to time in the United States of America.</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“Interest Payment Date” </w:t>
      </w:r>
      <w:r>
        <w:rPr>
          <w:rFonts w:ascii="Arial" w:cs="Arial" w:eastAsia="Arial" w:hAnsi="Arial"/>
          <w:sz w:val="18"/>
          <w:szCs w:val="18"/>
          <w:color w:val="auto"/>
        </w:rPr>
        <w:t>means the dates identified for the payment of interest determined as set forth on Schedule C hereto.</w:t>
      </w:r>
    </w:p>
    <w:p>
      <w:pPr>
        <w:spacing w:after="0" w:line="2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“Make-Whole Amount” </w:t>
      </w:r>
      <w:r>
        <w:rPr>
          <w:rFonts w:ascii="Arial" w:cs="Arial" w:eastAsia="Arial" w:hAnsi="Arial"/>
          <w:sz w:val="18"/>
          <w:szCs w:val="18"/>
          <w:color w:val="auto"/>
        </w:rPr>
        <w:t>means, with respect to any Bond of the Fourteenth Series, an amount equal to the excess, if any, of the Discounted Value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 Remaining Scheduled Payments with respect to the Called Principal of such Bond of the Fourteenth Series over the amount of such Called Principal,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Make-Whole Amount may in no event be less than zero. For the purposes of determining the Make-Whole Amount, the following terms</w:t>
      </w:r>
      <w:r>
        <w:rPr>
          <w:rFonts w:ascii="Arial" w:cs="Arial" w:eastAsia="Arial" w:hAnsi="Arial"/>
          <w:sz w:val="18"/>
          <w:szCs w:val="18"/>
          <w:i w:val="1"/>
          <w:iCs w:val="1"/>
          <w:color w:val="auto"/>
        </w:rPr>
        <w:t xml:space="preserve"> </w:t>
      </w:r>
      <w:r>
        <w:rPr>
          <w:rFonts w:ascii="Arial" w:cs="Arial" w:eastAsia="Arial" w:hAnsi="Arial"/>
          <w:sz w:val="18"/>
          <w:szCs w:val="18"/>
          <w:color w:val="auto"/>
        </w:rPr>
        <w:t>have the following meanings:</w:t>
      </w:r>
    </w:p>
    <w:p>
      <w:pPr>
        <w:spacing w:after="0" w:line="214"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i w:val="1"/>
          <w:iCs w:val="1"/>
          <w:color w:val="auto"/>
        </w:rPr>
        <w:t xml:space="preserve">“Called Principal” </w:t>
      </w:r>
      <w:r>
        <w:rPr>
          <w:rFonts w:ascii="Arial" w:cs="Arial" w:eastAsia="Arial" w:hAnsi="Arial"/>
          <w:sz w:val="18"/>
          <w:szCs w:val="18"/>
          <w:color w:val="auto"/>
        </w:rPr>
        <w:t>means, with respect to any Bond of the Fourteenth Series, the principal of such Bond of the Fourteenth Series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to be prepaid or has become or is declared to be immediately due and payable, as the context requires.</w:t>
      </w:r>
    </w:p>
    <w:p>
      <w:pPr>
        <w:spacing w:after="0" w:line="211"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i w:val="1"/>
          <w:iCs w:val="1"/>
          <w:color w:val="auto"/>
        </w:rPr>
        <w:t xml:space="preserve">“Discounted Value” </w:t>
      </w:r>
      <w:r>
        <w:rPr>
          <w:rFonts w:ascii="Arial" w:cs="Arial" w:eastAsia="Arial" w:hAnsi="Arial"/>
          <w:sz w:val="18"/>
          <w:szCs w:val="18"/>
          <w:color w:val="auto"/>
        </w:rPr>
        <w:t>means, with respect to the Called Principal of any Bond of the Fourteenth Series, the amount obtained by</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 of the Fourteenth Series is payable) equal to the Reinvestment Yield with respect to such Called Principal.</w:t>
      </w:r>
    </w:p>
    <w:p>
      <w:pPr>
        <w:spacing w:after="0" w:line="228"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 xml:space="preserve">“Reinvestment Yield” </w:t>
      </w:r>
      <w:r>
        <w:rPr>
          <w:rFonts w:ascii="Arial" w:cs="Arial" w:eastAsia="Arial" w:hAnsi="Arial"/>
          <w:sz w:val="16"/>
          <w:szCs w:val="16"/>
          <w:color w:val="auto"/>
        </w:rPr>
        <w:t>means, with respect to the Called Principal of any Bond of the Fourteenth Series, the yield to maturity implied by</w:t>
      </w:r>
    </w:p>
    <w:p>
      <w:pPr>
        <w:spacing w:after="0" w:line="46" w:lineRule="exact"/>
        <w:rPr>
          <w:sz w:val="20"/>
          <w:szCs w:val="20"/>
          <w:color w:val="auto"/>
        </w:rPr>
      </w:pPr>
    </w:p>
    <w:p>
      <w:pPr>
        <w:jc w:val="both"/>
        <w:ind w:left="660" w:hanging="4"/>
        <w:spacing w:after="0" w:line="268" w:lineRule="auto"/>
        <w:tabs>
          <w:tab w:leader="none" w:pos="893"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 the run U.S. Treasury securities having a maturity equal to the Remaining Average Life of such Called Principal as of such Settlement Date, or (ii)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(or any comparable successor publication) for U.S. Treasury securities having a constant maturity equal to the Remaining Average Life of such Called Principal as of such Settlement Date.</w:t>
      </w:r>
    </w:p>
    <w:p>
      <w:pPr>
        <w:spacing w:after="0" w:line="210"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In the case of each determination under clause (i) or clause (ii), as the case may be, of the preceding paragraph, such implied yield will be determined, if necessary, by (a) converting U.S. Treasury bill quotations to bond equivalent yields in accordance with accepted financial practice and (b) interpolating linearly between (1) the applicable U.S. Treasury security with the maturity closest to and greater than such Remaining Average Life and (2) the applicable U.S. Treasury security with the maturity closest to and less than such Remaining Average Life. The Reinvestment Yield shall be rounded to the number of decimal places as appears in the interest rate of the applicable Bond of the Fourteenth Series.</w:t>
      </w:r>
    </w:p>
    <w:p>
      <w:pPr>
        <w:spacing w:after="0" w:line="233" w:lineRule="exact"/>
        <w:rPr>
          <w:sz w:val="20"/>
          <w:szCs w:val="20"/>
          <w:color w:val="auto"/>
        </w:rPr>
      </w:pPr>
    </w:p>
    <w:p>
      <w:pPr>
        <w:jc w:val="both"/>
        <w:ind w:left="660" w:firstLine="648"/>
        <w:spacing w:after="0" w:line="311" w:lineRule="auto"/>
        <w:rPr>
          <w:sz w:val="20"/>
          <w:szCs w:val="20"/>
          <w:color w:val="auto"/>
        </w:rPr>
      </w:pPr>
      <w:r>
        <w:rPr>
          <w:rFonts w:ascii="Arial" w:cs="Arial" w:eastAsia="Arial" w:hAnsi="Arial"/>
          <w:sz w:val="16"/>
          <w:szCs w:val="16"/>
          <w:i w:val="1"/>
          <w:iCs w:val="1"/>
          <w:color w:val="auto"/>
        </w:rPr>
        <w:t xml:space="preserve">“Remaining Average Life” </w:t>
      </w:r>
      <w:r>
        <w:rPr>
          <w:rFonts w:ascii="Arial" w:cs="Arial" w:eastAsia="Arial" w:hAnsi="Arial"/>
          <w:sz w:val="16"/>
          <w:szCs w:val="16"/>
          <w:color w:val="auto"/>
        </w:rPr>
        <w:t>means, with respect to any Called Principal, the number of years (calculated to the nearest one-twelfth year)</w:t>
      </w:r>
      <w:r>
        <w:rPr>
          <w:rFonts w:ascii="Arial" w:cs="Arial" w:eastAsia="Arial" w:hAnsi="Arial"/>
          <w:sz w:val="16"/>
          <w:szCs w:val="16"/>
          <w:i w:val="1"/>
          <w:iCs w:val="1"/>
          <w:color w:val="auto"/>
        </w:rPr>
        <w:t xml:space="preserve"> </w:t>
      </w:r>
      <w:r>
        <w:rPr>
          <w:rFonts w:ascii="Arial" w:cs="Arial" w:eastAsia="Arial" w:hAnsi="Arial"/>
          <w:sz w:val="16"/>
          <w:szCs w:val="16"/>
          <w:color w:val="auto"/>
        </w:rPr>
        <w:t>obtained by dividing (i) such Called Principal into (ii) the sum of the products obtained by multiplying (a) the principal component of each Remaining Scheduled Payment with respect to such Called Principal by (b) the number of years (calculated to the nearest one-twelfth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92" w:name="page93"/>
    <w:bookmarkEnd w:id="92"/>
    <w:p>
      <w:pPr>
        <w:spacing w:after="0" w:line="23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that will elapse between the Settlement Date with respect to such Called Principal and the scheduled due date of such Remaining Scheduled Payment.</w:t>
      </w:r>
    </w:p>
    <w:p>
      <w:pPr>
        <w:spacing w:after="0" w:line="197" w:lineRule="exact"/>
        <w:rPr>
          <w:sz w:val="20"/>
          <w:szCs w:val="20"/>
          <w:color w:val="auto"/>
        </w:rPr>
      </w:pPr>
    </w:p>
    <w:p>
      <w:pPr>
        <w:jc w:val="both"/>
        <w:ind w:left="660" w:firstLine="648"/>
        <w:spacing w:after="0" w:line="296" w:lineRule="auto"/>
        <w:rPr>
          <w:sz w:val="20"/>
          <w:szCs w:val="20"/>
          <w:color w:val="auto"/>
        </w:rPr>
      </w:pPr>
      <w:r>
        <w:rPr>
          <w:rFonts w:ascii="Arial" w:cs="Arial" w:eastAsia="Arial" w:hAnsi="Arial"/>
          <w:sz w:val="16"/>
          <w:szCs w:val="16"/>
          <w:i w:val="1"/>
          <w:iCs w:val="1"/>
          <w:color w:val="auto"/>
        </w:rPr>
        <w:t xml:space="preserve">“Remaining Scheduled Payments” </w:t>
      </w:r>
      <w:r>
        <w:rPr>
          <w:rFonts w:ascii="Arial" w:cs="Arial" w:eastAsia="Arial" w:hAnsi="Arial"/>
          <w:sz w:val="16"/>
          <w:szCs w:val="16"/>
          <w:color w:val="auto"/>
        </w:rPr>
        <w:t>means, with respect to the Called Principal of any Bond of the Fourteenth Series, all payments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Called Principal and interest thereon that would be due after the Settlement Date with respect to such Called Principal if no payment of such Called Principal were made prior to its scheduled due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Settlement Date is not a date on which interest payments are due to be made under the terms of the Bond of the Fourteenth Series, then the amount of the next succeeding scheduled interest payment will be reduced by the amount of interest accrued to such Settlement Date and required to be paid on such Settlement Date.</w:t>
      </w:r>
    </w:p>
    <w:p>
      <w:pPr>
        <w:spacing w:after="0" w:line="202"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i w:val="1"/>
          <w:iCs w:val="1"/>
          <w:color w:val="auto"/>
        </w:rPr>
        <w:t xml:space="preserve">“Settlement Date” </w:t>
      </w:r>
      <w:r>
        <w:rPr>
          <w:rFonts w:ascii="Arial" w:cs="Arial" w:eastAsia="Arial" w:hAnsi="Arial"/>
          <w:sz w:val="18"/>
          <w:szCs w:val="18"/>
          <w:color w:val="auto"/>
        </w:rPr>
        <w:t>means, with respect to the Called Principal of any Bond of the Fourteenth Series, the date on which such Called</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is to be prepaid or has become or is declared to be immediately due and payable, as the context requires.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shall mean and include an individual, a partnership, a joint venture, a corporation, a limited liability company, a trust, an unincorporated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and a government or any department or agency thereof.</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“Proceeds of Released Property” </w:t>
      </w:r>
      <w:r>
        <w:rPr>
          <w:rFonts w:ascii="Arial" w:cs="Arial" w:eastAsia="Arial" w:hAnsi="Arial"/>
          <w:sz w:val="18"/>
          <w:szCs w:val="18"/>
          <w:color w:val="auto"/>
        </w:rPr>
        <w:t>shall mean the aggregate of the cash deposited with or received by the Corporate Trustee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Section 59, Section 60, Section 61 (except such cash as is to be paid over to the Company under the provisions of Section 61), or Section 62 of the Mortgage.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“Purchaser” </w:t>
      </w:r>
      <w:r>
        <w:rPr>
          <w:rFonts w:ascii="Arial" w:cs="Arial" w:eastAsia="Arial" w:hAnsi="Arial"/>
          <w:sz w:val="18"/>
          <w:szCs w:val="18"/>
          <w:color w:val="auto"/>
        </w:rPr>
        <w:t>means Thrivent Financial for Lutherans.</w:t>
      </w:r>
    </w:p>
    <w:p>
      <w:pPr>
        <w:spacing w:after="0" w:line="2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“Subsidiary” </w:t>
      </w:r>
      <w:r>
        <w:rPr>
          <w:rFonts w:ascii="Arial" w:cs="Arial" w:eastAsia="Arial" w:hAnsi="Arial"/>
          <w:sz w:val="16"/>
          <w:szCs w:val="16"/>
          <w:color w:val="auto"/>
        </w:rPr>
        <w:t>means, as to any Person, any other Person in which such first Person or one or more of its Subsidiaries or such first Person and one</w:t>
      </w:r>
      <w:r>
        <w:rPr>
          <w:rFonts w:ascii="Arial" w:cs="Arial" w:eastAsia="Arial" w:hAnsi="Arial"/>
          <w:sz w:val="16"/>
          <w:szCs w:val="16"/>
          <w:i w:val="1"/>
          <w:iCs w:val="1"/>
          <w:color w:val="auto"/>
        </w:rPr>
        <w:t xml:space="preserve"> </w:t>
      </w:r>
      <w:r>
        <w:rPr>
          <w:rFonts w:ascii="Arial" w:cs="Arial" w:eastAsia="Arial" w:hAnsi="Arial"/>
          <w:sz w:val="16"/>
          <w:szCs w:val="16"/>
          <w:color w:val="auto"/>
        </w:rPr>
        <w:t>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“Substantial Part” </w:t>
      </w:r>
      <w:r>
        <w:rPr>
          <w:rFonts w:ascii="Arial" w:cs="Arial" w:eastAsia="Arial" w:hAnsi="Arial"/>
          <w:sz w:val="17"/>
          <w:szCs w:val="17"/>
          <w:color w:val="auto"/>
        </w:rPr>
        <w:t>shall mean when used with respect to assets or net income 15% or more of such assets or net income, respectively.</w:t>
      </w:r>
    </w:p>
    <w:p>
      <w:pPr>
        <w:spacing w:after="0" w:line="277" w:lineRule="exact"/>
        <w:rPr>
          <w:sz w:val="20"/>
          <w:szCs w:val="20"/>
          <w:color w:val="auto"/>
        </w:rPr>
      </w:pPr>
    </w:p>
    <w:p>
      <w:pPr>
        <w:jc w:val="both"/>
        <w:ind w:firstLine="202"/>
        <w:spacing w:after="0" w:line="277" w:lineRule="auto"/>
        <w:rPr>
          <w:sz w:val="20"/>
          <w:szCs w:val="20"/>
          <w:color w:val="auto"/>
        </w:rPr>
      </w:pPr>
      <w:r>
        <w:rPr>
          <w:rFonts w:ascii="Arial" w:cs="Arial" w:eastAsia="Arial" w:hAnsi="Arial"/>
          <w:sz w:val="18"/>
          <w:szCs w:val="18"/>
          <w:i w:val="1"/>
          <w:iCs w:val="1"/>
          <w:color w:val="auto"/>
        </w:rPr>
        <w:t xml:space="preserve">Section 3.2. </w:t>
      </w:r>
      <w:r>
        <w:rPr>
          <w:rFonts w:ascii="Arial" w:cs="Arial" w:eastAsia="Arial" w:hAnsi="Arial"/>
          <w:sz w:val="18"/>
          <w:szCs w:val="18"/>
          <w:color w:val="auto"/>
        </w:rPr>
        <w:t>The terms defined in the Mortgage, as heretofore supplemented, shall for all purposes of this Fifteenth Supplemental Indenture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meanings specified in the Mortgage, as heretofore supplemented.</w:t>
      </w:r>
    </w:p>
    <w:p>
      <w:pPr>
        <w:spacing w:after="0" w:line="211" w:lineRule="exact"/>
        <w:rPr>
          <w:sz w:val="20"/>
          <w:szCs w:val="20"/>
          <w:color w:val="auto"/>
        </w:rPr>
      </w:pPr>
    </w:p>
    <w:p>
      <w:pPr>
        <w:jc w:val="both"/>
        <w:ind w:firstLine="191"/>
        <w:spacing w:after="0" w:line="277" w:lineRule="auto"/>
        <w:rPr>
          <w:sz w:val="20"/>
          <w:szCs w:val="20"/>
          <w:color w:val="auto"/>
        </w:rPr>
      </w:pPr>
      <w:r>
        <w:rPr>
          <w:rFonts w:ascii="Arial" w:cs="Arial" w:eastAsia="Arial" w:hAnsi="Arial"/>
          <w:sz w:val="18"/>
          <w:szCs w:val="18"/>
          <w:i w:val="1"/>
          <w:iCs w:val="1"/>
          <w:color w:val="auto"/>
        </w:rPr>
        <w:t xml:space="preserve">Section 3.3. </w:t>
      </w:r>
      <w:r>
        <w:rPr>
          <w:rFonts w:ascii="Arial" w:cs="Arial" w:eastAsia="Arial" w:hAnsi="Arial"/>
          <w:sz w:val="18"/>
          <w:szCs w:val="18"/>
          <w:color w:val="auto"/>
        </w:rPr>
        <w:t>The Trustee hereby accepts the trust herein declared, provided and created and agrees to perform the same upon the terms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herein and in the Mortgage, as heretofore supplemented, set forth and upon the following terms and conditions.</w:t>
      </w:r>
    </w:p>
    <w:p>
      <w:pPr>
        <w:spacing w:after="0" w:line="197" w:lineRule="exact"/>
        <w:rPr>
          <w:sz w:val="20"/>
          <w:szCs w:val="20"/>
          <w:color w:val="auto"/>
        </w:rPr>
      </w:pPr>
    </w:p>
    <w:p>
      <w:pPr>
        <w:jc w:val="both"/>
        <w:ind w:firstLine="299"/>
        <w:spacing w:after="0" w:line="257" w:lineRule="auto"/>
        <w:rPr>
          <w:sz w:val="20"/>
          <w:szCs w:val="20"/>
          <w:color w:val="auto"/>
        </w:rPr>
      </w:pPr>
      <w:r>
        <w:rPr>
          <w:rFonts w:ascii="Arial" w:cs="Arial" w:eastAsia="Arial" w:hAnsi="Arial"/>
          <w:sz w:val="18"/>
          <w:szCs w:val="18"/>
          <w:i w:val="1"/>
          <w:iCs w:val="1"/>
          <w:color w:val="auto"/>
        </w:rPr>
        <w:t xml:space="preserve">Section 3.4. </w:t>
      </w:r>
      <w:r>
        <w:rPr>
          <w:rFonts w:ascii="Arial" w:cs="Arial" w:eastAsia="Arial" w:hAnsi="Arial"/>
          <w:sz w:val="18"/>
          <w:szCs w:val="18"/>
          <w:color w:val="auto"/>
        </w:rPr>
        <w:t>The Trustee shall not be responsible in any manner whatsoever for or in respect of the validity or sufficiency of this Fifteenth</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Indenture or for or in respect of the recitals contained herein, all of which recitals are made by the Company solely. In general, each and every term and condition contained in Article XVII of the Mortgage shall apply to and form part of this Fifteenth Supplemental Indenture with the same force and effect as if the same were herein set forth in full, with such omissions, variations and insertions, if any, as may be appropriate to make the same conform to the provisions of this Fifteenth Supplemental Indenture.</w:t>
      </w:r>
    </w:p>
    <w:p>
      <w:pPr>
        <w:spacing w:after="0" w:line="228" w:lineRule="exact"/>
        <w:rPr>
          <w:sz w:val="20"/>
          <w:szCs w:val="20"/>
          <w:color w:val="auto"/>
        </w:rPr>
      </w:pPr>
    </w:p>
    <w:p>
      <w:pPr>
        <w:jc w:val="both"/>
        <w:ind w:firstLine="191"/>
        <w:spacing w:after="0" w:line="277" w:lineRule="auto"/>
        <w:rPr>
          <w:sz w:val="20"/>
          <w:szCs w:val="20"/>
          <w:color w:val="auto"/>
        </w:rPr>
      </w:pPr>
      <w:r>
        <w:rPr>
          <w:rFonts w:ascii="Arial" w:cs="Arial" w:eastAsia="Arial" w:hAnsi="Arial"/>
          <w:sz w:val="18"/>
          <w:szCs w:val="18"/>
          <w:i w:val="1"/>
          <w:iCs w:val="1"/>
          <w:color w:val="auto"/>
        </w:rPr>
        <w:t xml:space="preserve">Section 3.5. </w:t>
      </w:r>
      <w:r>
        <w:rPr>
          <w:rFonts w:ascii="Arial" w:cs="Arial" w:eastAsia="Arial" w:hAnsi="Arial"/>
          <w:sz w:val="18"/>
          <w:szCs w:val="18"/>
          <w:color w:val="auto"/>
        </w:rPr>
        <w:t>Subject to the provisions of Article XVI and Article XVII of the Mortgage, whenever in this Fifteenth Supplemental Indenture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hereto is named or referred to, this shall be deemed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include the successors or assigns of such party, and all the covenants and agreements in this Fifteenth Supplemental Indenture contained by or on behalf of the Company or by or on behalf of the Trustee shall bind and inure to the benefit of the respective successors and assigns of such parties whether so expressed or not.</w:t>
      </w:r>
    </w:p>
    <w:p>
      <w:pPr>
        <w:spacing w:after="0" w:line="211" w:lineRule="exact"/>
        <w:rPr>
          <w:sz w:val="20"/>
          <w:szCs w:val="20"/>
          <w:color w:val="auto"/>
        </w:rPr>
      </w:pPr>
    </w:p>
    <w:p>
      <w:pPr>
        <w:jc w:val="both"/>
        <w:ind w:firstLine="191"/>
        <w:spacing w:after="0" w:line="275" w:lineRule="auto"/>
        <w:rPr>
          <w:sz w:val="20"/>
          <w:szCs w:val="20"/>
          <w:color w:val="auto"/>
        </w:rPr>
      </w:pPr>
      <w:r>
        <w:rPr>
          <w:rFonts w:ascii="Arial" w:cs="Arial" w:eastAsia="Arial" w:hAnsi="Arial"/>
          <w:sz w:val="17"/>
          <w:szCs w:val="17"/>
          <w:i w:val="1"/>
          <w:iCs w:val="1"/>
          <w:color w:val="auto"/>
        </w:rPr>
        <w:t xml:space="preserve">Section 3.6. </w:t>
      </w:r>
      <w:r>
        <w:rPr>
          <w:rFonts w:ascii="Arial" w:cs="Arial" w:eastAsia="Arial" w:hAnsi="Arial"/>
          <w:sz w:val="17"/>
          <w:szCs w:val="17"/>
          <w:color w:val="auto"/>
        </w:rPr>
        <w:t>Nothing in this Fifteenth Supplemental Indenture, express or implied, is intended, or shall be construed, to confer upon, or to give to, any</w:t>
      </w:r>
      <w:r>
        <w:rPr>
          <w:rFonts w:ascii="Arial" w:cs="Arial" w:eastAsia="Arial" w:hAnsi="Arial"/>
          <w:sz w:val="17"/>
          <w:szCs w:val="17"/>
          <w:i w:val="1"/>
          <w:iCs w:val="1"/>
          <w:color w:val="auto"/>
        </w:rPr>
        <w:t xml:space="preserve"> </w:t>
      </w:r>
      <w:r>
        <w:rPr>
          <w:rFonts w:ascii="Arial" w:cs="Arial" w:eastAsia="Arial" w:hAnsi="Arial"/>
          <w:sz w:val="17"/>
          <w:szCs w:val="17"/>
          <w:color w:val="auto"/>
        </w:rPr>
        <w:t>person, firm or corporation, other than the parties hereto and the holders of the bonds Outstanding under the Mortgage, any right, remedy or claim under or by reason of this Fifteenth Supplemental Indenture or any covenant, condition, stipulation, promise or agreement hereof, and all the covenants, conditions, stipulations, promises and agreements of this Fifteenth Supplemental Indenture contained by or on behalf of the Company shall be for the sole and exclusive benefit of the parties hereto, and of the holders of the bonds and of the coupons Outstanding under the Mortgage.</w:t>
      </w:r>
    </w:p>
    <w:p>
      <w:pPr>
        <w:spacing w:after="0" w:line="217" w:lineRule="exact"/>
        <w:rPr>
          <w:sz w:val="20"/>
          <w:szCs w:val="20"/>
          <w:color w:val="auto"/>
        </w:rPr>
      </w:pPr>
    </w:p>
    <w:p>
      <w:pPr>
        <w:jc w:val="both"/>
        <w:ind w:firstLine="191"/>
        <w:spacing w:after="0" w:line="277" w:lineRule="auto"/>
        <w:rPr>
          <w:sz w:val="20"/>
          <w:szCs w:val="20"/>
          <w:color w:val="auto"/>
        </w:rPr>
      </w:pPr>
      <w:r>
        <w:rPr>
          <w:rFonts w:ascii="Arial" w:cs="Arial" w:eastAsia="Arial" w:hAnsi="Arial"/>
          <w:sz w:val="18"/>
          <w:szCs w:val="18"/>
          <w:i w:val="1"/>
          <w:iCs w:val="1"/>
          <w:color w:val="auto"/>
        </w:rPr>
        <w:t xml:space="preserve">Section 3.7. </w:t>
      </w:r>
      <w:r>
        <w:rPr>
          <w:rFonts w:ascii="Arial" w:cs="Arial" w:eastAsia="Arial" w:hAnsi="Arial"/>
          <w:sz w:val="18"/>
          <w:szCs w:val="18"/>
          <w:color w:val="auto"/>
        </w:rPr>
        <w:t>This Fifteenth Supplemental Indenture may be executed in several counterparts, each of which shall be an original and all of which shall</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but one and the same instrument.</w:t>
      </w:r>
    </w:p>
    <w:p>
      <w:pPr>
        <w:spacing w:after="0" w:line="211" w:lineRule="exact"/>
        <w:rPr>
          <w:sz w:val="20"/>
          <w:szCs w:val="20"/>
          <w:color w:val="auto"/>
        </w:rPr>
      </w:pPr>
    </w:p>
    <w:p>
      <w:pPr>
        <w:jc w:val="both"/>
        <w:ind w:firstLine="966"/>
        <w:spacing w:after="0" w:line="301" w:lineRule="auto"/>
        <w:rPr>
          <w:sz w:val="20"/>
          <w:szCs w:val="20"/>
          <w:color w:val="auto"/>
        </w:rPr>
      </w:pPr>
      <w:r>
        <w:rPr>
          <w:rFonts w:ascii="Arial" w:cs="Arial" w:eastAsia="Arial" w:hAnsi="Arial"/>
          <w:sz w:val="16"/>
          <w:szCs w:val="16"/>
          <w:color w:val="auto"/>
        </w:rPr>
        <w:t>IN WITNESS WHEREOF, Superior Water, Light and Power Company has caused its corporate name to be hereunto affixed, and this instrument to be signed and sealed by its President or one of its Vice Presidents, its Treasurer or one of its Assistant Treasurers, and its corporate seal to be attested by its Secretary or one of its Assistant Secretaries for and in its behalf, and U.S. Bank National Association has caused its corporate name to be hereunto affixed, and this instrument to be signed by its President and to be attested by its Secretary, all as of the 14th day of June, 2021.</w:t>
      </w:r>
    </w:p>
    <w:p>
      <w:pPr>
        <w:spacing w:after="0" w:line="200" w:lineRule="exact"/>
        <w:rPr>
          <w:sz w:val="20"/>
          <w:szCs w:val="20"/>
          <w:color w:val="auto"/>
        </w:rPr>
      </w:pPr>
    </w:p>
    <w:p>
      <w:pPr>
        <w:spacing w:after="0" w:line="22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SUPERIOR WATER, LIGHT AND POWER COMPANY</w:t>
      </w:r>
    </w:p>
    <w:p>
      <w:pPr>
        <w:spacing w:after="0" w:line="200" w:lineRule="exact"/>
        <w:rPr>
          <w:sz w:val="20"/>
          <w:szCs w:val="20"/>
          <w:color w:val="auto"/>
        </w:rPr>
      </w:pPr>
    </w:p>
    <w:p>
      <w:pPr>
        <w:spacing w:after="0" w:line="29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Robert P. Sandstrom</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President</w:t>
      </w:r>
    </w:p>
    <w:p>
      <w:pPr>
        <w:spacing w:after="0" w:line="23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Paul M. Holt</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Joscelyn A. Skandel</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Executed, sealed and delivered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Superior Water, Light and Power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in the presence of:</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1440" w:right="339" w:bottom="1440" w:gutter="0" w:footer="0" w:header="0"/>
          <w:type w:val="continuous"/>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9019"/>
          </w:cols>
          <w:pgMar w:left="1440" w:top="1440" w:right="1440" w:bottom="1440" w:gutter="0" w:footer="0" w:header="0"/>
        </w:sectPr>
      </w:pPr>
    </w:p>
    <w:bookmarkStart w:id="95" w:name="page96"/>
    <w:bookmarkEnd w:id="95"/>
    <w:p>
      <w:pPr>
        <w:jc w:val="right"/>
        <w:ind w:right="1779"/>
        <w:spacing w:after="0"/>
        <w:rPr>
          <w:sz w:val="20"/>
          <w:szCs w:val="20"/>
          <w:color w:val="auto"/>
        </w:rPr>
      </w:pPr>
      <w:r>
        <w:rPr>
          <w:rFonts w:ascii="Arial" w:cs="Arial" w:eastAsia="Arial" w:hAnsi="Arial"/>
          <w:sz w:val="18"/>
          <w:szCs w:val="18"/>
          <w:color w:val="auto"/>
        </w:rPr>
        <w:t>U.S. BANK NATIONAL ASSOCIATION, as Trustee</w:t>
      </w:r>
    </w:p>
    <w:p>
      <w:pPr>
        <w:spacing w:after="0" w:line="200" w:lineRule="exact"/>
        <w:rPr>
          <w:sz w:val="20"/>
          <w:szCs w:val="20"/>
          <w:color w:val="auto"/>
        </w:rPr>
      </w:pPr>
    </w:p>
    <w:p>
      <w:pPr>
        <w:spacing w:after="0" w:line="29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139"/>
          </w:cols>
          <w:pgMar w:left="320" w:top="1421" w:right="1440" w:bottom="1440" w:gutter="0" w:footer="0" w:header="0"/>
        </w:sectPr>
      </w:pPr>
    </w:p>
    <w:bookmarkStart w:id="96" w:name="page97"/>
    <w:bookmarkEnd w:id="96"/>
    <w:p>
      <w:pPr>
        <w:spacing w:after="0" w:line="225"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STATE OF WISCONSIN</w:t>
        <w:tab/>
        <w:t>)</w:t>
      </w:r>
    </w:p>
    <w:p>
      <w:pPr>
        <w:spacing w:after="0" w:line="23" w:lineRule="exact"/>
        <w:rPr>
          <w:sz w:val="20"/>
          <w:szCs w:val="20"/>
          <w:color w:val="auto"/>
        </w:rPr>
      </w:pPr>
    </w:p>
    <w:p>
      <w:pPr>
        <w:ind w:left="1760" w:hanging="96"/>
        <w:spacing w:after="0"/>
        <w:tabs>
          <w:tab w:leader="none" w:pos="1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COUNTY OF DOUGLAS  )</w:t>
      </w:r>
    </w:p>
    <w:p>
      <w:pPr>
        <w:spacing w:after="0" w:line="25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Personally came before me this ___ day of June, 2021, Robert P. Sandstrom, to me known to be the President, Paul M. Holt, to me known to be the Treasurer, and Joscelyn A. Skandel, to me known to be the Secretary of the above-named SUPERIOR WATER, LIGHT AND POWER COMPANY,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respectively the President, Treasurer and Secretary of said corporation, that the seal affixed to said instrument is the corporate seal of said corporation, and that they signed, sealed and delivered said instrument in the name and on behalf of said corporation by authority of its Board of Directors, and said President, Treasurer and Secretary, then and there acknowledged said instrument to be the free act and deed of said corporation and that such corporation executed the same.</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Given under my hand and notarial seal this ___ day of June,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Notary Public, State of Wisconsin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My Commission 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40" w:right="339" w:bottom="1440" w:gutter="0" w:footer="0" w:header="0"/>
        </w:sectPr>
      </w:pPr>
    </w:p>
    <w:bookmarkStart w:id="97" w:name="page98"/>
    <w:bookmarkEnd w:id="97"/>
    <w:p>
      <w:pPr>
        <w:spacing w:after="0" w:line="225"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STATE OF WISCONSIN</w:t>
        <w:tab/>
        <w: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SS.</w:t>
      </w:r>
    </w:p>
    <w:p>
      <w:pPr>
        <w:spacing w:after="0" w:line="9" w:lineRule="exact"/>
        <w:rPr>
          <w:sz w:val="20"/>
          <w:szCs w:val="20"/>
          <w:color w:val="auto"/>
        </w:rPr>
      </w:pPr>
    </w:p>
    <w:p>
      <w:pPr>
        <w:spacing w:after="0"/>
        <w:tabs>
          <w:tab w:leader="none" w:pos="2320" w:val="left"/>
        </w:tabs>
        <w:rPr>
          <w:sz w:val="20"/>
          <w:szCs w:val="20"/>
          <w:color w:val="auto"/>
        </w:rPr>
      </w:pPr>
      <w:r>
        <w:rPr>
          <w:rFonts w:ascii="Arial" w:cs="Arial" w:eastAsia="Arial" w:hAnsi="Arial"/>
          <w:sz w:val="18"/>
          <w:szCs w:val="18"/>
          <w:color w:val="auto"/>
        </w:rPr>
        <w:t>COUNTY OF MILWAUKEE</w:t>
        <w:tab/>
        <w:t>)</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Personally came before me this ____ day of June, 2021, Steven F. Posto, to me known to be the Vice President, and ________________, to me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known to be the ______________, of the above-named U.S. BANK NATIONAL ASSOCIATION, the corporation described in and which executed the</w:t>
      </w:r>
    </w:p>
    <w:p>
      <w:pPr>
        <w:spacing w:after="0" w:line="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foregoing instrument, and to me personally known to be the persons who as such officers executed the foregoing instrument in the name and behalf of said corporation, who, being by me duly sworn, did depose and say and acknowledge that he is the Vice President of said corporation, and that he signed and delivered said instrument in the name and on behalf of said corporation by authority of its Board of Directors, and said Vice President then and there acknowledged said instrument to be the free act and deed of said corporation and that such corporation executed the same.</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Given under my hand and notarial seal this ____day of June, 2021.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Notary Public, State of Wisconsin</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My Commission 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40"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color w:val="auto"/>
        </w:rPr>
        <w:t>Exhibit 4B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300"/>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p>
        </w:tc>
        <w:tc>
          <w:tcPr>
            <w:tcW w:w="8520" w:type="dxa"/>
            <w:vAlign w:val="bottom"/>
          </w:tcPr>
          <w:p>
            <w:pPr>
              <w:jc w:val="center"/>
              <w:ind w:right="550"/>
              <w:spacing w:after="0"/>
              <w:rPr>
                <w:sz w:val="20"/>
                <w:szCs w:val="20"/>
                <w:color w:val="auto"/>
              </w:rPr>
            </w:pPr>
            <w:r>
              <w:rPr>
                <w:rFonts w:ascii="Arial" w:cs="Arial" w:eastAsia="Arial" w:hAnsi="Arial"/>
                <w:sz w:val="18"/>
                <w:szCs w:val="18"/>
                <w:b w:val="1"/>
                <w:bCs w:val="1"/>
                <w:color w:val="auto"/>
              </w:rPr>
              <w:t>[FORM OF BOND OF THE FOURTEENTH SERIES]</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41"/>
        </w:trPr>
        <w:tc>
          <w:tcPr>
            <w:tcW w:w="1680" w:type="dxa"/>
            <w:vAlign w:val="bottom"/>
          </w:tcPr>
          <w:p>
            <w:pPr>
              <w:spacing w:after="0"/>
              <w:rPr>
                <w:sz w:val="24"/>
                <w:szCs w:val="24"/>
                <w:color w:val="auto"/>
              </w:rPr>
            </w:pPr>
          </w:p>
        </w:tc>
        <w:tc>
          <w:tcPr>
            <w:tcW w:w="8520" w:type="dxa"/>
            <w:vAlign w:val="bottom"/>
          </w:tcPr>
          <w:p>
            <w:pPr>
              <w:jc w:val="center"/>
              <w:ind w:right="550"/>
              <w:spacing w:after="0"/>
              <w:rPr>
                <w:sz w:val="20"/>
                <w:szCs w:val="20"/>
                <w:color w:val="auto"/>
              </w:rPr>
            </w:pPr>
            <w:r>
              <w:rPr>
                <w:rFonts w:ascii="Arial" w:cs="Arial" w:eastAsia="Arial" w:hAnsi="Arial"/>
                <w:sz w:val="18"/>
                <w:szCs w:val="18"/>
                <w:b w:val="1"/>
                <w:bCs w:val="1"/>
                <w:color w:val="auto"/>
              </w:rPr>
              <w:t>SUPERIOR WATER, LIGHT AND POWER COMPANY</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4"/>
        </w:trPr>
        <w:tc>
          <w:tcPr>
            <w:tcW w:w="1680" w:type="dxa"/>
            <w:vAlign w:val="bottom"/>
          </w:tcPr>
          <w:p>
            <w:pPr>
              <w:spacing w:after="0"/>
              <w:rPr>
                <w:sz w:val="20"/>
                <w:szCs w:val="20"/>
                <w:color w:val="auto"/>
              </w:rPr>
            </w:pPr>
          </w:p>
        </w:tc>
        <w:tc>
          <w:tcPr>
            <w:tcW w:w="8520" w:type="dxa"/>
            <w:vAlign w:val="bottom"/>
          </w:tcPr>
          <w:p>
            <w:pPr>
              <w:jc w:val="center"/>
              <w:ind w:right="530"/>
              <w:spacing w:after="0"/>
              <w:rPr>
                <w:sz w:val="20"/>
                <w:szCs w:val="20"/>
                <w:color w:val="auto"/>
              </w:rPr>
            </w:pPr>
            <w:r>
              <w:rPr>
                <w:rFonts w:ascii="Arial" w:cs="Arial" w:eastAsia="Arial" w:hAnsi="Arial"/>
                <w:sz w:val="18"/>
                <w:szCs w:val="18"/>
                <w:b w:val="1"/>
                <w:bCs w:val="1"/>
                <w:color w:val="auto"/>
              </w:rPr>
              <w:t>FIRST MORTGAGE BOND</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45"/>
        </w:trPr>
        <w:tc>
          <w:tcPr>
            <w:tcW w:w="1680" w:type="dxa"/>
            <w:vAlign w:val="bottom"/>
          </w:tcPr>
          <w:p>
            <w:pPr>
              <w:spacing w:after="0"/>
              <w:rPr>
                <w:sz w:val="24"/>
                <w:szCs w:val="24"/>
                <w:color w:val="auto"/>
              </w:rPr>
            </w:pPr>
          </w:p>
        </w:tc>
        <w:tc>
          <w:tcPr>
            <w:tcW w:w="8520" w:type="dxa"/>
            <w:vAlign w:val="bottom"/>
          </w:tcPr>
          <w:p>
            <w:pPr>
              <w:jc w:val="center"/>
              <w:ind w:right="530"/>
              <w:spacing w:after="0"/>
              <w:rPr>
                <w:sz w:val="20"/>
                <w:szCs w:val="20"/>
                <w:color w:val="auto"/>
              </w:rPr>
            </w:pPr>
            <w:r>
              <w:rPr>
                <w:rFonts w:ascii="Arial" w:cs="Arial" w:eastAsia="Arial" w:hAnsi="Arial"/>
                <w:sz w:val="18"/>
                <w:szCs w:val="18"/>
                <w:b w:val="1"/>
                <w:bCs w:val="1"/>
                <w:color w:val="auto"/>
                <w:w w:val="90"/>
              </w:rPr>
              <w:t>3.18% Series due July 17, 2051</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No. R-___</w:t>
            </w:r>
          </w:p>
        </w:tc>
        <w:tc>
          <w:tcPr>
            <w:tcW w:w="8520" w:type="dxa"/>
            <w:vAlign w:val="bottom"/>
          </w:tcPr>
          <w:p>
            <w:pPr>
              <w:jc w:val="right"/>
              <w:ind w:right="6510"/>
              <w:spacing w:after="0"/>
              <w:rPr>
                <w:sz w:val="20"/>
                <w:szCs w:val="20"/>
                <w:color w:val="auto"/>
              </w:rPr>
            </w:pPr>
            <w:r>
              <w:rPr>
                <w:rFonts w:ascii="Arial" w:cs="Arial" w:eastAsia="Arial" w:hAnsi="Arial"/>
                <w:sz w:val="18"/>
                <w:szCs w:val="18"/>
                <w:color w:val="auto"/>
              </w:rPr>
              <w:t>$__________</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45"/>
        </w:trPr>
        <w:tc>
          <w:tcPr>
            <w:tcW w:w="11220" w:type="dxa"/>
            <w:vAlign w:val="bottom"/>
            <w:gridSpan w:val="4"/>
          </w:tcPr>
          <w:p>
            <w:pPr>
              <w:jc w:val="right"/>
              <w:spacing w:after="0"/>
              <w:rPr>
                <w:sz w:val="20"/>
                <w:szCs w:val="20"/>
                <w:color w:val="auto"/>
              </w:rPr>
            </w:pPr>
            <w:r>
              <w:rPr>
                <w:rFonts w:ascii="Arial" w:cs="Arial" w:eastAsia="Arial" w:hAnsi="Arial"/>
                <w:sz w:val="18"/>
                <w:szCs w:val="18"/>
                <w:color w:val="auto"/>
              </w:rPr>
              <w:t xml:space="preserve">SUPERIOR WATER, LIGHT AND POWER COMPANY, a corporation of the State of Wisconsin (hereinafter called the </w:t>
            </w:r>
            <w:r>
              <w:rPr>
                <w:rFonts w:ascii="Arial" w:cs="Arial" w:eastAsia="Arial" w:hAnsi="Arial"/>
                <w:sz w:val="18"/>
                <w:szCs w:val="18"/>
                <w:i w:val="1"/>
                <w:iCs w:val="1"/>
                <w:color w:val="auto"/>
              </w:rPr>
              <w:t>“Company”</w:t>
            </w:r>
            <w:r>
              <w:rPr>
                <w:rFonts w:ascii="Arial" w:cs="Arial" w:eastAsia="Arial" w:hAnsi="Arial"/>
                <w:sz w:val="18"/>
                <w:szCs w:val="18"/>
                <w:color w:val="auto"/>
              </w:rPr>
              <w:t>), for value</w:t>
            </w:r>
          </w:p>
        </w:tc>
      </w:tr>
      <w:tr>
        <w:trPr>
          <w:trHeight w:val="190"/>
        </w:trPr>
        <w:tc>
          <w:tcPr>
            <w:tcW w:w="10200" w:type="dxa"/>
            <w:vAlign w:val="bottom"/>
            <w:gridSpan w:val="2"/>
          </w:tcPr>
          <w:p>
            <w:pPr>
              <w:spacing w:after="0" w:line="190" w:lineRule="exact"/>
              <w:rPr>
                <w:sz w:val="20"/>
                <w:szCs w:val="20"/>
                <w:color w:val="auto"/>
              </w:rPr>
            </w:pPr>
            <w:r>
              <w:rPr>
                <w:rFonts w:ascii="Arial" w:cs="Arial" w:eastAsia="Arial" w:hAnsi="Arial"/>
                <w:sz w:val="18"/>
                <w:szCs w:val="18"/>
                <w:color w:val="auto"/>
                <w:w w:val="90"/>
              </w:rPr>
              <w:t>received, hereby promises to pay to ____________________________, or registered assigns, on July 17, 2051, ___________ DOLLARS ($</w:t>
            </w:r>
          </w:p>
        </w:tc>
        <w:tc>
          <w:tcPr>
            <w:tcW w:w="400" w:type="dxa"/>
            <w:vAlign w:val="bottom"/>
            <w:tcBorders>
              <w:bottom w:val="single" w:sz="8" w:color="auto"/>
            </w:tcBorders>
          </w:tcPr>
          <w:p>
            <w:pPr>
              <w:spacing w:after="0"/>
              <w:rPr>
                <w:sz w:val="16"/>
                <w:szCs w:val="16"/>
                <w:color w:val="auto"/>
              </w:rPr>
            </w:pPr>
          </w:p>
        </w:tc>
        <w:tc>
          <w:tcPr>
            <w:tcW w:w="620" w:type="dxa"/>
            <w:vAlign w:val="bottom"/>
          </w:tcPr>
          <w:p>
            <w:pPr>
              <w:jc w:val="right"/>
              <w:spacing w:after="0" w:line="190" w:lineRule="exact"/>
              <w:rPr>
                <w:sz w:val="20"/>
                <w:szCs w:val="20"/>
                <w:color w:val="auto"/>
              </w:rPr>
            </w:pPr>
            <w:r>
              <w:rPr>
                <w:rFonts w:ascii="Arial" w:cs="Arial" w:eastAsia="Arial" w:hAnsi="Arial"/>
                <w:sz w:val="18"/>
                <w:szCs w:val="18"/>
                <w:color w:val="auto"/>
                <w:w w:val="88"/>
              </w:rPr>
              <w:t>) in such</w:t>
            </w:r>
          </w:p>
        </w:tc>
      </w:tr>
    </w:tbl>
    <w:p>
      <w:pPr>
        <w:spacing w:after="0" w:line="1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coin or currency of the United States of America as at the time of payment is legal tender for public and private debts, and to pay to the registered owner hereof interest thereon in like coin or currency (computed on the basis of a 360day year of twelve 30day months) at the rate of three and eighteen-hundredths percent (3.18%) per annum semiannually on __________ and __________ of each year commencing _______, 202_ until the principal thereof</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shall have become due and payable and at the rate of five and eighteen-hundredths percent (5.18%) per annum on any overdue payment of principal or premium, if any, and, to the extent enforceable under applicable law, on any overdue payment of interest. The principal hereof (and premium, if any) and interest hereon shall be paid at the office or agency of the Company in the City of St. Paul, Minnesota, or the office of the Company in Superior, Wisconsin or as shall be otherwise agreed to pursuant to the provisions of the Fifteenth Supplemental Indenture hereinafter referred to.</w:t>
      </w:r>
    </w:p>
    <w:p>
      <w:pPr>
        <w:spacing w:after="0" w:line="2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This bond is one of an issue of bonds of the Company issuable in series and is one of a series designated the First Mortgage Bonds, 3.18% Series due July 17, 2051 (the </w:t>
      </w:r>
      <w:r>
        <w:rPr>
          <w:rFonts w:ascii="Arial" w:cs="Arial" w:eastAsia="Arial" w:hAnsi="Arial"/>
          <w:sz w:val="16"/>
          <w:szCs w:val="16"/>
          <w:i w:val="1"/>
          <w:iCs w:val="1"/>
          <w:color w:val="auto"/>
        </w:rPr>
        <w:t>“Bonds of the Fourteenth Series”</w:t>
      </w:r>
      <w:r>
        <w:rPr>
          <w:rFonts w:ascii="Arial" w:cs="Arial" w:eastAsia="Arial" w:hAnsi="Arial"/>
          <w:sz w:val="16"/>
          <w:szCs w:val="16"/>
          <w:color w:val="auto"/>
        </w:rPr>
        <w:t xml:space="preserve">) created by the Fifteenth Supplemental Indenture dated as of June 14, 2021 executed by the Company to U.S. Bank National Association (successor Trustee to Chemical Bank and Peter Morse), as Trustee, all bonds of all series being issued and to be issued under and equally secured by a Mortgage and Deed of Trust (herein, together with any indentures supplemental thereto, called the </w:t>
      </w:r>
      <w:r>
        <w:rPr>
          <w:rFonts w:ascii="Arial" w:cs="Arial" w:eastAsia="Arial" w:hAnsi="Arial"/>
          <w:sz w:val="16"/>
          <w:szCs w:val="16"/>
          <w:i w:val="1"/>
          <w:iCs w:val="1"/>
          <w:color w:val="auto"/>
        </w:rPr>
        <w:t>“Mortgage”</w:t>
      </w:r>
      <w:r>
        <w:rPr>
          <w:rFonts w:ascii="Arial" w:cs="Arial" w:eastAsia="Arial" w:hAnsi="Arial"/>
          <w:sz w:val="16"/>
          <w:szCs w:val="16"/>
          <w:color w:val="auto"/>
        </w:rPr>
        <w:t>), dated as of March 1, 1943, executed by the Company to Chemical Bank &amp; Trust Company and Howard B. Smith, as Trustees (U.S. Bank National Association, successor Trustee). Reference is made to the Mortgage for a description of the property mortgaged and pledged, the nature and extent of the security, the rights of the holders of the bonds and of the Trustee in respect thereof, the duties and immunities of the Trustee and terms and conditions upon which the bonds are and are to be secured and the circumstances under which additional bonds may be issued.</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With the consent of the Company and to the extent permitted by and as provided in the Mortgage, the rights and obligations of the Company and/or the rights of the holders of the bonds and/or coupons and/or the terms and provisions of the Mortgage may be modified or altered by affirmative vote of the holders of at least seventy per centum (70%) in principal amount of the bonds then outstanding under the Mortgage and, if the rights of the holders of one or more, but less than all, series of bonds then outstanding are to be affected, then also by affirmative vote of the holders of at least seventy per centum (70%) in principal amount of the bonds then outstanding of each series of bonds so to be affected (excluding in any case bonds disqualified from voting by reason of the Company's interest therein as provided in the Mortgage); provided that, without the consent of the holder hereof, no such modification or alteration shall, among other things, impair or affect the right of the holder to receive payment of the principal of (and premium, if any) and interest on this bond, on or after the respective due dates and at the places and in the respective amounts expressed herein, or permit the creation of any lien equal or prior to the lien of the Mortgage or deprive the holder of the benefit of a lien on the mortgaged and pledged property, or give any bond or bonds secured by the Mortgage any preference over any other bond or bonds so secured, or reduce the percentage in principal amount of the bonds required to authorize or consent to any such modification or alteration of the Mortgage.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40"/>
          </w:cols>
          <w:pgMar w:left="320" w:top="118" w:right="339" w:bottom="1440" w:gutter="0" w:footer="0" w:header="0"/>
        </w:sectPr>
      </w:pPr>
    </w:p>
    <w:bookmarkStart w:id="99" w:name="page100"/>
    <w:bookmarkEnd w:id="99"/>
    <w:p>
      <w:pPr>
        <w:spacing w:after="0" w:line="23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Bonds of the Fourteenth Series may be redeemed prior to maturity, in whole at any time or in part (in multiples of $500,000) from time to time, at the option of the Company, or by the application (either at the option of the Company or pursuant to the requirements of the Mortgage) of cash delivered to or deposited with the Trustee pursuant to the provisions of Section 39, Section 55, Section 61, Section 64 or Section 118 of the Mortgage or with the Proceeds of Released Property (as defined in said Fifteenth Supplemental Indenture), in any such case at 100% of the principal amount to be so redeemed, plus accrued interest thereon to the redemption date together with a premium equal to the MakeWhole Amount (as defined in said Fifteenth Supplemental Indenture), if any, with respect to the Bonds of the Fourteenth Series, being redeemed.</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Notice of any redemption of the Bonds of the Fourteenth Series shall be given by mail at least 30 days prior to the redemption date, all as more fully provided in said Fifteenth Supplemental Indenture and the Mortgage. Notice of redemption having been duly given, the Bonds of the Fourteenth Series called for redemption shall become due and payable upon the redemption date, and if the redemption price shall have been deposited with the Trustee, interest thereon shall cease to accrue on and after the redemption date (unless such bonds shall have been properly presented for payment on, or within one year after, the redemption date and shall not have been paid) and on the redemption date or whenever thereafter the redemption price thereof shall have been deposited with the Trustee such bonds shall no longer be entitled to the lien of the Mortgage.</w:t>
      </w: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principal hereof may be declared or may become due prior to the maturity date hereinbefore named on the conditions, in the manner and at the time set forth in the Mortgage, upon the occurrence of a default as in the Mortgage provided.</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bond is transferable as prescribed in the Mortgage by the registered owner hereof in person, or by its duly authorized attorney, at the office or agency of the Company in the City of St. Paul, Minnesota or the office of the Company in Superior, Wisconsin upon surrender hereof for cancellation, together with a written instrument of transfer in form approved by the Company duly executed by the registered owner hereof or by its duly authorized attorney, and thereupon a new fully registered bond or bonds of the same series for a like principal amount will be issued to the transferee in exchange herefor as provided in the Mortgage. This bond may, at the option of the registered owner hereof and upon surrender hereof for cancellation at such office or agency, be exchanged as prescribed in the Mortgage for other registered bonds of the same series of other authorized denominations having a like aggregate principal amount. No charge will be made by the Company for any transfer or exchange of this bond or, in case this bond shall be lost, destroyed or mutilated, the issuance, authentication and delivery of a new bond in substitution hereof. The Company and the Trustee may deem and treat the person in whose name this bond is registered as the absolute owner hereof for the purpose of receiving payment and for all other purposes and neither the Company nor the Trustee shall be affected by any notice to the contrary.</w:t>
      </w:r>
    </w:p>
    <w:p>
      <w:pPr>
        <w:spacing w:after="0" w:line="2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provided in the Mortgage, the Company shall not be required to make transfers or exchanges of bonds of any series for a period of ten (10) days next preceding any interest payment date for bonds of said series, or next preceding any designation of bonds of said series to be redeemed, and the Company shall not be required to make transfers or exchanges of any bonds designated in whole or in part for redemption.</w:t>
      </w:r>
    </w:p>
    <w:p>
      <w:pPr>
        <w:spacing w:after="0" w:line="2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recourse shall be had for the payment of the principal of or interest on this bond against any incorporator or any past, present or future subscriber to the capital stock, stockholder, officer, or director of the Company or of any predecessor or successor corporation, as such, either directly or through the Company or any predecessor of successor corporation, under any rule of law, statute, or constitution or by the enforcement of any assessment or otherwise, all such liability of incorporators, subscribers, stockholders, officers, and directors being released by the holder or owner hereof by the acceptance of this bond and being likewise waived and released by the terms of the Mortgage.</w:t>
      </w:r>
    </w:p>
    <w:p>
      <w:pPr>
        <w:spacing w:after="0" w:line="22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bond shall not become obligatory until U.S. Bank National Association, the Trustee under the Mortgage, or its successor thereunder, shall have signed the form of authentication certificate endorsed 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3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WITNESS WHEREOF, SUPERIOR WATER, LIGHT AND POWER COMPANY has caused this bond to be signed in its corporate name by its President or one of its Vice-Presidents and its Treasurer and its corporate seal to be impressed or imprinted hereon and attested by its Secretary or one of</w:t>
      </w:r>
    </w:p>
    <w:p>
      <w:pPr>
        <w:spacing w:after="0"/>
        <w:tabs>
          <w:tab w:leader="none" w:pos="2500" w:val="left"/>
        </w:tabs>
        <w:rPr>
          <w:sz w:val="20"/>
          <w:szCs w:val="20"/>
          <w:color w:val="auto"/>
        </w:rPr>
      </w:pPr>
      <w:r>
        <w:rPr>
          <w:rFonts w:ascii="Arial" w:cs="Arial" w:eastAsia="Arial" w:hAnsi="Arial"/>
          <w:sz w:val="18"/>
          <w:szCs w:val="18"/>
          <w:color w:val="auto"/>
        </w:rPr>
        <w:t>its Assistant Secretaries on</w:t>
      </w:r>
      <w:r>
        <w:rPr>
          <w:sz w:val="20"/>
          <w:szCs w:val="20"/>
          <w:color w:val="auto"/>
        </w:rPr>
        <w:tab/>
      </w:r>
      <w:r>
        <w:rPr>
          <w:rFonts w:ascii="Arial" w:cs="Arial" w:eastAsia="Arial" w:hAnsi="Arial"/>
          <w:sz w:val="16"/>
          <w:szCs w:val="16"/>
          <w:color w:val="auto"/>
        </w:rPr>
        <w:t>, 20____.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1261745</wp:posOffset>
            </wp:positionH>
            <wp:positionV relativeFrom="paragraph">
              <wp:posOffset>-19050</wp:posOffset>
            </wp:positionV>
            <wp:extent cx="3429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1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SUPERIOR WATER, LIGHT AND POWER</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8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8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_____________________</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240"/>
          </w:cols>
          <w:pgMar w:left="320" w:top="1440" w:right="339" w:bottom="1440" w:gutter="0" w:footer="0" w:header="0"/>
        </w:sectPr>
      </w:pPr>
    </w:p>
    <w:bookmarkStart w:id="101" w:name="page102"/>
    <w:bookmarkEnd w:id="101"/>
    <w:p>
      <w:pPr>
        <w:ind w:left="3140"/>
        <w:spacing w:after="0"/>
        <w:rPr>
          <w:sz w:val="20"/>
          <w:szCs w:val="20"/>
          <w:color w:val="auto"/>
        </w:rPr>
      </w:pPr>
      <w:r>
        <w:rPr>
          <w:rFonts w:ascii="Arial" w:cs="Arial" w:eastAsia="Arial" w:hAnsi="Arial"/>
          <w:sz w:val="18"/>
          <w:szCs w:val="18"/>
          <w:b w:val="1"/>
          <w:bCs w:val="1"/>
          <w:color w:val="auto"/>
        </w:rPr>
        <w:t>[FORM OF TRUSTEE'S AUTHENTICATION CERTIFICATE]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This bond is one of the bonds, of the series herein designated, described or provided for in the within-mentioned Mortgage.</w:t>
      </w:r>
    </w:p>
    <w:p>
      <w:pPr>
        <w:spacing w:after="0" w:line="200" w:lineRule="exact"/>
        <w:rPr>
          <w:sz w:val="20"/>
          <w:szCs w:val="20"/>
          <w:color w:val="auto"/>
        </w:rPr>
      </w:pPr>
    </w:p>
    <w:p>
      <w:pPr>
        <w:spacing w:after="0" w:line="31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as Trustee</w:t>
      </w:r>
    </w:p>
    <w:p>
      <w:pPr>
        <w:spacing w:after="0" w:line="23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0139"/>
          </w:cols>
          <w:pgMar w:left="320" w:top="1417" w:right="1440" w:bottom="1440" w:gutter="0" w:footer="0" w:header="0"/>
        </w:sectPr>
      </w:pPr>
    </w:p>
    <w:bookmarkStart w:id="102" w:name="page103"/>
    <w:bookmarkEnd w:id="102"/>
    <w:p>
      <w:pPr>
        <w:jc w:val="right"/>
        <w:spacing w:after="0"/>
        <w:rPr>
          <w:sz w:val="20"/>
          <w:szCs w:val="20"/>
          <w:color w:val="auto"/>
        </w:rPr>
      </w:pPr>
      <w:r>
        <w:rPr>
          <w:rFonts w:ascii="Arial" w:cs="Arial" w:eastAsia="Arial" w:hAnsi="Arial"/>
          <w:sz w:val="22"/>
          <w:szCs w:val="22"/>
          <w:color w:val="auto"/>
        </w:rPr>
        <w:t>Exhibit 4B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B</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IRREVOCABLE BOND POWER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SUPERIOR WATER, LIGHT AND POWER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MORTGAGE BOND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3.18% SERIES DUE JULY 17, 2051</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VALUE RECEIVED, ___________________________________ do___ hereby sell, assign and transfer unto _________________________</w:t>
      </w:r>
    </w:p>
    <w:p>
      <w:pPr>
        <w:spacing w:after="0" w:line="46" w:lineRule="exact"/>
        <w:rPr>
          <w:sz w:val="20"/>
          <w:szCs w:val="20"/>
          <w:color w:val="auto"/>
        </w:rPr>
      </w:pPr>
    </w:p>
    <w:p>
      <w:pPr>
        <w:spacing w:after="0"/>
        <w:tabs>
          <w:tab w:leader="none" w:pos="400" w:val="left"/>
          <w:tab w:leader="none" w:pos="900" w:val="left"/>
          <w:tab w:leader="none" w:pos="1760" w:val="left"/>
          <w:tab w:leader="none" w:pos="2300" w:val="left"/>
          <w:tab w:leader="none" w:pos="2920" w:val="left"/>
          <w:tab w:leader="none" w:pos="3520" w:val="left"/>
          <w:tab w:leader="none" w:pos="3940" w:val="left"/>
          <w:tab w:leader="none" w:pos="4400" w:val="left"/>
          <w:tab w:leader="none" w:pos="4780" w:val="left"/>
          <w:tab w:leader="none" w:pos="5300" w:val="left"/>
          <w:tab w:leader="none" w:pos="5620" w:val="left"/>
          <w:tab w:leader="none" w:pos="6400" w:val="left"/>
          <w:tab w:leader="none" w:pos="7020" w:val="left"/>
          <w:tab w:leader="none" w:pos="7560" w:val="left"/>
          <w:tab w:leader="none" w:pos="7980" w:val="left"/>
          <w:tab w:leader="none" w:pos="8600" w:val="left"/>
          <w:tab w:leader="none" w:pos="9460" w:val="left"/>
          <w:tab w:leader="none" w:pos="9900" w:val="left"/>
          <w:tab w:leader="none" w:pos="11000" w:val="left"/>
        </w:tabs>
        <w:rPr>
          <w:sz w:val="20"/>
          <w:szCs w:val="20"/>
          <w:color w:val="auto"/>
        </w:rPr>
      </w:pPr>
      <w:r>
        <w:rPr>
          <w:rFonts w:ascii="Arial" w:cs="Arial" w:eastAsia="Arial" w:hAnsi="Arial"/>
          <w:sz w:val="18"/>
          <w:szCs w:val="18"/>
          <w:color w:val="auto"/>
        </w:rPr>
        <w:t>one</w:t>
        <w:tab/>
        <w:t>First</w:t>
        <w:tab/>
        <w:t>Mortgage</w:t>
        <w:tab/>
        <w:t>Bond</w:t>
        <w:tab/>
        <w:t>3.18%</w:t>
        <w:tab/>
        <w:t>Series</w:t>
        <w:tab/>
        <w:t>due</w:t>
        <w:tab/>
        <w:t>July</w:t>
        <w:tab/>
        <w:t>17,</w:t>
        <w:tab/>
        <w:t>2051</w:t>
        <w:tab/>
        <w:t>of</w:t>
        <w:tab/>
        <w:t>Superior</w:t>
        <w:tab/>
        <w:t>Water,</w:t>
        <w:tab/>
        <w:t>Light</w:t>
        <w:tab/>
        <w:t>and</w:t>
        <w:tab/>
        <w:t>Power</w:t>
        <w:tab/>
        <w:t>Company</w:t>
        <w:tab/>
        <w:t>(the</w:t>
      </w:r>
      <w:r>
        <w:rPr>
          <w:sz w:val="20"/>
          <w:szCs w:val="20"/>
          <w:color w:val="auto"/>
        </w:rPr>
        <w:tab/>
      </w:r>
      <w:r>
        <w:rPr>
          <w:rFonts w:ascii="Arial" w:cs="Arial" w:eastAsia="Arial" w:hAnsi="Arial"/>
          <w:sz w:val="18"/>
          <w:szCs w:val="18"/>
          <w:i w:val="1"/>
          <w:iCs w:val="1"/>
          <w:color w:val="auto"/>
        </w:rPr>
        <w:t>“Company”</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for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 dollars ($____________), No. ________, standing in __________________ name __________ on the books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and do___ hereby irrevocably constitute and appoint __________________________________ attorney to transfer the said bond on the books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with full power of substitution in the premises.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_________________________  ha___  hereunto  set  ____  hand  ___________  [and  seal  ___________]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 this ____ day of ___________________, 20_____.</w:t>
      </w:r>
    </w:p>
    <w:p>
      <w:pPr>
        <w:spacing w:after="0" w:line="200" w:lineRule="exact"/>
        <w:rPr>
          <w:sz w:val="20"/>
          <w:szCs w:val="20"/>
          <w:color w:val="auto"/>
        </w:rPr>
      </w:pPr>
    </w:p>
    <w:p>
      <w:pPr>
        <w:spacing w:after="0" w:line="281"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______________________________</w:t>
      </w:r>
      <w:r>
        <w:rPr>
          <w:sz w:val="20"/>
          <w:szCs w:val="20"/>
          <w:color w:val="auto"/>
        </w:rPr>
        <w:tab/>
      </w:r>
      <w:r>
        <w:rPr>
          <w:rFonts w:ascii="Arial" w:cs="Arial" w:eastAsia="Arial" w:hAnsi="Arial"/>
          <w:sz w:val="16"/>
          <w:szCs w:val="16"/>
          <w:color w:val="auto"/>
        </w:rPr>
        <w:t>______________________________ [SEAL]</w:t>
      </w:r>
    </w:p>
    <w:p>
      <w:pPr>
        <w:spacing w:after="0" w:line="200" w:lineRule="exact"/>
        <w:rPr>
          <w:sz w:val="20"/>
          <w:szCs w:val="20"/>
          <w:color w:val="auto"/>
        </w:rPr>
      </w:pPr>
    </w:p>
    <w:p>
      <w:pPr>
        <w:spacing w:after="0" w:line="295"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______________________________</w:t>
      </w:r>
      <w:r>
        <w:rPr>
          <w:sz w:val="20"/>
          <w:szCs w:val="20"/>
          <w:color w:val="auto"/>
        </w:rPr>
        <w:tab/>
      </w:r>
      <w:r>
        <w:rPr>
          <w:rFonts w:ascii="Arial" w:cs="Arial" w:eastAsia="Arial" w:hAnsi="Arial"/>
          <w:sz w:val="16"/>
          <w:szCs w:val="16"/>
          <w:color w:val="auto"/>
        </w:rPr>
        <w:t>______________________________ [SEAL]</w:t>
      </w:r>
    </w:p>
    <w:p>
      <w:pPr>
        <w:spacing w:after="0" w:line="200" w:lineRule="exact"/>
        <w:rPr>
          <w:sz w:val="20"/>
          <w:szCs w:val="20"/>
          <w:color w:val="auto"/>
        </w:rPr>
      </w:pPr>
    </w:p>
    <w:p>
      <w:pPr>
        <w:spacing w:after="0" w:line="295"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color w:val="auto"/>
        </w:rPr>
        <w:t>STATE OF ________________</w:t>
        <w:tab/>
        <w:t>)</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SS.</w:t>
      </w:r>
    </w:p>
    <w:p>
      <w:pPr>
        <w:spacing w:after="0" w:line="9"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COUNTY OF ______________</w:t>
        <w:tab/>
        <w:t>)</w:t>
      </w:r>
    </w:p>
    <w:p>
      <w:pPr>
        <w:spacing w:after="0" w:line="251" w:lineRule="exact"/>
        <w:rPr>
          <w:sz w:val="20"/>
          <w:szCs w:val="20"/>
          <w:color w:val="auto"/>
        </w:rPr>
      </w:pPr>
    </w:p>
    <w:p>
      <w:pPr>
        <w:ind w:left="660"/>
        <w:spacing w:after="0"/>
        <w:tabs>
          <w:tab w:leader="none" w:pos="880" w:val="left"/>
          <w:tab w:leader="none" w:pos="3680" w:val="left"/>
          <w:tab w:leader="none" w:pos="3920" w:val="left"/>
          <w:tab w:leader="none" w:pos="4520" w:val="left"/>
          <w:tab w:leader="none" w:pos="5120" w:val="left"/>
          <w:tab w:leader="none" w:pos="5400" w:val="left"/>
          <w:tab w:leader="none" w:pos="5820" w:val="left"/>
          <w:tab w:leader="none" w:pos="6180" w:val="left"/>
          <w:tab w:leader="none" w:pos="6620" w:val="left"/>
          <w:tab w:leader="none" w:pos="7320" w:val="left"/>
          <w:tab w:leader="none" w:pos="7600" w:val="left"/>
          <w:tab w:leader="none" w:pos="7980" w:val="left"/>
          <w:tab w:leader="none" w:pos="8480" w:val="left"/>
          <w:tab w:leader="none" w:pos="9340" w:val="left"/>
          <w:tab w:leader="none" w:pos="9660" w:val="left"/>
          <w:tab w:leader="none" w:pos="10300" w:val="left"/>
          <w:tab w:leader="none" w:pos="109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7"/>
          <w:szCs w:val="17"/>
          <w:color w:val="auto"/>
        </w:rPr>
        <w:t>_____________________________,</w:t>
      </w:r>
      <w:r>
        <w:rPr>
          <w:sz w:val="20"/>
          <w:szCs w:val="20"/>
          <w:color w:val="auto"/>
        </w:rPr>
        <w:tab/>
      </w:r>
      <w:r>
        <w:rPr>
          <w:rFonts w:ascii="Arial" w:cs="Arial" w:eastAsia="Arial" w:hAnsi="Arial"/>
          <w:sz w:val="18"/>
          <w:szCs w:val="18"/>
          <w:color w:val="auto"/>
        </w:rPr>
        <w:t>a</w:t>
        <w:tab/>
        <w:t>notary</w:t>
        <w:tab/>
        <w:t>public</w:t>
        <w:tab/>
        <w:t>in</w:t>
        <w:tab/>
        <w:t>and</w:t>
        <w:tab/>
        <w:t>for</w:t>
        <w:tab/>
        <w:t>said</w:t>
        <w:tab/>
        <w:t>County,</w:t>
        <w:tab/>
        <w:t>in</w:t>
        <w:tab/>
        <w:t>the</w:t>
        <w:tab/>
        <w:t>State</w:t>
        <w:tab/>
        <w:t>aforesaid,</w:t>
        <w:tab/>
        <w:t>do</w:t>
        <w:tab/>
        <w:t>hereby</w:t>
        <w:tab/>
        <w:t>certify,</w:t>
      </w:r>
      <w:r>
        <w:rPr>
          <w:sz w:val="20"/>
          <w:szCs w:val="20"/>
          <w:color w:val="auto"/>
        </w:rPr>
        <w:tab/>
      </w:r>
      <w:r>
        <w:rPr>
          <w:rFonts w:ascii="Arial" w:cs="Arial" w:eastAsia="Arial" w:hAnsi="Arial"/>
          <w:sz w:val="16"/>
          <w:szCs w:val="16"/>
          <w:color w:val="auto"/>
        </w:rPr>
        <w:t>that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who _____ personally known to me to be the same person__ whose name__ _____ subscribed to the foregoing instrument, appeared before me this day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 and acknowledged that ___________________________ signed, sealed and delivered the said instrument as _______ free and voluntary act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use and purposes therein set forth.</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Given under my hand and official seal this ____ day of _______________, 20_____.</w:t>
      </w:r>
    </w:p>
    <w:p>
      <w:pPr>
        <w:spacing w:after="0" w:line="200" w:lineRule="exact"/>
        <w:rPr>
          <w:sz w:val="20"/>
          <w:szCs w:val="20"/>
          <w:color w:val="auto"/>
        </w:rPr>
      </w:pPr>
    </w:p>
    <w:p>
      <w:pPr>
        <w:spacing w:after="0" w:line="26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Notary Public</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My Commission Expires _______________</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Arial" w:cs="Arial" w:eastAsia="Arial" w:hAnsi="Arial"/>
          <w:sz w:val="19"/>
          <w:szCs w:val="19"/>
          <w:color w:val="auto"/>
        </w:rPr>
        <w:t>B-1</w:t>
      </w:r>
    </w:p>
    <w:p>
      <w:pPr>
        <w:sectPr>
          <w:pgSz w:w="11900" w:h="16838" w:orient="portrait"/>
          <w:cols w:equalWidth="0" w:num="1">
            <w:col w:w="11240"/>
          </w:cols>
          <w:pgMar w:left="320" w:top="118" w:right="339" w:bottom="1440" w:gutter="0" w:footer="0" w:header="0"/>
          <w:type w:val="continuous"/>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Bethany M. Owen, of ALLETE, Inc. (ALLETE), certify that:</w:t>
      </w:r>
    </w:p>
    <w:p>
      <w:pPr>
        <w:spacing w:after="0" w:line="252"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2021, of ALLETE;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August 4, 2021</w:t>
            </w:r>
          </w:p>
        </w:tc>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Bethany M. Owen</w:t>
            </w:r>
          </w:p>
        </w:tc>
      </w:tr>
      <w:tr>
        <w:trPr>
          <w:trHeight w:val="222"/>
        </w:trPr>
        <w:tc>
          <w:tcPr>
            <w:tcW w:w="4420" w:type="dxa"/>
            <w:vAlign w:val="bottom"/>
          </w:tcPr>
          <w:p>
            <w:pPr>
              <w:spacing w:after="0"/>
              <w:rPr>
                <w:sz w:val="19"/>
                <w:szCs w:val="19"/>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Bethany M. Owen</w:t>
            </w:r>
          </w:p>
        </w:tc>
      </w:tr>
      <w:tr>
        <w:trPr>
          <w:trHeight w:val="230"/>
        </w:trPr>
        <w:tc>
          <w:tcPr>
            <w:tcW w:w="4420" w:type="dxa"/>
            <w:vAlign w:val="bottom"/>
          </w:tcPr>
          <w:p>
            <w:pPr>
              <w:spacing w:after="0"/>
              <w:rPr>
                <w:sz w:val="20"/>
                <w:szCs w:val="20"/>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Chair, President and Chief Executive Officer</w:t>
            </w:r>
          </w:p>
        </w:tc>
      </w:tr>
    </w:tbl>
    <w:p>
      <w:pPr>
        <w:sectPr>
          <w:pgSz w:w="11900" w:h="16838" w:orient="portrait"/>
          <w:cols w:equalWidth="0" w:num="1">
            <w:col w:w="11240"/>
          </w:cols>
          <w:pgMar w:left="320" w:top="89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Robert J. Adams, of ALLETE, Inc. (ALLETE), certify that:</w:t>
      </w:r>
    </w:p>
    <w:p>
      <w:pPr>
        <w:spacing w:after="0" w:line="252"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2021, of ALLETE;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August 4, 2021</w:t>
            </w:r>
          </w:p>
        </w:tc>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J. Adams</w:t>
            </w:r>
          </w:p>
        </w:tc>
      </w:tr>
      <w:tr>
        <w:trPr>
          <w:trHeight w:val="222"/>
        </w:trPr>
        <w:tc>
          <w:tcPr>
            <w:tcW w:w="40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Robert J. Adams</w:t>
            </w:r>
          </w:p>
        </w:tc>
      </w:tr>
      <w:tr>
        <w:trPr>
          <w:trHeight w:val="230"/>
        </w:trPr>
        <w:tc>
          <w:tcPr>
            <w:tcW w:w="4020" w:type="dxa"/>
            <w:vAlign w:val="bottom"/>
          </w:tcPr>
          <w:p>
            <w:pPr>
              <w:spacing w:after="0"/>
              <w:rPr>
                <w:sz w:val="20"/>
                <w:szCs w:val="20"/>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89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97" w:lineRule="exact"/>
        <w:rPr>
          <w:sz w:val="20"/>
          <w:szCs w:val="20"/>
          <w:color w:val="auto"/>
        </w:rPr>
      </w:pPr>
    </w:p>
    <w:p>
      <w:pPr>
        <w:ind w:left="660" w:right="20" w:hanging="328"/>
        <w:spacing w:after="0" w:line="258"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June 30, 2021,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4, 2021</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Bethany M. 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14605</wp:posOffset>
            </wp:positionV>
            <wp:extent cx="37458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Bethany M. Owen</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Chair,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4, 2021</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14605</wp:posOffset>
            </wp:positionV>
            <wp:extent cx="37458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Robert J. Adams</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95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34" w:lineRule="exact"/>
        <w:rPr>
          <w:sz w:val="20"/>
          <w:szCs w:val="20"/>
          <w:color w:val="auto"/>
        </w:rPr>
      </w:pPr>
    </w:p>
    <w:tbl>
      <w:tblPr>
        <w:tblLayout w:type="fixed"/>
        <w:tblInd w:w="30" w:type="dxa"/>
        <w:tblCellMar>
          <w:top w:w="0" w:type="dxa"/>
          <w:left w:w="0" w:type="dxa"/>
          <w:bottom w:w="0" w:type="dxa"/>
          <w:right w:w="0" w:type="dxa"/>
        </w:tblCellMar>
      </w:tblPr>
      <w:tr>
        <w:trPr>
          <w:trHeight w:val="621"/>
        </w:trPr>
        <w:tc>
          <w:tcPr>
            <w:tcW w:w="1240" w:type="dxa"/>
            <w:vAlign w:val="bottom"/>
            <w:tcBorders>
              <w:top w:val="single" w:sz="8" w:color="auto"/>
              <w:left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70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Received</w:t>
            </w:r>
          </w:p>
        </w:tc>
        <w:tc>
          <w:tcPr>
            <w:tcW w:w="94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Notice of</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Received</w:t>
            </w:r>
          </w:p>
        </w:tc>
        <w:tc>
          <w:tcPr>
            <w:tcW w:w="8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Total</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2"/>
              </w:rPr>
              <w:t>Pattern of</w:t>
            </w:r>
          </w:p>
        </w:tc>
        <w:tc>
          <w:tcPr>
            <w:tcW w:w="94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Legal</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Legal</w:t>
            </w: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Mine or Operating</w:t>
            </w: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6"/>
              </w:rPr>
              <w:t>Violation</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Notice of</w:t>
            </w:r>
          </w:p>
        </w:tc>
        <w:tc>
          <w:tcPr>
            <w:tcW w:w="84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Legal Actions</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vMerge w:val="continue"/>
          </w:tcPr>
          <w:p>
            <w:pPr>
              <w:spacing w:after="0"/>
              <w:rPr>
                <w:sz w:val="11"/>
                <w:szCs w:val="11"/>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Section 104</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8"/>
              </w:rPr>
              <w:t>104(d)</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Section</w:t>
            </w:r>
          </w:p>
        </w:tc>
        <w:tc>
          <w:tcPr>
            <w:tcW w:w="104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Number of</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Under</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Potential to</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Actions</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Actions</w:t>
            </w:r>
          </w:p>
        </w:tc>
        <w:tc>
          <w:tcPr>
            <w:tcW w:w="8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Name/MSHA</w:t>
            </w:r>
          </w:p>
        </w:tc>
        <w:tc>
          <w:tcPr>
            <w:tcW w:w="78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Citations</w:t>
            </w:r>
          </w:p>
        </w:tc>
        <w:tc>
          <w:tcPr>
            <w:tcW w:w="86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Mining</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Section</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2"/>
              </w:rPr>
              <w:t>Have Pattern</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1"/>
              </w:rPr>
              <w:t>Pending as of</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Initiated</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89"/>
              </w:rPr>
              <w:t>Resolved</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9"/>
              </w:rPr>
              <w:t>Identification</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9"/>
              </w:rPr>
              <w:t>S&amp;S</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3"/>
              </w:rPr>
              <w:t>104(b)</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1"/>
              </w:rPr>
              <w:t>and Orders</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3"/>
              </w:rPr>
              <w:t>110(b)(2)</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1"/>
              </w:rPr>
              <w:t>Related</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88"/>
              </w:rPr>
              <w:t>104(e)</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Under Section</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Last Day of</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During</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6"/>
              </w:rPr>
              <w:t>During</w:t>
            </w:r>
          </w:p>
        </w:tc>
        <w:tc>
          <w:tcPr>
            <w:tcW w:w="0" w:type="dxa"/>
            <w:vAlign w:val="bottom"/>
          </w:tcPr>
          <w:p>
            <w:pPr>
              <w:spacing w:after="0"/>
              <w:rPr>
                <w:sz w:val="1"/>
                <w:szCs w:val="1"/>
                <w:color w:val="auto"/>
              </w:rPr>
            </w:pPr>
          </w:p>
        </w:tc>
      </w:tr>
      <w:tr>
        <w:trPr>
          <w:trHeight w:val="186"/>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Number</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Violations (#)</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Fatalities (#)</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104(e) (yes/no)</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0" w:type="dxa"/>
            <w:vAlign w:val="bottom"/>
          </w:tcPr>
          <w:p>
            <w:pPr>
              <w:spacing w:after="0"/>
              <w:rPr>
                <w:sz w:val="1"/>
                <w:szCs w:val="1"/>
                <w:color w:val="auto"/>
              </w:rPr>
            </w:pPr>
          </w:p>
        </w:tc>
      </w:tr>
      <w:tr>
        <w:trPr>
          <w:trHeight w:val="132"/>
        </w:trPr>
        <w:tc>
          <w:tcPr>
            <w:tcW w:w="1240" w:type="dxa"/>
            <w:vAlign w:val="bottom"/>
            <w:tcBorders>
              <w:left w:val="single" w:sz="8" w:color="auto"/>
              <w:right w:val="single" w:sz="8" w:color="auto"/>
            </w:tcBorders>
          </w:tcPr>
          <w:p>
            <w:pPr>
              <w:jc w:val="center"/>
              <w:spacing w:after="0" w:line="132" w:lineRule="exact"/>
              <w:rPr>
                <w:sz w:val="20"/>
                <w:szCs w:val="20"/>
                <w:color w:val="auto"/>
              </w:rPr>
            </w:pPr>
            <w:r>
              <w:rPr>
                <w:rFonts w:ascii="Arial" w:cs="Arial" w:eastAsia="Arial" w:hAnsi="Arial"/>
                <w:sz w:val="14"/>
                <w:szCs w:val="14"/>
                <w:color w:val="auto"/>
                <w:w w:val="95"/>
              </w:rPr>
              <w:t>Center Mine /</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0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10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8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June 30, 2021, BNI Energy, owner of Center Mine, received five citations under Section 104(a) of the Mine Safety Act, none were significant and substantial (S&amp;S) citations. For the six months ended June 30, 2021, BNI Energy paid $416 in penalties for citations closed during the period. For the six months ended June 30, 2021, there were no citations, orders, violations or notices under Sections 104(b), 104(d), 107(a), 104(e) or 110(b)(2) of the Mine Safety Act and there were no fatalities.</w:t>
      </w:r>
    </w:p>
    <w:p>
      <w:pPr>
        <w:sectPr>
          <w:pgSz w:w="11900" w:h="16838" w:orient="portrait"/>
          <w:cols w:equalWidth="0" w:num="1">
            <w:col w:w="11240"/>
          </w:cols>
          <w:pgMar w:left="320" w:top="891" w:right="339" w:bottom="1440"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680085</wp:posOffset>
            </wp:positionV>
            <wp:extent cx="1371600" cy="6254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Arial" w:cs="Arial" w:eastAsia="Arial" w:hAnsi="Arial"/>
          <w:sz w:val="81"/>
          <w:szCs w:val="81"/>
          <w:b w:val="1"/>
          <w:bCs w:val="1"/>
          <w:i w:val="1"/>
          <w:iCs w:val="1"/>
          <w:color w:val="auto"/>
        </w:rPr>
        <w:t>NEWS</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Arial" w:cs="Arial" w:eastAsia="Arial" w:hAnsi="Arial"/>
          <w:sz w:val="18"/>
          <w:szCs w:val="18"/>
          <w:color w:val="auto"/>
        </w:rPr>
        <w:t>Exhibit 99</w:t>
      </w:r>
    </w:p>
    <w:p>
      <w:pPr>
        <w:spacing w:after="0" w:line="36"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For Release:</w:t>
      </w:r>
      <w:r>
        <w:rPr>
          <w:sz w:val="20"/>
          <w:szCs w:val="20"/>
          <w:color w:val="auto"/>
        </w:rPr>
        <w:tab/>
      </w:r>
      <w:r>
        <w:rPr>
          <w:rFonts w:ascii="Arial" w:cs="Arial" w:eastAsia="Arial" w:hAnsi="Arial"/>
          <w:sz w:val="16"/>
          <w:szCs w:val="16"/>
          <w:color w:val="auto"/>
        </w:rPr>
        <w:t>August 4, 2021</w:t>
      </w:r>
    </w:p>
    <w:p>
      <w:pPr>
        <w:spacing w:after="0" w:line="279"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Investor Contact:</w:t>
      </w:r>
      <w:r>
        <w:rPr>
          <w:sz w:val="20"/>
          <w:szCs w:val="20"/>
          <w:color w:val="auto"/>
        </w:rPr>
        <w:tab/>
      </w:r>
      <w:r>
        <w:rPr>
          <w:rFonts w:ascii="Arial" w:cs="Arial" w:eastAsia="Arial" w:hAnsi="Arial"/>
          <w:sz w:val="16"/>
          <w:szCs w:val="16"/>
          <w:color w:val="auto"/>
        </w:rPr>
        <w:t>Vince Meyer</w:t>
      </w:r>
    </w:p>
    <w:p>
      <w:pPr>
        <w:spacing w:after="0" w:line="6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218-723-3952</w:t>
      </w:r>
    </w:p>
    <w:p>
      <w:pPr>
        <w:spacing w:after="0" w:line="7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vmeyer@allete.com</w:t>
      </w:r>
    </w:p>
    <w:p>
      <w:pPr>
        <w:spacing w:after="0" w:line="794" w:lineRule="exact"/>
        <w:rPr>
          <w:sz w:val="20"/>
          <w:szCs w:val="20"/>
          <w:color w:val="auto"/>
        </w:rPr>
      </w:pPr>
    </w:p>
    <w:p>
      <w:pPr>
        <w:sectPr>
          <w:pgSz w:w="11900" w:h="16838" w:orient="portrait"/>
          <w:cols w:equalWidth="0" w:num="2">
            <w:col w:w="6440" w:space="720"/>
            <w:col w:w="4080"/>
          </w:cols>
          <w:pgMar w:left="320" w:top="1003" w:right="3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ALLETE, Inc. reports second quarter earnings of 53 cents per share</w:t>
      </w:r>
    </w:p>
    <w:p>
      <w:pPr>
        <w:spacing w:after="0" w:line="259" w:lineRule="exact"/>
        <w:rPr>
          <w:sz w:val="20"/>
          <w:szCs w:val="20"/>
          <w:color w:val="auto"/>
        </w:rPr>
      </w:pPr>
    </w:p>
    <w:p>
      <w:pPr>
        <w:ind w:right="200"/>
        <w:spacing w:after="0" w:line="269" w:lineRule="auto"/>
        <w:rPr>
          <w:sz w:val="20"/>
          <w:szCs w:val="20"/>
          <w:color w:val="auto"/>
        </w:rPr>
      </w:pPr>
      <w:r>
        <w:rPr>
          <w:rFonts w:ascii="Arial" w:cs="Arial" w:eastAsia="Arial" w:hAnsi="Arial"/>
          <w:sz w:val="19"/>
          <w:szCs w:val="19"/>
          <w:color w:val="auto"/>
        </w:rPr>
        <w:t>DULUTH, Minn. - ALLETE, Inc. (NYSE: ALE) today reported second quarter 2021 earnings of 53 cents per share on net income of $27.9 million. Last year’s results were 39 cents per share on net income of $20.1 million. Results in the second quarter of 2020 included an $8.3 million after tax-charge, or 16 cents per share, for the Minnesota Power rate case resolution.</w:t>
      </w:r>
    </w:p>
    <w:p>
      <w:pPr>
        <w:spacing w:after="0" w:line="197"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“We are encouraged by the healthy production rebound of Minnesota Power’s taconite customers,” said ALLETE Chair, President and CEO Bethany Owen. “Electric sales to these industrial customers have been robust so far in 2021, and we anticipate continued strength through the remainder of the year, as evidenced by the positive steel industry outlook. Our other businesses generally performed within expectations for the quarter.”</w:t>
      </w:r>
    </w:p>
    <w:p>
      <w:pPr>
        <w:spacing w:after="0" w:line="218"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ALLETE’s Regulated Operations segment, which includes Minnesota Power, Superior Water, Light and Power and the Company’s investment in the American Transmission Co., recorded net income of $21.5 million, compared to $11.1 million in the second quarter of 2020 which included the rate case resolution impact. Second quarter 2021 earnings reflect higher net income at Minnesota Power primarily due to higher kilowatt-hour sales to commercial and municipal customers, higher cost recovery rider revenue and positive income tax expense timing impacts. These increases were offset by lower power market sales due to the expiration of a related contract, higher operating and maintenance expense and higher property tax expense.</w:t>
      </w:r>
    </w:p>
    <w:p>
      <w:pPr>
        <w:spacing w:after="0" w:line="223" w:lineRule="exact"/>
        <w:rPr>
          <w:sz w:val="20"/>
          <w:szCs w:val="20"/>
          <w:color w:val="auto"/>
        </w:rPr>
      </w:pPr>
    </w:p>
    <w:p>
      <w:pPr>
        <w:ind w:right="440"/>
        <w:spacing w:after="0" w:line="287" w:lineRule="auto"/>
        <w:rPr>
          <w:sz w:val="20"/>
          <w:szCs w:val="20"/>
          <w:color w:val="auto"/>
        </w:rPr>
      </w:pPr>
      <w:r>
        <w:rPr>
          <w:rFonts w:ascii="Arial" w:cs="Arial" w:eastAsia="Arial" w:hAnsi="Arial"/>
          <w:sz w:val="19"/>
          <w:szCs w:val="19"/>
          <w:color w:val="auto"/>
        </w:rPr>
        <w:t>ALLETE Clean Energy recorded second quarter 2021 net income of $5.1 million compared to $4.0 million in 2020. Net income in 2021 reflects earnings from the Diamond Spring wind energy facility which commenced operations in December 2020.</w:t>
      </w:r>
    </w:p>
    <w:p>
      <w:pPr>
        <w:spacing w:after="0" w:line="179"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Corporate and Other businesses, which include BNI Energy and ALLETE Properties, recorded net income of $1.3 million in 2021 compared to net income of $5.0 million in 2020. Net income in 2021 included lower earnings from marketable equity securities held in certain benefit trusts and additional income tax expense which varies quarter to quarter based on an estimated annual effective tax rate. These decreases were partially offset by earnings from our investment in Nobles 2 which commenced operations in December 2020.</w:t>
      </w:r>
    </w:p>
    <w:p>
      <w:pPr>
        <w:spacing w:after="0" w:line="188"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“For the quarter, our consolidated financial results are similar to those in 2020, excluding the 2020 second quarter rate case resolution impact,” said ALLETE Senior Vice President and Chief Financial Officer Bob Adams. “ALLETE’s 2021 full year results are expected to be in the range of $3.00 to $3.30 per share, on a consolidated basis. As expressed earlier this year, we view the current year as transitional, with key growth positioning initiatives underway in support of higher earnings in 2022 and beyond.”</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Webcast on August 4, 2021; conference call slides posted on company website</w:t>
      </w:r>
    </w:p>
    <w:p>
      <w:pPr>
        <w:spacing w:after="0" w:line="249"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ALLETE’s earnings conference call will be at 10:00 a.m. (EST), August 4, 2021, at which time management will discuss the second quarter of 2021 financial results. Interested parties may listen live by calling 877-303-5852, pass code 9589033, ten minutes prior to the start time, or may listen to the live audio-only webcast and view supporting slides, which will be available on ALLETE’s Investor Relations website</w:t>
      </w:r>
    </w:p>
    <w:p>
      <w:pPr>
        <w:spacing w:after="0"/>
        <w:rPr>
          <w:sz w:val="20"/>
          <w:szCs w:val="20"/>
          <w:color w:val="auto"/>
        </w:rPr>
      </w:pPr>
      <w:r>
        <w:rPr>
          <w:rFonts w:ascii="Arial" w:cs="Arial" w:eastAsia="Arial" w:hAnsi="Arial"/>
          <w:sz w:val="22"/>
          <w:szCs w:val="22"/>
          <w:u w:val="single" w:color="auto"/>
          <w:color w:val="0563C1"/>
        </w:rPr>
        <w:t>http://investor.allete.com/events-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1 of 4</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ALLETE · 30 West Superior Street, Duluth, Minnesota 55802</w:t>
      </w:r>
    </w:p>
    <w:p>
      <w:pPr>
        <w:sectPr>
          <w:pgSz w:w="11900" w:h="16838" w:orient="portrait"/>
          <w:cols w:equalWidth="0" w:num="1">
            <w:col w:w="11240"/>
          </w:cols>
          <w:pgMar w:left="320" w:top="1003" w:right="339" w:bottom="1440" w:gutter="0" w:footer="0" w:header="0"/>
          <w:type w:val="continuous"/>
        </w:sectPr>
      </w:pPr>
    </w:p>
    <w:bookmarkStart w:id="108" w:name="page109"/>
    <w:bookmarkEnd w:id="108"/>
    <w:p>
      <w:pPr>
        <w:ind w:right="260"/>
        <w:spacing w:after="0" w:line="263" w:lineRule="auto"/>
        <w:rPr>
          <w:sz w:val="20"/>
          <w:szCs w:val="20"/>
          <w:color w:val="auto"/>
        </w:rPr>
      </w:pPr>
      <w:r>
        <w:rPr>
          <w:rFonts w:ascii="Arial" w:cs="Arial" w:eastAsia="Arial" w:hAnsi="Arial"/>
          <w:sz w:val="22"/>
          <w:szCs w:val="22"/>
          <w:u w:val="single" w:color="auto"/>
          <w:color w:val="0563C1"/>
        </w:rPr>
        <w:t>presentations</w:t>
      </w:r>
      <w:r>
        <w:rPr>
          <w:rFonts w:ascii="Arial" w:cs="Arial" w:eastAsia="Arial" w:hAnsi="Arial"/>
          <w:sz w:val="19"/>
          <w:szCs w:val="19"/>
          <w:color w:val="000000"/>
        </w:rPr>
        <w:t>. A replay of the call will be available through August 11, 2021 by calling (855) 859-2056, pass code 9589033. The webcast</w:t>
      </w:r>
      <w:r>
        <w:rPr>
          <w:rFonts w:ascii="Arial" w:cs="Arial" w:eastAsia="Arial" w:hAnsi="Arial"/>
          <w:sz w:val="22"/>
          <w:szCs w:val="22"/>
          <w:color w:val="0563C1"/>
        </w:rPr>
        <w:t xml:space="preserve"> </w:t>
      </w:r>
      <w:r>
        <w:rPr>
          <w:rFonts w:ascii="Arial" w:cs="Arial" w:eastAsia="Arial" w:hAnsi="Arial"/>
          <w:sz w:val="19"/>
          <w:szCs w:val="19"/>
          <w:color w:val="000000"/>
        </w:rPr>
        <w:t xml:space="preserve">will be accessible for one year at </w:t>
      </w:r>
      <w:r>
        <w:rPr>
          <w:rFonts w:ascii="Arial" w:cs="Arial" w:eastAsia="Arial" w:hAnsi="Arial"/>
          <w:sz w:val="21"/>
          <w:szCs w:val="21"/>
          <w:u w:val="single" w:color="auto"/>
          <w:color w:val="0563C1"/>
        </w:rPr>
        <w:t>www.allete.com</w:t>
      </w:r>
      <w:r>
        <w:rPr>
          <w:rFonts w:ascii="Arial" w:cs="Arial" w:eastAsia="Arial" w:hAnsi="Arial"/>
          <w:sz w:val="19"/>
          <w:szCs w:val="19"/>
          <w:color w:val="000000"/>
        </w:rPr>
        <w:t>.</w:t>
      </w:r>
    </w:p>
    <w:p>
      <w:pPr>
        <w:spacing w:after="0" w:line="193"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color w:val="auto"/>
        </w:rPr>
        <w:t>ALLETE is an energy company headquartered in Duluth, Minn. In addition to its electric utilities, Minnesota Power and Superior Water, Light and Power of Wisconsin, ALLETE owns ALLETE Clean Energy, based in Duluth, BNI Energy in Bismarck, N.D., and has an eight</w:t>
      </w:r>
    </w:p>
    <w:p>
      <w:pPr>
        <w:spacing w:after="0"/>
        <w:rPr>
          <w:sz w:val="20"/>
          <w:szCs w:val="20"/>
          <w:color w:val="auto"/>
        </w:rPr>
      </w:pPr>
      <w:r>
        <w:rPr>
          <w:rFonts w:ascii="Arial" w:cs="Arial" w:eastAsia="Arial" w:hAnsi="Arial"/>
          <w:sz w:val="18"/>
          <w:szCs w:val="18"/>
          <w:color w:val="auto"/>
        </w:rPr>
        <w:t xml:space="preserve">percent equity interest in the American Transmission Co. More information about ALLETE is available at www.allete.com. </w:t>
      </w:r>
      <w:r>
        <w:rPr>
          <w:rFonts w:ascii="Arial" w:cs="Arial" w:eastAsia="Arial" w:hAnsi="Arial"/>
          <w:sz w:val="19"/>
          <w:szCs w:val="19"/>
          <w:i w:val="1"/>
          <w:iCs w:val="1"/>
          <w:color w:val="auto"/>
        </w:rPr>
        <w:t>ALE-CORP</w:t>
      </w:r>
    </w:p>
    <w:p>
      <w:pPr>
        <w:spacing w:after="0" w:line="269" w:lineRule="exact"/>
        <w:rPr>
          <w:sz w:val="20"/>
          <w:szCs w:val="20"/>
          <w:color w:val="auto"/>
        </w:rPr>
      </w:pPr>
    </w:p>
    <w:p>
      <w:pPr>
        <w:spacing w:after="0" w:line="265" w:lineRule="auto"/>
        <w:rPr>
          <w:sz w:val="20"/>
          <w:szCs w:val="20"/>
          <w:color w:val="auto"/>
        </w:rPr>
      </w:pPr>
      <w:r>
        <w:rPr>
          <w:rFonts w:ascii="Arial" w:cs="Arial" w:eastAsia="Arial" w:hAnsi="Arial"/>
          <w:sz w:val="21"/>
          <w:szCs w:val="21"/>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202" w:lineRule="exact"/>
        <w:rPr>
          <w:sz w:val="20"/>
          <w:szCs w:val="20"/>
          <w:color w:val="auto"/>
        </w:rPr>
      </w:pPr>
    </w:p>
    <w:p>
      <w:pPr>
        <w:ind w:right="80"/>
        <w:spacing w:after="0" w:line="302" w:lineRule="auto"/>
        <w:rPr>
          <w:sz w:val="20"/>
          <w:szCs w:val="20"/>
          <w:color w:val="auto"/>
        </w:rPr>
      </w:pPr>
      <w:r>
        <w:rPr>
          <w:rFonts w:ascii="Arial" w:cs="Arial" w:eastAsia="Arial" w:hAnsi="Arial"/>
          <w:sz w:val="19"/>
          <w:szCs w:val="19"/>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69" w:lineRule="exact"/>
        <w:rPr>
          <w:sz w:val="20"/>
          <w:szCs w:val="20"/>
          <w:color w:val="auto"/>
        </w:rPr>
      </w:pPr>
    </w:p>
    <w:p>
      <w:pPr>
        <w:ind w:right="220"/>
        <w:spacing w:after="0" w:line="247" w:lineRule="auto"/>
        <w:rPr>
          <w:sz w:val="20"/>
          <w:szCs w:val="20"/>
          <w:color w:val="auto"/>
        </w:rPr>
      </w:pPr>
      <w:r>
        <w:rPr>
          <w:rFonts w:ascii="Arial" w:cs="Arial" w:eastAsia="Arial" w:hAnsi="Arial"/>
          <w:sz w:val="22"/>
          <w:szCs w:val="22"/>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2 of 4</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 30 West Superior Street, Duluth, Minnesota 55802</w:t>
      </w:r>
    </w:p>
    <w:p>
      <w:pPr>
        <w:sectPr>
          <w:pgSz w:w="11900" w:h="16838" w:orient="portrait"/>
          <w:cols w:equalWidth="0" w:num="1">
            <w:col w:w="11240"/>
          </w:cols>
          <w:pgMar w:left="320" w:top="942"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00" w:type="dxa"/>
            <w:vAlign w:val="bottom"/>
          </w:tcPr>
          <w:p>
            <w:pPr>
              <w:spacing w:after="0"/>
              <w:rPr>
                <w:sz w:val="19"/>
                <w:szCs w:val="19"/>
                <w:color w:val="auto"/>
              </w:rPr>
            </w:pPr>
          </w:p>
        </w:tc>
        <w:tc>
          <w:tcPr>
            <w:tcW w:w="358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Quarter Ended</w:t>
            </w:r>
          </w:p>
        </w:tc>
        <w:tc>
          <w:tcPr>
            <w:tcW w:w="19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5700" w:type="dxa"/>
            <w:vAlign w:val="bottom"/>
          </w:tcPr>
          <w:p>
            <w:pPr>
              <w:spacing w:after="0"/>
              <w:rPr>
                <w:sz w:val="19"/>
                <w:szCs w:val="19"/>
                <w:color w:val="auto"/>
              </w:rPr>
            </w:pP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19"/>
                <w:szCs w:val="19"/>
                <w:color w:val="auto"/>
              </w:rPr>
            </w:pPr>
          </w:p>
        </w:tc>
      </w:tr>
      <w:tr>
        <w:trPr>
          <w:trHeight w:val="234"/>
        </w:trPr>
        <w:tc>
          <w:tcPr>
            <w:tcW w:w="57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2020</w:t>
            </w:r>
          </w:p>
        </w:tc>
        <w:tc>
          <w:tcPr>
            <w:tcW w:w="12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4"/>
              </w:rPr>
              <w:t>2020</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Operating Revenue</w:t>
            </w:r>
          </w:p>
        </w:tc>
        <w:tc>
          <w:tcPr>
            <w:tcW w:w="2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Contracts with Customers – Utility</w:t>
            </w:r>
          </w:p>
        </w:tc>
        <w:tc>
          <w:tcPr>
            <w:tcW w:w="2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$290.4</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$200.8</w:t>
            </w:r>
          </w:p>
        </w:tc>
        <w:tc>
          <w:tcPr>
            <w:tcW w:w="12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$583.4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w:t>
            </w:r>
          </w:p>
        </w:tc>
      </w:tr>
      <w:tr>
        <w:trPr>
          <w:trHeight w:val="230"/>
        </w:trPr>
        <w:tc>
          <w:tcPr>
            <w:tcW w:w="5700" w:type="dxa"/>
            <w:vAlign w:val="bottom"/>
          </w:tcPr>
          <w:p>
            <w:pPr>
              <w:ind w:left="360"/>
              <w:spacing w:after="0"/>
              <w:rPr>
                <w:sz w:val="20"/>
                <w:szCs w:val="20"/>
                <w:color w:val="auto"/>
              </w:rPr>
            </w:pPr>
            <w:r>
              <w:rPr>
                <w:rFonts w:ascii="Arial" w:cs="Arial" w:eastAsia="Arial" w:hAnsi="Arial"/>
                <w:sz w:val="18"/>
                <w:szCs w:val="18"/>
                <w:color w:val="auto"/>
              </w:rPr>
              <w:t>Contracts with Customers – Non-utility</w:t>
            </w:r>
          </w:p>
        </w:tc>
        <w:tc>
          <w:tcPr>
            <w:tcW w:w="2680" w:type="dxa"/>
            <w:vAlign w:val="bottom"/>
          </w:tcPr>
          <w:p>
            <w:pPr>
              <w:jc w:val="right"/>
              <w:ind w:right="310"/>
              <w:spacing w:after="0"/>
              <w:rPr>
                <w:sz w:val="20"/>
                <w:szCs w:val="20"/>
                <w:color w:val="auto"/>
              </w:rPr>
            </w:pPr>
            <w:r>
              <w:rPr>
                <w:rFonts w:ascii="Arial" w:cs="Arial" w:eastAsia="Arial" w:hAnsi="Arial"/>
                <w:sz w:val="18"/>
                <w:szCs w:val="18"/>
                <w:color w:val="auto"/>
              </w:rPr>
              <w:t>42.3</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39.6</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85.7</w:t>
            </w:r>
          </w:p>
        </w:tc>
        <w:tc>
          <w:tcPr>
            <w:tcW w:w="72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229"/>
        </w:trPr>
        <w:tc>
          <w:tcPr>
            <w:tcW w:w="57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 – Non-utility</w:t>
            </w:r>
          </w:p>
        </w:tc>
        <w:tc>
          <w:tcPr>
            <w:tcW w:w="26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2.9</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12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5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Operating Revenue</w:t>
            </w:r>
          </w:p>
        </w:tc>
        <w:tc>
          <w:tcPr>
            <w:tcW w:w="26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335.6</w:t>
            </w: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243.2</w:t>
            </w: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674.8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554.8</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5700" w:type="dxa"/>
            <w:vAlign w:val="bottom"/>
          </w:tcPr>
          <w:p>
            <w:pPr>
              <w:ind w:left="360"/>
              <w:spacing w:after="0"/>
              <w:rPr>
                <w:sz w:val="20"/>
                <w:szCs w:val="20"/>
                <w:color w:val="auto"/>
              </w:rPr>
            </w:pPr>
            <w:r>
              <w:rPr>
                <w:rFonts w:ascii="Arial" w:cs="Arial" w:eastAsia="Arial" w:hAnsi="Arial"/>
                <w:sz w:val="18"/>
                <w:szCs w:val="18"/>
                <w:color w:val="auto"/>
              </w:rPr>
              <w:t>Fuel, Purchased Power and Gas – Utility</w:t>
            </w:r>
          </w:p>
        </w:tc>
        <w:tc>
          <w:tcPr>
            <w:tcW w:w="2680" w:type="dxa"/>
            <w:vAlign w:val="bottom"/>
          </w:tcPr>
          <w:p>
            <w:pPr>
              <w:jc w:val="right"/>
              <w:ind w:right="310"/>
              <w:spacing w:after="0"/>
              <w:rPr>
                <w:sz w:val="20"/>
                <w:szCs w:val="20"/>
                <w:color w:val="auto"/>
              </w:rPr>
            </w:pPr>
            <w:r>
              <w:rPr>
                <w:rFonts w:ascii="Arial" w:cs="Arial" w:eastAsia="Arial" w:hAnsi="Arial"/>
                <w:sz w:val="18"/>
                <w:szCs w:val="18"/>
                <w:color w:val="auto"/>
              </w:rPr>
              <w:t>128.9</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69.3</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249.3</w:t>
            </w:r>
          </w:p>
        </w:tc>
        <w:tc>
          <w:tcPr>
            <w:tcW w:w="720" w:type="dxa"/>
            <w:vAlign w:val="bottom"/>
          </w:tcPr>
          <w:p>
            <w:pPr>
              <w:jc w:val="right"/>
              <w:spacing w:after="0"/>
              <w:rPr>
                <w:sz w:val="20"/>
                <w:szCs w:val="20"/>
                <w:color w:val="auto"/>
              </w:rPr>
            </w:pPr>
            <w:r>
              <w:rPr>
                <w:rFonts w:ascii="Arial" w:cs="Arial" w:eastAsia="Arial" w:hAnsi="Arial"/>
                <w:sz w:val="18"/>
                <w:szCs w:val="18"/>
                <w:color w:val="auto"/>
              </w:rPr>
              <w:t>158.3</w:t>
            </w:r>
          </w:p>
        </w:tc>
      </w:tr>
      <w:tr>
        <w:trPr>
          <w:trHeight w:val="229"/>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Transmission Services – Utility</w:t>
            </w:r>
          </w:p>
        </w:tc>
        <w:tc>
          <w:tcPr>
            <w:tcW w:w="2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19.2</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16.4</w:t>
            </w:r>
          </w:p>
        </w:tc>
        <w:tc>
          <w:tcPr>
            <w:tcW w:w="12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36.9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30"/>
        </w:trPr>
        <w:tc>
          <w:tcPr>
            <w:tcW w:w="5700" w:type="dxa"/>
            <w:vAlign w:val="bottom"/>
          </w:tcPr>
          <w:p>
            <w:pPr>
              <w:ind w:left="360"/>
              <w:spacing w:after="0"/>
              <w:rPr>
                <w:sz w:val="20"/>
                <w:szCs w:val="20"/>
                <w:color w:val="auto"/>
              </w:rPr>
            </w:pPr>
            <w:r>
              <w:rPr>
                <w:rFonts w:ascii="Arial" w:cs="Arial" w:eastAsia="Arial" w:hAnsi="Arial"/>
                <w:sz w:val="18"/>
                <w:szCs w:val="18"/>
                <w:color w:val="auto"/>
              </w:rPr>
              <w:t>Cost of Sales – Non-utility</w:t>
            </w:r>
          </w:p>
        </w:tc>
        <w:tc>
          <w:tcPr>
            <w:tcW w:w="2680" w:type="dxa"/>
            <w:vAlign w:val="bottom"/>
          </w:tcPr>
          <w:p>
            <w:pPr>
              <w:jc w:val="right"/>
              <w:ind w:right="310"/>
              <w:spacing w:after="0"/>
              <w:rPr>
                <w:sz w:val="20"/>
                <w:szCs w:val="20"/>
                <w:color w:val="auto"/>
              </w:rPr>
            </w:pPr>
            <w:r>
              <w:rPr>
                <w:rFonts w:ascii="Arial" w:cs="Arial" w:eastAsia="Arial" w:hAnsi="Arial"/>
                <w:sz w:val="18"/>
                <w:szCs w:val="18"/>
                <w:color w:val="auto"/>
              </w:rPr>
              <w:t>15.8</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16.3</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32.6</w:t>
            </w:r>
          </w:p>
        </w:tc>
        <w:tc>
          <w:tcPr>
            <w:tcW w:w="72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29"/>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and Maintenance</w:t>
            </w:r>
          </w:p>
        </w:tc>
        <w:tc>
          <w:tcPr>
            <w:tcW w:w="2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67.1</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59.0</w:t>
            </w:r>
          </w:p>
        </w:tc>
        <w:tc>
          <w:tcPr>
            <w:tcW w:w="12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133.4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29"/>
        </w:trPr>
        <w:tc>
          <w:tcPr>
            <w:tcW w:w="57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680" w:type="dxa"/>
            <w:vAlign w:val="bottom"/>
          </w:tcPr>
          <w:p>
            <w:pPr>
              <w:jc w:val="right"/>
              <w:ind w:right="310"/>
              <w:spacing w:after="0"/>
              <w:rPr>
                <w:sz w:val="20"/>
                <w:szCs w:val="20"/>
                <w:color w:val="auto"/>
              </w:rPr>
            </w:pPr>
            <w:r>
              <w:rPr>
                <w:rFonts w:ascii="Arial" w:cs="Arial" w:eastAsia="Arial" w:hAnsi="Arial"/>
                <w:sz w:val="18"/>
                <w:szCs w:val="18"/>
                <w:color w:val="auto"/>
              </w:rPr>
              <w:t>57.9</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54.5</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115.9</w:t>
            </w:r>
          </w:p>
        </w:tc>
        <w:tc>
          <w:tcPr>
            <w:tcW w:w="720" w:type="dxa"/>
            <w:vAlign w:val="bottom"/>
          </w:tcPr>
          <w:p>
            <w:pPr>
              <w:jc w:val="right"/>
              <w:spacing w:after="0"/>
              <w:rPr>
                <w:sz w:val="20"/>
                <w:szCs w:val="20"/>
                <w:color w:val="auto"/>
              </w:rPr>
            </w:pPr>
            <w:r>
              <w:rPr>
                <w:rFonts w:ascii="Arial" w:cs="Arial" w:eastAsia="Arial" w:hAnsi="Arial"/>
                <w:sz w:val="18"/>
                <w:szCs w:val="18"/>
                <w:color w:val="auto"/>
              </w:rPr>
              <w:t>107.9</w:t>
            </w:r>
          </w:p>
        </w:tc>
      </w:tr>
      <w:tr>
        <w:trPr>
          <w:trHeight w:val="230"/>
        </w:trPr>
        <w:tc>
          <w:tcPr>
            <w:tcW w:w="57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Taxes Other than Income Taxes</w:t>
            </w:r>
          </w:p>
        </w:tc>
        <w:tc>
          <w:tcPr>
            <w:tcW w:w="26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18.5</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15.0</w:t>
            </w:r>
          </w:p>
        </w:tc>
        <w:tc>
          <w:tcPr>
            <w:tcW w:w="12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36.5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23"/>
        </w:trPr>
        <w:tc>
          <w:tcPr>
            <w:tcW w:w="5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Operating Expenses</w:t>
            </w:r>
          </w:p>
        </w:tc>
        <w:tc>
          <w:tcPr>
            <w:tcW w:w="26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307.4</w:t>
            </w: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230.5</w:t>
            </w: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604.6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481.9</w:t>
            </w:r>
          </w:p>
        </w:tc>
      </w:tr>
      <w:tr>
        <w:trPr>
          <w:trHeight w:val="223"/>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6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28.2</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12.7</w:t>
            </w:r>
          </w:p>
        </w:tc>
        <w:tc>
          <w:tcPr>
            <w:tcW w:w="12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70.2</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(17.4)</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(15.9)</w:t>
            </w:r>
          </w:p>
        </w:tc>
        <w:tc>
          <w:tcPr>
            <w:tcW w:w="1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(34.5)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29"/>
        </w:trPr>
        <w:tc>
          <w:tcPr>
            <w:tcW w:w="5700" w:type="dxa"/>
            <w:vAlign w:val="bottom"/>
          </w:tcPr>
          <w:p>
            <w:pPr>
              <w:ind w:left="360"/>
              <w:spacing w:after="0"/>
              <w:rPr>
                <w:sz w:val="20"/>
                <w:szCs w:val="20"/>
                <w:color w:val="auto"/>
              </w:rPr>
            </w:pPr>
            <w:r>
              <w:rPr>
                <w:rFonts w:ascii="Arial" w:cs="Arial" w:eastAsia="Arial" w:hAnsi="Arial"/>
                <w:sz w:val="18"/>
                <w:szCs w:val="18"/>
                <w:color w:val="auto"/>
              </w:rPr>
              <w:t>Equity Earnings</w:t>
            </w:r>
          </w:p>
        </w:tc>
        <w:tc>
          <w:tcPr>
            <w:tcW w:w="2680" w:type="dxa"/>
            <w:vAlign w:val="bottom"/>
          </w:tcPr>
          <w:p>
            <w:pPr>
              <w:jc w:val="right"/>
              <w:ind w:right="310"/>
              <w:spacing w:after="0"/>
              <w:rPr>
                <w:sz w:val="20"/>
                <w:szCs w:val="20"/>
                <w:color w:val="auto"/>
              </w:rPr>
            </w:pPr>
            <w:r>
              <w:rPr>
                <w:rFonts w:ascii="Arial" w:cs="Arial" w:eastAsia="Arial" w:hAnsi="Arial"/>
                <w:sz w:val="18"/>
                <w:szCs w:val="18"/>
                <w:color w:val="auto"/>
              </w:rPr>
              <w:t>5.1</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6.4</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9.9</w:t>
            </w:r>
          </w:p>
        </w:tc>
        <w:tc>
          <w:tcPr>
            <w:tcW w:w="7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57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1.8</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5.2</w:t>
            </w:r>
          </w:p>
        </w:tc>
        <w:tc>
          <w:tcPr>
            <w:tcW w:w="12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5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Other Expense</w:t>
            </w:r>
          </w:p>
        </w:tc>
        <w:tc>
          <w:tcPr>
            <w:tcW w:w="2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(10.5)</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(4.3)</w:t>
            </w: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(19.5)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17.7</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8.4</w:t>
            </w:r>
          </w:p>
        </w:tc>
        <w:tc>
          <w:tcPr>
            <w:tcW w:w="12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50.7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r>
      <w:tr>
        <w:trPr>
          <w:trHeight w:val="230"/>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Tax Benefit</w:t>
            </w:r>
          </w:p>
        </w:tc>
        <w:tc>
          <w:tcPr>
            <w:tcW w:w="2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(4.0)</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(8.5)</w:t>
            </w: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(14.4)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r>
      <w:tr>
        <w:trPr>
          <w:trHeight w:val="223"/>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21.7</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16.9</w:t>
            </w:r>
          </w:p>
        </w:tc>
        <w:tc>
          <w:tcPr>
            <w:tcW w:w="12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65.1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23"/>
        </w:trPr>
        <w:tc>
          <w:tcPr>
            <w:tcW w:w="5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Net Loss Attributable to Non-Controlling Interest</w:t>
            </w:r>
          </w:p>
        </w:tc>
        <w:tc>
          <w:tcPr>
            <w:tcW w:w="2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(6.2)</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w:t>
            </w: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(14.6)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26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$27.9</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$20.1</w:t>
            </w:r>
          </w:p>
        </w:tc>
        <w:tc>
          <w:tcPr>
            <w:tcW w:w="12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$79.7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2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52.2</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51.8</w:t>
            </w:r>
          </w:p>
        </w:tc>
        <w:tc>
          <w:tcPr>
            <w:tcW w:w="12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52.2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29"/>
        </w:trPr>
        <w:tc>
          <w:tcPr>
            <w:tcW w:w="57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Diluted</w:t>
            </w:r>
          </w:p>
        </w:tc>
        <w:tc>
          <w:tcPr>
            <w:tcW w:w="26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52.3</w:t>
            </w: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51.9</w:t>
            </w: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52.2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2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$0.53</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$0.39</w:t>
            </w:r>
          </w:p>
        </w:tc>
        <w:tc>
          <w:tcPr>
            <w:tcW w:w="12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2680" w:type="dxa"/>
            <w:vAlign w:val="bottom"/>
          </w:tcPr>
          <w:p>
            <w:pPr>
              <w:jc w:val="right"/>
              <w:ind w:right="310"/>
              <w:spacing w:after="0"/>
              <w:rPr>
                <w:sz w:val="20"/>
                <w:szCs w:val="20"/>
                <w:color w:val="auto"/>
              </w:rPr>
            </w:pPr>
            <w:r>
              <w:rPr>
                <w:rFonts w:ascii="Arial" w:cs="Arial" w:eastAsia="Arial" w:hAnsi="Arial"/>
                <w:sz w:val="18"/>
                <w:szCs w:val="18"/>
                <w:color w:val="auto"/>
              </w:rPr>
              <w:t>$0.53</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$0.39</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$1.53</w:t>
            </w:r>
          </w:p>
        </w:tc>
        <w:tc>
          <w:tcPr>
            <w:tcW w:w="7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Share of Common Stock</w:t>
            </w:r>
          </w:p>
        </w:tc>
        <w:tc>
          <w:tcPr>
            <w:tcW w:w="26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$0.63</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8"/>
              </w:rPr>
              <w:t>$0.6175</w:t>
            </w:r>
          </w:p>
        </w:tc>
        <w:tc>
          <w:tcPr>
            <w:tcW w:w="12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$1.26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3000" w:type="dxa"/>
            <w:vAlign w:val="bottom"/>
          </w:tcPr>
          <w:p>
            <w:pPr>
              <w:spacing w:after="0"/>
              <w:rPr>
                <w:sz w:val="19"/>
                <w:szCs w:val="19"/>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Jun. 30</w:t>
            </w: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Dec. 31,</w:t>
            </w:r>
          </w:p>
        </w:tc>
        <w:tc>
          <w:tcPr>
            <w:tcW w:w="4000" w:type="dxa"/>
            <w:vAlign w:val="bottom"/>
          </w:tcPr>
          <w:p>
            <w:pPr>
              <w:spacing w:after="0"/>
              <w:rPr>
                <w:sz w:val="19"/>
                <w:szCs w:val="19"/>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Jun. 30</w:t>
            </w: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Dec. 31,</w:t>
            </w:r>
          </w:p>
        </w:tc>
      </w:tr>
      <w:tr>
        <w:trPr>
          <w:trHeight w:val="234"/>
        </w:trPr>
        <w:tc>
          <w:tcPr>
            <w:tcW w:w="30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40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r>
      <w:tr>
        <w:trPr>
          <w:trHeight w:val="223"/>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0" w:type="dxa"/>
            <w:vAlign w:val="bottom"/>
          </w:tcPr>
          <w:p>
            <w:pPr>
              <w:ind w:left="80"/>
              <w:spacing w:after="0"/>
              <w:rPr>
                <w:sz w:val="20"/>
                <w:szCs w:val="20"/>
                <w:color w:val="auto"/>
              </w:rPr>
            </w:pPr>
            <w:r>
              <w:rPr>
                <w:rFonts w:ascii="Arial" w:cs="Arial" w:eastAsia="Arial" w:hAnsi="Arial"/>
                <w:sz w:val="18"/>
                <w:szCs w:val="18"/>
                <w:b w:val="1"/>
                <w:bCs w:val="1"/>
                <w:color w:val="auto"/>
              </w:rPr>
              <w:t>Liabilities and Equity</w:t>
            </w: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4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Current Liabilities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216.8</w:t>
            </w:r>
          </w:p>
        </w:tc>
        <w:tc>
          <w:tcPr>
            <w:tcW w:w="900" w:type="dxa"/>
            <w:vAlign w:val="bottom"/>
          </w:tcPr>
          <w:p>
            <w:pPr>
              <w:jc w:val="right"/>
              <w:spacing w:after="0"/>
              <w:rPr>
                <w:sz w:val="20"/>
                <w:szCs w:val="20"/>
                <w:color w:val="auto"/>
              </w:rPr>
            </w:pPr>
            <w:r>
              <w:rPr>
                <w:rFonts w:ascii="Arial" w:cs="Arial" w:eastAsia="Arial" w:hAnsi="Arial"/>
                <w:sz w:val="18"/>
                <w:szCs w:val="18"/>
                <w:color w:val="auto"/>
              </w:rPr>
              <w:t>210.6</w:t>
            </w:r>
          </w:p>
        </w:tc>
        <w:tc>
          <w:tcPr>
            <w:tcW w:w="4000" w:type="dxa"/>
            <w:vAlign w:val="bottom"/>
          </w:tcPr>
          <w:p>
            <w:pPr>
              <w:ind w:left="80"/>
              <w:spacing w:after="0"/>
              <w:rPr>
                <w:sz w:val="20"/>
                <w:szCs w:val="20"/>
                <w:color w:val="auto"/>
              </w:rPr>
            </w:pPr>
            <w:r>
              <w:rPr>
                <w:rFonts w:ascii="Arial" w:cs="Arial" w:eastAsia="Arial" w:hAnsi="Arial"/>
                <w:sz w:val="18"/>
                <w:szCs w:val="18"/>
                <w:color w:val="auto"/>
              </w:rPr>
              <w:t>Long-Term Debt</w:t>
            </w:r>
          </w:p>
        </w:tc>
        <w:tc>
          <w:tcPr>
            <w:tcW w:w="1120" w:type="dxa"/>
            <w:vAlign w:val="bottom"/>
          </w:tcPr>
          <w:p>
            <w:pPr>
              <w:jc w:val="right"/>
              <w:spacing w:after="0"/>
              <w:rPr>
                <w:sz w:val="20"/>
                <w:szCs w:val="20"/>
                <w:color w:val="auto"/>
              </w:rPr>
            </w:pPr>
            <w:r>
              <w:rPr>
                <w:rFonts w:ascii="Arial" w:cs="Arial" w:eastAsia="Arial" w:hAnsi="Arial"/>
                <w:sz w:val="18"/>
                <w:szCs w:val="18"/>
                <w:color w:val="auto"/>
              </w:rPr>
              <w:t>1,664.6</w:t>
            </w:r>
          </w:p>
        </w:tc>
        <w:tc>
          <w:tcPr>
            <w:tcW w:w="840" w:type="dxa"/>
            <w:vAlign w:val="bottom"/>
          </w:tcPr>
          <w:p>
            <w:pPr>
              <w:jc w:val="right"/>
              <w:spacing w:after="0"/>
              <w:rPr>
                <w:sz w:val="20"/>
                <w:szCs w:val="20"/>
                <w:color w:val="auto"/>
              </w:rPr>
            </w:pPr>
            <w:r>
              <w:rPr>
                <w:rFonts w:ascii="Arial" w:cs="Arial" w:eastAsia="Arial" w:hAnsi="Arial"/>
                <w:sz w:val="18"/>
                <w:szCs w:val="18"/>
                <w:color w:val="auto"/>
              </w:rPr>
              <w:t>1,593.2</w:t>
            </w: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 Net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5,021.6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4,840.8</w:t>
            </w:r>
          </w:p>
        </w:tc>
        <w:tc>
          <w:tcPr>
            <w:tcW w:w="4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Regulatory Assets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491.9</w:t>
            </w:r>
          </w:p>
        </w:tc>
        <w:tc>
          <w:tcPr>
            <w:tcW w:w="900" w:type="dxa"/>
            <w:vAlign w:val="bottom"/>
          </w:tcPr>
          <w:p>
            <w:pPr>
              <w:jc w:val="right"/>
              <w:spacing w:after="0"/>
              <w:rPr>
                <w:sz w:val="20"/>
                <w:szCs w:val="20"/>
                <w:color w:val="auto"/>
              </w:rPr>
            </w:pPr>
            <w:r>
              <w:rPr>
                <w:rFonts w:ascii="Arial" w:cs="Arial" w:eastAsia="Arial" w:hAnsi="Arial"/>
                <w:sz w:val="18"/>
                <w:szCs w:val="18"/>
                <w:color w:val="auto"/>
              </w:rPr>
              <w:t>480.9</w:t>
            </w:r>
          </w:p>
        </w:tc>
        <w:tc>
          <w:tcPr>
            <w:tcW w:w="4000" w:type="dxa"/>
            <w:vAlign w:val="bottom"/>
          </w:tcPr>
          <w:p>
            <w:pPr>
              <w:ind w:left="80"/>
              <w:spacing w:after="0"/>
              <w:rPr>
                <w:sz w:val="20"/>
                <w:szCs w:val="20"/>
                <w:color w:val="auto"/>
              </w:rPr>
            </w:pPr>
            <w:r>
              <w:rPr>
                <w:rFonts w:ascii="Arial" w:cs="Arial" w:eastAsia="Arial" w:hAnsi="Arial"/>
                <w:sz w:val="18"/>
                <w:szCs w:val="18"/>
                <w:color w:val="auto"/>
              </w:rPr>
              <w:t>Regulatory Liabilities</w:t>
            </w:r>
          </w:p>
        </w:tc>
        <w:tc>
          <w:tcPr>
            <w:tcW w:w="1120" w:type="dxa"/>
            <w:vAlign w:val="bottom"/>
          </w:tcPr>
          <w:p>
            <w:pPr>
              <w:jc w:val="right"/>
              <w:spacing w:after="0"/>
              <w:rPr>
                <w:sz w:val="20"/>
                <w:szCs w:val="20"/>
                <w:color w:val="auto"/>
              </w:rPr>
            </w:pPr>
            <w:r>
              <w:rPr>
                <w:rFonts w:ascii="Arial" w:cs="Arial" w:eastAsia="Arial" w:hAnsi="Arial"/>
                <w:sz w:val="18"/>
                <w:szCs w:val="18"/>
                <w:color w:val="auto"/>
              </w:rPr>
              <w:t>514.9</w:t>
            </w:r>
          </w:p>
        </w:tc>
        <w:tc>
          <w:tcPr>
            <w:tcW w:w="840" w:type="dxa"/>
            <w:vAlign w:val="bottom"/>
          </w:tcPr>
          <w:p>
            <w:pPr>
              <w:jc w:val="right"/>
              <w:spacing w:after="0"/>
              <w:rPr>
                <w:sz w:val="20"/>
                <w:szCs w:val="20"/>
                <w:color w:val="auto"/>
              </w:rPr>
            </w:pPr>
            <w:r>
              <w:rPr>
                <w:rFonts w:ascii="Arial" w:cs="Arial" w:eastAsia="Arial" w:hAnsi="Arial"/>
                <w:sz w:val="18"/>
                <w:szCs w:val="18"/>
                <w:color w:val="auto"/>
              </w:rPr>
              <w:t>524.8</w:t>
            </w:r>
          </w:p>
        </w:tc>
      </w:tr>
      <w:tr>
        <w:trPr>
          <w:trHeight w:val="25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Investments</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40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Defined Benefit Pension and Other Postretirement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r>
      <w:tr>
        <w:trPr>
          <w:trHeight w:val="149"/>
        </w:trPr>
        <w:tc>
          <w:tcPr>
            <w:tcW w:w="30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00" w:type="dxa"/>
            <w:vAlign w:val="bottom"/>
            <w:shd w:val="clear" w:color="auto" w:fill="CCEEFF"/>
          </w:tcPr>
          <w:p>
            <w:pPr>
              <w:ind w:left="80"/>
              <w:spacing w:after="0" w:line="149" w:lineRule="exact"/>
              <w:rPr>
                <w:sz w:val="20"/>
                <w:szCs w:val="20"/>
                <w:color w:val="auto"/>
              </w:rPr>
            </w:pPr>
            <w:r>
              <w:rPr>
                <w:rFonts w:ascii="Arial" w:cs="Arial" w:eastAsia="Arial" w:hAnsi="Arial"/>
                <w:sz w:val="17"/>
                <w:szCs w:val="17"/>
                <w:color w:val="auto"/>
              </w:rPr>
              <w:t>Benefit Plans</w:t>
            </w:r>
          </w:p>
        </w:tc>
        <w:tc>
          <w:tcPr>
            <w:tcW w:w="1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182.7</w:t>
            </w:r>
          </w:p>
        </w:tc>
        <w:tc>
          <w:tcPr>
            <w:tcW w:w="900" w:type="dxa"/>
            <w:vAlign w:val="bottom"/>
          </w:tcPr>
          <w:p>
            <w:pPr>
              <w:jc w:val="right"/>
              <w:spacing w:after="0"/>
              <w:rPr>
                <w:sz w:val="20"/>
                <w:szCs w:val="20"/>
                <w:color w:val="auto"/>
              </w:rPr>
            </w:pPr>
            <w:r>
              <w:rPr>
                <w:rFonts w:ascii="Arial" w:cs="Arial" w:eastAsia="Arial" w:hAnsi="Arial"/>
                <w:sz w:val="18"/>
                <w:szCs w:val="18"/>
                <w:color w:val="auto"/>
              </w:rPr>
              <w:t>206.8</w:t>
            </w:r>
          </w:p>
        </w:tc>
        <w:tc>
          <w:tcPr>
            <w:tcW w:w="4000" w:type="dxa"/>
            <w:vAlign w:val="bottom"/>
          </w:tcPr>
          <w:p>
            <w:pPr>
              <w:ind w:left="80"/>
              <w:spacing w:after="0"/>
              <w:rPr>
                <w:sz w:val="20"/>
                <w:szCs w:val="20"/>
                <w:color w:val="auto"/>
              </w:rPr>
            </w:pPr>
            <w:r>
              <w:rPr>
                <w:rFonts w:ascii="Arial" w:cs="Arial" w:eastAsia="Arial" w:hAnsi="Arial"/>
                <w:sz w:val="18"/>
                <w:szCs w:val="18"/>
                <w:color w:val="auto"/>
              </w:rPr>
              <w:t>Other Non-Current Liabilities</w:t>
            </w:r>
          </w:p>
        </w:tc>
        <w:tc>
          <w:tcPr>
            <w:tcW w:w="1120" w:type="dxa"/>
            <w:vAlign w:val="bottom"/>
          </w:tcPr>
          <w:p>
            <w:pPr>
              <w:jc w:val="right"/>
              <w:spacing w:after="0"/>
              <w:rPr>
                <w:sz w:val="20"/>
                <w:szCs w:val="20"/>
                <w:color w:val="auto"/>
              </w:rPr>
            </w:pPr>
            <w:r>
              <w:rPr>
                <w:rFonts w:ascii="Arial" w:cs="Arial" w:eastAsia="Arial" w:hAnsi="Arial"/>
                <w:sz w:val="18"/>
                <w:szCs w:val="18"/>
                <w:color w:val="auto"/>
              </w:rPr>
              <w:t>277.0</w:t>
            </w:r>
          </w:p>
        </w:tc>
        <w:tc>
          <w:tcPr>
            <w:tcW w:w="840" w:type="dxa"/>
            <w:vAlign w:val="bottom"/>
          </w:tcPr>
          <w:p>
            <w:pPr>
              <w:jc w:val="right"/>
              <w:spacing w:after="0"/>
              <w:rPr>
                <w:sz w:val="20"/>
                <w:szCs w:val="20"/>
                <w:color w:val="auto"/>
              </w:rPr>
            </w:pPr>
            <w:r>
              <w:rPr>
                <w:rFonts w:ascii="Arial" w:cs="Arial" w:eastAsia="Arial" w:hAnsi="Arial"/>
                <w:sz w:val="18"/>
                <w:szCs w:val="18"/>
                <w:color w:val="auto"/>
              </w:rPr>
              <w:t>285.3</w:t>
            </w:r>
          </w:p>
        </w:tc>
      </w:tr>
      <w:tr>
        <w:trPr>
          <w:trHeight w:val="230"/>
        </w:trPr>
        <w:tc>
          <w:tcPr>
            <w:tcW w:w="30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0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Equity</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2,800.2</w:t>
            </w:r>
          </w:p>
        </w:tc>
      </w:tr>
      <w:tr>
        <w:trPr>
          <w:trHeight w:val="223"/>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$6,293.3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$6,084.6</w:t>
            </w:r>
          </w:p>
        </w:tc>
        <w:tc>
          <w:tcPr>
            <w:tcW w:w="40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 Liabilities and Equity</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$6,293.3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$6,084.6</w:t>
            </w: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3 of 4</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 30 West Superior Street, Duluth, Minnesota 55802</w:t>
      </w:r>
    </w:p>
    <w:p>
      <w:pPr>
        <w:sectPr>
          <w:pgSz w:w="11900" w:h="16838" w:orient="portrait"/>
          <w:cols w:equalWidth="0" w:num="1">
            <w:col w:w="11240"/>
          </w:cols>
          <w:pgMar w:left="320" w:top="931" w:right="33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3740" w:type="dxa"/>
            <w:vAlign w:val="bottom"/>
            <w:gridSpan w:val="2"/>
          </w:tcPr>
          <w:p>
            <w:pPr>
              <w:jc w:val="right"/>
              <w:ind w:right="1130"/>
              <w:spacing w:after="0"/>
              <w:rPr>
                <w:sz w:val="20"/>
                <w:szCs w:val="20"/>
                <w:color w:val="auto"/>
              </w:rPr>
            </w:pPr>
            <w:r>
              <w:rPr>
                <w:rFonts w:ascii="Arial" w:cs="Arial" w:eastAsia="Arial" w:hAnsi="Arial"/>
                <w:sz w:val="18"/>
                <w:szCs w:val="18"/>
                <w:b w:val="1"/>
                <w:bCs w:val="1"/>
                <w:color w:val="auto"/>
              </w:rPr>
              <w:t>Quarter Ended</w:t>
            </w:r>
          </w:p>
        </w:tc>
        <w:tc>
          <w:tcPr>
            <w:tcW w:w="276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ALLETE, Inc.</w:t>
            </w:r>
          </w:p>
        </w:tc>
        <w:tc>
          <w:tcPr>
            <w:tcW w:w="2380" w:type="dxa"/>
            <w:vAlign w:val="bottom"/>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360" w:type="dxa"/>
            <w:vAlign w:val="bottom"/>
          </w:tcPr>
          <w:p>
            <w:pPr>
              <w:spacing w:after="0"/>
              <w:rPr>
                <w:sz w:val="19"/>
                <w:szCs w:val="19"/>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80" w:type="dxa"/>
            <w:vAlign w:val="bottom"/>
          </w:tcPr>
          <w:p>
            <w:pPr>
              <w:spacing w:after="0"/>
              <w:rPr>
                <w:sz w:val="19"/>
                <w:szCs w:val="19"/>
                <w:color w:val="auto"/>
              </w:rPr>
            </w:pPr>
          </w:p>
        </w:tc>
      </w:tr>
      <w:tr>
        <w:trPr>
          <w:trHeight w:val="234"/>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(Loss)</w:t>
            </w:r>
          </w:p>
        </w:tc>
        <w:tc>
          <w:tcPr>
            <w:tcW w:w="238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2021</w:t>
            </w:r>
          </w:p>
        </w:tc>
        <w:tc>
          <w:tcPr>
            <w:tcW w:w="13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2020</w:t>
            </w:r>
          </w:p>
        </w:tc>
        <w:tc>
          <w:tcPr>
            <w:tcW w:w="168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Millions</w:t>
            </w:r>
          </w:p>
        </w:tc>
        <w:tc>
          <w:tcPr>
            <w:tcW w:w="2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Regulated Operations</w:t>
            </w:r>
          </w:p>
        </w:tc>
        <w:tc>
          <w:tcPr>
            <w:tcW w:w="23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$21.5</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$11.1</w:t>
            </w:r>
          </w:p>
        </w:tc>
        <w:tc>
          <w:tcPr>
            <w:tcW w:w="1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$66.5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r>
      <w:tr>
        <w:trPr>
          <w:trHeight w:val="229"/>
        </w:trPr>
        <w:tc>
          <w:tcPr>
            <w:tcW w:w="4740" w:type="dxa"/>
            <w:vAlign w:val="bottom"/>
          </w:tcPr>
          <w:p>
            <w:pPr>
              <w:ind w:left="360"/>
              <w:spacing w:after="0"/>
              <w:rPr>
                <w:sz w:val="20"/>
                <w:szCs w:val="20"/>
                <w:color w:val="auto"/>
              </w:rPr>
            </w:pPr>
            <w:r>
              <w:rPr>
                <w:rFonts w:ascii="Arial" w:cs="Arial" w:eastAsia="Arial" w:hAnsi="Arial"/>
                <w:sz w:val="18"/>
                <w:szCs w:val="18"/>
                <w:color w:val="auto"/>
              </w:rPr>
              <w:t>ALLETE Clean Energy</w:t>
            </w:r>
          </w:p>
        </w:tc>
        <w:tc>
          <w:tcPr>
            <w:tcW w:w="2380" w:type="dxa"/>
            <w:vAlign w:val="bottom"/>
          </w:tcPr>
          <w:p>
            <w:pPr>
              <w:jc w:val="right"/>
              <w:ind w:right="430"/>
              <w:spacing w:after="0"/>
              <w:rPr>
                <w:sz w:val="20"/>
                <w:szCs w:val="20"/>
                <w:color w:val="auto"/>
              </w:rPr>
            </w:pPr>
            <w:r>
              <w:rPr>
                <w:rFonts w:ascii="Arial" w:cs="Arial" w:eastAsia="Arial" w:hAnsi="Arial"/>
                <w:sz w:val="18"/>
                <w:szCs w:val="18"/>
                <w:color w:val="auto"/>
              </w:rPr>
              <w:t>5.1</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4.0</w:t>
            </w:r>
          </w:p>
        </w:tc>
        <w:tc>
          <w:tcPr>
            <w:tcW w:w="1680" w:type="dxa"/>
            <w:vAlign w:val="bottom"/>
          </w:tcPr>
          <w:p>
            <w:pPr>
              <w:jc w:val="right"/>
              <w:ind w:right="430"/>
              <w:spacing w:after="0"/>
              <w:rPr>
                <w:sz w:val="20"/>
                <w:szCs w:val="20"/>
                <w:color w:val="auto"/>
              </w:rPr>
            </w:pPr>
            <w:r>
              <w:rPr>
                <w:rFonts w:ascii="Arial" w:cs="Arial" w:eastAsia="Arial" w:hAnsi="Arial"/>
                <w:sz w:val="18"/>
                <w:szCs w:val="18"/>
                <w:color w:val="auto"/>
              </w:rPr>
              <w:t>12.5</w:t>
            </w:r>
          </w:p>
        </w:tc>
        <w:tc>
          <w:tcPr>
            <w:tcW w:w="10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47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Corporate and Other</w:t>
            </w:r>
          </w:p>
        </w:tc>
        <w:tc>
          <w:tcPr>
            <w:tcW w:w="23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1.3</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5.0</w:t>
            </w:r>
          </w:p>
        </w:tc>
        <w:tc>
          <w:tcPr>
            <w:tcW w:w="16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0.7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47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Net Income Attributable to ALLETE</w:t>
            </w:r>
          </w:p>
        </w:tc>
        <w:tc>
          <w:tcPr>
            <w:tcW w:w="2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$27.9</w:t>
            </w: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w:t>
            </w:r>
          </w:p>
        </w:tc>
        <w:tc>
          <w:tcPr>
            <w:tcW w:w="16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$79.7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r>
      <w:tr>
        <w:trPr>
          <w:trHeight w:val="223"/>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3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$0.53</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$0.39</w:t>
            </w:r>
          </w:p>
        </w:tc>
        <w:tc>
          <w:tcPr>
            <w:tcW w:w="16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$1.53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601"/>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Statistical Data</w:t>
            </w:r>
          </w:p>
        </w:tc>
        <w:tc>
          <w:tcPr>
            <w:tcW w:w="2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2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740" w:type="dxa"/>
            <w:vAlign w:val="bottom"/>
          </w:tcPr>
          <w:p>
            <w:pPr>
              <w:ind w:left="560"/>
              <w:spacing w:after="0"/>
              <w:rPr>
                <w:sz w:val="20"/>
                <w:szCs w:val="20"/>
                <w:color w:val="auto"/>
              </w:rPr>
            </w:pPr>
            <w:r>
              <w:rPr>
                <w:rFonts w:ascii="Arial" w:cs="Arial" w:eastAsia="Arial" w:hAnsi="Arial"/>
                <w:sz w:val="18"/>
                <w:szCs w:val="18"/>
                <w:color w:val="auto"/>
              </w:rPr>
              <w:t>High</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$72.60</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$64.90</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$72.60</w:t>
            </w:r>
          </w:p>
        </w:tc>
        <w:tc>
          <w:tcPr>
            <w:tcW w:w="1080" w:type="dxa"/>
            <w:vAlign w:val="bottom"/>
          </w:tcPr>
          <w:p>
            <w:pPr>
              <w:jc w:val="right"/>
              <w:spacing w:after="0"/>
              <w:rPr>
                <w:sz w:val="20"/>
                <w:szCs w:val="20"/>
                <w:color w:val="auto"/>
              </w:rPr>
            </w:pPr>
            <w:r>
              <w:rPr>
                <w:rFonts w:ascii="Arial" w:cs="Arial" w:eastAsia="Arial" w:hAnsi="Arial"/>
                <w:sz w:val="18"/>
                <w:szCs w:val="18"/>
                <w:color w:val="auto"/>
              </w:rPr>
              <w:t>$84.71</w:t>
            </w:r>
          </w:p>
        </w:tc>
      </w:tr>
      <w:tr>
        <w:trPr>
          <w:trHeight w:val="230"/>
        </w:trPr>
        <w:tc>
          <w:tcPr>
            <w:tcW w:w="4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Low</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$66.43</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$48.22</w:t>
            </w:r>
          </w:p>
        </w:tc>
        <w:tc>
          <w:tcPr>
            <w:tcW w:w="1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$58.90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w:t>
            </w:r>
          </w:p>
        </w:tc>
      </w:tr>
      <w:tr>
        <w:trPr>
          <w:trHeight w:val="229"/>
        </w:trPr>
        <w:tc>
          <w:tcPr>
            <w:tcW w:w="4740" w:type="dxa"/>
            <w:vAlign w:val="bottom"/>
          </w:tcPr>
          <w:p>
            <w:pPr>
              <w:ind w:left="560"/>
              <w:spacing w:after="0"/>
              <w:rPr>
                <w:sz w:val="20"/>
                <w:szCs w:val="20"/>
                <w:color w:val="auto"/>
              </w:rPr>
            </w:pPr>
            <w:r>
              <w:rPr>
                <w:rFonts w:ascii="Arial" w:cs="Arial" w:eastAsia="Arial" w:hAnsi="Arial"/>
                <w:sz w:val="18"/>
                <w:szCs w:val="18"/>
                <w:color w:val="auto"/>
              </w:rPr>
              <w:t>Close</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$69.98</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$54.61</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$69.98</w:t>
            </w:r>
          </w:p>
        </w:tc>
        <w:tc>
          <w:tcPr>
            <w:tcW w:w="1080" w:type="dxa"/>
            <w:vAlign w:val="bottom"/>
          </w:tcPr>
          <w:p>
            <w:pPr>
              <w:jc w:val="right"/>
              <w:spacing w:after="0"/>
              <w:rPr>
                <w:sz w:val="20"/>
                <w:szCs w:val="20"/>
                <w:color w:val="auto"/>
              </w:rPr>
            </w:pPr>
            <w:r>
              <w:rPr>
                <w:rFonts w:ascii="Arial" w:cs="Arial" w:eastAsia="Arial" w:hAnsi="Arial"/>
                <w:sz w:val="18"/>
                <w:szCs w:val="18"/>
                <w:color w:val="auto"/>
              </w:rPr>
              <w:t>$54.61</w:t>
            </w:r>
          </w:p>
        </w:tc>
      </w:tr>
      <w:tr>
        <w:trPr>
          <w:trHeight w:val="230"/>
        </w:trPr>
        <w:tc>
          <w:tcPr>
            <w:tcW w:w="47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Book Value</w:t>
            </w:r>
          </w:p>
        </w:tc>
        <w:tc>
          <w:tcPr>
            <w:tcW w:w="23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$44.44</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$43.67</w:t>
            </w:r>
          </w:p>
        </w:tc>
        <w:tc>
          <w:tcPr>
            <w:tcW w:w="16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$44.44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w:t>
            </w:r>
          </w:p>
        </w:tc>
      </w:tr>
      <w:tr>
        <w:trPr>
          <w:trHeight w:val="587"/>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Millions</w:t>
            </w:r>
          </w:p>
        </w:tc>
        <w:tc>
          <w:tcPr>
            <w:tcW w:w="2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Regulated Utility</w:t>
            </w:r>
          </w:p>
        </w:tc>
        <w:tc>
          <w:tcPr>
            <w:tcW w:w="2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740" w:type="dxa"/>
            <w:vAlign w:val="bottom"/>
          </w:tcPr>
          <w:p>
            <w:pPr>
              <w:ind w:left="560"/>
              <w:spacing w:after="0"/>
              <w:rPr>
                <w:sz w:val="20"/>
                <w:szCs w:val="20"/>
                <w:color w:val="auto"/>
              </w:rPr>
            </w:pPr>
            <w:r>
              <w:rPr>
                <w:rFonts w:ascii="Arial" w:cs="Arial" w:eastAsia="Arial" w:hAnsi="Arial"/>
                <w:sz w:val="18"/>
                <w:szCs w:val="18"/>
                <w:color w:val="auto"/>
              </w:rPr>
              <w:t>Retail and Municipal</w:t>
            </w:r>
          </w:p>
        </w:tc>
        <w:tc>
          <w:tcPr>
            <w:tcW w:w="2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7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Residential</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247</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246</w:t>
            </w:r>
          </w:p>
        </w:tc>
        <w:tc>
          <w:tcPr>
            <w:tcW w:w="1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578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30"/>
        </w:trPr>
        <w:tc>
          <w:tcPr>
            <w:tcW w:w="4740" w:type="dxa"/>
            <w:vAlign w:val="bottom"/>
          </w:tcPr>
          <w:p>
            <w:pPr>
              <w:ind w:left="1000"/>
              <w:spacing w:after="0"/>
              <w:rPr>
                <w:sz w:val="20"/>
                <w:szCs w:val="20"/>
                <w:color w:val="auto"/>
              </w:rPr>
            </w:pPr>
            <w:r>
              <w:rPr>
                <w:rFonts w:ascii="Arial" w:cs="Arial" w:eastAsia="Arial" w:hAnsi="Arial"/>
                <w:sz w:val="18"/>
                <w:szCs w:val="18"/>
                <w:color w:val="auto"/>
              </w:rPr>
              <w:t>Commercial</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317</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286</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658</w:t>
            </w:r>
          </w:p>
        </w:tc>
        <w:tc>
          <w:tcPr>
            <w:tcW w:w="108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30"/>
        </w:trPr>
        <w:tc>
          <w:tcPr>
            <w:tcW w:w="47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Industrial</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1,775</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1,235</w:t>
            </w:r>
          </w:p>
        </w:tc>
        <w:tc>
          <w:tcPr>
            <w:tcW w:w="1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3,573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r>
      <w:tr>
        <w:trPr>
          <w:trHeight w:val="230"/>
        </w:trPr>
        <w:tc>
          <w:tcPr>
            <w:tcW w:w="47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Municipal</w:t>
            </w:r>
          </w:p>
        </w:tc>
        <w:tc>
          <w:tcPr>
            <w:tcW w:w="2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138</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131</w:t>
            </w:r>
          </w:p>
        </w:tc>
        <w:tc>
          <w:tcPr>
            <w:tcW w:w="1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298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r>
      <w:tr>
        <w:trPr>
          <w:trHeight w:val="223"/>
        </w:trPr>
        <w:tc>
          <w:tcPr>
            <w:tcW w:w="4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Retail and Municipal</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2,477</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1,898</w:t>
            </w:r>
          </w:p>
        </w:tc>
        <w:tc>
          <w:tcPr>
            <w:tcW w:w="1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5,107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w:t>
            </w:r>
          </w:p>
        </w:tc>
      </w:tr>
      <w:tr>
        <w:trPr>
          <w:trHeight w:val="230"/>
        </w:trPr>
        <w:tc>
          <w:tcPr>
            <w:tcW w:w="47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Other Power Suppliers</w:t>
            </w:r>
          </w:p>
        </w:tc>
        <w:tc>
          <w:tcPr>
            <w:tcW w:w="2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1,194</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706</w:t>
            </w:r>
          </w:p>
        </w:tc>
        <w:tc>
          <w:tcPr>
            <w:tcW w:w="1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2,442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w:t>
            </w:r>
          </w:p>
        </w:tc>
      </w:tr>
      <w:tr>
        <w:trPr>
          <w:trHeight w:val="223"/>
        </w:trPr>
        <w:tc>
          <w:tcPr>
            <w:tcW w:w="47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Regulated Utility Kilowatt-hours Sold</w:t>
            </w:r>
          </w:p>
        </w:tc>
        <w:tc>
          <w:tcPr>
            <w:tcW w:w="23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3,671</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2,604</w:t>
            </w:r>
          </w:p>
        </w:tc>
        <w:tc>
          <w:tcPr>
            <w:tcW w:w="16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7,549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6,157</w:t>
            </w:r>
          </w:p>
        </w:tc>
      </w:tr>
      <w:tr>
        <w:trPr>
          <w:trHeight w:val="560"/>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Regulated Utility Revenue</w:t>
            </w:r>
          </w:p>
        </w:tc>
        <w:tc>
          <w:tcPr>
            <w:tcW w:w="2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Millions</w:t>
            </w:r>
          </w:p>
        </w:tc>
        <w:tc>
          <w:tcPr>
            <w:tcW w:w="2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Regulated Utility Revenue</w:t>
            </w:r>
          </w:p>
        </w:tc>
        <w:tc>
          <w:tcPr>
            <w:tcW w:w="2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740" w:type="dxa"/>
            <w:vAlign w:val="bottom"/>
          </w:tcPr>
          <w:p>
            <w:pPr>
              <w:ind w:left="560"/>
              <w:spacing w:after="0"/>
              <w:rPr>
                <w:sz w:val="20"/>
                <w:szCs w:val="20"/>
                <w:color w:val="auto"/>
              </w:rPr>
            </w:pPr>
            <w:r>
              <w:rPr>
                <w:rFonts w:ascii="Arial" w:cs="Arial" w:eastAsia="Arial" w:hAnsi="Arial"/>
                <w:sz w:val="18"/>
                <w:szCs w:val="18"/>
                <w:color w:val="auto"/>
              </w:rPr>
              <w:t>Retail and Municipal Electric Revenue</w:t>
            </w:r>
          </w:p>
        </w:tc>
        <w:tc>
          <w:tcPr>
            <w:tcW w:w="2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7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Residential</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$32.0</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$24.7</w:t>
            </w:r>
          </w:p>
        </w:tc>
        <w:tc>
          <w:tcPr>
            <w:tcW w:w="1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$72.5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30"/>
        </w:trPr>
        <w:tc>
          <w:tcPr>
            <w:tcW w:w="4740" w:type="dxa"/>
            <w:vAlign w:val="bottom"/>
          </w:tcPr>
          <w:p>
            <w:pPr>
              <w:ind w:left="1000"/>
              <w:spacing w:after="0"/>
              <w:rPr>
                <w:sz w:val="20"/>
                <w:szCs w:val="20"/>
                <w:color w:val="auto"/>
              </w:rPr>
            </w:pPr>
            <w:r>
              <w:rPr>
                <w:rFonts w:ascii="Arial" w:cs="Arial" w:eastAsia="Arial" w:hAnsi="Arial"/>
                <w:sz w:val="18"/>
                <w:szCs w:val="18"/>
                <w:color w:val="auto"/>
              </w:rPr>
              <w:t>Commercial</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39.2</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27.7</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76.4</w:t>
            </w:r>
          </w:p>
        </w:tc>
        <w:tc>
          <w:tcPr>
            <w:tcW w:w="1080" w:type="dxa"/>
            <w:vAlign w:val="bottom"/>
          </w:tcPr>
          <w:p>
            <w:pPr>
              <w:jc w:val="right"/>
              <w:spacing w:after="0"/>
              <w:rPr>
                <w:sz w:val="20"/>
                <w:szCs w:val="20"/>
                <w:color w:val="auto"/>
              </w:rPr>
            </w:pPr>
            <w:r>
              <w:rPr>
                <w:rFonts w:ascii="Arial" w:cs="Arial" w:eastAsia="Arial" w:hAnsi="Arial"/>
                <w:sz w:val="18"/>
                <w:szCs w:val="18"/>
                <w:color w:val="auto"/>
              </w:rPr>
              <w:t>63.0</w:t>
            </w:r>
          </w:p>
        </w:tc>
      </w:tr>
      <w:tr>
        <w:trPr>
          <w:trHeight w:val="230"/>
        </w:trPr>
        <w:tc>
          <w:tcPr>
            <w:tcW w:w="47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Industrial</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138.8</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87.7</w:t>
            </w:r>
          </w:p>
        </w:tc>
        <w:tc>
          <w:tcPr>
            <w:tcW w:w="1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266.5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r>
      <w:tr>
        <w:trPr>
          <w:trHeight w:val="229"/>
        </w:trPr>
        <w:tc>
          <w:tcPr>
            <w:tcW w:w="47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Municipal</w:t>
            </w:r>
          </w:p>
        </w:tc>
        <w:tc>
          <w:tcPr>
            <w:tcW w:w="2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11.5</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9.0</w:t>
            </w:r>
          </w:p>
        </w:tc>
        <w:tc>
          <w:tcPr>
            <w:tcW w:w="1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24.1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r>
      <w:tr>
        <w:trPr>
          <w:trHeight w:val="223"/>
        </w:trPr>
        <w:tc>
          <w:tcPr>
            <w:tcW w:w="4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Retail and Municipal Electric Revenue</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221.5</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149.1</w:t>
            </w:r>
          </w:p>
        </w:tc>
        <w:tc>
          <w:tcPr>
            <w:tcW w:w="1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439.5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r>
      <w:tr>
        <w:trPr>
          <w:trHeight w:val="229"/>
        </w:trPr>
        <w:tc>
          <w:tcPr>
            <w:tcW w:w="4740" w:type="dxa"/>
            <w:vAlign w:val="bottom"/>
          </w:tcPr>
          <w:p>
            <w:pPr>
              <w:ind w:left="560"/>
              <w:spacing w:after="0"/>
              <w:rPr>
                <w:sz w:val="20"/>
                <w:szCs w:val="20"/>
                <w:color w:val="auto"/>
              </w:rPr>
            </w:pPr>
            <w:r>
              <w:rPr>
                <w:rFonts w:ascii="Arial" w:cs="Arial" w:eastAsia="Arial" w:hAnsi="Arial"/>
                <w:sz w:val="18"/>
                <w:szCs w:val="18"/>
                <w:color w:val="auto"/>
              </w:rPr>
              <w:t>Other Power Suppliers</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37.3</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27.4</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75.7</w:t>
            </w:r>
          </w:p>
        </w:tc>
        <w:tc>
          <w:tcPr>
            <w:tcW w:w="108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30"/>
        </w:trPr>
        <w:tc>
          <w:tcPr>
            <w:tcW w:w="47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Other (Includes Water and Gas Revenue)</w:t>
            </w:r>
          </w:p>
        </w:tc>
        <w:tc>
          <w:tcPr>
            <w:tcW w:w="23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31.6</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24.3</w:t>
            </w:r>
          </w:p>
        </w:tc>
        <w:tc>
          <w:tcPr>
            <w:tcW w:w="16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68.2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23"/>
        </w:trPr>
        <w:tc>
          <w:tcPr>
            <w:tcW w:w="4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Regulated Utility Revenue</w:t>
            </w:r>
          </w:p>
        </w:tc>
        <w:tc>
          <w:tcPr>
            <w:tcW w:w="2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$290.4</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$583.4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w:t>
            </w:r>
          </w:p>
        </w:tc>
      </w:tr>
    </w:tbl>
    <w:p>
      <w:pPr>
        <w:spacing w:after="0" w:line="289" w:lineRule="exact"/>
        <w:rPr>
          <w:sz w:val="20"/>
          <w:szCs w:val="20"/>
          <w:color w:val="auto"/>
        </w:rPr>
      </w:pPr>
    </w:p>
    <w:p>
      <w:pPr>
        <w:ind w:right="160"/>
        <w:spacing w:after="0" w:line="348" w:lineRule="auto"/>
        <w:rPr>
          <w:sz w:val="20"/>
          <w:szCs w:val="20"/>
          <w:color w:val="auto"/>
        </w:rPr>
      </w:pPr>
      <w:r>
        <w:rPr>
          <w:rFonts w:ascii="Arial" w:cs="Arial" w:eastAsia="Arial" w:hAnsi="Arial"/>
          <w:sz w:val="15"/>
          <w:szCs w:val="15"/>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4 of 4</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 30 West Superior Street, Duluth, Minnesota 55802</w:t>
      </w:r>
    </w:p>
    <w:sectPr>
      <w:pgSz w:w="11900" w:h="16838" w:orient="portrait"/>
      <w:cols w:equalWidth="0" w:num="1">
        <w:col w:w="11240"/>
      </w:cols>
      <w:pgMar w:left="320" w:top="9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lowerLetter"/>
      <w:start w:val="1"/>
    </w:lvl>
  </w:abstractNum>
  <w:abstractNum w:abstractNumId="4">
    <w:nsid w:val="B03E0C6"/>
    <w:multiLevelType w:val="hybridMultilevel"/>
    <w:lvl w:ilvl="0">
      <w:lvlJc w:val="left"/>
      <w:lvlText w:val="(%1)"/>
      <w:numFmt w:val="lowerLetter"/>
      <w:start w:val="1"/>
    </w:lvl>
  </w:abstractNum>
  <w:abstractNum w:abstractNumId="5">
    <w:nsid w:val="189A769B"/>
    <w:multiLevelType w:val="hybridMultilevel"/>
    <w:lvl w:ilvl="0">
      <w:lvlJc w:val="left"/>
      <w:lvlText w:val="(%1)"/>
      <w:numFmt w:val="lowerLetter"/>
      <w:start w:val="1"/>
    </w:lvl>
  </w:abstractNum>
  <w:abstractNum w:abstractNumId="6">
    <w:nsid w:val="54E49EB4"/>
    <w:multiLevelType w:val="hybridMultilevel"/>
    <w:lvl w:ilvl="0">
      <w:lvlJc w:val="left"/>
      <w:lvlText w:val="(%1)"/>
      <w:numFmt w:val="lowerLetter"/>
      <w:start w:val="1"/>
    </w:lvl>
  </w:abstractNum>
  <w:abstractNum w:abstractNumId="7">
    <w:nsid w:val="71F32454"/>
    <w:multiLevelType w:val="hybridMultilevel"/>
    <w:lvl w:ilvl="0">
      <w:lvlJc w:val="left"/>
      <w:lvlText w:val="(%1)"/>
      <w:numFmt w:val="lowerLetter"/>
      <w:start w:val="1"/>
    </w:lvl>
  </w:abstractNum>
  <w:abstractNum w:abstractNumId="8">
    <w:nsid w:val="2CA88611"/>
    <w:multiLevelType w:val="hybridMultilevel"/>
    <w:lvl w:ilvl="0">
      <w:lvlJc w:val="left"/>
      <w:lvlText w:val="(%1)"/>
      <w:numFmt w:val="lowerLetter"/>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1)"/>
      <w:numFmt w:val="lowerLetter"/>
      <w:start w:val="1"/>
    </w:lvl>
  </w:abstractNum>
  <w:abstractNum w:abstractNumId="11">
    <w:nsid w:val="3A95F874"/>
    <w:multiLevelType w:val="hybridMultilevel"/>
    <w:lvl w:ilvl="0">
      <w:lvlJc w:val="left"/>
      <w:lvlText w:val="(%1)"/>
      <w:numFmt w:val="lowerLetter"/>
      <w:start w:val="1"/>
    </w:lvl>
  </w:abstractNum>
  <w:abstractNum w:abstractNumId="12">
    <w:nsid w:val="8138641"/>
    <w:multiLevelType w:val="hybridMultilevel"/>
    <w:lvl w:ilvl="0">
      <w:lvlJc w:val="left"/>
      <w:lvlText w:val="%1"/>
      <w:numFmt w:val="decimal"/>
      <w:start w:val="32"/>
    </w:lvl>
  </w:abstractNum>
  <w:abstractNum w:abstractNumId="13">
    <w:nsid w:val="1E7FF521"/>
    <w:multiLevelType w:val="hybridMultilevel"/>
    <w:lvl w:ilvl="0">
      <w:lvlJc w:val="left"/>
      <w:lvlText w:val="%1"/>
      <w:numFmt w:val="decimal"/>
      <w:start w:val="99"/>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3"/>
    </w:lvl>
  </w:abstractNum>
  <w:abstractNum w:abstractNumId="16">
    <w:nsid w:val="6CEAF087"/>
    <w:multiLevelType w:val="hybridMultilevel"/>
    <w:lvl w:ilvl="0">
      <w:lvlJc w:val="left"/>
      <w:lvlText w:val="(%1)"/>
      <w:numFmt w:val="decimal"/>
      <w:start w:val="3"/>
    </w:lvl>
  </w:abstractNum>
  <w:abstractNum w:abstractNumId="17">
    <w:nsid w:val="22221A70"/>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2"/>
    </w:lvl>
    <w:lvl w:ilvl="3">
      <w:lvlJc w:val="left"/>
      <w:lvlText w:val="(%4)"/>
      <w:numFmt w:val="lowerRoman"/>
      <w:start w:val="1"/>
    </w:lvl>
    <w:lvl w:ilvl="4">
      <w:lvlJc w:val="left"/>
      <w:lvlText w:val="(%5)"/>
      <w:numFmt w:val="lowerLetter"/>
      <w:start w:val="35"/>
    </w:lvl>
  </w:abstractNum>
  <w:abstractNum w:abstractNumId="18">
    <w:nsid w:val="4516DDE9"/>
    <w:multiLevelType w:val="hybridMultilevel"/>
    <w:lvl w:ilvl="0">
      <w:lvlJc w:val="left"/>
      <w:lvlText w:val="(%1)"/>
      <w:numFmt w:val="lowerLetter"/>
      <w:start w:val="1"/>
    </w:lvl>
    <w:lvl w:ilvl="1">
      <w:lvlJc w:val="left"/>
      <w:lvlText w:val="(%2)"/>
      <w:numFmt w:val="lowerLetter"/>
      <w:start w:val="2"/>
    </w:lvl>
  </w:abstractNum>
  <w:abstractNum w:abstractNumId="19">
    <w:nsid w:val="3006C83E"/>
    <w:multiLevelType w:val="hybridMultilevel"/>
    <w:lvl w:ilvl="0">
      <w:lvlJc w:val="left"/>
      <w:lvlText w:val="(%1)"/>
      <w:numFmt w:val="lowerLetter"/>
      <w:start w:val="3"/>
    </w:lvl>
    <w:lvl w:ilvl="1">
      <w:lvlJc w:val="left"/>
      <w:lvlText w:val="(%2)"/>
      <w:numFmt w:val="lowerLetter"/>
      <w:start w:val="4"/>
    </w:lvl>
  </w:abstractNum>
  <w:abstractNum w:abstractNumId="20">
    <w:nsid w:val="614FD4A1"/>
    <w:multiLevelType w:val="hybridMultilevel"/>
    <w:lvl w:ilvl="0">
      <w:lvlJc w:val="left"/>
      <w:lvlText w:val="(%1)"/>
      <w:numFmt w:val="lowerLetter"/>
      <w:start w:val="5"/>
    </w:lvl>
  </w:abstractNum>
  <w:abstractNum w:abstractNumId="21">
    <w:nsid w:val="419AC241"/>
    <w:multiLevelType w:val="hybridMultilevel"/>
    <w:lvl w:ilvl="0">
      <w:lvlJc w:val="left"/>
      <w:lvlText w:val="(%1)"/>
      <w:numFmt w:val="lowerRoman"/>
      <w:start w:val="1"/>
    </w:lvl>
  </w:abstractNum>
  <w:abstractNum w:abstractNumId="22">
    <w:nsid w:val="5577F8E1"/>
    <w:multiLevelType w:val="hybridMultilevel"/>
    <w:lvl w:ilvl="0">
      <w:lvlJc w:val="left"/>
      <w:lvlText w:val="(%1)"/>
      <w:numFmt w:val="lowerRoman"/>
      <w:start w:val="2"/>
    </w:lvl>
    <w:lvl w:ilvl="1">
      <w:lvlJc w:val="left"/>
      <w:lvlText w:val="(%2)"/>
      <w:numFmt w:val="lowerRoman"/>
      <w:start w:val="3"/>
    </w:lvl>
  </w:abstractNum>
  <w:abstractNum w:abstractNumId="23">
    <w:nsid w:val="440BADFC"/>
    <w:multiLevelType w:val="hybridMultilevel"/>
    <w:lvl w:ilvl="0">
      <w:lvlJc w:val="left"/>
      <w:lvlText w:val="(%1)"/>
      <w:numFmt w:val="lowerRoman"/>
      <w:start w:val="6"/>
    </w:lvl>
    <w:lvl w:ilvl="1">
      <w:lvlJc w:val="left"/>
      <w:lvlText w:val="(%2)"/>
      <w:numFmt w:val="lowerRoman"/>
      <w:start w:val="10"/>
    </w:lvl>
    <w:lvl w:ilvl="2">
      <w:lvlJc w:val="left"/>
      <w:lvlText w:val="(%3)"/>
      <w:numFmt w:val="lowerRoman"/>
      <w:start w:val="7"/>
    </w:lvl>
  </w:abstractNum>
  <w:abstractNum w:abstractNumId="24">
    <w:nsid w:val="5072367"/>
    <w:multiLevelType w:val="hybridMultilevel"/>
    <w:lvl w:ilvl="0">
      <w:lvlJc w:val="left"/>
      <w:lvlText w:val="%1"/>
      <w:numFmt w:val="lowerRoman"/>
      <w:start w:val="1"/>
    </w:lvl>
    <w:lvl w:ilvl="1">
      <w:lvlJc w:val="left"/>
      <w:lvlText w:val="(%2)"/>
      <w:numFmt w:val="lowerRoman"/>
      <w:start w:val="12"/>
    </w:lvl>
  </w:abstractNum>
  <w:abstractNum w:abstractNumId="25">
    <w:nsid w:val="3804823E"/>
    <w:multiLevelType w:val="hybridMultilevel"/>
    <w:lvl w:ilvl="0">
      <w:lvlJc w:val="left"/>
      <w:lvlText w:val="(%1)"/>
      <w:numFmt w:val="lowerRoman"/>
      <w:start w:val="13"/>
    </w:lvl>
    <w:lvl w:ilvl="1">
      <w:lvlJc w:val="left"/>
      <w:lvlText w:val="%2"/>
      <w:numFmt w:val="lowerRoman"/>
      <w:start w:val="1"/>
    </w:lvl>
  </w:abstractNum>
  <w:abstractNum w:abstractNumId="26">
    <w:nsid w:val="77465F01"/>
    <w:multiLevelType w:val="hybridMultilevel"/>
    <w:lvl w:ilvl="0">
      <w:lvlJc w:val="left"/>
      <w:lvlText w:val="(%1)"/>
      <w:numFmt w:val="lowerRoman"/>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3"/>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2"/>
    </w:lvl>
    <w:lvl w:ilvl="3">
      <w:lvlJc w:val="left"/>
      <w:lvlText w:val="(%4)"/>
      <w:numFmt w:val="lowerLetter"/>
      <w:start w:val="9"/>
    </w:lvl>
  </w:abstractNum>
  <w:abstractNum w:abstractNumId="32">
    <w:nsid w:val="2D517796"/>
    <w:multiLevelType w:val="hybridMultilevel"/>
    <w:lvl w:ilvl="0">
      <w:lvlJc w:val="left"/>
      <w:lvlText w:val="(%1)"/>
      <w:numFmt w:val="lowerRoman"/>
      <w:start w:val="2"/>
    </w:lvl>
  </w:abstractNum>
  <w:abstractNum w:abstractNumId="33">
    <w:nsid w:val="580BD78F"/>
    <w:multiLevelType w:val="hybridMultilevel"/>
    <w:lvl w:ilvl="0">
      <w:lvlJc w:val="left"/>
      <w:lvlText w:val="(%1)"/>
      <w:numFmt w:val="lowerLetter"/>
      <w:start w:val="1"/>
    </w:lvl>
    <w:lvl w:ilvl="1">
      <w:lvlJc w:val="left"/>
      <w:lvlText w:val="(%2)"/>
      <w:numFmt w:val="lowerLetter"/>
      <w:start w:val="2"/>
    </w:lvl>
  </w:abstractNum>
  <w:abstractNum w:abstractNumId="34">
    <w:nsid w:val="153EA438"/>
    <w:multiLevelType w:val="hybridMultilevel"/>
    <w:lvl w:ilvl="0">
      <w:lvlJc w:val="left"/>
      <w:lvlText w:val="(%1)"/>
      <w:numFmt w:val="lowerLetter"/>
      <w:start w:val="3"/>
    </w:lvl>
    <w:lvl w:ilvl="1">
      <w:lvlJc w:val="left"/>
      <w:lvlText w:val="(%2)"/>
      <w:numFmt w:val="lowerLetter"/>
      <w:start w:val="4"/>
    </w:lvl>
  </w:abstractNum>
  <w:abstractNum w:abstractNumId="35">
    <w:nsid w:val="3855585C"/>
    <w:multiLevelType w:val="hybridMultilevel"/>
    <w:lvl w:ilvl="0">
      <w:lvlJc w:val="left"/>
      <w:lvlText w:val="(%1)"/>
      <w:numFmt w:val="lowerLetter"/>
      <w:start w:val="5"/>
    </w:lvl>
  </w:abstractNum>
  <w:abstractNum w:abstractNumId="36">
    <w:nsid w:val="70A64E2A"/>
    <w:multiLevelType w:val="hybridMultilevel"/>
    <w:lvl w:ilvl="0">
      <w:lvlJc w:val="left"/>
      <w:lvlText w:val="(%1)"/>
      <w:numFmt w:val="lowerRoman"/>
      <w:start w:val="1"/>
    </w:lvl>
  </w:abstractNum>
  <w:abstractNum w:abstractNumId="37">
    <w:nsid w:val="6A2342EC"/>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3"/>
    </w:lvl>
    <w:lvl w:ilvl="3">
      <w:lvlJc w:val="left"/>
      <w:lvlText w:val="%4"/>
      <w:numFmt w:val="lowerRoman"/>
      <w:start w:val="1"/>
    </w:lvl>
  </w:abstractNum>
  <w:abstractNum w:abstractNumId="38">
    <w:nsid w:val="2A487CB0"/>
    <w:multiLevelType w:val="hybridMultilevel"/>
    <w:lvl w:ilvl="0">
      <w:lvlJc w:val="left"/>
      <w:lvlText w:val="%1"/>
      <w:numFmt w:val="lowerRoman"/>
      <w:start w:val="1"/>
    </w:lvl>
    <w:lvl w:ilvl="1">
      <w:lvlJc w:val="left"/>
      <w:lvlText w:val="(%2)"/>
      <w:numFmt w:val="lowerRoman"/>
      <w:start w:val="4"/>
    </w:lvl>
    <w:lvl w:ilvl="2">
      <w:lvlJc w:val="left"/>
      <w:lvlText w:val="%3"/>
      <w:numFmt w:val="lowerRoman"/>
      <w:start w:val="1"/>
    </w:lvl>
    <w:lvl w:ilvl="3">
      <w:lvlJc w:val="left"/>
      <w:lvlText w:val="(%4)"/>
      <w:numFmt w:val="lowerRoman"/>
      <w:start w:val="5"/>
    </w:lvl>
  </w:abstractNum>
  <w:abstractNum w:abstractNumId="39">
    <w:nsid w:val="1D4ED43B"/>
    <w:multiLevelType w:val="hybridMultilevel"/>
    <w:lvl w:ilvl="0">
      <w:lvlJc w:val="left"/>
      <w:lvlText w:val="%1"/>
      <w:numFmt w:val="lowerRoman"/>
      <w:start w:val="1"/>
    </w:lvl>
    <w:lvl w:ilvl="1">
      <w:lvlJc w:val="left"/>
      <w:lvlText w:val="(%2)"/>
      <w:numFmt w:val="lowerRoman"/>
      <w:start w:val="6"/>
    </w:lvl>
    <w:lvl w:ilvl="2">
      <w:lvlJc w:val="left"/>
      <w:lvlText w:val="%3"/>
      <w:numFmt w:val="lowerRoman"/>
      <w:start w:val="1"/>
    </w:lvl>
    <w:lvl w:ilvl="3">
      <w:lvlJc w:val="left"/>
      <w:lvlText w:val="%4"/>
      <w:numFmt w:val="lowerRoman"/>
      <w:start w:val="1"/>
    </w:lvl>
  </w:abstractNum>
  <w:abstractNum w:abstractNumId="40">
    <w:nsid w:val="725A06FB"/>
    <w:multiLevelType w:val="hybridMultilevel"/>
    <w:lvl w:ilvl="0">
      <w:lvlJc w:val="left"/>
      <w:lvlText w:val="%1"/>
      <w:numFmt w:val="lowerRoman"/>
      <w:start w:val="1"/>
    </w:lvl>
    <w:lvl w:ilvl="1">
      <w:lvlJc w:val="left"/>
      <w:lvlText w:val="(%2)"/>
      <w:numFmt w:val="lowerRoman"/>
      <w:start w:val="7"/>
    </w:lvl>
  </w:abstractNum>
  <w:abstractNum w:abstractNumId="41">
    <w:nsid w:val="2CD89A32"/>
    <w:multiLevelType w:val="hybridMultilevel"/>
    <w:lvl w:ilvl="0">
      <w:lvlJc w:val="left"/>
      <w:lvlText w:val="(%1)"/>
      <w:numFmt w:val="lowerRoman"/>
      <w:start w:val="11"/>
    </w:lvl>
    <w:lvl w:ilvl="1">
      <w:lvlJc w:val="left"/>
      <w:lvlText w:val="(%2)"/>
      <w:numFmt w:val="lowerRoman"/>
      <w:start w:val="12"/>
    </w:lvl>
  </w:abstractNum>
  <w:abstractNum w:abstractNumId="42">
    <w:nsid w:val="57E4CCAF"/>
    <w:multiLevelType w:val="hybridMultilevel"/>
    <w:lvl w:ilvl="0">
      <w:lvlJc w:val="left"/>
      <w:lvlText w:val="(%1)"/>
      <w:numFmt w:val="lowerRoman"/>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2021-08-04T05:42:23Z</dcterms:created>
  <dcterms:modified xsi:type="dcterms:W3CDTF">2021-08-04T05:42:23Z</dcterms:modified>
</cp:coreProperties>
</file>