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7"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156" w:lineRule="exact"/>
        <w:rPr>
          <w:sz w:val="24"/>
          <w:szCs w:val="24"/>
          <w:color w:val="auto"/>
        </w:rPr>
      </w:pPr>
    </w:p>
    <w:p>
      <w:pPr>
        <w:spacing w:after="0"/>
        <w:rPr>
          <w:sz w:val="20"/>
          <w:szCs w:val="20"/>
          <w:color w:val="auto"/>
        </w:rPr>
      </w:pPr>
      <w:r>
        <w:rPr>
          <w:rFonts w:ascii="Arial" w:cs="Arial" w:eastAsia="Arial" w:hAnsi="Arial"/>
          <w:sz w:val="18"/>
          <w:szCs w:val="18"/>
          <w:color w:val="auto"/>
        </w:rPr>
        <w:t>For the quarterly period ended June 30, 2020</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17" w:lineRule="exact"/>
        <w:rPr>
          <w:sz w:val="24"/>
          <w:szCs w:val="24"/>
          <w:color w:val="auto"/>
        </w:rPr>
      </w:pPr>
    </w:p>
    <w:p>
      <w:pPr>
        <w:ind w:left="680" w:right="4120" w:hanging="654"/>
        <w:spacing w:after="0" w:line="340" w:lineRule="auto"/>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1039" w:right="339" w:bottom="1440" w:gutter="0" w:footer="0" w:header="0"/>
        </w:sectPr>
      </w:pPr>
    </w:p>
    <w:p>
      <w:pPr>
        <w:spacing w:after="0" w:line="161" w:lineRule="exact"/>
        <w:rPr>
          <w:sz w:val="24"/>
          <w:szCs w:val="24"/>
          <w:color w:val="auto"/>
        </w:rPr>
      </w:pPr>
    </w:p>
    <w:p>
      <w:pPr>
        <w:ind w:left="228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41-0418150</w:t>
      </w:r>
    </w:p>
    <w:p>
      <w:pPr>
        <w:spacing w:after="0" w:line="90" w:lineRule="exact"/>
        <w:rPr>
          <w:sz w:val="24"/>
          <w:szCs w:val="24"/>
          <w:color w:val="auto"/>
        </w:rPr>
      </w:pPr>
    </w:p>
    <w:p>
      <w:pPr>
        <w:sectPr>
          <w:pgSz w:w="11900" w:h="16838" w:orient="portrait"/>
          <w:cols w:equalWidth="0" w:num="2">
            <w:col w:w="7180" w:space="720"/>
            <w:col w:w="3340"/>
          </w:cols>
          <w:pgMar w:left="320" w:top="1039" w:right="3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152" w:lineRule="exact"/>
        <w:rPr>
          <w:sz w:val="24"/>
          <w:szCs w:val="24"/>
          <w:color w:val="auto"/>
        </w:rPr>
      </w:pPr>
    </w:p>
    <w:p>
      <w:pPr>
        <w:sectPr>
          <w:pgSz w:w="11900" w:h="16838" w:orient="portrait"/>
          <w:cols w:equalWidth="0" w:num="2">
            <w:col w:w="6380" w:space="720"/>
            <w:col w:w="4140"/>
          </w:cols>
          <w:pgMar w:left="320" w:top="1039"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240"/>
          </w:cols>
          <w:pgMar w:left="320" w:top="1039" w:right="339" w:bottom="1440" w:gutter="0" w:footer="0" w:header="0"/>
          <w:type w:val="continuous"/>
        </w:sect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1039" w:right="339" w:bottom="1440" w:gutter="0" w:footer="0" w:header="0"/>
          <w:type w:val="continuous"/>
        </w:sectPr>
      </w:pPr>
    </w:p>
    <w:p>
      <w:pPr>
        <w:spacing w:after="0" w:line="86" w:lineRule="exact"/>
        <w:rPr>
          <w:sz w:val="24"/>
          <w:szCs w:val="24"/>
          <w:color w:val="auto"/>
        </w:rPr>
      </w:pPr>
    </w:p>
    <w:p>
      <w:pPr>
        <w:ind w:left="164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color w:val="auto"/>
        </w:rPr>
        <w:t>Trading symbol</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2" w:lineRule="exact"/>
        <w:rPr>
          <w:sz w:val="24"/>
          <w:szCs w:val="24"/>
          <w:color w:val="auto"/>
        </w:rPr>
      </w:pPr>
    </w:p>
    <w:p>
      <w:pPr>
        <w:sectPr>
          <w:pgSz w:w="11900" w:h="16838" w:orient="portrait"/>
          <w:cols w:equalWidth="0" w:num="3">
            <w:col w:w="4360" w:space="720"/>
            <w:col w:w="1600" w:space="720"/>
            <w:col w:w="3840"/>
          </w:cols>
          <w:pgMar w:left="320" w:top="1039" w:right="339" w:bottom="1440" w:gutter="0" w:footer="0" w:header="0"/>
          <w:type w:val="continuous"/>
        </w:sectPr>
      </w:pPr>
    </w:p>
    <w:p>
      <w:pPr>
        <w:ind w:left="960"/>
        <w:spacing w:after="0"/>
        <w:rPr>
          <w:sz w:val="20"/>
          <w:szCs w:val="20"/>
          <w:color w:val="auto"/>
        </w:rPr>
      </w:pPr>
      <w:r>
        <w:rPr>
          <w:rFonts w:ascii="Arial" w:cs="Arial" w:eastAsia="Arial" w:hAnsi="Arial"/>
          <w:sz w:val="16"/>
          <w:szCs w:val="16"/>
          <w:b w:val="1"/>
          <w:bCs w:val="1"/>
          <w:color w:val="auto"/>
        </w:rPr>
        <w:t>Common Stock, without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ALE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New York Stock Exchange</w:t>
      </w:r>
    </w:p>
    <w:p>
      <w:pPr>
        <w:spacing w:after="0" w:line="170" w:lineRule="exact"/>
        <w:rPr>
          <w:sz w:val="24"/>
          <w:szCs w:val="24"/>
          <w:color w:val="auto"/>
        </w:rPr>
      </w:pPr>
    </w:p>
    <w:p>
      <w:pPr>
        <w:sectPr>
          <w:pgSz w:w="11900" w:h="16838" w:orient="portrait"/>
          <w:cols w:equalWidth="0" w:num="3">
            <w:col w:w="4740" w:space="720"/>
            <w:col w:w="1780" w:space="720"/>
            <w:col w:w="3280"/>
          </w:cols>
          <w:pgMar w:left="320" w:top="1039" w:right="339" w:bottom="1440" w:gutter="0" w:footer="0" w:header="0"/>
          <w:type w:val="continuous"/>
        </w:sect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1"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0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p>
      <w:pPr>
        <w:ind w:left="460"/>
        <w:spacing w:after="0" w:line="207" w:lineRule="exact"/>
        <w:tabs>
          <w:tab w:leader="none" w:pos="25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58" w:lineRule="exact"/>
        <w:rPr>
          <w:sz w:val="24"/>
          <w:szCs w:val="24"/>
          <w:color w:val="auto"/>
        </w:rPr>
      </w:pPr>
    </w:p>
    <w:p>
      <w:pPr>
        <w:ind w:left="460"/>
        <w:spacing w:after="0" w:line="207" w:lineRule="exact"/>
        <w:tabs>
          <w:tab w:leader="none" w:pos="240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 w:lineRule="exact"/>
        <w:rPr>
          <w:sz w:val="24"/>
          <w:szCs w:val="24"/>
          <w:color w:val="auto"/>
        </w:rPr>
      </w:pPr>
    </w:p>
    <w:p>
      <w:pPr>
        <w:ind w:left="6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51,880,664 shares outstanding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of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940" w:type="dxa"/>
            <w:vAlign w:val="bottom"/>
          </w:tcPr>
          <w:p>
            <w:pPr>
              <w:ind w:left="3660"/>
              <w:spacing w:after="0"/>
              <w:rPr>
                <w:sz w:val="20"/>
                <w:szCs w:val="20"/>
                <w:color w:val="auto"/>
              </w:rPr>
            </w:pPr>
            <w:r>
              <w:rPr>
                <w:rFonts w:ascii="Arial" w:cs="Arial" w:eastAsia="Arial" w:hAnsi="Arial"/>
                <w:sz w:val="18"/>
                <w:szCs w:val="18"/>
                <w:b w:val="1"/>
                <w:bCs w:val="1"/>
                <w:color w:val="auto"/>
              </w:rPr>
              <w:t>Index</w:t>
            </w:r>
          </w:p>
        </w:tc>
        <w:tc>
          <w:tcPr>
            <w:tcW w:w="1520" w:type="dxa"/>
            <w:vAlign w:val="bottom"/>
          </w:tcPr>
          <w:p>
            <w:pPr>
              <w:spacing w:after="0"/>
              <w:rPr>
                <w:sz w:val="20"/>
                <w:szCs w:val="20"/>
                <w:color w:val="auto"/>
              </w:rPr>
            </w:pPr>
          </w:p>
        </w:tc>
      </w:tr>
      <w:tr>
        <w:trPr>
          <w:trHeight w:val="527"/>
        </w:trPr>
        <w:tc>
          <w:tcPr>
            <w:tcW w:w="880" w:type="dxa"/>
            <w:vAlign w:val="bottom"/>
          </w:tcPr>
          <w:p>
            <w:pPr>
              <w:ind w:left="20"/>
              <w:spacing w:after="0"/>
              <w:rPr>
                <w:rFonts w:ascii="Arial" w:cs="Arial" w:eastAsia="Arial" w:hAnsi="Arial"/>
                <w:sz w:val="18"/>
                <w:szCs w:val="18"/>
                <w:u w:val="single" w:color="auto"/>
                <w:color w:val="0000FF"/>
                <w:w w:val="99"/>
              </w:rPr>
            </w:pPr>
            <w:hyperlink w:anchor="page2">
              <w:r>
                <w:rPr>
                  <w:rFonts w:ascii="Arial" w:cs="Arial" w:eastAsia="Arial" w:hAnsi="Arial"/>
                  <w:sz w:val="18"/>
                  <w:szCs w:val="18"/>
                  <w:u w:val="single" w:color="auto"/>
                  <w:color w:val="0000FF"/>
                  <w:w w:val="99"/>
                </w:rPr>
                <w:t>Definitions</w:t>
              </w:r>
            </w:hyperlink>
          </w:p>
        </w:tc>
        <w:tc>
          <w:tcPr>
            <w:tcW w:w="86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520" w:type="dxa"/>
            <w:vAlign w:val="bottom"/>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3</w:t>
              </w:r>
            </w:hyperlink>
          </w:p>
        </w:tc>
      </w:tr>
      <w:tr>
        <w:trPr>
          <w:trHeight w:val="229"/>
        </w:trPr>
        <w:tc>
          <w:tcPr>
            <w:tcW w:w="9680" w:type="dxa"/>
            <w:vAlign w:val="bottom"/>
            <w:gridSpan w:val="3"/>
            <w:shd w:val="clear" w:color="auto" w:fill="CCEEFF"/>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Forward-Looking Statements</w:t>
              </w:r>
            </w:hyperlink>
          </w:p>
        </w:tc>
        <w:tc>
          <w:tcPr>
            <w:tcW w:w="1520" w:type="dxa"/>
            <w:vAlign w:val="bottom"/>
            <w:shd w:val="clear" w:color="auto" w:fill="CCEEFF"/>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30"/>
        </w:trPr>
        <w:tc>
          <w:tcPr>
            <w:tcW w:w="88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Part I.</w:t>
              </w:r>
            </w:hyperlink>
          </w:p>
        </w:tc>
        <w:tc>
          <w:tcPr>
            <w:tcW w:w="8800" w:type="dxa"/>
            <w:vAlign w:val="bottom"/>
            <w:gridSpan w:val="2"/>
          </w:tcPr>
          <w:p>
            <w:pPr>
              <w:ind w:left="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Financial Information</w:t>
              </w:r>
            </w:hyperlink>
          </w:p>
        </w:tc>
        <w:tc>
          <w:tcPr>
            <w:tcW w:w="1520" w:type="dxa"/>
            <w:vAlign w:val="bottom"/>
          </w:tcPr>
          <w:p>
            <w:pPr>
              <w:spacing w:after="0"/>
              <w:rPr>
                <w:sz w:val="20"/>
                <w:szCs w:val="20"/>
                <w:color w:val="auto"/>
              </w:rPr>
            </w:pPr>
          </w:p>
        </w:tc>
      </w:tr>
      <w:tr>
        <w:trPr>
          <w:trHeight w:val="40"/>
        </w:trPr>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9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70"/>
        </w:trPr>
        <w:tc>
          <w:tcPr>
            <w:tcW w:w="880" w:type="dxa"/>
            <w:vAlign w:val="bottom"/>
            <w:shd w:val="clear" w:color="auto" w:fill="CCEEFF"/>
          </w:tcPr>
          <w:p>
            <w:pPr>
              <w:spacing w:after="0"/>
              <w:rPr>
                <w:sz w:val="23"/>
                <w:szCs w:val="23"/>
                <w:color w:val="auto"/>
              </w:rPr>
            </w:pPr>
          </w:p>
        </w:tc>
        <w:tc>
          <w:tcPr>
            <w:tcW w:w="860" w:type="dxa"/>
            <w:vAlign w:val="bottom"/>
            <w:shd w:val="clear" w:color="auto" w:fill="CCEEFF"/>
          </w:tcPr>
          <w:p>
            <w:pPr>
              <w:ind w:left="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Item 1.</w:t>
              </w:r>
            </w:hyperlink>
          </w:p>
        </w:tc>
        <w:tc>
          <w:tcPr>
            <w:tcW w:w="7940" w:type="dxa"/>
            <w:vAlign w:val="bottom"/>
            <w:shd w:val="clear" w:color="auto" w:fill="CCEEFF"/>
          </w:tcPr>
          <w:p>
            <w:pPr>
              <w:ind w:left="1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Financial Statements - Unaudited</w:t>
              </w:r>
            </w:hyperlink>
          </w:p>
        </w:tc>
        <w:tc>
          <w:tcPr>
            <w:tcW w:w="1520" w:type="dxa"/>
            <w:vAlign w:val="bottom"/>
            <w:shd w:val="clear" w:color="auto" w:fill="CCEEFF"/>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r>
      <w:tr>
        <w:trPr>
          <w:trHeight w:val="270"/>
        </w:trPr>
        <w:tc>
          <w:tcPr>
            <w:tcW w:w="8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940" w:type="dxa"/>
            <w:vAlign w:val="bottom"/>
          </w:tcPr>
          <w:p>
            <w:pPr>
              <w:ind w:left="3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Balance Sheet</w:t>
              </w:r>
            </w:hyperlink>
          </w:p>
        </w:tc>
        <w:tc>
          <w:tcPr>
            <w:tcW w:w="152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r>
      <w:tr>
        <w:trPr>
          <w:trHeight w:val="270"/>
        </w:trPr>
        <w:tc>
          <w:tcPr>
            <w:tcW w:w="8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7940" w:type="dxa"/>
            <w:vAlign w:val="bottom"/>
            <w:shd w:val="clear" w:color="auto" w:fill="CCEEFF"/>
          </w:tcPr>
          <w:p>
            <w:pPr>
              <w:ind w:left="3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Statement of Income</w:t>
              </w:r>
            </w:hyperlink>
          </w:p>
        </w:tc>
        <w:tc>
          <w:tcPr>
            <w:tcW w:w="1520" w:type="dxa"/>
            <w:vAlign w:val="bottom"/>
            <w:shd w:val="clear" w:color="auto" w:fill="CCEEFF"/>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r>
      <w:tr>
        <w:trPr>
          <w:trHeight w:val="229"/>
        </w:trPr>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940" w:type="dxa"/>
            <w:vAlign w:val="bottom"/>
          </w:tcPr>
          <w:p>
            <w:pPr>
              <w:ind w:left="38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Consolidated Statement of Comprehensive Income</w:t>
              </w:r>
            </w:hyperlink>
          </w:p>
        </w:tc>
        <w:tc>
          <w:tcPr>
            <w:tcW w:w="152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tc>
      </w:tr>
      <w:tr>
        <w:trPr>
          <w:trHeight w:val="270"/>
        </w:trPr>
        <w:tc>
          <w:tcPr>
            <w:tcW w:w="8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7940" w:type="dxa"/>
            <w:vAlign w:val="bottom"/>
            <w:shd w:val="clear" w:color="auto" w:fill="CCEEFF"/>
          </w:tcPr>
          <w:p>
            <w:pPr>
              <w:ind w:left="38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Consolidated Statement of Cash Flows</w:t>
              </w:r>
            </w:hyperlink>
          </w:p>
        </w:tc>
        <w:tc>
          <w:tcPr>
            <w:tcW w:w="1520" w:type="dxa"/>
            <w:vAlign w:val="bottom"/>
            <w:shd w:val="clear" w:color="auto" w:fill="CCEEFF"/>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9</w:t>
              </w:r>
            </w:hyperlink>
          </w:p>
        </w:tc>
      </w:tr>
      <w:tr>
        <w:trPr>
          <w:trHeight w:val="230"/>
        </w:trPr>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940" w:type="dxa"/>
            <w:vAlign w:val="bottom"/>
          </w:tcPr>
          <w:p>
            <w:pPr>
              <w:ind w:left="38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Consolidated Statement of Equity</w:t>
              </w:r>
            </w:hyperlink>
          </w:p>
        </w:tc>
        <w:tc>
          <w:tcPr>
            <w:tcW w:w="152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10</w:t>
              </w:r>
            </w:hyperlink>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38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Notes to Consolidated Financial Statements</w:t>
              </w:r>
            </w:hyperlink>
          </w:p>
        </w:tc>
        <w:tc>
          <w:tcPr>
            <w:tcW w:w="152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11</w:t>
              </w:r>
            </w:hyperlink>
          </w:p>
        </w:tc>
      </w:tr>
      <w:tr>
        <w:trPr>
          <w:trHeight w:val="229"/>
        </w:trPr>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940" w:type="dxa"/>
            <w:vAlign w:val="bottom"/>
          </w:tcPr>
          <w:p>
            <w:pPr>
              <w:ind w:left="62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Note 1. Operations and Significant Accounting Policies</w:t>
              </w:r>
            </w:hyperlink>
          </w:p>
        </w:tc>
        <w:tc>
          <w:tcPr>
            <w:tcW w:w="1520" w:type="dxa"/>
            <w:vAlign w:val="bottom"/>
          </w:tcPr>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11</w:t>
              </w:r>
            </w:hyperlink>
          </w:p>
        </w:tc>
      </w:tr>
      <w:tr>
        <w:trPr>
          <w:trHeight w:val="229"/>
        </w:trPr>
        <w:tc>
          <w:tcPr>
            <w:tcW w:w="8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940" w:type="dxa"/>
            <w:vAlign w:val="bottom"/>
            <w:shd w:val="clear" w:color="auto" w:fill="CCEEFF"/>
          </w:tcPr>
          <w:p>
            <w:pPr>
              <w:ind w:left="620"/>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Note 2. Regulatory Matters</w:t>
              </w:r>
            </w:hyperlink>
          </w:p>
        </w:tc>
        <w:tc>
          <w:tcPr>
            <w:tcW w:w="1520" w:type="dxa"/>
            <w:vAlign w:val="bottom"/>
            <w:shd w:val="clear" w:color="auto" w:fill="CCEEFF"/>
          </w:tcPr>
          <w:p>
            <w:pPr>
              <w:jc w:val="right"/>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13</w:t>
              </w:r>
            </w:hyperlink>
          </w:p>
        </w:tc>
      </w:tr>
      <w:tr>
        <w:trPr>
          <w:trHeight w:val="230"/>
        </w:trPr>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940" w:type="dxa"/>
            <w:vAlign w:val="bottom"/>
          </w:tcPr>
          <w:p>
            <w:pPr>
              <w:ind w:left="62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Note 3. Equity Investments</w:t>
              </w:r>
            </w:hyperlink>
          </w:p>
        </w:tc>
        <w:tc>
          <w:tcPr>
            <w:tcW w:w="1520" w:type="dxa"/>
            <w:vAlign w:val="bottom"/>
          </w:tcPr>
          <w:p>
            <w:pPr>
              <w:jc w:val="right"/>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16</w:t>
              </w:r>
            </w:hyperlink>
          </w:p>
        </w:tc>
      </w:tr>
      <w:tr>
        <w:trPr>
          <w:trHeight w:val="229"/>
        </w:trPr>
        <w:tc>
          <w:tcPr>
            <w:tcW w:w="8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940" w:type="dxa"/>
            <w:vAlign w:val="bottom"/>
            <w:shd w:val="clear" w:color="auto" w:fill="CCEEFF"/>
          </w:tcPr>
          <w:p>
            <w:pPr>
              <w:ind w:left="62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Note 4. Fair Value</w:t>
              </w:r>
            </w:hyperlink>
          </w:p>
        </w:tc>
        <w:tc>
          <w:tcPr>
            <w:tcW w:w="1520" w:type="dxa"/>
            <w:vAlign w:val="bottom"/>
            <w:shd w:val="clear" w:color="auto" w:fill="CCEEFF"/>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17</w:t>
              </w:r>
            </w:hyperlink>
          </w:p>
        </w:tc>
      </w:tr>
      <w:tr>
        <w:trPr>
          <w:trHeight w:val="230"/>
        </w:trPr>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940" w:type="dxa"/>
            <w:vAlign w:val="bottom"/>
          </w:tcPr>
          <w:p>
            <w:pPr>
              <w:ind w:left="62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Note 5. Short-Term and Long-Term Debt</w:t>
              </w:r>
            </w:hyperlink>
          </w:p>
        </w:tc>
        <w:tc>
          <w:tcPr>
            <w:tcW w:w="1520" w:type="dxa"/>
            <w:vAlign w:val="bottom"/>
          </w:tcPr>
          <w:p>
            <w:pPr>
              <w:jc w:val="right"/>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19</w:t>
              </w:r>
            </w:hyperlink>
          </w:p>
        </w:tc>
      </w:tr>
      <w:tr>
        <w:trPr>
          <w:trHeight w:val="229"/>
        </w:trPr>
        <w:tc>
          <w:tcPr>
            <w:tcW w:w="8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940" w:type="dxa"/>
            <w:vAlign w:val="bottom"/>
            <w:shd w:val="clear" w:color="auto" w:fill="CCEEFF"/>
          </w:tcPr>
          <w:p>
            <w:pPr>
              <w:ind w:left="62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Note 6. Commitments, Guarantees and Contingencies</w:t>
              </w:r>
            </w:hyperlink>
          </w:p>
        </w:tc>
        <w:tc>
          <w:tcPr>
            <w:tcW w:w="1520" w:type="dxa"/>
            <w:vAlign w:val="bottom"/>
            <w:shd w:val="clear" w:color="auto" w:fill="CCEEFF"/>
          </w:tcPr>
          <w:p>
            <w:pPr>
              <w:jc w:val="right"/>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20</w:t>
              </w:r>
            </w:hyperlink>
          </w:p>
        </w:tc>
      </w:tr>
      <w:tr>
        <w:trPr>
          <w:trHeight w:val="229"/>
        </w:trPr>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940" w:type="dxa"/>
            <w:vAlign w:val="bottom"/>
          </w:tcPr>
          <w:p>
            <w:pPr>
              <w:ind w:left="6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Note 7. Earnings Per Share and Common Stock</w:t>
              </w:r>
            </w:hyperlink>
          </w:p>
        </w:tc>
        <w:tc>
          <w:tcPr>
            <w:tcW w:w="152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25</w:t>
              </w:r>
            </w:hyperlink>
          </w:p>
        </w:tc>
      </w:tr>
      <w:tr>
        <w:trPr>
          <w:trHeight w:val="230"/>
        </w:trPr>
        <w:tc>
          <w:tcPr>
            <w:tcW w:w="8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940" w:type="dxa"/>
            <w:vAlign w:val="bottom"/>
            <w:shd w:val="clear" w:color="auto" w:fill="CCEEFF"/>
          </w:tcPr>
          <w:p>
            <w:pPr>
              <w:ind w:left="6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Note 8. Income Tax Expense</w:t>
              </w:r>
            </w:hyperlink>
          </w:p>
        </w:tc>
        <w:tc>
          <w:tcPr>
            <w:tcW w:w="1520" w:type="dxa"/>
            <w:vAlign w:val="bottom"/>
            <w:shd w:val="clear" w:color="auto" w:fill="CCEEFF"/>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25</w:t>
              </w:r>
            </w:hyperlink>
          </w:p>
        </w:tc>
      </w:tr>
      <w:tr>
        <w:trPr>
          <w:trHeight w:val="229"/>
        </w:trPr>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940" w:type="dxa"/>
            <w:vAlign w:val="bottom"/>
          </w:tcPr>
          <w:p>
            <w:pPr>
              <w:ind w:left="62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Note 9. Pension and Other Postretirement Benefit Plans</w:t>
              </w:r>
            </w:hyperlink>
          </w:p>
        </w:tc>
        <w:tc>
          <w:tcPr>
            <w:tcW w:w="152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27</w:t>
              </w:r>
            </w:hyperlink>
          </w:p>
        </w:tc>
      </w:tr>
      <w:tr>
        <w:trPr>
          <w:trHeight w:val="229"/>
        </w:trPr>
        <w:tc>
          <w:tcPr>
            <w:tcW w:w="8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940" w:type="dxa"/>
            <w:vAlign w:val="bottom"/>
            <w:shd w:val="clear" w:color="auto" w:fill="CCEEFF"/>
          </w:tcPr>
          <w:p>
            <w:pPr>
              <w:ind w:left="6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Note 10. Business Segments</w:t>
              </w:r>
            </w:hyperlink>
          </w:p>
        </w:tc>
        <w:tc>
          <w:tcPr>
            <w:tcW w:w="1520" w:type="dxa"/>
            <w:vAlign w:val="bottom"/>
            <w:shd w:val="clear" w:color="auto" w:fill="CCEEFF"/>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27</w:t>
              </w:r>
            </w:hyperlink>
          </w:p>
        </w:tc>
      </w:tr>
      <w:tr>
        <w:trPr>
          <w:trHeight w:val="270"/>
        </w:trPr>
        <w:tc>
          <w:tcPr>
            <w:tcW w:w="880" w:type="dxa"/>
            <w:vAlign w:val="bottom"/>
          </w:tcPr>
          <w:p>
            <w:pPr>
              <w:spacing w:after="0"/>
              <w:rPr>
                <w:sz w:val="23"/>
                <w:szCs w:val="23"/>
                <w:color w:val="auto"/>
              </w:rPr>
            </w:pPr>
          </w:p>
        </w:tc>
        <w:tc>
          <w:tcPr>
            <w:tcW w:w="860" w:type="dxa"/>
            <w:vAlign w:val="bottom"/>
          </w:tcPr>
          <w:p>
            <w:pPr>
              <w:ind w:left="4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2.</w:t>
              </w:r>
            </w:hyperlink>
          </w:p>
        </w:tc>
        <w:tc>
          <w:tcPr>
            <w:tcW w:w="7940" w:type="dxa"/>
            <w:vAlign w:val="bottom"/>
          </w:tcPr>
          <w:p>
            <w:pPr>
              <w:ind w:left="18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Management’s Discussion and Analysis of Financial Condition and Results of Operations</w:t>
              </w:r>
            </w:hyperlink>
          </w:p>
        </w:tc>
        <w:tc>
          <w:tcPr>
            <w:tcW w:w="152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29</w:t>
              </w:r>
            </w:hyperlink>
          </w:p>
        </w:tc>
      </w:tr>
      <w:tr>
        <w:trPr>
          <w:trHeight w:val="230"/>
        </w:trPr>
        <w:tc>
          <w:tcPr>
            <w:tcW w:w="8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940" w:type="dxa"/>
            <w:vAlign w:val="bottom"/>
            <w:shd w:val="clear" w:color="auto" w:fill="CCEEFF"/>
          </w:tcPr>
          <w:p>
            <w:pPr>
              <w:ind w:left="38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Comparison of the Quarters Ended</w:t>
              </w:r>
            </w:hyperlink>
          </w:p>
        </w:tc>
        <w:tc>
          <w:tcPr>
            <w:tcW w:w="1520" w:type="dxa"/>
            <w:vAlign w:val="bottom"/>
            <w:shd w:val="clear" w:color="auto" w:fill="CCEEFF"/>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31</w:t>
              </w:r>
            </w:hyperlink>
          </w:p>
        </w:tc>
      </w:tr>
      <w:tr>
        <w:trPr>
          <w:trHeight w:val="229"/>
        </w:trPr>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940" w:type="dxa"/>
            <w:vAlign w:val="bottom"/>
          </w:tcPr>
          <w:p>
            <w:pPr>
              <w:ind w:left="38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Comparison of the Six Months Ended</w:t>
              </w:r>
            </w:hyperlink>
          </w:p>
        </w:tc>
        <w:tc>
          <w:tcPr>
            <w:tcW w:w="1520" w:type="dxa"/>
            <w:vAlign w:val="bottom"/>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34</w:t>
              </w:r>
            </w:hyperlink>
          </w:p>
        </w:tc>
      </w:tr>
      <w:tr>
        <w:trPr>
          <w:trHeight w:val="230"/>
        </w:trPr>
        <w:tc>
          <w:tcPr>
            <w:tcW w:w="8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940" w:type="dxa"/>
            <w:vAlign w:val="bottom"/>
            <w:shd w:val="clear" w:color="auto" w:fill="CCEEFF"/>
          </w:tcPr>
          <w:p>
            <w:pPr>
              <w:ind w:left="38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Critical Accounting Policies</w:t>
              </w:r>
            </w:hyperlink>
          </w:p>
        </w:tc>
        <w:tc>
          <w:tcPr>
            <w:tcW w:w="1520" w:type="dxa"/>
            <w:vAlign w:val="bottom"/>
            <w:shd w:val="clear" w:color="auto" w:fill="CCEEFF"/>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tc>
      </w:tr>
      <w:tr>
        <w:trPr>
          <w:trHeight w:val="230"/>
        </w:trPr>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940" w:type="dxa"/>
            <w:vAlign w:val="bottom"/>
          </w:tcPr>
          <w:p>
            <w:pPr>
              <w:ind w:left="38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Outlook</w:t>
              </w:r>
            </w:hyperlink>
          </w:p>
        </w:tc>
        <w:tc>
          <w:tcPr>
            <w:tcW w:w="152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tc>
      </w:tr>
      <w:tr>
        <w:trPr>
          <w:trHeight w:val="230"/>
        </w:trPr>
        <w:tc>
          <w:tcPr>
            <w:tcW w:w="8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940" w:type="dxa"/>
            <w:vAlign w:val="bottom"/>
            <w:shd w:val="clear" w:color="auto" w:fill="CCEEFF"/>
          </w:tcPr>
          <w:p>
            <w:pPr>
              <w:ind w:left="38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Liquidity and Capital Resources</w:t>
              </w:r>
            </w:hyperlink>
          </w:p>
        </w:tc>
        <w:tc>
          <w:tcPr>
            <w:tcW w:w="1520" w:type="dxa"/>
            <w:vAlign w:val="bottom"/>
            <w:shd w:val="clear" w:color="auto" w:fill="CCEEFF"/>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45</w:t>
              </w:r>
            </w:hyperlink>
          </w:p>
        </w:tc>
      </w:tr>
      <w:tr>
        <w:trPr>
          <w:trHeight w:val="229"/>
        </w:trPr>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940" w:type="dxa"/>
            <w:vAlign w:val="bottom"/>
          </w:tcPr>
          <w:p>
            <w:pPr>
              <w:ind w:left="38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Other</w:t>
              </w:r>
            </w:hyperlink>
          </w:p>
        </w:tc>
        <w:tc>
          <w:tcPr>
            <w:tcW w:w="152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47</w:t>
              </w:r>
            </w:hyperlink>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Item 3.</w:t>
              </w:r>
            </w:hyperlink>
          </w:p>
        </w:tc>
        <w:tc>
          <w:tcPr>
            <w:tcW w:w="7940" w:type="dxa"/>
            <w:vAlign w:val="bottom"/>
            <w:tcBorders>
              <w:bottom w:val="single" w:sz="8" w:color="CCEEFF"/>
            </w:tcBorders>
            <w:shd w:val="clear" w:color="auto" w:fill="CCEEFF"/>
          </w:tcPr>
          <w:p>
            <w:pPr>
              <w:ind w:left="18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Quantitative and Qualitative Disclosures about Market Risk</w:t>
              </w:r>
            </w:hyperlink>
          </w:p>
        </w:tc>
        <w:tc>
          <w:tcPr>
            <w:tcW w:w="152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47</w:t>
              </w:r>
            </w:hyperlink>
          </w:p>
        </w:tc>
      </w:tr>
      <w:tr>
        <w:trPr>
          <w:trHeight w:val="230"/>
        </w:trPr>
        <w:tc>
          <w:tcPr>
            <w:tcW w:w="880" w:type="dxa"/>
            <w:vAlign w:val="bottom"/>
          </w:tcPr>
          <w:p>
            <w:pPr>
              <w:spacing w:after="0"/>
              <w:rPr>
                <w:sz w:val="20"/>
                <w:szCs w:val="20"/>
                <w:color w:val="auto"/>
              </w:rPr>
            </w:pPr>
          </w:p>
        </w:tc>
        <w:tc>
          <w:tcPr>
            <w:tcW w:w="860" w:type="dxa"/>
            <w:vAlign w:val="bottom"/>
          </w:tcPr>
          <w:p>
            <w:pPr>
              <w:ind w:left="4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4.</w:t>
              </w:r>
            </w:hyperlink>
          </w:p>
        </w:tc>
        <w:tc>
          <w:tcPr>
            <w:tcW w:w="7940" w:type="dxa"/>
            <w:vAlign w:val="bottom"/>
          </w:tcPr>
          <w:p>
            <w:pPr>
              <w:ind w:left="18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Controls and Procedures</w:t>
              </w:r>
            </w:hyperlink>
          </w:p>
        </w:tc>
        <w:tc>
          <w:tcPr>
            <w:tcW w:w="1520" w:type="dxa"/>
            <w:vAlign w:val="bottom"/>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48</w:t>
              </w:r>
            </w:hyperlink>
          </w:p>
        </w:tc>
      </w:tr>
      <w:tr>
        <w:trPr>
          <w:trHeight w:val="40"/>
        </w:trPr>
        <w:tc>
          <w:tcPr>
            <w:tcW w:w="880" w:type="dxa"/>
            <w:vAlign w:val="bottom"/>
          </w:tcPr>
          <w:p>
            <w:pPr>
              <w:spacing w:after="0"/>
              <w:rPr>
                <w:sz w:val="3"/>
                <w:szCs w:val="3"/>
                <w:color w:val="auto"/>
              </w:rPr>
            </w:pPr>
          </w:p>
        </w:tc>
        <w:tc>
          <w:tcPr>
            <w:tcW w:w="8800" w:type="dxa"/>
            <w:vAlign w:val="bottom"/>
            <w:gridSpan w:val="2"/>
          </w:tcPr>
          <w:p>
            <w:pPr>
              <w:spacing w:after="0"/>
              <w:rPr>
                <w:sz w:val="3"/>
                <w:szCs w:val="3"/>
                <w:color w:val="auto"/>
              </w:rPr>
            </w:pPr>
          </w:p>
        </w:tc>
        <w:tc>
          <w:tcPr>
            <w:tcW w:w="1520" w:type="dxa"/>
            <w:vAlign w:val="bottom"/>
          </w:tcPr>
          <w:p>
            <w:pPr>
              <w:spacing w:after="0"/>
              <w:rPr>
                <w:sz w:val="3"/>
                <w:szCs w:val="3"/>
                <w:color w:val="auto"/>
              </w:rPr>
            </w:pPr>
          </w:p>
        </w:tc>
      </w:tr>
      <w:tr>
        <w:trPr>
          <w:trHeight w:val="250"/>
        </w:trPr>
        <w:tc>
          <w:tcPr>
            <w:tcW w:w="880" w:type="dxa"/>
            <w:vAlign w:val="bottom"/>
            <w:tcBorders>
              <w:bottom w:val="single" w:sz="8" w:color="CCEEFF"/>
            </w:tcBorders>
            <w:shd w:val="clear" w:color="auto" w:fill="CCEEFF"/>
          </w:tcPr>
          <w:p>
            <w:pPr>
              <w:ind w:left="20"/>
              <w:spacing w:after="0"/>
              <w:rPr>
                <w:rFonts w:ascii="Arial" w:cs="Arial" w:eastAsia="Arial" w:hAnsi="Arial"/>
                <w:sz w:val="18"/>
                <w:szCs w:val="18"/>
                <w:color w:val="0000FF"/>
              </w:rPr>
            </w:pPr>
            <w:hyperlink w:anchor="page48">
              <w:r>
                <w:rPr>
                  <w:rFonts w:ascii="Arial" w:cs="Arial" w:eastAsia="Arial" w:hAnsi="Arial"/>
                  <w:sz w:val="18"/>
                  <w:szCs w:val="18"/>
                  <w:u w:val="single" w:color="auto"/>
                  <w:color w:val="0000FF"/>
                </w:rPr>
                <w:t>Part II</w:t>
              </w:r>
              <w:r>
                <w:rPr>
                  <w:rFonts w:ascii="Arial" w:cs="Arial" w:eastAsia="Arial" w:hAnsi="Arial"/>
                  <w:sz w:val="18"/>
                  <w:szCs w:val="18"/>
                  <w:color w:val="0000FF"/>
                </w:rPr>
                <w:t>.</w:t>
              </w:r>
            </w:hyperlink>
          </w:p>
        </w:tc>
        <w:tc>
          <w:tcPr>
            <w:tcW w:w="8800" w:type="dxa"/>
            <w:vAlign w:val="bottom"/>
            <w:tcBorders>
              <w:bottom w:val="single" w:sz="8" w:color="CCEEFF"/>
            </w:tcBorders>
            <w:gridSpan w:val="2"/>
            <w:shd w:val="clear" w:color="auto" w:fill="CCEEFF"/>
          </w:tcPr>
          <w:p>
            <w:pPr>
              <w:ind w:left="4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Other Information</w:t>
              </w:r>
            </w:hyperlink>
          </w:p>
        </w:tc>
        <w:tc>
          <w:tcPr>
            <w:tcW w:w="1520" w:type="dxa"/>
            <w:vAlign w:val="bottom"/>
            <w:tcBorders>
              <w:bottom w:val="single" w:sz="8" w:color="CCEEFF"/>
            </w:tcBorders>
            <w:shd w:val="clear" w:color="auto" w:fill="CCEEFF"/>
          </w:tcPr>
          <w:p>
            <w:pPr>
              <w:spacing w:after="0"/>
              <w:rPr>
                <w:sz w:val="21"/>
                <w:szCs w:val="21"/>
                <w:color w:val="auto"/>
              </w:rPr>
            </w:pPr>
          </w:p>
        </w:tc>
      </w:tr>
      <w:tr>
        <w:trPr>
          <w:trHeight w:val="230"/>
        </w:trPr>
        <w:tc>
          <w:tcPr>
            <w:tcW w:w="880" w:type="dxa"/>
            <w:vAlign w:val="bottom"/>
          </w:tcPr>
          <w:p>
            <w:pPr>
              <w:spacing w:after="0"/>
              <w:rPr>
                <w:sz w:val="20"/>
                <w:szCs w:val="20"/>
                <w:color w:val="auto"/>
              </w:rPr>
            </w:pPr>
          </w:p>
        </w:tc>
        <w:tc>
          <w:tcPr>
            <w:tcW w:w="860" w:type="dxa"/>
            <w:vAlign w:val="bottom"/>
          </w:tcPr>
          <w:p>
            <w:pPr>
              <w:ind w:left="4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1.</w:t>
              </w:r>
            </w:hyperlink>
          </w:p>
        </w:tc>
        <w:tc>
          <w:tcPr>
            <w:tcW w:w="7940" w:type="dxa"/>
            <w:vAlign w:val="bottom"/>
          </w:tcPr>
          <w:p>
            <w:pPr>
              <w:ind w:left="18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Legal Proceedings</w:t>
              </w:r>
            </w:hyperlink>
          </w:p>
        </w:tc>
        <w:tc>
          <w:tcPr>
            <w:tcW w:w="152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49</w:t>
              </w:r>
            </w:hyperlink>
          </w:p>
        </w:tc>
      </w:tr>
      <w:tr>
        <w:trPr>
          <w:trHeight w:val="40"/>
        </w:trPr>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9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1A.</w:t>
              </w:r>
            </w:hyperlink>
          </w:p>
        </w:tc>
        <w:tc>
          <w:tcPr>
            <w:tcW w:w="7940" w:type="dxa"/>
            <w:vAlign w:val="bottom"/>
            <w:tcBorders>
              <w:bottom w:val="single" w:sz="8" w:color="CCEEFF"/>
            </w:tcBorders>
            <w:shd w:val="clear" w:color="auto" w:fill="CCEEFF"/>
          </w:tcPr>
          <w:p>
            <w:pPr>
              <w:ind w:left="18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Risk Factors</w:t>
              </w:r>
            </w:hyperlink>
          </w:p>
        </w:tc>
        <w:tc>
          <w:tcPr>
            <w:tcW w:w="152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49</w:t>
              </w:r>
            </w:hyperlink>
          </w:p>
        </w:tc>
      </w:tr>
      <w:tr>
        <w:trPr>
          <w:trHeight w:val="230"/>
        </w:trPr>
        <w:tc>
          <w:tcPr>
            <w:tcW w:w="880" w:type="dxa"/>
            <w:vAlign w:val="bottom"/>
          </w:tcPr>
          <w:p>
            <w:pPr>
              <w:spacing w:after="0"/>
              <w:rPr>
                <w:sz w:val="20"/>
                <w:szCs w:val="20"/>
                <w:color w:val="auto"/>
              </w:rPr>
            </w:pPr>
          </w:p>
        </w:tc>
        <w:tc>
          <w:tcPr>
            <w:tcW w:w="860" w:type="dxa"/>
            <w:vAlign w:val="bottom"/>
          </w:tcPr>
          <w:p>
            <w:pPr>
              <w:ind w:left="4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2.</w:t>
              </w:r>
            </w:hyperlink>
          </w:p>
        </w:tc>
        <w:tc>
          <w:tcPr>
            <w:tcW w:w="7940" w:type="dxa"/>
            <w:vAlign w:val="bottom"/>
          </w:tcPr>
          <w:p>
            <w:pPr>
              <w:ind w:left="18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Unregistered Sales of Equity Securities and Use of Proceeds</w:t>
              </w:r>
            </w:hyperlink>
          </w:p>
        </w:tc>
        <w:tc>
          <w:tcPr>
            <w:tcW w:w="152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50</w:t>
              </w:r>
            </w:hyperlink>
          </w:p>
        </w:tc>
      </w:tr>
      <w:tr>
        <w:trPr>
          <w:trHeight w:val="40"/>
        </w:trPr>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9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3.</w:t>
              </w:r>
            </w:hyperlink>
          </w:p>
        </w:tc>
        <w:tc>
          <w:tcPr>
            <w:tcW w:w="7940" w:type="dxa"/>
            <w:vAlign w:val="bottom"/>
            <w:tcBorders>
              <w:bottom w:val="single" w:sz="8" w:color="CCEEFF"/>
            </w:tcBorders>
            <w:shd w:val="clear" w:color="auto" w:fill="CCEEFF"/>
          </w:tcPr>
          <w:p>
            <w:pPr>
              <w:ind w:left="18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Defaults Upon Senior Securities</w:t>
              </w:r>
            </w:hyperlink>
          </w:p>
        </w:tc>
        <w:tc>
          <w:tcPr>
            <w:tcW w:w="152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50</w:t>
              </w:r>
            </w:hyperlink>
          </w:p>
        </w:tc>
      </w:tr>
      <w:tr>
        <w:trPr>
          <w:trHeight w:val="230"/>
        </w:trPr>
        <w:tc>
          <w:tcPr>
            <w:tcW w:w="880" w:type="dxa"/>
            <w:vAlign w:val="bottom"/>
          </w:tcPr>
          <w:p>
            <w:pPr>
              <w:spacing w:after="0"/>
              <w:rPr>
                <w:sz w:val="20"/>
                <w:szCs w:val="20"/>
                <w:color w:val="auto"/>
              </w:rPr>
            </w:pPr>
          </w:p>
        </w:tc>
        <w:tc>
          <w:tcPr>
            <w:tcW w:w="860" w:type="dxa"/>
            <w:vAlign w:val="bottom"/>
          </w:tcPr>
          <w:p>
            <w:pPr>
              <w:ind w:left="4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4.</w:t>
              </w:r>
            </w:hyperlink>
          </w:p>
        </w:tc>
        <w:tc>
          <w:tcPr>
            <w:tcW w:w="7940" w:type="dxa"/>
            <w:vAlign w:val="bottom"/>
          </w:tcPr>
          <w:p>
            <w:pPr>
              <w:ind w:left="18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Mine Safety Disclosures</w:t>
              </w:r>
            </w:hyperlink>
          </w:p>
        </w:tc>
        <w:tc>
          <w:tcPr>
            <w:tcW w:w="152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50</w:t>
              </w:r>
            </w:hyperlink>
          </w:p>
        </w:tc>
      </w:tr>
      <w:tr>
        <w:trPr>
          <w:trHeight w:val="40"/>
        </w:trPr>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9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5.</w:t>
              </w:r>
            </w:hyperlink>
          </w:p>
        </w:tc>
        <w:tc>
          <w:tcPr>
            <w:tcW w:w="7940" w:type="dxa"/>
            <w:vAlign w:val="bottom"/>
            <w:tcBorders>
              <w:bottom w:val="single" w:sz="8" w:color="CCEEFF"/>
            </w:tcBorders>
            <w:shd w:val="clear" w:color="auto" w:fill="CCEEFF"/>
          </w:tcPr>
          <w:p>
            <w:pPr>
              <w:ind w:left="18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Other Information</w:t>
              </w:r>
            </w:hyperlink>
          </w:p>
        </w:tc>
        <w:tc>
          <w:tcPr>
            <w:tcW w:w="152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50</w:t>
              </w:r>
            </w:hyperlink>
          </w:p>
        </w:tc>
      </w:tr>
      <w:tr>
        <w:trPr>
          <w:trHeight w:val="230"/>
        </w:trPr>
        <w:tc>
          <w:tcPr>
            <w:tcW w:w="880" w:type="dxa"/>
            <w:vAlign w:val="bottom"/>
          </w:tcPr>
          <w:p>
            <w:pPr>
              <w:spacing w:after="0"/>
              <w:rPr>
                <w:sz w:val="20"/>
                <w:szCs w:val="20"/>
                <w:color w:val="auto"/>
              </w:rPr>
            </w:pPr>
          </w:p>
        </w:tc>
        <w:tc>
          <w:tcPr>
            <w:tcW w:w="860" w:type="dxa"/>
            <w:vAlign w:val="bottom"/>
          </w:tcPr>
          <w:p>
            <w:pPr>
              <w:ind w:left="4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6.</w:t>
              </w:r>
            </w:hyperlink>
          </w:p>
        </w:tc>
        <w:tc>
          <w:tcPr>
            <w:tcW w:w="7940" w:type="dxa"/>
            <w:vAlign w:val="bottom"/>
          </w:tcPr>
          <w:p>
            <w:pPr>
              <w:ind w:left="18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Exhibits</w:t>
              </w:r>
            </w:hyperlink>
          </w:p>
        </w:tc>
        <w:tc>
          <w:tcPr>
            <w:tcW w:w="152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51</w:t>
              </w:r>
            </w:hyperlink>
          </w:p>
        </w:tc>
      </w:tr>
      <w:tr>
        <w:trPr>
          <w:trHeight w:val="40"/>
        </w:trPr>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9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30"/>
        </w:trPr>
        <w:tc>
          <w:tcPr>
            <w:tcW w:w="880" w:type="dxa"/>
            <w:vAlign w:val="bottom"/>
            <w:shd w:val="clear" w:color="auto" w:fill="CCEEFF"/>
          </w:tcPr>
          <w:p>
            <w:pPr>
              <w:ind w:left="20"/>
              <w:spacing w:after="0"/>
              <w:rPr>
                <w:rFonts w:ascii="Arial" w:cs="Arial" w:eastAsia="Arial" w:hAnsi="Arial"/>
                <w:sz w:val="18"/>
                <w:szCs w:val="18"/>
                <w:u w:val="single" w:color="auto"/>
                <w:color w:val="0000FF"/>
                <w:w w:val="97"/>
              </w:rPr>
            </w:pPr>
            <w:hyperlink w:anchor="page51">
              <w:r>
                <w:rPr>
                  <w:rFonts w:ascii="Arial" w:cs="Arial" w:eastAsia="Arial" w:hAnsi="Arial"/>
                  <w:sz w:val="18"/>
                  <w:szCs w:val="18"/>
                  <w:u w:val="single" w:color="auto"/>
                  <w:color w:val="0000FF"/>
                  <w:w w:val="97"/>
                </w:rPr>
                <w:t>Signatures</w:t>
              </w:r>
            </w:hyperlink>
          </w:p>
        </w:tc>
        <w:tc>
          <w:tcPr>
            <w:tcW w:w="860" w:type="dxa"/>
            <w:vAlign w:val="bottom"/>
            <w:shd w:val="clear" w:color="auto" w:fill="CCEEFF"/>
          </w:tcPr>
          <w:p>
            <w:pPr>
              <w:spacing w:after="0"/>
              <w:rPr>
                <w:sz w:val="19"/>
                <w:szCs w:val="19"/>
                <w:color w:val="auto"/>
              </w:rPr>
            </w:pPr>
          </w:p>
        </w:tc>
        <w:tc>
          <w:tcPr>
            <w:tcW w:w="79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52</w:t>
              </w:r>
            </w:hyperlink>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31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Abbreviation or Acronym</w:t>
            </w:r>
          </w:p>
        </w:tc>
        <w:tc>
          <w:tcPr>
            <w:tcW w:w="80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Term</w:t>
            </w:r>
          </w:p>
        </w:tc>
      </w:tr>
      <w:tr>
        <w:trPr>
          <w:trHeight w:val="48"/>
        </w:trPr>
        <w:tc>
          <w:tcPr>
            <w:tcW w:w="20" w:type="dxa"/>
            <w:vAlign w:val="bottom"/>
          </w:tcPr>
          <w:p>
            <w:pPr>
              <w:spacing w:after="0"/>
              <w:rPr>
                <w:sz w:val="4"/>
                <w:szCs w:val="4"/>
                <w:color w:val="auto"/>
              </w:rPr>
            </w:pPr>
          </w:p>
        </w:tc>
        <w:tc>
          <w:tcPr>
            <w:tcW w:w="2000" w:type="dxa"/>
            <w:vAlign w:val="bottom"/>
            <w:tcBorders>
              <w:top w:val="single" w:sz="8" w:color="auto"/>
            </w:tcBorders>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680" w:type="dxa"/>
            <w:vAlign w:val="bottom"/>
          </w:tcPr>
          <w:p>
            <w:pPr>
              <w:spacing w:after="0"/>
              <w:rPr>
                <w:sz w:val="4"/>
                <w:szCs w:val="4"/>
                <w:color w:val="auto"/>
              </w:rPr>
            </w:pPr>
          </w:p>
        </w:tc>
      </w:tr>
      <w:tr>
        <w:trPr>
          <w:trHeight w:val="229"/>
        </w:trPr>
        <w:tc>
          <w:tcPr>
            <w:tcW w:w="20" w:type="dxa"/>
            <w:vAlign w:val="bottom"/>
            <w:shd w:val="clear" w:color="auto" w:fill="CCEEFF"/>
          </w:tcPr>
          <w:p>
            <w:pPr>
              <w:spacing w:after="0"/>
              <w:rPr>
                <w:sz w:val="19"/>
                <w:szCs w:val="19"/>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AFUDC</w:t>
            </w: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Allowance for Funds Used During Construction – the cost of both debt and equity funds used to finance</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regulated utility plant additions during construction periods</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ALLETE</w:t>
            </w:r>
          </w:p>
        </w:tc>
        <w:tc>
          <w:tcPr>
            <w:tcW w:w="8080" w:type="dxa"/>
            <w:vAlign w:val="bottom"/>
            <w:gridSpan w:val="2"/>
          </w:tcPr>
          <w:p>
            <w:pPr>
              <w:spacing w:after="0"/>
              <w:rPr>
                <w:sz w:val="20"/>
                <w:szCs w:val="20"/>
                <w:color w:val="auto"/>
              </w:rPr>
            </w:pPr>
            <w:r>
              <w:rPr>
                <w:rFonts w:ascii="Arial" w:cs="Arial" w:eastAsia="Arial" w:hAnsi="Arial"/>
                <w:sz w:val="18"/>
                <w:szCs w:val="18"/>
                <w:color w:val="auto"/>
              </w:rPr>
              <w:t>ALLETE, Inc.</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Clean Energy</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ALLETE Properties</w:t>
            </w:r>
          </w:p>
        </w:tc>
        <w:tc>
          <w:tcPr>
            <w:tcW w:w="808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Transmission Holdings</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Transmission Holdings, Inc.</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ArcelorMittal</w:t>
            </w:r>
          </w:p>
        </w:tc>
        <w:tc>
          <w:tcPr>
            <w:tcW w:w="8080" w:type="dxa"/>
            <w:vAlign w:val="bottom"/>
            <w:gridSpan w:val="2"/>
          </w:tcPr>
          <w:p>
            <w:pPr>
              <w:spacing w:after="0"/>
              <w:rPr>
                <w:sz w:val="20"/>
                <w:szCs w:val="20"/>
                <w:color w:val="auto"/>
              </w:rPr>
            </w:pPr>
            <w:r>
              <w:rPr>
                <w:rFonts w:ascii="Arial" w:cs="Arial" w:eastAsia="Arial" w:hAnsi="Arial"/>
                <w:sz w:val="18"/>
                <w:szCs w:val="18"/>
                <w:color w:val="auto"/>
              </w:rPr>
              <w:t>ArcelorMittal S.A.</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ATC</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American Transmission Company LLC</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Basin</w:t>
            </w:r>
          </w:p>
        </w:tc>
        <w:tc>
          <w:tcPr>
            <w:tcW w:w="8080" w:type="dxa"/>
            <w:vAlign w:val="bottom"/>
            <w:gridSpan w:val="2"/>
          </w:tcPr>
          <w:p>
            <w:pPr>
              <w:spacing w:after="0"/>
              <w:rPr>
                <w:sz w:val="20"/>
                <w:szCs w:val="20"/>
                <w:color w:val="auto"/>
              </w:rPr>
            </w:pPr>
            <w:r>
              <w:rPr>
                <w:rFonts w:ascii="Arial" w:cs="Arial" w:eastAsia="Arial" w:hAnsi="Arial"/>
                <w:sz w:val="18"/>
                <w:szCs w:val="18"/>
                <w:color w:val="auto"/>
              </w:rPr>
              <w:t>Basin Electric Power Cooperative</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Bison</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Bison Wind Energy Center</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BNI Energy</w:t>
            </w:r>
          </w:p>
        </w:tc>
        <w:tc>
          <w:tcPr>
            <w:tcW w:w="8080" w:type="dxa"/>
            <w:vAlign w:val="bottom"/>
            <w:gridSpan w:val="2"/>
          </w:tcPr>
          <w:p>
            <w:pPr>
              <w:spacing w:after="0"/>
              <w:rPr>
                <w:sz w:val="20"/>
                <w:szCs w:val="20"/>
                <w:color w:val="auto"/>
              </w:rPr>
            </w:pPr>
            <w:r>
              <w:rPr>
                <w:rFonts w:ascii="Arial" w:cs="Arial" w:eastAsia="Arial" w:hAnsi="Arial"/>
                <w:sz w:val="18"/>
                <w:szCs w:val="18"/>
                <w:color w:val="auto"/>
              </w:rPr>
              <w:t>BNI Energy, Inc. and its subsidiary</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Boswell</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Boswell Energy Center</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Camp Ripley</w:t>
            </w:r>
          </w:p>
        </w:tc>
        <w:tc>
          <w:tcPr>
            <w:tcW w:w="8080" w:type="dxa"/>
            <w:vAlign w:val="bottom"/>
            <w:gridSpan w:val="2"/>
          </w:tcPr>
          <w:p>
            <w:pPr>
              <w:spacing w:after="0"/>
              <w:rPr>
                <w:sz w:val="20"/>
                <w:szCs w:val="20"/>
                <w:color w:val="auto"/>
              </w:rPr>
            </w:pPr>
            <w:r>
              <w:rPr>
                <w:rFonts w:ascii="Arial" w:cs="Arial" w:eastAsia="Arial" w:hAnsi="Arial"/>
                <w:sz w:val="18"/>
                <w:szCs w:val="18"/>
                <w:color w:val="auto"/>
              </w:rPr>
              <w:t>Camp Ripley Solar Array</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Cliffs</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Cleveland-Cliffs Inc.</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8080" w:type="dxa"/>
            <w:vAlign w:val="bottom"/>
            <w:gridSpan w:val="2"/>
          </w:tcPr>
          <w:p>
            <w:pPr>
              <w:spacing w:after="0"/>
              <w:rPr>
                <w:sz w:val="20"/>
                <w:szCs w:val="20"/>
                <w:color w:val="auto"/>
              </w:rPr>
            </w:pPr>
            <w:r>
              <w:rPr>
                <w:rFonts w:ascii="Arial" w:cs="Arial" w:eastAsia="Arial" w:hAnsi="Arial"/>
                <w:sz w:val="18"/>
                <w:szCs w:val="18"/>
                <w:color w:val="auto"/>
              </w:rPr>
              <w:t>ALLETE, Inc. and its subsidiaries</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COVID-19</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2019 novel coronavirus</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CSAPR</w:t>
            </w:r>
          </w:p>
        </w:tc>
        <w:tc>
          <w:tcPr>
            <w:tcW w:w="8080" w:type="dxa"/>
            <w:vAlign w:val="bottom"/>
            <w:gridSpan w:val="2"/>
          </w:tcPr>
          <w:p>
            <w:pPr>
              <w:spacing w:after="0"/>
              <w:rPr>
                <w:sz w:val="20"/>
                <w:szCs w:val="20"/>
                <w:color w:val="auto"/>
              </w:rPr>
            </w:pPr>
            <w:r>
              <w:rPr>
                <w:rFonts w:ascii="Arial" w:cs="Arial" w:eastAsia="Arial" w:hAnsi="Arial"/>
                <w:sz w:val="18"/>
                <w:szCs w:val="18"/>
                <w:color w:val="auto"/>
              </w:rPr>
              <w:t>Cross-State Air Pollution Rule</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DC</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 Current</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EIS</w:t>
            </w:r>
          </w:p>
        </w:tc>
        <w:tc>
          <w:tcPr>
            <w:tcW w:w="8080" w:type="dxa"/>
            <w:vAlign w:val="bottom"/>
            <w:gridSpan w:val="2"/>
          </w:tcPr>
          <w:p>
            <w:pPr>
              <w:spacing w:after="0"/>
              <w:rPr>
                <w:sz w:val="20"/>
                <w:szCs w:val="20"/>
                <w:color w:val="auto"/>
              </w:rPr>
            </w:pPr>
            <w:r>
              <w:rPr>
                <w:rFonts w:ascii="Arial" w:cs="Arial" w:eastAsia="Arial" w:hAnsi="Arial"/>
                <w:sz w:val="18"/>
                <w:szCs w:val="18"/>
                <w:color w:val="auto"/>
              </w:rPr>
              <w:t>Environmental Impact Statement</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EPA</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Environmental Protection Agency</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ESOP</w:t>
            </w:r>
          </w:p>
        </w:tc>
        <w:tc>
          <w:tcPr>
            <w:tcW w:w="8080" w:type="dxa"/>
            <w:vAlign w:val="bottom"/>
            <w:gridSpan w:val="2"/>
          </w:tcPr>
          <w:p>
            <w:pPr>
              <w:spacing w:after="0"/>
              <w:rPr>
                <w:sz w:val="20"/>
                <w:szCs w:val="20"/>
                <w:color w:val="auto"/>
              </w:rPr>
            </w:pPr>
            <w:r>
              <w:rPr>
                <w:rFonts w:ascii="Arial" w:cs="Arial" w:eastAsia="Arial" w:hAnsi="Arial"/>
                <w:sz w:val="18"/>
                <w:szCs w:val="18"/>
                <w:color w:val="auto"/>
              </w:rPr>
              <w:t>Employee Stock Ownership Plan</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FASB</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Financial Accounting Standards Board</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FERC</w:t>
            </w:r>
          </w:p>
        </w:tc>
        <w:tc>
          <w:tcPr>
            <w:tcW w:w="8080" w:type="dxa"/>
            <w:vAlign w:val="bottom"/>
            <w:gridSpan w:val="2"/>
          </w:tcPr>
          <w:p>
            <w:pPr>
              <w:spacing w:after="0"/>
              <w:rPr>
                <w:sz w:val="20"/>
                <w:szCs w:val="20"/>
                <w:color w:val="auto"/>
              </w:rPr>
            </w:pPr>
            <w:r>
              <w:rPr>
                <w:rFonts w:ascii="Arial" w:cs="Arial" w:eastAsia="Arial" w:hAnsi="Arial"/>
                <w:sz w:val="18"/>
                <w:szCs w:val="18"/>
                <w:color w:val="auto"/>
              </w:rPr>
              <w:t>Federal Energy Regulatory Commission</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Form 10-K</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Annual Report on Form 10-K</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Form 10-Q</w:t>
            </w:r>
          </w:p>
        </w:tc>
        <w:tc>
          <w:tcPr>
            <w:tcW w:w="8080" w:type="dxa"/>
            <w:vAlign w:val="bottom"/>
            <w:gridSpan w:val="2"/>
          </w:tcPr>
          <w:p>
            <w:pPr>
              <w:spacing w:after="0"/>
              <w:rPr>
                <w:sz w:val="20"/>
                <w:szCs w:val="20"/>
                <w:color w:val="auto"/>
              </w:rPr>
            </w:pPr>
            <w:r>
              <w:rPr>
                <w:rFonts w:ascii="Arial" w:cs="Arial" w:eastAsia="Arial" w:hAnsi="Arial"/>
                <w:sz w:val="18"/>
                <w:szCs w:val="18"/>
                <w:color w:val="auto"/>
              </w:rPr>
              <w:t>ALLETE Quarterly Report on Form 10-Q</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GAAP</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GHG</w:t>
            </w:r>
          </w:p>
        </w:tc>
        <w:tc>
          <w:tcPr>
            <w:tcW w:w="8080" w:type="dxa"/>
            <w:vAlign w:val="bottom"/>
            <w:gridSpan w:val="2"/>
          </w:tcPr>
          <w:p>
            <w:pPr>
              <w:spacing w:after="0"/>
              <w:rPr>
                <w:sz w:val="20"/>
                <w:szCs w:val="20"/>
                <w:color w:val="auto"/>
              </w:rPr>
            </w:pPr>
            <w:r>
              <w:rPr>
                <w:rFonts w:ascii="Arial" w:cs="Arial" w:eastAsia="Arial" w:hAnsi="Arial"/>
                <w:sz w:val="18"/>
                <w:szCs w:val="18"/>
                <w:color w:val="auto"/>
              </w:rPr>
              <w:t>Greenhouse Gases</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GNTL</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Great Northern Transmission Line</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Hibbing Taconite</w:t>
            </w:r>
          </w:p>
        </w:tc>
        <w:tc>
          <w:tcPr>
            <w:tcW w:w="8080" w:type="dxa"/>
            <w:vAlign w:val="bottom"/>
            <w:gridSpan w:val="2"/>
          </w:tcPr>
          <w:p>
            <w:pPr>
              <w:spacing w:after="0"/>
              <w:rPr>
                <w:sz w:val="20"/>
                <w:szCs w:val="20"/>
                <w:color w:val="auto"/>
              </w:rPr>
            </w:pPr>
            <w:r>
              <w:rPr>
                <w:rFonts w:ascii="Arial" w:cs="Arial" w:eastAsia="Arial" w:hAnsi="Arial"/>
                <w:sz w:val="18"/>
                <w:szCs w:val="18"/>
                <w:color w:val="auto"/>
              </w:rPr>
              <w:t>Hibbing Taconite Co.</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Husky Energy</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Husky Energy Inc.</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Invest Direct</w:t>
            </w:r>
          </w:p>
        </w:tc>
        <w:tc>
          <w:tcPr>
            <w:tcW w:w="8080" w:type="dxa"/>
            <w:vAlign w:val="bottom"/>
            <w:gridSpan w:val="2"/>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IRP</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Integrated Resource Plan</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Item ___</w:t>
            </w:r>
          </w:p>
        </w:tc>
        <w:tc>
          <w:tcPr>
            <w:tcW w:w="8080" w:type="dxa"/>
            <w:vAlign w:val="bottom"/>
            <w:gridSpan w:val="2"/>
          </w:tcPr>
          <w:p>
            <w:pPr>
              <w:spacing w:after="0"/>
              <w:rPr>
                <w:sz w:val="20"/>
                <w:szCs w:val="20"/>
                <w:color w:val="auto"/>
              </w:rPr>
            </w:pPr>
            <w:r>
              <w:rPr>
                <w:rFonts w:ascii="Arial" w:cs="Arial" w:eastAsia="Arial" w:hAnsi="Arial"/>
                <w:sz w:val="18"/>
                <w:szCs w:val="18"/>
                <w:color w:val="auto"/>
              </w:rPr>
              <w:t>Item ___ of this Form 10-Q</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kV</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Kilovolt(s)</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kW / kWh</w:t>
            </w:r>
          </w:p>
        </w:tc>
        <w:tc>
          <w:tcPr>
            <w:tcW w:w="8080" w:type="dxa"/>
            <w:vAlign w:val="bottom"/>
            <w:gridSpan w:val="2"/>
          </w:tcPr>
          <w:p>
            <w:pPr>
              <w:spacing w:after="0"/>
              <w:rPr>
                <w:sz w:val="20"/>
                <w:szCs w:val="20"/>
                <w:color w:val="auto"/>
              </w:rPr>
            </w:pPr>
            <w:r>
              <w:rPr>
                <w:rFonts w:ascii="Arial" w:cs="Arial" w:eastAsia="Arial" w:hAnsi="Arial"/>
                <w:sz w:val="18"/>
                <w:szCs w:val="18"/>
                <w:color w:val="auto"/>
              </w:rPr>
              <w:t>Kilowatt(s) / Kilowatt-hour(s)</w:t>
            </w:r>
          </w:p>
        </w:tc>
      </w:t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80" w:type="dxa"/>
            <w:vAlign w:val="bottom"/>
          </w:tcPr>
          <w:p>
            <w:pPr>
              <w:spacing w:after="0"/>
              <w:rPr>
                <w:sz w:val="14"/>
                <w:szCs w:val="1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Laskin</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Laskin Energy Center</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Lampert Capital Markets</w:t>
            </w:r>
          </w:p>
        </w:tc>
        <w:tc>
          <w:tcPr>
            <w:tcW w:w="8080" w:type="dxa"/>
            <w:vAlign w:val="bottom"/>
            <w:gridSpan w:val="2"/>
          </w:tcPr>
          <w:p>
            <w:pPr>
              <w:spacing w:after="0"/>
              <w:rPr>
                <w:sz w:val="20"/>
                <w:szCs w:val="20"/>
                <w:color w:val="auto"/>
              </w:rPr>
            </w:pPr>
            <w:r>
              <w:rPr>
                <w:rFonts w:ascii="Arial" w:cs="Arial" w:eastAsia="Arial" w:hAnsi="Arial"/>
                <w:sz w:val="18"/>
                <w:szCs w:val="18"/>
                <w:color w:val="auto"/>
              </w:rPr>
              <w:t>Lampert Capital Markets, Inc.</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Manitoba Hydro</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Manitoba Hydro-Electric Board</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Minnesota Power</w:t>
            </w:r>
          </w:p>
        </w:tc>
        <w:tc>
          <w:tcPr>
            <w:tcW w:w="8080" w:type="dxa"/>
            <w:vAlign w:val="bottom"/>
            <w:gridSpan w:val="2"/>
          </w:tcPr>
          <w:p>
            <w:pPr>
              <w:spacing w:after="0"/>
              <w:rPr>
                <w:sz w:val="20"/>
                <w:szCs w:val="20"/>
                <w:color w:val="auto"/>
              </w:rPr>
            </w:pPr>
            <w:r>
              <w:rPr>
                <w:rFonts w:ascii="Arial" w:cs="Arial" w:eastAsia="Arial" w:hAnsi="Arial"/>
                <w:sz w:val="18"/>
                <w:szCs w:val="18"/>
                <w:color w:val="auto"/>
              </w:rPr>
              <w:t>An operating division of ALLETE, Inc.</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Minnkota Power</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Minnkota Power Cooperative, Inc.</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MISO</w:t>
            </w:r>
          </w:p>
        </w:tc>
        <w:tc>
          <w:tcPr>
            <w:tcW w:w="8080" w:type="dxa"/>
            <w:vAlign w:val="bottom"/>
            <w:gridSpan w:val="2"/>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MMTP</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Manitoba-Minnesota Transmission Project</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Moody’s</w:t>
            </w:r>
          </w:p>
        </w:tc>
        <w:tc>
          <w:tcPr>
            <w:tcW w:w="8080" w:type="dxa"/>
            <w:vAlign w:val="bottom"/>
            <w:gridSpan w:val="2"/>
          </w:tcPr>
          <w:p>
            <w:pPr>
              <w:spacing w:after="0"/>
              <w:rPr>
                <w:sz w:val="20"/>
                <w:szCs w:val="20"/>
                <w:color w:val="auto"/>
              </w:rPr>
            </w:pPr>
            <w:r>
              <w:rPr>
                <w:rFonts w:ascii="Arial" w:cs="Arial" w:eastAsia="Arial" w:hAnsi="Arial"/>
                <w:sz w:val="18"/>
                <w:szCs w:val="18"/>
                <w:color w:val="auto"/>
              </w:rPr>
              <w:t>Moody’s Investors Service, Inc.</w:t>
            </w:r>
          </w:p>
        </w:tc>
      </w:tr>
      <w:tr>
        <w:trPr>
          <w:trHeight w:val="736"/>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80" w:type="dxa"/>
            <w:vAlign w:val="bottom"/>
          </w:tcPr>
          <w:p>
            <w:pPr>
              <w:ind w:left="700"/>
              <w:spacing w:after="0"/>
              <w:rPr>
                <w:sz w:val="20"/>
                <w:szCs w:val="20"/>
                <w:color w:val="auto"/>
              </w:rPr>
            </w:pPr>
            <w:r>
              <w:rPr>
                <w:rFonts w:ascii="Arial" w:cs="Arial" w:eastAsia="Arial" w:hAnsi="Arial"/>
                <w:sz w:val="14"/>
                <w:szCs w:val="14"/>
                <w:color w:val="auto"/>
              </w:rPr>
              <w:t>ALLETE, Inc. Second Quarter 2020 Form 10-Q</w:t>
            </w:r>
          </w:p>
        </w:tc>
      </w:tr>
    </w:tbl>
    <w:p>
      <w:pPr>
        <w:spacing w:after="0" w:line="1" w:lineRule="exact"/>
        <w:rPr>
          <w:sz w:val="20"/>
          <w:szCs w:val="20"/>
          <w:color w:val="auto"/>
        </w:rPr>
      </w:pPr>
    </w:p>
    <w:p>
      <w:pPr>
        <w:sectPr>
          <w:pgSz w:w="11900" w:h="16838" w:orient="portrait"/>
          <w:cols w:equalWidth="0" w:num="1">
            <w:col w:w="11240"/>
          </w:cols>
          <w:pgMar w:left="320" w:top="891" w:right="339" w:bottom="1440" w:gutter="0" w:footer="0" w:header="0"/>
        </w:sectPr>
      </w:pPr>
    </w:p>
    <w:p>
      <w:pPr>
        <w:ind w:left="1116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Abbreviation or Acronym</w:t>
            </w:r>
          </w:p>
        </w:tc>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20" w:type="dxa"/>
            <w:vAlign w:val="bottom"/>
          </w:tcPr>
          <w:p>
            <w:pPr>
              <w:spacing w:after="0"/>
              <w:rPr>
                <w:sz w:val="4"/>
                <w:szCs w:val="4"/>
                <w:color w:val="auto"/>
              </w:rPr>
            </w:pPr>
          </w:p>
        </w:tc>
        <w:tc>
          <w:tcPr>
            <w:tcW w:w="2000" w:type="dxa"/>
            <w:vAlign w:val="bottom"/>
            <w:tcBorders>
              <w:top w:val="single" w:sz="8" w:color="auto"/>
            </w:tcBorders>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6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MPCA</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Pollution Control Agency</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MPUC</w:t>
            </w:r>
          </w:p>
        </w:tc>
        <w:tc>
          <w:tcPr>
            <w:tcW w:w="8080" w:type="dxa"/>
            <w:vAlign w:val="bottom"/>
            <w:gridSpan w:val="2"/>
          </w:tcPr>
          <w:p>
            <w:pPr>
              <w:spacing w:after="0"/>
              <w:rPr>
                <w:sz w:val="20"/>
                <w:szCs w:val="20"/>
                <w:color w:val="auto"/>
              </w:rPr>
            </w:pPr>
            <w:r>
              <w:rPr>
                <w:rFonts w:ascii="Arial" w:cs="Arial" w:eastAsia="Arial" w:hAnsi="Arial"/>
                <w:sz w:val="18"/>
                <w:szCs w:val="18"/>
                <w:color w:val="auto"/>
              </w:rPr>
              <w:t>Minnesota Public Utilities Commission</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MW / MWh</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Megawatt(s) / Megawatt-hour(s)</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NAAQS</w:t>
            </w:r>
          </w:p>
        </w:tc>
        <w:tc>
          <w:tcPr>
            <w:tcW w:w="8080" w:type="dxa"/>
            <w:vAlign w:val="bottom"/>
            <w:gridSpan w:val="2"/>
          </w:tcPr>
          <w:p>
            <w:pPr>
              <w:spacing w:after="0"/>
              <w:rPr>
                <w:sz w:val="20"/>
                <w:szCs w:val="20"/>
                <w:color w:val="auto"/>
              </w:rPr>
            </w:pPr>
            <w:r>
              <w:rPr>
                <w:rFonts w:ascii="Arial" w:cs="Arial" w:eastAsia="Arial" w:hAnsi="Arial"/>
                <w:sz w:val="18"/>
                <w:szCs w:val="18"/>
                <w:color w:val="auto"/>
              </w:rPr>
              <w:t>National Ambient Air Quality Standards</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NDPSC</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 Dakota Public Service Commission</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Nobles 2</w:t>
            </w:r>
          </w:p>
        </w:tc>
        <w:tc>
          <w:tcPr>
            <w:tcW w:w="8080" w:type="dxa"/>
            <w:vAlign w:val="bottom"/>
            <w:gridSpan w:val="2"/>
          </w:tcPr>
          <w:p>
            <w:pPr>
              <w:spacing w:after="0"/>
              <w:rPr>
                <w:sz w:val="20"/>
                <w:szCs w:val="20"/>
                <w:color w:val="auto"/>
              </w:rPr>
            </w:pPr>
            <w:r>
              <w:rPr>
                <w:rFonts w:ascii="Arial" w:cs="Arial" w:eastAsia="Arial" w:hAnsi="Arial"/>
                <w:sz w:val="18"/>
                <w:szCs w:val="18"/>
                <w:color w:val="auto"/>
              </w:rPr>
              <w:t>Nobles 2 Power Partners, LLC</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NOL</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Operating Loss</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NO</w:t>
            </w:r>
            <w:r>
              <w:rPr>
                <w:rFonts w:ascii="Arial" w:cs="Arial" w:eastAsia="Arial" w:hAnsi="Arial"/>
                <w:sz w:val="11"/>
                <w:szCs w:val="11"/>
                <w:color w:val="auto"/>
              </w:rPr>
              <w:t>X</w:t>
            </w:r>
          </w:p>
        </w:tc>
        <w:tc>
          <w:tcPr>
            <w:tcW w:w="8080" w:type="dxa"/>
            <w:vAlign w:val="bottom"/>
            <w:gridSpan w:val="2"/>
          </w:tcPr>
          <w:p>
            <w:pPr>
              <w:spacing w:after="0"/>
              <w:rPr>
                <w:sz w:val="20"/>
                <w:szCs w:val="20"/>
                <w:color w:val="auto"/>
              </w:rPr>
            </w:pPr>
            <w:r>
              <w:rPr>
                <w:rFonts w:ascii="Arial" w:cs="Arial" w:eastAsia="Arial" w:hAnsi="Arial"/>
                <w:sz w:val="18"/>
                <w:szCs w:val="18"/>
                <w:color w:val="auto"/>
              </w:rPr>
              <w:t>Nitrogen Oxides</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Northshore Mining</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Northshore Mining Company, a wholly-owned subsidiary of Cleveland-Cliffs Inc.</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Note ___</w:t>
            </w:r>
          </w:p>
        </w:tc>
        <w:tc>
          <w:tcPr>
            <w:tcW w:w="8080" w:type="dxa"/>
            <w:vAlign w:val="bottom"/>
            <w:gridSpan w:val="2"/>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NPDES</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NTEC</w:t>
            </w:r>
          </w:p>
        </w:tc>
        <w:tc>
          <w:tcPr>
            <w:tcW w:w="8080" w:type="dxa"/>
            <w:vAlign w:val="bottom"/>
            <w:gridSpan w:val="2"/>
          </w:tcPr>
          <w:p>
            <w:pPr>
              <w:spacing w:after="0"/>
              <w:rPr>
                <w:sz w:val="20"/>
                <w:szCs w:val="20"/>
                <w:color w:val="auto"/>
              </w:rPr>
            </w:pPr>
            <w:r>
              <w:rPr>
                <w:rFonts w:ascii="Arial" w:cs="Arial" w:eastAsia="Arial" w:hAnsi="Arial"/>
                <w:sz w:val="18"/>
                <w:szCs w:val="18"/>
                <w:color w:val="auto"/>
              </w:rPr>
              <w:t>Nemadji Trail Energy Center</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 Energy Center</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Oliver Wind II</w:t>
            </w:r>
          </w:p>
        </w:tc>
        <w:tc>
          <w:tcPr>
            <w:tcW w:w="8080" w:type="dxa"/>
            <w:vAlign w:val="bottom"/>
            <w:gridSpan w:val="2"/>
          </w:tcPr>
          <w:p>
            <w:pPr>
              <w:spacing w:after="0"/>
              <w:rPr>
                <w:sz w:val="20"/>
                <w:szCs w:val="20"/>
                <w:color w:val="auto"/>
              </w:rPr>
            </w:pPr>
            <w:r>
              <w:rPr>
                <w:rFonts w:ascii="Arial" w:cs="Arial" w:eastAsia="Arial" w:hAnsi="Arial"/>
                <w:sz w:val="18"/>
                <w:szCs w:val="18"/>
                <w:color w:val="auto"/>
              </w:rPr>
              <w:t>Oliver Wind II Energy Center</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PolyMet</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PolyMet Mining Corp.</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PPA / PSA</w:t>
            </w:r>
          </w:p>
        </w:tc>
        <w:tc>
          <w:tcPr>
            <w:tcW w:w="8080" w:type="dxa"/>
            <w:vAlign w:val="bottom"/>
            <w:gridSpan w:val="2"/>
          </w:tcPr>
          <w:p>
            <w:pPr>
              <w:spacing w:after="0"/>
              <w:rPr>
                <w:sz w:val="20"/>
                <w:szCs w:val="20"/>
                <w:color w:val="auto"/>
              </w:rPr>
            </w:pPr>
            <w:r>
              <w:rPr>
                <w:rFonts w:ascii="Arial" w:cs="Arial" w:eastAsia="Arial" w:hAnsi="Arial"/>
                <w:sz w:val="18"/>
                <w:szCs w:val="18"/>
                <w:color w:val="auto"/>
              </w:rPr>
              <w:t>Power Purchase Agreement / Power Sales Agreement</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PPACA</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PSCW</w:t>
            </w:r>
          </w:p>
        </w:tc>
        <w:tc>
          <w:tcPr>
            <w:tcW w:w="8080" w:type="dxa"/>
            <w:vAlign w:val="bottom"/>
            <w:gridSpan w:val="2"/>
          </w:tcPr>
          <w:p>
            <w:pPr>
              <w:spacing w:after="0"/>
              <w:rPr>
                <w:sz w:val="20"/>
                <w:szCs w:val="20"/>
                <w:color w:val="auto"/>
              </w:rPr>
            </w:pPr>
            <w:r>
              <w:rPr>
                <w:rFonts w:ascii="Arial" w:cs="Arial" w:eastAsia="Arial" w:hAnsi="Arial"/>
                <w:sz w:val="18"/>
                <w:szCs w:val="18"/>
                <w:color w:val="auto"/>
              </w:rPr>
              <w:t>Public Service Commission of Wisconsin</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Silver Bay Power</w:t>
            </w:r>
          </w:p>
        </w:tc>
        <w:tc>
          <w:tcPr>
            <w:tcW w:w="8080" w:type="dxa"/>
            <w:vAlign w:val="bottom"/>
            <w:gridSpan w:val="2"/>
          </w:tcPr>
          <w:p>
            <w:pPr>
              <w:spacing w:after="0"/>
              <w:rPr>
                <w:sz w:val="20"/>
                <w:szCs w:val="20"/>
                <w:color w:val="auto"/>
              </w:rPr>
            </w:pPr>
            <w:r>
              <w:rPr>
                <w:rFonts w:ascii="Arial" w:cs="Arial" w:eastAsia="Arial" w:hAnsi="Arial"/>
                <w:sz w:val="18"/>
                <w:szCs w:val="18"/>
                <w:color w:val="auto"/>
              </w:rPr>
              <w:t>Silver Bay Power Company, a wholly-owned subsidiary of Cleveland-Cliffs Inc.</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w:t>
            </w:r>
            <w:r>
              <w:rPr>
                <w:rFonts w:ascii="Arial" w:cs="Arial" w:eastAsia="Arial" w:hAnsi="Arial"/>
                <w:sz w:val="11"/>
                <w:szCs w:val="11"/>
                <w:color w:val="auto"/>
              </w:rPr>
              <w:t>2</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Sulfur Dioxide</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Square Butte</w:t>
            </w:r>
          </w:p>
        </w:tc>
        <w:tc>
          <w:tcPr>
            <w:tcW w:w="8080" w:type="dxa"/>
            <w:vAlign w:val="bottom"/>
            <w:gridSpan w:val="2"/>
          </w:tcPr>
          <w:p>
            <w:pPr>
              <w:spacing w:after="0"/>
              <w:rPr>
                <w:sz w:val="20"/>
                <w:szCs w:val="20"/>
                <w:color w:val="auto"/>
              </w:rPr>
            </w:pPr>
            <w:r>
              <w:rPr>
                <w:rFonts w:ascii="Arial" w:cs="Arial" w:eastAsia="Arial" w:hAnsi="Arial"/>
                <w:sz w:val="18"/>
                <w:szCs w:val="18"/>
                <w:color w:val="auto"/>
              </w:rPr>
              <w:t>Square Butte Electric Cooperative, a North Dakota cooperative corporation</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SWL&amp;P</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Superior Water, Light and Power Company</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Taconite Harbor</w:t>
            </w:r>
          </w:p>
        </w:tc>
        <w:tc>
          <w:tcPr>
            <w:tcW w:w="8080" w:type="dxa"/>
            <w:vAlign w:val="bottom"/>
            <w:gridSpan w:val="2"/>
          </w:tcPr>
          <w:p>
            <w:pPr>
              <w:spacing w:after="0"/>
              <w:rPr>
                <w:sz w:val="20"/>
                <w:szCs w:val="20"/>
                <w:color w:val="auto"/>
              </w:rPr>
            </w:pPr>
            <w:r>
              <w:rPr>
                <w:rFonts w:ascii="Arial" w:cs="Arial" w:eastAsia="Arial" w:hAnsi="Arial"/>
                <w:sz w:val="18"/>
                <w:szCs w:val="18"/>
                <w:color w:val="auto"/>
              </w:rPr>
              <w:t>Taconite Harbor Energy Center</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Town Center District</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Town Center at Palm Coast Community Development District in Florida</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U.S.</w:t>
            </w:r>
          </w:p>
        </w:tc>
        <w:tc>
          <w:tcPr>
            <w:tcW w:w="808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Water Services</w:t>
            </w: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Water Services Holding Company and its subsidiaries</w:t>
            </w:r>
          </w:p>
        </w:tc>
      </w:tr>
      <w:tr>
        <w:trPr>
          <w:trHeight w:val="243"/>
        </w:trPr>
        <w:tc>
          <w:tcPr>
            <w:tcW w:w="2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USS Corporation</w:t>
            </w:r>
          </w:p>
        </w:tc>
        <w:tc>
          <w:tcPr>
            <w:tcW w:w="8080" w:type="dxa"/>
            <w:vAlign w:val="bottom"/>
            <w:gridSpan w:val="2"/>
          </w:tcPr>
          <w:p>
            <w:pPr>
              <w:spacing w:after="0"/>
              <w:rPr>
                <w:sz w:val="20"/>
                <w:szCs w:val="20"/>
                <w:color w:val="auto"/>
              </w:rPr>
            </w:pPr>
            <w:r>
              <w:rPr>
                <w:rFonts w:ascii="Arial" w:cs="Arial" w:eastAsia="Arial" w:hAnsi="Arial"/>
                <w:sz w:val="18"/>
                <w:szCs w:val="18"/>
                <w:color w:val="auto"/>
              </w:rPr>
              <w:t>United States Steel Corporation</w:t>
            </w: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8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WTG</w:t>
            </w: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Wind Turbine Generator</w:t>
            </w:r>
          </w:p>
        </w:tc>
      </w:tr>
      <w:tr>
        <w:trPr>
          <w:trHeight w:val="27"/>
        </w:trPr>
        <w:tc>
          <w:tcPr>
            <w:tcW w:w="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6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219"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 including the ongoing COVID-19 pandemic;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bank financing and other financing sources;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cybersecurity attacks;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hanging="332"/>
        <w:spacing w:after="0" w:line="281"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businesses of climate change and future regulation to restrict the emissions of GHG;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not improve;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efforts to realize value from, invest in, and develop new opportunities.</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 disclosures regarding factors that could cause our results or performance to differ from those anticipated by this report are discussed in Part I, Item 1A. Risk Factors of ALLETE’s 2019 Form 10-K and Part II, Item 1A. Risk Factors of this Form 10-Q.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4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834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1"/>
        </w:trPr>
        <w:tc>
          <w:tcPr>
            <w:tcW w:w="8340" w:type="dxa"/>
            <w:vAlign w:val="bottom"/>
          </w:tcPr>
          <w:p>
            <w:pPr>
              <w:jc w:val="center"/>
              <w:ind w:left="2810"/>
              <w:spacing w:after="0"/>
              <w:rPr>
                <w:sz w:val="20"/>
                <w:szCs w:val="20"/>
                <w:color w:val="auto"/>
              </w:rPr>
            </w:pPr>
            <w:r>
              <w:rPr>
                <w:rFonts w:ascii="Arial" w:cs="Arial" w:eastAsia="Arial" w:hAnsi="Arial"/>
                <w:sz w:val="18"/>
                <w:szCs w:val="18"/>
                <w:b w:val="1"/>
                <w:bCs w:val="1"/>
                <w:color w:val="auto"/>
              </w:rPr>
              <w:t>ALLETE</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8340" w:type="dxa"/>
            <w:vAlign w:val="bottom"/>
          </w:tcPr>
          <w:p>
            <w:pPr>
              <w:jc w:val="center"/>
              <w:ind w:left="2830"/>
              <w:spacing w:after="0"/>
              <w:rPr>
                <w:sz w:val="20"/>
                <w:szCs w:val="20"/>
                <w:color w:val="auto"/>
              </w:rPr>
            </w:pPr>
            <w:r>
              <w:rPr>
                <w:rFonts w:ascii="Arial" w:cs="Arial" w:eastAsia="Arial" w:hAnsi="Arial"/>
                <w:sz w:val="18"/>
                <w:szCs w:val="18"/>
                <w:b w:val="1"/>
                <w:bCs w:val="1"/>
                <w:color w:val="auto"/>
                <w:w w:val="99"/>
              </w:rPr>
              <w:t>CONSOLIDATED BALANCE SHEET</w:t>
            </w: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8340" w:type="dxa"/>
            <w:vAlign w:val="bottom"/>
          </w:tcPr>
          <w:p>
            <w:pPr>
              <w:jc w:val="center"/>
              <w:ind w:left="2810"/>
              <w:spacing w:after="0"/>
              <w:rPr>
                <w:sz w:val="20"/>
                <w:szCs w:val="20"/>
                <w:color w:val="auto"/>
              </w:rPr>
            </w:pPr>
            <w:r>
              <w:rPr>
                <w:rFonts w:ascii="Arial" w:cs="Arial" w:eastAsia="Arial" w:hAnsi="Arial"/>
                <w:sz w:val="18"/>
                <w:szCs w:val="18"/>
                <w:b w:val="1"/>
                <w:bCs w:val="1"/>
                <w:color w:val="auto"/>
                <w:w w:val="90"/>
              </w:rPr>
              <w:t>Unaudited</w:t>
            </w:r>
          </w:p>
        </w:tc>
        <w:tc>
          <w:tcPr>
            <w:tcW w:w="14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46"/>
        </w:trPr>
        <w:tc>
          <w:tcPr>
            <w:tcW w:w="8340" w:type="dxa"/>
            <w:vAlign w:val="bottom"/>
          </w:tcPr>
          <w:p>
            <w:pPr>
              <w:spacing w:after="0"/>
              <w:rPr>
                <w:sz w:val="24"/>
                <w:szCs w:val="24"/>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340" w:type="dxa"/>
            <w:vAlign w:val="bottom"/>
          </w:tcPr>
          <w:p>
            <w:pPr>
              <w:spacing w:after="0"/>
              <w:rPr>
                <w:sz w:val="20"/>
                <w:szCs w:val="20"/>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r>
      <w:tr>
        <w:trPr>
          <w:trHeight w:val="27"/>
        </w:trPr>
        <w:tc>
          <w:tcPr>
            <w:tcW w:w="8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4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$25.7</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$69.3</w:t>
            </w:r>
          </w:p>
        </w:tc>
      </w:tr>
      <w:tr>
        <w:trPr>
          <w:trHeight w:val="243"/>
        </w:trPr>
        <w:tc>
          <w:tcPr>
            <w:tcW w:w="8340" w:type="dxa"/>
            <w:vAlign w:val="bottom"/>
          </w:tcPr>
          <w:p>
            <w:pPr>
              <w:ind w:left="220"/>
              <w:spacing w:after="0"/>
              <w:rPr>
                <w:sz w:val="20"/>
                <w:szCs w:val="20"/>
                <w:color w:val="auto"/>
              </w:rPr>
            </w:pPr>
            <w:r>
              <w:rPr>
                <w:rFonts w:ascii="Arial" w:cs="Arial" w:eastAsia="Arial" w:hAnsi="Arial"/>
                <w:sz w:val="18"/>
                <w:szCs w:val="18"/>
                <w:color w:val="auto"/>
              </w:rPr>
              <w:t>Accounts Receivable (Less Allowance of $1.3 and $0.9)</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85.8</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96.4</w:t>
            </w:r>
          </w:p>
        </w:tc>
      </w:tr>
      <w:tr>
        <w:trPr>
          <w:trHeight w:val="27"/>
        </w:trPr>
        <w:tc>
          <w:tcPr>
            <w:tcW w:w="8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 – Net</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82.0</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72.8</w:t>
            </w:r>
          </w:p>
        </w:tc>
      </w:tr>
      <w:tr>
        <w:trPr>
          <w:trHeight w:val="243"/>
        </w:trPr>
        <w:tc>
          <w:tcPr>
            <w:tcW w:w="8340" w:type="dxa"/>
            <w:vAlign w:val="bottom"/>
          </w:tcPr>
          <w:p>
            <w:pPr>
              <w:ind w:left="220"/>
              <w:spacing w:after="0"/>
              <w:rPr>
                <w:sz w:val="20"/>
                <w:szCs w:val="20"/>
                <w:color w:val="auto"/>
              </w:rPr>
            </w:pPr>
            <w:r>
              <w:rPr>
                <w:rFonts w:ascii="Arial" w:cs="Arial" w:eastAsia="Arial" w:hAnsi="Arial"/>
                <w:sz w:val="18"/>
                <w:szCs w:val="18"/>
                <w:color w:val="auto"/>
              </w:rPr>
              <w:t>Prepayments and Other</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29.5</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31.0</w:t>
            </w:r>
          </w:p>
        </w:tc>
      </w:tr>
      <w:tr>
        <w:trPr>
          <w:trHeight w:val="27"/>
        </w:trPr>
        <w:tc>
          <w:tcPr>
            <w:tcW w:w="8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8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223.0</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269.5</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4,644.5</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4,377.0</w:t>
            </w:r>
          </w:p>
        </w:tc>
      </w:tr>
      <w:tr>
        <w:trPr>
          <w:trHeight w:val="27"/>
        </w:trPr>
        <w:tc>
          <w:tcPr>
            <w:tcW w:w="8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424.7</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420.5</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Equity Investments</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267.1</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197.6</w:t>
            </w:r>
          </w:p>
        </w:tc>
      </w:tr>
      <w:tr>
        <w:trPr>
          <w:trHeight w:val="27"/>
        </w:trPr>
        <w:tc>
          <w:tcPr>
            <w:tcW w:w="8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201.1</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218.2</w:t>
            </w:r>
          </w:p>
        </w:tc>
      </w:tr>
      <w:tr>
        <w:trPr>
          <w:trHeight w:val="237"/>
        </w:trPr>
        <w:tc>
          <w:tcPr>
            <w:tcW w:w="83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4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$5,760.4</w:t>
            </w: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$5,482.8</w:t>
            </w:r>
          </w:p>
        </w:tc>
      </w:tr>
      <w:tr>
        <w:trPr>
          <w:trHeight w:val="27"/>
        </w:trPr>
        <w:tc>
          <w:tcPr>
            <w:tcW w:w="8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4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$86.1</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$165.2</w:t>
            </w:r>
          </w:p>
        </w:tc>
      </w:tr>
      <w:tr>
        <w:trPr>
          <w:trHeight w:val="27"/>
        </w:trPr>
        <w:tc>
          <w:tcPr>
            <w:tcW w:w="8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Taxes</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48.5</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50.8</w:t>
            </w:r>
          </w:p>
        </w:tc>
      </w:tr>
      <w:tr>
        <w:trPr>
          <w:trHeight w:val="243"/>
        </w:trPr>
        <w:tc>
          <w:tcPr>
            <w:tcW w:w="8340" w:type="dxa"/>
            <w:vAlign w:val="bottom"/>
          </w:tcPr>
          <w:p>
            <w:pPr>
              <w:ind w:left="220"/>
              <w:spacing w:after="0"/>
              <w:rPr>
                <w:sz w:val="20"/>
                <w:szCs w:val="20"/>
                <w:color w:val="auto"/>
              </w:rPr>
            </w:pPr>
            <w:r>
              <w:rPr>
                <w:rFonts w:ascii="Arial" w:cs="Arial" w:eastAsia="Arial" w:hAnsi="Arial"/>
                <w:sz w:val="18"/>
                <w:szCs w:val="18"/>
                <w:color w:val="auto"/>
              </w:rPr>
              <w:t>Accrued Interest</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18.0</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18.1</w:t>
            </w:r>
          </w:p>
        </w:tc>
      </w:tr>
      <w:tr>
        <w:trPr>
          <w:trHeight w:val="27"/>
        </w:trPr>
        <w:tc>
          <w:tcPr>
            <w:tcW w:w="8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Long-Term Debt Due Within One Year</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509.7</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212.9</w:t>
            </w:r>
          </w:p>
        </w:tc>
      </w:tr>
      <w:tr>
        <w:trPr>
          <w:trHeight w:val="243"/>
        </w:trPr>
        <w:tc>
          <w:tcPr>
            <w:tcW w:w="8340" w:type="dxa"/>
            <w:vAlign w:val="bottom"/>
          </w:tcPr>
          <w:p>
            <w:pPr>
              <w:ind w:left="220"/>
              <w:spacing w:after="0"/>
              <w:rPr>
                <w:sz w:val="20"/>
                <w:szCs w:val="20"/>
                <w:color w:val="auto"/>
              </w:rPr>
            </w:pPr>
            <w:r>
              <w:rPr>
                <w:rFonts w:ascii="Arial" w:cs="Arial" w:eastAsia="Arial" w:hAnsi="Arial"/>
                <w:sz w:val="18"/>
                <w:szCs w:val="18"/>
                <w:color w:val="auto"/>
              </w:rPr>
              <w:t>Other</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65.4</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60.4</w:t>
            </w:r>
          </w:p>
        </w:tc>
      </w:tr>
      <w:tr>
        <w:trPr>
          <w:trHeight w:val="27"/>
        </w:trPr>
        <w:tc>
          <w:tcPr>
            <w:tcW w:w="8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8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727.7</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507.4</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1,381.0</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1,400.9</w:t>
            </w:r>
          </w:p>
        </w:tc>
      </w:tr>
      <w:tr>
        <w:trPr>
          <w:trHeight w:val="27"/>
        </w:trPr>
        <w:tc>
          <w:tcPr>
            <w:tcW w:w="8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202.3</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212.8</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Regulatory Liabilities</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569.6</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560.3</w:t>
            </w:r>
          </w:p>
        </w:tc>
      </w:tr>
      <w:tr>
        <w:trPr>
          <w:trHeight w:val="27"/>
        </w:trPr>
        <w:tc>
          <w:tcPr>
            <w:tcW w:w="8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Defined Benefit Pension and Other Postretirement Benefit Plans</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159.5</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172.8</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288.1</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293.0</w:t>
            </w:r>
          </w:p>
        </w:tc>
      </w:tr>
      <w:tr>
        <w:trPr>
          <w:trHeight w:val="27"/>
        </w:trPr>
        <w:tc>
          <w:tcPr>
            <w:tcW w:w="8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3,328.2</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3,147.2</w:t>
            </w:r>
          </w:p>
        </w:tc>
      </w:tr>
      <w:tr>
        <w:trPr>
          <w:trHeight w:val="237"/>
        </w:trPr>
        <w:tc>
          <w:tcPr>
            <w:tcW w:w="83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Commitments, Guarantees and Contingencies (Note 6)</w:t>
            </w:r>
          </w:p>
        </w:tc>
        <w:tc>
          <w:tcPr>
            <w:tcW w:w="1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7"/>
        </w:trPr>
        <w:tc>
          <w:tcPr>
            <w:tcW w:w="8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1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ALLETE Equity</w:t>
            </w:r>
          </w:p>
        </w:tc>
        <w:tc>
          <w:tcPr>
            <w:tcW w:w="14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5"/>
              </w:rPr>
              <w:t>Common Stock Without Par Value, 80.0 Shares Authorized, 51.9 and 51.7 Shares Issued and Outstanding</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1,447.7</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1,436.7</w:t>
            </w:r>
          </w:p>
        </w:tc>
      </w:tr>
      <w:tr>
        <w:trPr>
          <w:trHeight w:val="243"/>
        </w:trPr>
        <w:tc>
          <w:tcPr>
            <w:tcW w:w="834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(23.3)</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(23.6)</w:t>
            </w:r>
          </w:p>
        </w:tc>
      </w:tr>
      <w:tr>
        <w:trPr>
          <w:trHeight w:val="27"/>
        </w:trPr>
        <w:tc>
          <w:tcPr>
            <w:tcW w:w="8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841.3</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818.8</w:t>
            </w:r>
          </w:p>
        </w:tc>
      </w:tr>
      <w:tr>
        <w:trPr>
          <w:trHeight w:val="236"/>
        </w:trPr>
        <w:tc>
          <w:tcPr>
            <w:tcW w:w="83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Total ALLETE Equity</w:t>
            </w:r>
          </w:p>
        </w:tc>
        <w:tc>
          <w:tcPr>
            <w:tcW w:w="14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2,265.7</w:t>
            </w: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2,231.9</w:t>
            </w:r>
          </w:p>
        </w:tc>
      </w:tr>
      <w:tr>
        <w:trPr>
          <w:trHeight w:val="27"/>
        </w:trPr>
        <w:tc>
          <w:tcPr>
            <w:tcW w:w="8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 in Subsidiaries</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166.5</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103.7</w:t>
            </w:r>
          </w:p>
        </w:tc>
      </w:tr>
      <w:tr>
        <w:trPr>
          <w:trHeight w:val="236"/>
        </w:trPr>
        <w:tc>
          <w:tcPr>
            <w:tcW w:w="83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Total Equity</w:t>
            </w:r>
          </w:p>
        </w:tc>
        <w:tc>
          <w:tcPr>
            <w:tcW w:w="14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2,432.2</w:t>
            </w: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2,335.6</w:t>
            </w:r>
          </w:p>
        </w:tc>
      </w:tr>
      <w:tr>
        <w:trPr>
          <w:trHeight w:val="27"/>
        </w:trPr>
        <w:tc>
          <w:tcPr>
            <w:tcW w:w="8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$5,760.4</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$5,482.8</w:t>
            </w:r>
          </w:p>
        </w:tc>
      </w:tr>
      <w:tr>
        <w:trPr>
          <w:trHeight w:val="318"/>
        </w:trPr>
        <w:tc>
          <w:tcPr>
            <w:tcW w:w="8340" w:type="dxa"/>
            <w:vAlign w:val="bottom"/>
            <w:tcBorders>
              <w:top w:val="single" w:sz="8" w:color="auto"/>
            </w:tcBorders>
          </w:tcPr>
          <w:p>
            <w:pPr>
              <w:jc w:val="center"/>
              <w:ind w:left="2830"/>
              <w:spacing w:after="0"/>
              <w:rPr>
                <w:sz w:val="20"/>
                <w:szCs w:val="20"/>
                <w:color w:val="auto"/>
              </w:rPr>
            </w:pPr>
            <w:r>
              <w:rPr>
                <w:rFonts w:ascii="Arial" w:cs="Arial" w:eastAsia="Arial" w:hAnsi="Arial"/>
                <w:sz w:val="18"/>
                <w:szCs w:val="18"/>
                <w:color w:val="auto"/>
                <w:w w:val="88"/>
              </w:rPr>
              <w:t>The accompanying notes are an integral part of these statements.</w:t>
            </w:r>
          </w:p>
        </w:tc>
        <w:tc>
          <w:tcPr>
            <w:tcW w:w="14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ectPr>
          <w:pgSz w:w="11900" w:h="16838" w:orient="portrait"/>
          <w:cols w:equalWidth="0" w:num="1">
            <w:col w:w="11240"/>
          </w:cols>
          <w:pgMar w:left="320" w:top="891" w:right="339" w:bottom="1440" w:gutter="0" w:footer="0" w:header="0"/>
        </w:sectPr>
      </w:pPr>
    </w:p>
    <w:p>
      <w:pPr>
        <w:spacing w:after="0" w:line="13"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348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Quarter Ended</w:t>
            </w:r>
          </w:p>
        </w:tc>
        <w:tc>
          <w:tcPr>
            <w:tcW w:w="20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740" w:type="dxa"/>
            <w:vAlign w:val="bottom"/>
          </w:tcPr>
          <w:p>
            <w:pPr>
              <w:spacing w:after="0"/>
              <w:rPr>
                <w:sz w:val="23"/>
                <w:szCs w:val="23"/>
                <w:color w:val="auto"/>
              </w:rPr>
            </w:pPr>
          </w:p>
        </w:tc>
        <w:tc>
          <w:tcPr>
            <w:tcW w:w="348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June 30,</w:t>
            </w:r>
          </w:p>
        </w:tc>
        <w:tc>
          <w:tcPr>
            <w:tcW w:w="202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June 30,</w:t>
            </w:r>
          </w:p>
        </w:tc>
      </w:tr>
      <w:tr>
        <w:trPr>
          <w:trHeight w:val="270"/>
        </w:trPr>
        <w:tc>
          <w:tcPr>
            <w:tcW w:w="5740" w:type="dxa"/>
            <w:vAlign w:val="bottom"/>
          </w:tcPr>
          <w:p>
            <w:pPr>
              <w:spacing w:after="0"/>
              <w:rPr>
                <w:sz w:val="23"/>
                <w:szCs w:val="23"/>
                <w:color w:val="auto"/>
              </w:rPr>
            </w:pPr>
          </w:p>
        </w:tc>
        <w:tc>
          <w:tcPr>
            <w:tcW w:w="24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r>
      <w:tr>
        <w:trPr>
          <w:trHeight w:val="27"/>
        </w:trPr>
        <w:tc>
          <w:tcPr>
            <w:tcW w:w="57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2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57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2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340"/>
              <w:spacing w:after="0"/>
              <w:rPr>
                <w:sz w:val="20"/>
                <w:szCs w:val="20"/>
                <w:color w:val="auto"/>
              </w:rPr>
            </w:pPr>
            <w:r>
              <w:rPr>
                <w:rFonts w:ascii="Arial" w:cs="Arial" w:eastAsia="Arial" w:hAnsi="Arial"/>
                <w:sz w:val="18"/>
                <w:szCs w:val="18"/>
                <w:color w:val="auto"/>
              </w:rPr>
              <w:t>Contracts with Customers – Utility</w:t>
            </w:r>
          </w:p>
        </w:tc>
        <w:tc>
          <w:tcPr>
            <w:tcW w:w="2420" w:type="dxa"/>
            <w:vAlign w:val="bottom"/>
          </w:tcPr>
          <w:p>
            <w:pPr>
              <w:jc w:val="right"/>
              <w:ind w:right="130"/>
              <w:spacing w:after="0"/>
              <w:rPr>
                <w:sz w:val="20"/>
                <w:szCs w:val="20"/>
                <w:color w:val="auto"/>
              </w:rPr>
            </w:pPr>
            <w:r>
              <w:rPr>
                <w:rFonts w:ascii="Arial" w:cs="Arial" w:eastAsia="Arial" w:hAnsi="Arial"/>
                <w:sz w:val="18"/>
                <w:szCs w:val="18"/>
                <w:color w:val="auto"/>
              </w:rPr>
              <w:t>$200.8</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$249.8</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$466.1</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$532.0</w:t>
            </w:r>
          </w:p>
        </w:tc>
      </w:tr>
      <w:tr>
        <w:trPr>
          <w:trHeight w:val="27"/>
        </w:trPr>
        <w:tc>
          <w:tcPr>
            <w:tcW w:w="57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Contracts with Customers – Non-utility</w:t>
            </w:r>
          </w:p>
        </w:tc>
        <w:tc>
          <w:tcPr>
            <w:tcW w:w="2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39.6</w:t>
            </w:r>
          </w:p>
        </w:tc>
        <w:tc>
          <w:tcPr>
            <w:tcW w:w="1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37.7</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83.1</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109.8</w:t>
            </w:r>
          </w:p>
        </w:tc>
      </w:tr>
      <w:tr>
        <w:trPr>
          <w:trHeight w:val="243"/>
        </w:trPr>
        <w:tc>
          <w:tcPr>
            <w:tcW w:w="5740" w:type="dxa"/>
            <w:vAlign w:val="bottom"/>
          </w:tcPr>
          <w:p>
            <w:pPr>
              <w:ind w:left="340"/>
              <w:spacing w:after="0"/>
              <w:rPr>
                <w:sz w:val="20"/>
                <w:szCs w:val="20"/>
                <w:color w:val="auto"/>
              </w:rPr>
            </w:pPr>
            <w:r>
              <w:rPr>
                <w:rFonts w:ascii="Arial" w:cs="Arial" w:eastAsia="Arial" w:hAnsi="Arial"/>
                <w:sz w:val="18"/>
                <w:szCs w:val="18"/>
                <w:color w:val="auto"/>
              </w:rPr>
              <w:t>Other – Non-utility</w:t>
            </w:r>
          </w:p>
        </w:tc>
        <w:tc>
          <w:tcPr>
            <w:tcW w:w="2420" w:type="dxa"/>
            <w:vAlign w:val="bottom"/>
          </w:tcPr>
          <w:p>
            <w:pPr>
              <w:jc w:val="right"/>
              <w:ind w:right="130"/>
              <w:spacing w:after="0"/>
              <w:rPr>
                <w:sz w:val="20"/>
                <w:szCs w:val="20"/>
                <w:color w:val="auto"/>
              </w:rPr>
            </w:pPr>
            <w:r>
              <w:rPr>
                <w:rFonts w:ascii="Arial" w:cs="Arial" w:eastAsia="Arial" w:hAnsi="Arial"/>
                <w:sz w:val="18"/>
                <w:szCs w:val="18"/>
                <w:color w:val="auto"/>
              </w:rPr>
              <w:t>2.8</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2.9</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5.6</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5.8</w:t>
            </w:r>
          </w:p>
        </w:tc>
      </w:tr>
      <w:tr>
        <w:trPr>
          <w:trHeight w:val="27"/>
        </w:trPr>
        <w:tc>
          <w:tcPr>
            <w:tcW w:w="57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8"/>
        </w:trPr>
        <w:tc>
          <w:tcPr>
            <w:tcW w:w="5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Operating Revenue</w:t>
            </w:r>
          </w:p>
        </w:tc>
        <w:tc>
          <w:tcPr>
            <w:tcW w:w="2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243.2</w:t>
            </w:r>
          </w:p>
        </w:tc>
        <w:tc>
          <w:tcPr>
            <w:tcW w:w="1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290.4</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554.8</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647.6</w:t>
            </w:r>
          </w:p>
        </w:tc>
      </w:tr>
      <w:tr>
        <w:trPr>
          <w:trHeight w:val="237"/>
        </w:trPr>
        <w:tc>
          <w:tcPr>
            <w:tcW w:w="57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57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Fuel, Purchased Power and Gas – Utility</w:t>
            </w:r>
          </w:p>
        </w:tc>
        <w:tc>
          <w:tcPr>
            <w:tcW w:w="2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69.3</w:t>
            </w:r>
          </w:p>
        </w:tc>
        <w:tc>
          <w:tcPr>
            <w:tcW w:w="1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87.9</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158.3</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197.7</w:t>
            </w:r>
          </w:p>
        </w:tc>
      </w:tr>
      <w:tr>
        <w:trPr>
          <w:trHeight w:val="243"/>
        </w:trPr>
        <w:tc>
          <w:tcPr>
            <w:tcW w:w="5740" w:type="dxa"/>
            <w:vAlign w:val="bottom"/>
          </w:tcPr>
          <w:p>
            <w:pPr>
              <w:ind w:left="340"/>
              <w:spacing w:after="0"/>
              <w:rPr>
                <w:sz w:val="20"/>
                <w:szCs w:val="20"/>
                <w:color w:val="auto"/>
              </w:rPr>
            </w:pPr>
            <w:r>
              <w:rPr>
                <w:rFonts w:ascii="Arial" w:cs="Arial" w:eastAsia="Arial" w:hAnsi="Arial"/>
                <w:sz w:val="18"/>
                <w:szCs w:val="18"/>
                <w:color w:val="auto"/>
              </w:rPr>
              <w:t>Transmission Services – Utility</w:t>
            </w:r>
          </w:p>
        </w:tc>
        <w:tc>
          <w:tcPr>
            <w:tcW w:w="2420" w:type="dxa"/>
            <w:vAlign w:val="bottom"/>
          </w:tcPr>
          <w:p>
            <w:pPr>
              <w:jc w:val="right"/>
              <w:ind w:right="130"/>
              <w:spacing w:after="0"/>
              <w:rPr>
                <w:sz w:val="20"/>
                <w:szCs w:val="20"/>
                <w:color w:val="auto"/>
              </w:rPr>
            </w:pPr>
            <w:r>
              <w:rPr>
                <w:rFonts w:ascii="Arial" w:cs="Arial" w:eastAsia="Arial" w:hAnsi="Arial"/>
                <w:sz w:val="18"/>
                <w:szCs w:val="18"/>
                <w:color w:val="auto"/>
              </w:rPr>
              <w:t>16.4</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19.2</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34.9</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37.5</w:t>
            </w:r>
          </w:p>
        </w:tc>
      </w:tr>
      <w:tr>
        <w:trPr>
          <w:trHeight w:val="27"/>
        </w:trPr>
        <w:tc>
          <w:tcPr>
            <w:tcW w:w="57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Sales – Non-utility</w:t>
            </w:r>
          </w:p>
        </w:tc>
        <w:tc>
          <w:tcPr>
            <w:tcW w:w="2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16.3</w:t>
            </w:r>
          </w:p>
        </w:tc>
        <w:tc>
          <w:tcPr>
            <w:tcW w:w="1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16.5</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33.2</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47.1</w:t>
            </w:r>
          </w:p>
        </w:tc>
      </w:tr>
      <w:tr>
        <w:trPr>
          <w:trHeight w:val="243"/>
        </w:trPr>
        <w:tc>
          <w:tcPr>
            <w:tcW w:w="5740" w:type="dxa"/>
            <w:vAlign w:val="bottom"/>
          </w:tcPr>
          <w:p>
            <w:pPr>
              <w:ind w:left="340"/>
              <w:spacing w:after="0"/>
              <w:rPr>
                <w:sz w:val="20"/>
                <w:szCs w:val="20"/>
                <w:color w:val="auto"/>
              </w:rPr>
            </w:pPr>
            <w:r>
              <w:rPr>
                <w:rFonts w:ascii="Arial" w:cs="Arial" w:eastAsia="Arial" w:hAnsi="Arial"/>
                <w:sz w:val="18"/>
                <w:szCs w:val="18"/>
                <w:color w:val="auto"/>
              </w:rPr>
              <w:t>Operating and Maintenance</w:t>
            </w:r>
          </w:p>
        </w:tc>
        <w:tc>
          <w:tcPr>
            <w:tcW w:w="2420" w:type="dxa"/>
            <w:vAlign w:val="bottom"/>
          </w:tcPr>
          <w:p>
            <w:pPr>
              <w:jc w:val="right"/>
              <w:ind w:right="130"/>
              <w:spacing w:after="0"/>
              <w:rPr>
                <w:sz w:val="20"/>
                <w:szCs w:val="20"/>
                <w:color w:val="auto"/>
              </w:rPr>
            </w:pPr>
            <w:r>
              <w:rPr>
                <w:rFonts w:ascii="Arial" w:cs="Arial" w:eastAsia="Arial" w:hAnsi="Arial"/>
                <w:sz w:val="18"/>
                <w:szCs w:val="18"/>
                <w:color w:val="auto"/>
              </w:rPr>
              <w:t>59.0</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66.7</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120.0</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142.9</w:t>
            </w:r>
          </w:p>
        </w:tc>
      </w:tr>
      <w:tr>
        <w:trPr>
          <w:trHeight w:val="27"/>
        </w:trPr>
        <w:tc>
          <w:tcPr>
            <w:tcW w:w="57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54.5</w:t>
            </w:r>
          </w:p>
        </w:tc>
        <w:tc>
          <w:tcPr>
            <w:tcW w:w="1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50.2</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107.9</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102.1</w:t>
            </w:r>
          </w:p>
        </w:tc>
      </w:tr>
      <w:tr>
        <w:trPr>
          <w:trHeight w:val="243"/>
        </w:trPr>
        <w:tc>
          <w:tcPr>
            <w:tcW w:w="5740" w:type="dxa"/>
            <w:vAlign w:val="bottom"/>
          </w:tcPr>
          <w:p>
            <w:pPr>
              <w:ind w:left="340"/>
              <w:spacing w:after="0"/>
              <w:rPr>
                <w:sz w:val="20"/>
                <w:szCs w:val="20"/>
                <w:color w:val="auto"/>
              </w:rPr>
            </w:pPr>
            <w:r>
              <w:rPr>
                <w:rFonts w:ascii="Arial" w:cs="Arial" w:eastAsia="Arial" w:hAnsi="Arial"/>
                <w:sz w:val="18"/>
                <w:szCs w:val="18"/>
                <w:color w:val="auto"/>
              </w:rPr>
              <w:t>Taxes Other than Income Taxes</w:t>
            </w:r>
          </w:p>
        </w:tc>
        <w:tc>
          <w:tcPr>
            <w:tcW w:w="2420" w:type="dxa"/>
            <w:vAlign w:val="bottom"/>
          </w:tcPr>
          <w:p>
            <w:pPr>
              <w:jc w:val="right"/>
              <w:ind w:right="130"/>
              <w:spacing w:after="0"/>
              <w:rPr>
                <w:sz w:val="20"/>
                <w:szCs w:val="20"/>
                <w:color w:val="auto"/>
              </w:rPr>
            </w:pPr>
            <w:r>
              <w:rPr>
                <w:rFonts w:ascii="Arial" w:cs="Arial" w:eastAsia="Arial" w:hAnsi="Arial"/>
                <w:sz w:val="18"/>
                <w:szCs w:val="18"/>
                <w:color w:val="auto"/>
              </w:rPr>
              <w:t>15.0</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13.7</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27.6</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27.3</w:t>
            </w:r>
          </w:p>
        </w:tc>
      </w:tr>
      <w:tr>
        <w:trPr>
          <w:trHeight w:val="27"/>
        </w:trPr>
        <w:tc>
          <w:tcPr>
            <w:tcW w:w="57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Operating Expenses</w:t>
            </w:r>
          </w:p>
        </w:tc>
        <w:tc>
          <w:tcPr>
            <w:tcW w:w="2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230.5</w:t>
            </w:r>
          </w:p>
        </w:tc>
        <w:tc>
          <w:tcPr>
            <w:tcW w:w="1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254.2</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481.9</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554.6</w:t>
            </w:r>
          </w:p>
        </w:tc>
      </w:tr>
      <w:tr>
        <w:trPr>
          <w:trHeight w:val="237"/>
        </w:trPr>
        <w:tc>
          <w:tcPr>
            <w:tcW w:w="57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Operating Income</w:t>
            </w:r>
          </w:p>
        </w:tc>
        <w:tc>
          <w:tcPr>
            <w:tcW w:w="2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12.7</w:t>
            </w:r>
          </w:p>
        </w:tc>
        <w:tc>
          <w:tcPr>
            <w:tcW w:w="10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36.2</w:t>
            </w:r>
          </w:p>
        </w:tc>
        <w:tc>
          <w:tcPr>
            <w:tcW w:w="1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72.9</w:t>
            </w: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93.0</w:t>
            </w:r>
          </w:p>
        </w:tc>
      </w:tr>
      <w:tr>
        <w:trPr>
          <w:trHeight w:val="27"/>
        </w:trPr>
        <w:tc>
          <w:tcPr>
            <w:tcW w:w="57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420" w:type="dxa"/>
            <w:vAlign w:val="bottom"/>
          </w:tcPr>
          <w:p>
            <w:pPr>
              <w:jc w:val="right"/>
              <w:ind w:right="90"/>
              <w:spacing w:after="0"/>
              <w:rPr>
                <w:sz w:val="20"/>
                <w:szCs w:val="20"/>
                <w:color w:val="auto"/>
              </w:rPr>
            </w:pPr>
            <w:r>
              <w:rPr>
                <w:rFonts w:ascii="Arial" w:cs="Arial" w:eastAsia="Arial" w:hAnsi="Arial"/>
                <w:sz w:val="18"/>
                <w:szCs w:val="18"/>
                <w:color w:val="auto"/>
              </w:rPr>
              <w:t>(15.9)</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(16.3)</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(31.6)</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(32.8)</w:t>
            </w:r>
          </w:p>
        </w:tc>
      </w:tr>
      <w:tr>
        <w:trPr>
          <w:trHeight w:val="27"/>
        </w:trPr>
        <w:tc>
          <w:tcPr>
            <w:tcW w:w="57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Equity Earnings</w:t>
            </w:r>
          </w:p>
        </w:tc>
        <w:tc>
          <w:tcPr>
            <w:tcW w:w="2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6.4</w:t>
            </w:r>
          </w:p>
        </w:tc>
        <w:tc>
          <w:tcPr>
            <w:tcW w:w="1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4.8</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11.6</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w:t>
            </w:r>
          </w:p>
        </w:tc>
      </w:tr>
      <w:tr>
        <w:trPr>
          <w:trHeight w:val="243"/>
        </w:trPr>
        <w:tc>
          <w:tcPr>
            <w:tcW w:w="5740" w:type="dxa"/>
            <w:vAlign w:val="bottom"/>
          </w:tcPr>
          <w:p>
            <w:pPr>
              <w:ind w:left="340"/>
              <w:spacing w:after="0"/>
              <w:rPr>
                <w:sz w:val="20"/>
                <w:szCs w:val="20"/>
                <w:color w:val="auto"/>
              </w:rPr>
            </w:pPr>
            <w:r>
              <w:rPr>
                <w:rFonts w:ascii="Arial" w:cs="Arial" w:eastAsia="Arial" w:hAnsi="Arial"/>
                <w:sz w:val="18"/>
                <w:szCs w:val="18"/>
                <w:color w:val="auto"/>
              </w:rPr>
              <w:t>Gain on Sale of U.S. Water Services</w:t>
            </w:r>
          </w:p>
        </w:tc>
        <w:tc>
          <w:tcPr>
            <w:tcW w:w="2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0.5</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20.6</w:t>
            </w:r>
          </w:p>
        </w:tc>
      </w:tr>
      <w:tr>
        <w:trPr>
          <w:trHeight w:val="27"/>
        </w:trPr>
        <w:tc>
          <w:tcPr>
            <w:tcW w:w="57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5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5.2</w:t>
            </w:r>
          </w:p>
        </w:tc>
        <w:tc>
          <w:tcPr>
            <w:tcW w:w="1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4.2</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6.2</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w:t>
            </w:r>
          </w:p>
        </w:tc>
      </w:tr>
      <w:tr>
        <w:trPr>
          <w:trHeight w:val="236"/>
        </w:trPr>
        <w:tc>
          <w:tcPr>
            <w:tcW w:w="574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Total Other Income (Expense)</w:t>
            </w:r>
          </w:p>
        </w:tc>
        <w:tc>
          <w:tcPr>
            <w:tcW w:w="24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(4.3)</w:t>
            </w:r>
          </w:p>
        </w:tc>
        <w:tc>
          <w:tcPr>
            <w:tcW w:w="10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(6.8)</w:t>
            </w:r>
          </w:p>
        </w:tc>
        <w:tc>
          <w:tcPr>
            <w:tcW w:w="11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(13.8)</w:t>
            </w: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9.8</w:t>
            </w:r>
          </w:p>
        </w:tc>
      </w:tr>
      <w:tr>
        <w:trPr>
          <w:trHeight w:val="27"/>
        </w:trPr>
        <w:tc>
          <w:tcPr>
            <w:tcW w:w="57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8.4</w:t>
            </w:r>
          </w:p>
        </w:tc>
        <w:tc>
          <w:tcPr>
            <w:tcW w:w="1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29.4</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59.1</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102.8</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Income Tax Expense (Benefit)</w:t>
            </w:r>
          </w:p>
        </w:tc>
        <w:tc>
          <w:tcPr>
            <w:tcW w:w="2420" w:type="dxa"/>
            <w:vAlign w:val="bottom"/>
          </w:tcPr>
          <w:p>
            <w:pPr>
              <w:jc w:val="right"/>
              <w:ind w:right="90"/>
              <w:spacing w:after="0"/>
              <w:rPr>
                <w:sz w:val="20"/>
                <w:szCs w:val="20"/>
                <w:color w:val="auto"/>
              </w:rPr>
            </w:pPr>
            <w:r>
              <w:rPr>
                <w:rFonts w:ascii="Arial" w:cs="Arial" w:eastAsia="Arial" w:hAnsi="Arial"/>
                <w:sz w:val="18"/>
                <w:szCs w:val="18"/>
                <w:color w:val="auto"/>
              </w:rPr>
              <w:t>(8.5)</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(4.8)</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(22.3)</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7"/>
        </w:trPr>
        <w:tc>
          <w:tcPr>
            <w:tcW w:w="57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16.9</w:t>
            </w:r>
          </w:p>
        </w:tc>
        <w:tc>
          <w:tcPr>
            <w:tcW w:w="1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34.2</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81.4</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104.7</w:t>
            </w:r>
          </w:p>
        </w:tc>
      </w:tr>
      <w:tr>
        <w:trPr>
          <w:trHeight w:val="236"/>
        </w:trPr>
        <w:tc>
          <w:tcPr>
            <w:tcW w:w="57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Net Loss Attributable to Non-Controlling Interest</w:t>
            </w:r>
          </w:p>
        </w:tc>
        <w:tc>
          <w:tcPr>
            <w:tcW w:w="24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(3.2)</w:t>
            </w:r>
          </w:p>
        </w:tc>
        <w:tc>
          <w:tcPr>
            <w:tcW w:w="10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(5.0)</w:t>
            </w: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2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$20.1</w:t>
            </w:r>
          </w:p>
        </w:tc>
        <w:tc>
          <w:tcPr>
            <w:tcW w:w="1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$34.2</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$86.4</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$104.7</w:t>
            </w:r>
          </w:p>
        </w:tc>
      </w:tr>
      <w:tr>
        <w:trPr>
          <w:trHeight w:val="237"/>
        </w:trPr>
        <w:tc>
          <w:tcPr>
            <w:tcW w:w="57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2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57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51.8</w:t>
            </w:r>
          </w:p>
        </w:tc>
        <w:tc>
          <w:tcPr>
            <w:tcW w:w="1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51.6</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51.8</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51.6</w:t>
            </w:r>
          </w:p>
        </w:tc>
      </w:tr>
      <w:tr>
        <w:trPr>
          <w:trHeight w:val="243"/>
        </w:trPr>
        <w:tc>
          <w:tcPr>
            <w:tcW w:w="5740" w:type="dxa"/>
            <w:vAlign w:val="bottom"/>
          </w:tcPr>
          <w:p>
            <w:pPr>
              <w:ind w:left="340"/>
              <w:spacing w:after="0"/>
              <w:rPr>
                <w:sz w:val="20"/>
                <w:szCs w:val="20"/>
                <w:color w:val="auto"/>
              </w:rPr>
            </w:pPr>
            <w:r>
              <w:rPr>
                <w:rFonts w:ascii="Arial" w:cs="Arial" w:eastAsia="Arial" w:hAnsi="Arial"/>
                <w:sz w:val="18"/>
                <w:szCs w:val="18"/>
                <w:color w:val="auto"/>
              </w:rPr>
              <w:t>Diluted</w:t>
            </w:r>
          </w:p>
        </w:tc>
        <w:tc>
          <w:tcPr>
            <w:tcW w:w="2420" w:type="dxa"/>
            <w:vAlign w:val="bottom"/>
          </w:tcPr>
          <w:p>
            <w:pPr>
              <w:jc w:val="right"/>
              <w:ind w:right="130"/>
              <w:spacing w:after="0"/>
              <w:rPr>
                <w:sz w:val="20"/>
                <w:szCs w:val="20"/>
                <w:color w:val="auto"/>
              </w:rPr>
            </w:pPr>
            <w:r>
              <w:rPr>
                <w:rFonts w:ascii="Arial" w:cs="Arial" w:eastAsia="Arial" w:hAnsi="Arial"/>
                <w:sz w:val="18"/>
                <w:szCs w:val="18"/>
                <w:color w:val="auto"/>
              </w:rPr>
              <w:t>51.9</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51.7</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51.8</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51.7</w:t>
            </w:r>
          </w:p>
        </w:tc>
      </w:tr>
      <w:tr>
        <w:trPr>
          <w:trHeight w:val="27"/>
        </w:trPr>
        <w:tc>
          <w:tcPr>
            <w:tcW w:w="57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2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$0.39</w:t>
            </w:r>
          </w:p>
        </w:tc>
        <w:tc>
          <w:tcPr>
            <w:tcW w:w="10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$0.66</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$1.67</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$2.03</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2420" w:type="dxa"/>
            <w:vAlign w:val="bottom"/>
          </w:tcPr>
          <w:p>
            <w:pPr>
              <w:jc w:val="right"/>
              <w:ind w:right="130"/>
              <w:spacing w:after="0"/>
              <w:rPr>
                <w:sz w:val="20"/>
                <w:szCs w:val="20"/>
                <w:color w:val="auto"/>
              </w:rPr>
            </w:pPr>
            <w:r>
              <w:rPr>
                <w:rFonts w:ascii="Arial" w:cs="Arial" w:eastAsia="Arial" w:hAnsi="Arial"/>
                <w:sz w:val="18"/>
                <w:szCs w:val="18"/>
                <w:color w:val="auto"/>
              </w:rPr>
              <w:t>$0.39</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$0.66</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$1.67</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$2.02</w:t>
            </w:r>
          </w:p>
        </w:tc>
      </w:tr>
      <w:tr>
        <w:trPr>
          <w:trHeight w:val="27"/>
        </w:trPr>
        <w:tc>
          <w:tcPr>
            <w:tcW w:w="57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316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Quarter Ended</w:t>
            </w:r>
          </w:p>
        </w:tc>
        <w:tc>
          <w:tcPr>
            <w:tcW w:w="21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960" w:type="dxa"/>
            <w:vAlign w:val="bottom"/>
          </w:tcPr>
          <w:p>
            <w:pPr>
              <w:spacing w:after="0"/>
              <w:rPr>
                <w:sz w:val="23"/>
                <w:szCs w:val="23"/>
                <w:color w:val="auto"/>
              </w:rPr>
            </w:pPr>
          </w:p>
        </w:tc>
        <w:tc>
          <w:tcPr>
            <w:tcW w:w="23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23"/>
                <w:szCs w:val="23"/>
                <w:color w:val="auto"/>
              </w:rPr>
            </w:pPr>
          </w:p>
        </w:tc>
      </w:tr>
      <w:tr>
        <w:trPr>
          <w:trHeight w:val="270"/>
        </w:trPr>
        <w:tc>
          <w:tcPr>
            <w:tcW w:w="5960" w:type="dxa"/>
            <w:vAlign w:val="bottom"/>
          </w:tcPr>
          <w:p>
            <w:pPr>
              <w:spacing w:after="0"/>
              <w:rPr>
                <w:sz w:val="23"/>
                <w:szCs w:val="23"/>
                <w:color w:val="auto"/>
              </w:rPr>
            </w:pPr>
          </w:p>
        </w:tc>
        <w:tc>
          <w:tcPr>
            <w:tcW w:w="2300" w:type="dxa"/>
            <w:vAlign w:val="bottom"/>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2019</w:t>
            </w:r>
          </w:p>
        </w:tc>
        <w:tc>
          <w:tcPr>
            <w:tcW w:w="140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59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3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$16.9</w:t>
            </w:r>
          </w:p>
        </w:tc>
        <w:tc>
          <w:tcPr>
            <w:tcW w:w="8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$34.2</w:t>
            </w:r>
          </w:p>
        </w:tc>
        <w:tc>
          <w:tcPr>
            <w:tcW w:w="14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$81.4</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$104.7</w:t>
            </w:r>
          </w:p>
        </w:tc>
      </w:tr>
      <w:tr>
        <w:trPr>
          <w:trHeight w:val="237"/>
        </w:trPr>
        <w:tc>
          <w:tcPr>
            <w:tcW w:w="5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2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Unrealized Gain on Securities</w:t>
            </w:r>
          </w:p>
        </w:tc>
        <w:tc>
          <w:tcPr>
            <w:tcW w:w="2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340"/>
              <w:spacing w:after="0"/>
              <w:rPr>
                <w:sz w:val="20"/>
                <w:szCs w:val="20"/>
                <w:color w:val="auto"/>
              </w:rPr>
            </w:pPr>
            <w:r>
              <w:rPr>
                <w:rFonts w:ascii="Arial" w:cs="Arial" w:eastAsia="Arial" w:hAnsi="Arial"/>
                <w:sz w:val="18"/>
                <w:szCs w:val="18"/>
                <w:color w:val="auto"/>
              </w:rPr>
              <w:t>Net of Income Tax Expense of $0.1, $0.1, $– and $0.1</w:t>
            </w:r>
          </w:p>
        </w:tc>
        <w:tc>
          <w:tcPr>
            <w:tcW w:w="2300" w:type="dxa"/>
            <w:vAlign w:val="bottom"/>
          </w:tcPr>
          <w:p>
            <w:pPr>
              <w:jc w:val="right"/>
              <w:ind w:right="470"/>
              <w:spacing w:after="0"/>
              <w:rPr>
                <w:sz w:val="20"/>
                <w:szCs w:val="20"/>
                <w:color w:val="auto"/>
              </w:rPr>
            </w:pPr>
            <w:r>
              <w:rPr>
                <w:rFonts w:ascii="Arial" w:cs="Arial" w:eastAsia="Arial" w:hAnsi="Arial"/>
                <w:sz w:val="18"/>
                <w:szCs w:val="18"/>
                <w:color w:val="auto"/>
              </w:rPr>
              <w:t>0.4</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0.1</w:t>
            </w:r>
          </w:p>
        </w:tc>
        <w:tc>
          <w:tcPr>
            <w:tcW w:w="14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0.2</w:t>
            </w:r>
          </w:p>
        </w:tc>
      </w:tr>
      <w:tr>
        <w:trPr>
          <w:trHeight w:val="27"/>
        </w:trPr>
        <w:tc>
          <w:tcPr>
            <w:tcW w:w="59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Defined Benefit Pension and Other Postretirement Benefit Plans</w:t>
            </w:r>
          </w:p>
        </w:tc>
        <w:tc>
          <w:tcPr>
            <w:tcW w:w="2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340"/>
              <w:spacing w:after="0"/>
              <w:rPr>
                <w:sz w:val="20"/>
                <w:szCs w:val="20"/>
                <w:color w:val="auto"/>
              </w:rPr>
            </w:pPr>
            <w:r>
              <w:rPr>
                <w:rFonts w:ascii="Arial" w:cs="Arial" w:eastAsia="Arial" w:hAnsi="Arial"/>
                <w:sz w:val="18"/>
                <w:szCs w:val="18"/>
                <w:color w:val="auto"/>
              </w:rPr>
              <w:t>Net of Income Tax Expense of $–, $–, $0.1 and $0.1</w:t>
            </w:r>
          </w:p>
        </w:tc>
        <w:tc>
          <w:tcPr>
            <w:tcW w:w="2300" w:type="dxa"/>
            <w:vAlign w:val="bottom"/>
          </w:tcPr>
          <w:p>
            <w:pPr>
              <w:jc w:val="right"/>
              <w:ind w:right="470"/>
              <w:spacing w:after="0"/>
              <w:rPr>
                <w:sz w:val="20"/>
                <w:szCs w:val="20"/>
                <w:color w:val="auto"/>
              </w:rPr>
            </w:pPr>
            <w:r>
              <w:rPr>
                <w:rFonts w:ascii="Arial" w:cs="Arial" w:eastAsia="Arial" w:hAnsi="Arial"/>
                <w:sz w:val="18"/>
                <w:szCs w:val="18"/>
                <w:color w:val="auto"/>
              </w:rPr>
              <w:t>0.1</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0.2</w:t>
            </w:r>
          </w:p>
        </w:tc>
        <w:tc>
          <w:tcPr>
            <w:tcW w:w="1400" w:type="dxa"/>
            <w:vAlign w:val="bottom"/>
          </w:tcPr>
          <w:p>
            <w:pPr>
              <w:jc w:val="right"/>
              <w:ind w:right="490"/>
              <w:spacing w:after="0"/>
              <w:rPr>
                <w:sz w:val="20"/>
                <w:szCs w:val="20"/>
                <w:color w:val="auto"/>
              </w:rPr>
            </w:pPr>
            <w:r>
              <w:rPr>
                <w:rFonts w:ascii="Arial" w:cs="Arial" w:eastAsia="Arial" w:hAnsi="Arial"/>
                <w:sz w:val="18"/>
                <w:szCs w:val="18"/>
                <w:color w:val="auto"/>
              </w:rPr>
              <w:t>0.3</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0.2</w:t>
            </w:r>
          </w:p>
        </w:tc>
      </w:tr>
      <w:tr>
        <w:trPr>
          <w:trHeight w:val="27"/>
        </w:trPr>
        <w:tc>
          <w:tcPr>
            <w:tcW w:w="59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Comprehensive Income</w:t>
            </w:r>
          </w:p>
        </w:tc>
        <w:tc>
          <w:tcPr>
            <w:tcW w:w="23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0.5</w:t>
            </w:r>
          </w:p>
        </w:tc>
        <w:tc>
          <w:tcPr>
            <w:tcW w:w="8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0.3</w:t>
            </w:r>
          </w:p>
        </w:tc>
        <w:tc>
          <w:tcPr>
            <w:tcW w:w="14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0.3</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r>
      <w:tr>
        <w:trPr>
          <w:trHeight w:val="236"/>
        </w:trPr>
        <w:tc>
          <w:tcPr>
            <w:tcW w:w="5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3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17.4</w:t>
            </w:r>
          </w:p>
        </w:tc>
        <w:tc>
          <w:tcPr>
            <w:tcW w:w="8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34.5</w:t>
            </w:r>
          </w:p>
        </w:tc>
        <w:tc>
          <w:tcPr>
            <w:tcW w:w="14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81.7</w:t>
            </w:r>
          </w:p>
        </w:tc>
        <w:tc>
          <w:tcPr>
            <w:tcW w:w="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105.1</w:t>
            </w:r>
          </w:p>
        </w:tc>
      </w:tr>
      <w:tr>
        <w:trPr>
          <w:trHeight w:val="27"/>
        </w:trPr>
        <w:tc>
          <w:tcPr>
            <w:tcW w:w="59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Loss Attributable to Non-Controlling Interest</w:t>
            </w:r>
          </w:p>
        </w:tc>
        <w:tc>
          <w:tcPr>
            <w:tcW w:w="23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(3.2)</w:t>
            </w:r>
          </w:p>
        </w:tc>
        <w:tc>
          <w:tcPr>
            <w:tcW w:w="8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(5.0)</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5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Comprehensive Income Attributable to ALLETE</w:t>
            </w:r>
          </w:p>
        </w:tc>
        <w:tc>
          <w:tcPr>
            <w:tcW w:w="23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$20.6</w:t>
            </w:r>
          </w:p>
        </w:tc>
        <w:tc>
          <w:tcPr>
            <w:tcW w:w="8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$34.5</w:t>
            </w:r>
          </w:p>
        </w:tc>
        <w:tc>
          <w:tcPr>
            <w:tcW w:w="14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$86.7</w:t>
            </w:r>
          </w:p>
        </w:tc>
        <w:tc>
          <w:tcPr>
            <w:tcW w:w="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8"/>
              </w:rPr>
              <w:t>$105.1</w:t>
            </w:r>
          </w:p>
        </w:tc>
      </w:tr>
      <w:tr>
        <w:trPr>
          <w:trHeight w:val="27"/>
        </w:trPr>
        <w:tc>
          <w:tcPr>
            <w:tcW w:w="59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900" w:type="dxa"/>
            <w:vAlign w:val="bottom"/>
          </w:tcPr>
          <w:p>
            <w:pPr>
              <w:spacing w:after="0"/>
              <w:rPr>
                <w:sz w:val="19"/>
                <w:szCs w:val="19"/>
                <w:color w:val="auto"/>
              </w:rPr>
            </w:pPr>
          </w:p>
        </w:tc>
        <w:tc>
          <w:tcPr>
            <w:tcW w:w="3300" w:type="dxa"/>
            <w:vAlign w:val="bottom"/>
            <w:gridSpan w:val="2"/>
          </w:tcPr>
          <w:p>
            <w:pPr>
              <w:jc w:val="right"/>
              <w:ind w:right="255"/>
              <w:spacing w:after="0"/>
              <w:rPr>
                <w:sz w:val="20"/>
                <w:szCs w:val="20"/>
                <w:color w:val="auto"/>
              </w:rPr>
            </w:pPr>
            <w:r>
              <w:rPr>
                <w:rFonts w:ascii="Arial" w:cs="Arial" w:eastAsia="Arial" w:hAnsi="Arial"/>
                <w:sz w:val="17"/>
                <w:szCs w:val="17"/>
                <w:b w:val="1"/>
                <w:bCs w:val="1"/>
                <w:color w:val="auto"/>
              </w:rPr>
              <w:t>Six Months Ended</w:t>
            </w:r>
          </w:p>
        </w:tc>
      </w:tr>
      <w:tr>
        <w:trPr>
          <w:trHeight w:val="257"/>
        </w:trPr>
        <w:tc>
          <w:tcPr>
            <w:tcW w:w="7900" w:type="dxa"/>
            <w:vAlign w:val="bottom"/>
          </w:tcPr>
          <w:p>
            <w:pPr>
              <w:spacing w:after="0"/>
              <w:rPr>
                <w:sz w:val="22"/>
                <w:szCs w:val="22"/>
                <w:color w:val="auto"/>
              </w:rPr>
            </w:pPr>
          </w:p>
        </w:tc>
        <w:tc>
          <w:tcPr>
            <w:tcW w:w="2620" w:type="dxa"/>
            <w:vAlign w:val="bottom"/>
          </w:tcPr>
          <w:p>
            <w:pPr>
              <w:jc w:val="right"/>
              <w:spacing w:after="0"/>
              <w:rPr>
                <w:sz w:val="20"/>
                <w:szCs w:val="20"/>
                <w:color w:val="auto"/>
              </w:rPr>
            </w:pPr>
            <w:r>
              <w:rPr>
                <w:rFonts w:ascii="Arial" w:cs="Arial" w:eastAsia="Arial" w:hAnsi="Arial"/>
                <w:sz w:val="17"/>
                <w:szCs w:val="17"/>
                <w:b w:val="1"/>
                <w:bCs w:val="1"/>
                <w:color w:val="auto"/>
              </w:rPr>
              <w:t>June 30,</w:t>
            </w:r>
          </w:p>
        </w:tc>
        <w:tc>
          <w:tcPr>
            <w:tcW w:w="680" w:type="dxa"/>
            <w:vAlign w:val="bottom"/>
          </w:tcPr>
          <w:p>
            <w:pPr>
              <w:spacing w:after="0"/>
              <w:rPr>
                <w:sz w:val="22"/>
                <w:szCs w:val="22"/>
                <w:color w:val="auto"/>
              </w:rPr>
            </w:pPr>
          </w:p>
        </w:tc>
      </w:tr>
      <w:tr>
        <w:trPr>
          <w:trHeight w:val="256"/>
        </w:trPr>
        <w:tc>
          <w:tcPr>
            <w:tcW w:w="7900" w:type="dxa"/>
            <w:vAlign w:val="bottom"/>
          </w:tcPr>
          <w:p>
            <w:pPr>
              <w:spacing w:after="0"/>
              <w:rPr>
                <w:sz w:val="22"/>
                <w:szCs w:val="22"/>
                <w:color w:val="auto"/>
              </w:rPr>
            </w:pPr>
          </w:p>
        </w:tc>
        <w:tc>
          <w:tcPr>
            <w:tcW w:w="2620" w:type="dxa"/>
            <w:vAlign w:val="bottom"/>
          </w:tcPr>
          <w:p>
            <w:pPr>
              <w:jc w:val="right"/>
              <w:ind w:right="615"/>
              <w:spacing w:after="0"/>
              <w:rPr>
                <w:sz w:val="20"/>
                <w:szCs w:val="20"/>
                <w:color w:val="auto"/>
              </w:rPr>
            </w:pPr>
            <w:r>
              <w:rPr>
                <w:rFonts w:ascii="Arial" w:cs="Arial" w:eastAsia="Arial" w:hAnsi="Arial"/>
                <w:sz w:val="17"/>
                <w:szCs w:val="17"/>
                <w:b w:val="1"/>
                <w:bCs w:val="1"/>
                <w:color w:val="auto"/>
              </w:rPr>
              <w:t>2020</w:t>
            </w:r>
          </w:p>
        </w:tc>
        <w:tc>
          <w:tcPr>
            <w:tcW w:w="680" w:type="dxa"/>
            <w:vAlign w:val="bottom"/>
          </w:tcPr>
          <w:p>
            <w:pPr>
              <w:jc w:val="right"/>
              <w:ind w:right="215"/>
              <w:spacing w:after="0"/>
              <w:rPr>
                <w:sz w:val="20"/>
                <w:szCs w:val="20"/>
                <w:color w:val="auto"/>
              </w:rPr>
            </w:pPr>
            <w:r>
              <w:rPr>
                <w:rFonts w:ascii="Arial" w:cs="Arial" w:eastAsia="Arial" w:hAnsi="Arial"/>
                <w:sz w:val="17"/>
                <w:szCs w:val="17"/>
                <w:b w:val="1"/>
                <w:bCs w:val="1"/>
                <w:color w:val="auto"/>
                <w:w w:val="95"/>
              </w:rPr>
              <w:t>2019</w:t>
            </w:r>
          </w:p>
        </w:tc>
      </w:tr>
      <w:tr>
        <w:trPr>
          <w:trHeight w:val="31"/>
        </w:trPr>
        <w:tc>
          <w:tcPr>
            <w:tcW w:w="79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9"/>
        </w:trPr>
        <w:tc>
          <w:tcPr>
            <w:tcW w:w="7900" w:type="dxa"/>
            <w:vAlign w:val="bottom"/>
          </w:tcPr>
          <w:p>
            <w:pPr>
              <w:ind w:left="20"/>
              <w:spacing w:after="0"/>
              <w:rPr>
                <w:sz w:val="20"/>
                <w:szCs w:val="20"/>
                <w:color w:val="auto"/>
              </w:rPr>
            </w:pPr>
            <w:r>
              <w:rPr>
                <w:rFonts w:ascii="Arial" w:cs="Arial" w:eastAsia="Arial" w:hAnsi="Arial"/>
                <w:sz w:val="17"/>
                <w:szCs w:val="17"/>
                <w:b w:val="1"/>
                <w:bCs w:val="1"/>
                <w:color w:val="auto"/>
              </w:rPr>
              <w:t>Millions</w:t>
            </w:r>
          </w:p>
        </w:tc>
        <w:tc>
          <w:tcPr>
            <w:tcW w:w="26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1"/>
        </w:trPr>
        <w:tc>
          <w:tcPr>
            <w:tcW w:w="79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6"/>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26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26"/>
        </w:trPr>
        <w:tc>
          <w:tcPr>
            <w:tcW w:w="7900" w:type="dxa"/>
            <w:vAlign w:val="bottom"/>
          </w:tcPr>
          <w:p>
            <w:pPr>
              <w:ind w:left="200"/>
              <w:spacing w:after="0"/>
              <w:rPr>
                <w:sz w:val="20"/>
                <w:szCs w:val="20"/>
                <w:color w:val="auto"/>
              </w:rPr>
            </w:pPr>
            <w:r>
              <w:rPr>
                <w:rFonts w:ascii="Arial" w:cs="Arial" w:eastAsia="Arial" w:hAnsi="Arial"/>
                <w:sz w:val="17"/>
                <w:szCs w:val="17"/>
                <w:color w:val="auto"/>
              </w:rPr>
              <w:t>Net Income</w:t>
            </w:r>
          </w:p>
        </w:tc>
        <w:tc>
          <w:tcPr>
            <w:tcW w:w="2620" w:type="dxa"/>
            <w:vAlign w:val="bottom"/>
          </w:tcPr>
          <w:p>
            <w:pPr>
              <w:jc w:val="right"/>
              <w:ind w:right="455"/>
              <w:spacing w:after="0"/>
              <w:rPr>
                <w:sz w:val="20"/>
                <w:szCs w:val="20"/>
                <w:color w:val="auto"/>
              </w:rPr>
            </w:pPr>
            <w:r>
              <w:rPr>
                <w:rFonts w:ascii="Arial" w:cs="Arial" w:eastAsia="Arial" w:hAnsi="Arial"/>
                <w:sz w:val="17"/>
                <w:szCs w:val="17"/>
                <w:color w:val="auto"/>
              </w:rPr>
              <w:t>$81.4</w:t>
            </w:r>
          </w:p>
        </w:tc>
        <w:tc>
          <w:tcPr>
            <w:tcW w:w="680" w:type="dxa"/>
            <w:vAlign w:val="bottom"/>
          </w:tcPr>
          <w:p>
            <w:pPr>
              <w:jc w:val="right"/>
              <w:ind w:right="55"/>
              <w:spacing w:after="0"/>
              <w:rPr>
                <w:sz w:val="20"/>
                <w:szCs w:val="20"/>
                <w:color w:val="auto"/>
              </w:rPr>
            </w:pPr>
            <w:r>
              <w:rPr>
                <w:rFonts w:ascii="Arial" w:cs="Arial" w:eastAsia="Arial" w:hAnsi="Arial"/>
                <w:sz w:val="17"/>
                <w:szCs w:val="17"/>
                <w:color w:val="auto"/>
                <w:w w:val="99"/>
              </w:rPr>
              <w:t>$104.7</w:t>
            </w:r>
          </w:p>
        </w:tc>
      </w:tr>
      <w:tr>
        <w:trPr>
          <w:trHeight w:val="31"/>
        </w:trPr>
        <w:tc>
          <w:tcPr>
            <w:tcW w:w="79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AFUDC – Equity</w:t>
            </w:r>
          </w:p>
        </w:tc>
        <w:tc>
          <w:tcPr>
            <w:tcW w:w="262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(1.4)</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w:t>
            </w:r>
          </w:p>
        </w:tc>
      </w:tr>
      <w:tr>
        <w:trPr>
          <w:trHeight w:val="225"/>
        </w:trPr>
        <w:tc>
          <w:tcPr>
            <w:tcW w:w="7900" w:type="dxa"/>
            <w:vAlign w:val="bottom"/>
          </w:tcPr>
          <w:p>
            <w:pPr>
              <w:ind w:left="200"/>
              <w:spacing w:after="0"/>
              <w:rPr>
                <w:sz w:val="20"/>
                <w:szCs w:val="20"/>
                <w:color w:val="auto"/>
              </w:rPr>
            </w:pPr>
            <w:r>
              <w:rPr>
                <w:rFonts w:ascii="Arial" w:cs="Arial" w:eastAsia="Arial" w:hAnsi="Arial"/>
                <w:sz w:val="17"/>
                <w:szCs w:val="17"/>
                <w:color w:val="auto"/>
              </w:rPr>
              <w:t>Income from Equity Investments – Net of Dividends</w:t>
            </w:r>
          </w:p>
        </w:tc>
        <w:tc>
          <w:tcPr>
            <w:tcW w:w="2620" w:type="dxa"/>
            <w:vAlign w:val="bottom"/>
          </w:tcPr>
          <w:p>
            <w:pPr>
              <w:jc w:val="right"/>
              <w:ind w:right="415"/>
              <w:spacing w:after="0"/>
              <w:rPr>
                <w:sz w:val="20"/>
                <w:szCs w:val="20"/>
                <w:color w:val="auto"/>
              </w:rPr>
            </w:pPr>
            <w:r>
              <w:rPr>
                <w:rFonts w:ascii="Arial" w:cs="Arial" w:eastAsia="Arial" w:hAnsi="Arial"/>
                <w:sz w:val="17"/>
                <w:szCs w:val="17"/>
                <w:color w:val="auto"/>
              </w:rPr>
              <w:t>(2.2)</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(2.2)</w:t>
            </w:r>
          </w:p>
        </w:tc>
      </w:tr>
      <w:tr>
        <w:trPr>
          <w:trHeight w:val="31"/>
        </w:trPr>
        <w:tc>
          <w:tcPr>
            <w:tcW w:w="79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6"/>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Realized and Unrealized (Gain) Loss on Investments and Property, Plant and Equipment</w:t>
            </w:r>
          </w:p>
        </w:tc>
        <w:tc>
          <w:tcPr>
            <w:tcW w:w="26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1.1</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w:t>
            </w:r>
          </w:p>
        </w:tc>
      </w:tr>
      <w:tr>
        <w:trPr>
          <w:trHeight w:val="226"/>
        </w:trPr>
        <w:tc>
          <w:tcPr>
            <w:tcW w:w="7900" w:type="dxa"/>
            <w:vAlign w:val="bottom"/>
          </w:tcPr>
          <w:p>
            <w:pPr>
              <w:ind w:left="200"/>
              <w:spacing w:after="0"/>
              <w:rPr>
                <w:sz w:val="20"/>
                <w:szCs w:val="20"/>
                <w:color w:val="auto"/>
              </w:rPr>
            </w:pPr>
            <w:r>
              <w:rPr>
                <w:rFonts w:ascii="Arial" w:cs="Arial" w:eastAsia="Arial" w:hAnsi="Arial"/>
                <w:sz w:val="17"/>
                <w:szCs w:val="17"/>
                <w:color w:val="auto"/>
              </w:rPr>
              <w:t>Depreciation Expense</w:t>
            </w:r>
          </w:p>
        </w:tc>
        <w:tc>
          <w:tcPr>
            <w:tcW w:w="2620" w:type="dxa"/>
            <w:vAlign w:val="bottom"/>
          </w:tcPr>
          <w:p>
            <w:pPr>
              <w:jc w:val="right"/>
              <w:ind w:right="455"/>
              <w:spacing w:after="0"/>
              <w:rPr>
                <w:sz w:val="20"/>
                <w:szCs w:val="20"/>
                <w:color w:val="auto"/>
              </w:rPr>
            </w:pPr>
            <w:r>
              <w:rPr>
                <w:rFonts w:ascii="Arial" w:cs="Arial" w:eastAsia="Arial" w:hAnsi="Arial"/>
                <w:sz w:val="17"/>
                <w:szCs w:val="17"/>
                <w:color w:val="auto"/>
              </w:rPr>
              <w:t>107.9</w:t>
            </w: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100.8</w:t>
            </w:r>
          </w:p>
        </w:tc>
      </w:tr>
      <w:tr>
        <w:trPr>
          <w:trHeight w:val="31"/>
        </w:trPr>
        <w:tc>
          <w:tcPr>
            <w:tcW w:w="79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Amortization of PSAs</w:t>
            </w:r>
          </w:p>
        </w:tc>
        <w:tc>
          <w:tcPr>
            <w:tcW w:w="262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(5.6)</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w:t>
            </w:r>
          </w:p>
        </w:tc>
      </w:tr>
      <w:tr>
        <w:trPr>
          <w:trHeight w:val="226"/>
        </w:trPr>
        <w:tc>
          <w:tcPr>
            <w:tcW w:w="7900" w:type="dxa"/>
            <w:vAlign w:val="bottom"/>
          </w:tcPr>
          <w:p>
            <w:pPr>
              <w:ind w:left="200"/>
              <w:spacing w:after="0"/>
              <w:rPr>
                <w:sz w:val="20"/>
                <w:szCs w:val="20"/>
                <w:color w:val="auto"/>
              </w:rPr>
            </w:pPr>
            <w:r>
              <w:rPr>
                <w:rFonts w:ascii="Arial" w:cs="Arial" w:eastAsia="Arial" w:hAnsi="Arial"/>
                <w:sz w:val="17"/>
                <w:szCs w:val="17"/>
                <w:color w:val="auto"/>
              </w:rPr>
              <w:t>Amortization of Other Intangible Assets and Other Assets</w:t>
            </w:r>
          </w:p>
        </w:tc>
        <w:tc>
          <w:tcPr>
            <w:tcW w:w="2620" w:type="dxa"/>
            <w:vAlign w:val="bottom"/>
          </w:tcPr>
          <w:p>
            <w:pPr>
              <w:jc w:val="right"/>
              <w:ind w:right="455"/>
              <w:spacing w:after="0"/>
              <w:rPr>
                <w:sz w:val="20"/>
                <w:szCs w:val="20"/>
                <w:color w:val="auto"/>
              </w:rPr>
            </w:pPr>
            <w:r>
              <w:rPr>
                <w:rFonts w:ascii="Arial" w:cs="Arial" w:eastAsia="Arial" w:hAnsi="Arial"/>
                <w:sz w:val="17"/>
                <w:szCs w:val="17"/>
                <w:color w:val="auto"/>
              </w:rPr>
              <w:t>5.2</w:t>
            </w: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7.0</w:t>
            </w:r>
          </w:p>
        </w:tc>
      </w:tr>
      <w:tr>
        <w:trPr>
          <w:trHeight w:val="31"/>
        </w:trPr>
        <w:tc>
          <w:tcPr>
            <w:tcW w:w="79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Deferred Income Tax Benefit</w:t>
            </w:r>
          </w:p>
        </w:tc>
        <w:tc>
          <w:tcPr>
            <w:tcW w:w="262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(22.3)</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w:t>
            </w:r>
          </w:p>
        </w:tc>
      </w:tr>
      <w:tr>
        <w:trPr>
          <w:trHeight w:val="225"/>
        </w:trPr>
        <w:tc>
          <w:tcPr>
            <w:tcW w:w="7900" w:type="dxa"/>
            <w:vAlign w:val="bottom"/>
          </w:tcPr>
          <w:p>
            <w:pPr>
              <w:ind w:left="200"/>
              <w:spacing w:after="0"/>
              <w:rPr>
                <w:sz w:val="20"/>
                <w:szCs w:val="20"/>
                <w:color w:val="auto"/>
              </w:rPr>
            </w:pPr>
            <w:r>
              <w:rPr>
                <w:rFonts w:ascii="Arial" w:cs="Arial" w:eastAsia="Arial" w:hAnsi="Arial"/>
                <w:sz w:val="17"/>
                <w:szCs w:val="17"/>
                <w:color w:val="auto"/>
              </w:rPr>
              <w:t>Share-Based and ESOP Compensation Expense</w:t>
            </w:r>
          </w:p>
        </w:tc>
        <w:tc>
          <w:tcPr>
            <w:tcW w:w="2620" w:type="dxa"/>
            <w:vAlign w:val="bottom"/>
          </w:tcPr>
          <w:p>
            <w:pPr>
              <w:jc w:val="right"/>
              <w:ind w:right="455"/>
              <w:spacing w:after="0"/>
              <w:rPr>
                <w:sz w:val="20"/>
                <w:szCs w:val="20"/>
                <w:color w:val="auto"/>
              </w:rPr>
            </w:pPr>
            <w:r>
              <w:rPr>
                <w:rFonts w:ascii="Arial" w:cs="Arial" w:eastAsia="Arial" w:hAnsi="Arial"/>
                <w:sz w:val="17"/>
                <w:szCs w:val="17"/>
                <w:color w:val="auto"/>
              </w:rPr>
              <w:t>3.1</w:t>
            </w: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3.3</w:t>
            </w:r>
          </w:p>
        </w:tc>
      </w:tr>
      <w:tr>
        <w:trPr>
          <w:trHeight w:val="31"/>
        </w:trPr>
        <w:tc>
          <w:tcPr>
            <w:tcW w:w="79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Defined Benefit Pension and Postretirement Benefit Expense</w:t>
            </w:r>
          </w:p>
        </w:tc>
        <w:tc>
          <w:tcPr>
            <w:tcW w:w="26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2.1</w:t>
            </w:r>
          </w:p>
        </w:tc>
      </w:tr>
      <w:tr>
        <w:trPr>
          <w:trHeight w:val="226"/>
        </w:trPr>
        <w:tc>
          <w:tcPr>
            <w:tcW w:w="7900" w:type="dxa"/>
            <w:vAlign w:val="bottom"/>
          </w:tcPr>
          <w:p>
            <w:pPr>
              <w:ind w:left="200"/>
              <w:spacing w:after="0"/>
              <w:rPr>
                <w:sz w:val="20"/>
                <w:szCs w:val="20"/>
                <w:color w:val="auto"/>
              </w:rPr>
            </w:pPr>
            <w:r>
              <w:rPr>
                <w:rFonts w:ascii="Arial" w:cs="Arial" w:eastAsia="Arial" w:hAnsi="Arial"/>
                <w:sz w:val="17"/>
                <w:szCs w:val="17"/>
                <w:color w:val="auto"/>
              </w:rPr>
              <w:t>Provision (Payments) for Interim Rate Refund</w:t>
            </w:r>
          </w:p>
        </w:tc>
        <w:tc>
          <w:tcPr>
            <w:tcW w:w="2620" w:type="dxa"/>
            <w:vAlign w:val="bottom"/>
          </w:tcPr>
          <w:p>
            <w:pPr>
              <w:jc w:val="right"/>
              <w:ind w:right="455"/>
              <w:spacing w:after="0"/>
              <w:rPr>
                <w:sz w:val="20"/>
                <w:szCs w:val="20"/>
                <w:color w:val="auto"/>
              </w:rPr>
            </w:pPr>
            <w:r>
              <w:rPr>
                <w:rFonts w:ascii="Arial" w:cs="Arial" w:eastAsia="Arial" w:hAnsi="Arial"/>
                <w:sz w:val="17"/>
                <w:szCs w:val="17"/>
                <w:color w:val="auto"/>
              </w:rPr>
              <w:t>11.7</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(40.0)</w:t>
            </w:r>
          </w:p>
        </w:tc>
      </w:tr>
      <w:tr>
        <w:trPr>
          <w:trHeight w:val="31"/>
        </w:trPr>
        <w:tc>
          <w:tcPr>
            <w:tcW w:w="79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Payments for Tax Reform Refund</w:t>
            </w:r>
          </w:p>
        </w:tc>
        <w:tc>
          <w:tcPr>
            <w:tcW w:w="262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(0.1)</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(10.3)</w:t>
            </w:r>
          </w:p>
        </w:tc>
      </w:tr>
      <w:tr>
        <w:trPr>
          <w:trHeight w:val="225"/>
        </w:trPr>
        <w:tc>
          <w:tcPr>
            <w:tcW w:w="7900" w:type="dxa"/>
            <w:vAlign w:val="bottom"/>
          </w:tcPr>
          <w:p>
            <w:pPr>
              <w:ind w:left="200"/>
              <w:spacing w:after="0"/>
              <w:rPr>
                <w:sz w:val="20"/>
                <w:szCs w:val="20"/>
                <w:color w:val="auto"/>
              </w:rPr>
            </w:pPr>
            <w:r>
              <w:rPr>
                <w:rFonts w:ascii="Arial" w:cs="Arial" w:eastAsia="Arial" w:hAnsi="Arial"/>
                <w:sz w:val="17"/>
                <w:szCs w:val="17"/>
                <w:color w:val="auto"/>
              </w:rPr>
              <w:t>Bad Debt Expense</w:t>
            </w:r>
          </w:p>
        </w:tc>
        <w:tc>
          <w:tcPr>
            <w:tcW w:w="2620" w:type="dxa"/>
            <w:vAlign w:val="bottom"/>
          </w:tcPr>
          <w:p>
            <w:pPr>
              <w:jc w:val="right"/>
              <w:ind w:right="455"/>
              <w:spacing w:after="0"/>
              <w:rPr>
                <w:sz w:val="20"/>
                <w:szCs w:val="20"/>
                <w:color w:val="auto"/>
              </w:rPr>
            </w:pPr>
            <w:r>
              <w:rPr>
                <w:rFonts w:ascii="Arial" w:cs="Arial" w:eastAsia="Arial" w:hAnsi="Arial"/>
                <w:sz w:val="17"/>
                <w:szCs w:val="17"/>
                <w:color w:val="auto"/>
              </w:rPr>
              <w:t>1.1</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(0.6)</w:t>
            </w:r>
          </w:p>
        </w:tc>
      </w:tr>
      <w:tr>
        <w:trPr>
          <w:trHeight w:val="31"/>
        </w:trPr>
        <w:tc>
          <w:tcPr>
            <w:tcW w:w="79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Gain on Sale of U.S. Water Services</w:t>
            </w:r>
          </w:p>
        </w:tc>
        <w:tc>
          <w:tcPr>
            <w:tcW w:w="26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(20.6)</w:t>
            </w:r>
          </w:p>
        </w:tc>
      </w:tr>
      <w:tr>
        <w:trPr>
          <w:trHeight w:val="225"/>
        </w:trPr>
        <w:tc>
          <w:tcPr>
            <w:tcW w:w="7900" w:type="dxa"/>
            <w:vAlign w:val="bottom"/>
          </w:tcPr>
          <w:p>
            <w:pPr>
              <w:ind w:left="200"/>
              <w:spacing w:after="0"/>
              <w:rPr>
                <w:sz w:val="20"/>
                <w:szCs w:val="20"/>
                <w:color w:val="auto"/>
              </w:rPr>
            </w:pPr>
            <w:r>
              <w:rPr>
                <w:rFonts w:ascii="Arial" w:cs="Arial" w:eastAsia="Arial" w:hAnsi="Arial"/>
                <w:sz w:val="17"/>
                <w:szCs w:val="17"/>
                <w:color w:val="auto"/>
              </w:rPr>
              <w:t>Changes in Operating Assets and Liabilities</w:t>
            </w:r>
          </w:p>
        </w:tc>
        <w:tc>
          <w:tcPr>
            <w:tcW w:w="26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1"/>
        </w:trPr>
        <w:tc>
          <w:tcPr>
            <w:tcW w:w="79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6"/>
        </w:trPr>
        <w:tc>
          <w:tcPr>
            <w:tcW w:w="7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Accounts Receivable</w:t>
            </w:r>
          </w:p>
        </w:tc>
        <w:tc>
          <w:tcPr>
            <w:tcW w:w="26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9.5</w:t>
            </w:r>
          </w:p>
        </w:tc>
        <w:tc>
          <w:tcPr>
            <w:tcW w:w="6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34.0</w:t>
            </w:r>
          </w:p>
        </w:tc>
      </w:tr>
      <w:tr>
        <w:trPr>
          <w:trHeight w:val="226"/>
        </w:trPr>
        <w:tc>
          <w:tcPr>
            <w:tcW w:w="7900" w:type="dxa"/>
            <w:vAlign w:val="bottom"/>
          </w:tcPr>
          <w:p>
            <w:pPr>
              <w:ind w:left="440"/>
              <w:spacing w:after="0"/>
              <w:rPr>
                <w:sz w:val="20"/>
                <w:szCs w:val="20"/>
                <w:color w:val="auto"/>
              </w:rPr>
            </w:pPr>
            <w:r>
              <w:rPr>
                <w:rFonts w:ascii="Arial" w:cs="Arial" w:eastAsia="Arial" w:hAnsi="Arial"/>
                <w:sz w:val="17"/>
                <w:szCs w:val="17"/>
                <w:color w:val="auto"/>
              </w:rPr>
              <w:t>Inventories</w:t>
            </w:r>
          </w:p>
        </w:tc>
        <w:tc>
          <w:tcPr>
            <w:tcW w:w="2620" w:type="dxa"/>
            <w:vAlign w:val="bottom"/>
          </w:tcPr>
          <w:p>
            <w:pPr>
              <w:jc w:val="right"/>
              <w:ind w:right="415"/>
              <w:spacing w:after="0"/>
              <w:rPr>
                <w:sz w:val="20"/>
                <w:szCs w:val="20"/>
                <w:color w:val="auto"/>
              </w:rPr>
            </w:pPr>
            <w:r>
              <w:rPr>
                <w:rFonts w:ascii="Arial" w:cs="Arial" w:eastAsia="Arial" w:hAnsi="Arial"/>
                <w:sz w:val="17"/>
                <w:szCs w:val="17"/>
                <w:color w:val="auto"/>
              </w:rPr>
              <w:t>(9.3)</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(9.5)</w:t>
            </w:r>
          </w:p>
        </w:tc>
      </w:tr>
      <w:tr>
        <w:trPr>
          <w:trHeight w:val="31"/>
        </w:trPr>
        <w:tc>
          <w:tcPr>
            <w:tcW w:w="79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Prepayments and Other</w:t>
            </w:r>
          </w:p>
        </w:tc>
        <w:tc>
          <w:tcPr>
            <w:tcW w:w="26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3.3</w:t>
            </w:r>
          </w:p>
        </w:tc>
        <w:tc>
          <w:tcPr>
            <w:tcW w:w="6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3.4</w:t>
            </w:r>
          </w:p>
        </w:tc>
      </w:tr>
      <w:tr>
        <w:trPr>
          <w:trHeight w:val="225"/>
        </w:trPr>
        <w:tc>
          <w:tcPr>
            <w:tcW w:w="7900" w:type="dxa"/>
            <w:vAlign w:val="bottom"/>
          </w:tcPr>
          <w:p>
            <w:pPr>
              <w:ind w:left="440"/>
              <w:spacing w:after="0"/>
              <w:rPr>
                <w:sz w:val="20"/>
                <w:szCs w:val="20"/>
                <w:color w:val="auto"/>
              </w:rPr>
            </w:pPr>
            <w:r>
              <w:rPr>
                <w:rFonts w:ascii="Arial" w:cs="Arial" w:eastAsia="Arial" w:hAnsi="Arial"/>
                <w:sz w:val="17"/>
                <w:szCs w:val="17"/>
                <w:color w:val="auto"/>
              </w:rPr>
              <w:t>Accounts Payable</w:t>
            </w:r>
          </w:p>
        </w:tc>
        <w:tc>
          <w:tcPr>
            <w:tcW w:w="2620" w:type="dxa"/>
            <w:vAlign w:val="bottom"/>
          </w:tcPr>
          <w:p>
            <w:pPr>
              <w:jc w:val="right"/>
              <w:ind w:right="415"/>
              <w:spacing w:after="0"/>
              <w:rPr>
                <w:sz w:val="20"/>
                <w:szCs w:val="20"/>
                <w:color w:val="auto"/>
              </w:rPr>
            </w:pPr>
            <w:r>
              <w:rPr>
                <w:rFonts w:ascii="Arial" w:cs="Arial" w:eastAsia="Arial" w:hAnsi="Arial"/>
                <w:sz w:val="17"/>
                <w:szCs w:val="17"/>
                <w:color w:val="auto"/>
              </w:rPr>
              <w:t>(11.6)</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(11.2)</w:t>
            </w:r>
          </w:p>
        </w:tc>
      </w:tr>
      <w:tr>
        <w:trPr>
          <w:trHeight w:val="31"/>
        </w:trPr>
        <w:tc>
          <w:tcPr>
            <w:tcW w:w="79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Other Current Liabilities</w:t>
            </w:r>
          </w:p>
        </w:tc>
        <w:tc>
          <w:tcPr>
            <w:tcW w:w="262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(8.5)</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(24.2)</w:t>
            </w:r>
          </w:p>
        </w:tc>
      </w:tr>
      <w:tr>
        <w:trPr>
          <w:trHeight w:val="225"/>
        </w:trPr>
        <w:tc>
          <w:tcPr>
            <w:tcW w:w="7900" w:type="dxa"/>
            <w:vAlign w:val="bottom"/>
          </w:tcPr>
          <w:p>
            <w:pPr>
              <w:ind w:left="200"/>
              <w:spacing w:after="0"/>
              <w:rPr>
                <w:sz w:val="20"/>
                <w:szCs w:val="20"/>
                <w:color w:val="auto"/>
              </w:rPr>
            </w:pPr>
            <w:r>
              <w:rPr>
                <w:rFonts w:ascii="Arial" w:cs="Arial" w:eastAsia="Arial" w:hAnsi="Arial"/>
                <w:sz w:val="17"/>
                <w:szCs w:val="17"/>
                <w:color w:val="auto"/>
              </w:rPr>
              <w:t>Cash Contributions to Defined Benefit Pension Plans</w:t>
            </w:r>
          </w:p>
        </w:tc>
        <w:tc>
          <w:tcPr>
            <w:tcW w:w="2620" w:type="dxa"/>
            <w:vAlign w:val="bottom"/>
          </w:tcPr>
          <w:p>
            <w:pPr>
              <w:jc w:val="right"/>
              <w:ind w:right="415"/>
              <w:spacing w:after="0"/>
              <w:rPr>
                <w:sz w:val="20"/>
                <w:szCs w:val="20"/>
                <w:color w:val="auto"/>
              </w:rPr>
            </w:pPr>
            <w:r>
              <w:rPr>
                <w:rFonts w:ascii="Arial" w:cs="Arial" w:eastAsia="Arial" w:hAnsi="Arial"/>
                <w:sz w:val="17"/>
                <w:szCs w:val="17"/>
                <w:color w:val="auto"/>
              </w:rPr>
              <w:t>(10.7)</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(10.4)</w:t>
            </w:r>
          </w:p>
        </w:tc>
      </w:tr>
      <w:tr>
        <w:trPr>
          <w:trHeight w:val="31"/>
        </w:trPr>
        <w:tc>
          <w:tcPr>
            <w:tcW w:w="79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Changes in Regulatory and Other Non-Current Assets</w:t>
            </w:r>
          </w:p>
        </w:tc>
        <w:tc>
          <w:tcPr>
            <w:tcW w:w="262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(16.8)</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(8.5)</w:t>
            </w:r>
          </w:p>
        </w:tc>
      </w:tr>
      <w:tr>
        <w:trPr>
          <w:trHeight w:val="225"/>
        </w:trPr>
        <w:tc>
          <w:tcPr>
            <w:tcW w:w="7900" w:type="dxa"/>
            <w:vAlign w:val="bottom"/>
          </w:tcPr>
          <w:p>
            <w:pPr>
              <w:ind w:left="200"/>
              <w:spacing w:after="0"/>
              <w:rPr>
                <w:sz w:val="20"/>
                <w:szCs w:val="20"/>
                <w:color w:val="auto"/>
              </w:rPr>
            </w:pPr>
            <w:r>
              <w:rPr>
                <w:rFonts w:ascii="Arial" w:cs="Arial" w:eastAsia="Arial" w:hAnsi="Arial"/>
                <w:sz w:val="17"/>
                <w:szCs w:val="17"/>
                <w:color w:val="auto"/>
              </w:rPr>
              <w:t>Changes in Regulatory and Other Non-Current Liabilities</w:t>
            </w:r>
          </w:p>
        </w:tc>
        <w:tc>
          <w:tcPr>
            <w:tcW w:w="2620" w:type="dxa"/>
            <w:vAlign w:val="bottom"/>
          </w:tcPr>
          <w:p>
            <w:pPr>
              <w:jc w:val="right"/>
              <w:ind w:right="455"/>
              <w:spacing w:after="0"/>
              <w:rPr>
                <w:sz w:val="20"/>
                <w:szCs w:val="20"/>
                <w:color w:val="auto"/>
              </w:rPr>
            </w:pPr>
            <w:r>
              <w:rPr>
                <w:rFonts w:ascii="Arial" w:cs="Arial" w:eastAsia="Arial" w:hAnsi="Arial"/>
                <w:sz w:val="17"/>
                <w:szCs w:val="17"/>
                <w:color w:val="auto"/>
              </w:rPr>
              <w:t>8.7</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(10.8)</w:t>
            </w:r>
          </w:p>
        </w:tc>
      </w:tr>
      <w:tr>
        <w:trPr>
          <w:trHeight w:val="31"/>
        </w:trPr>
        <w:tc>
          <w:tcPr>
            <w:tcW w:w="79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Cash from Operating Activities</w:t>
            </w:r>
          </w:p>
        </w:tc>
        <w:tc>
          <w:tcPr>
            <w:tcW w:w="26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144.5</w:t>
            </w:r>
          </w:p>
        </w:tc>
        <w:tc>
          <w:tcPr>
            <w:tcW w:w="6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95.2</w:t>
            </w:r>
          </w:p>
        </w:tc>
      </w:tr>
      <w:tr>
        <w:trPr>
          <w:trHeight w:val="219"/>
        </w:trPr>
        <w:tc>
          <w:tcPr>
            <w:tcW w:w="790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26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31"/>
        </w:trPr>
        <w:tc>
          <w:tcPr>
            <w:tcW w:w="79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Proceeds from Sale of Available-for-sale Securities</w:t>
            </w:r>
          </w:p>
        </w:tc>
        <w:tc>
          <w:tcPr>
            <w:tcW w:w="26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2.1</w:t>
            </w:r>
          </w:p>
        </w:tc>
        <w:tc>
          <w:tcPr>
            <w:tcW w:w="6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6.0</w:t>
            </w:r>
          </w:p>
        </w:tc>
      </w:tr>
      <w:tr>
        <w:trPr>
          <w:trHeight w:val="225"/>
        </w:trPr>
        <w:tc>
          <w:tcPr>
            <w:tcW w:w="7900" w:type="dxa"/>
            <w:vAlign w:val="bottom"/>
          </w:tcPr>
          <w:p>
            <w:pPr>
              <w:ind w:left="200"/>
              <w:spacing w:after="0"/>
              <w:rPr>
                <w:sz w:val="20"/>
                <w:szCs w:val="20"/>
                <w:color w:val="auto"/>
              </w:rPr>
            </w:pPr>
            <w:r>
              <w:rPr>
                <w:rFonts w:ascii="Arial" w:cs="Arial" w:eastAsia="Arial" w:hAnsi="Arial"/>
                <w:sz w:val="17"/>
                <w:szCs w:val="17"/>
                <w:color w:val="auto"/>
              </w:rPr>
              <w:t>Payments for Purchase of Available-for-sale Securities</w:t>
            </w:r>
          </w:p>
        </w:tc>
        <w:tc>
          <w:tcPr>
            <w:tcW w:w="2620" w:type="dxa"/>
            <w:vAlign w:val="bottom"/>
          </w:tcPr>
          <w:p>
            <w:pPr>
              <w:jc w:val="right"/>
              <w:ind w:right="415"/>
              <w:spacing w:after="0"/>
              <w:rPr>
                <w:sz w:val="20"/>
                <w:szCs w:val="20"/>
                <w:color w:val="auto"/>
              </w:rPr>
            </w:pPr>
            <w:r>
              <w:rPr>
                <w:rFonts w:ascii="Arial" w:cs="Arial" w:eastAsia="Arial" w:hAnsi="Arial"/>
                <w:sz w:val="17"/>
                <w:szCs w:val="17"/>
                <w:color w:val="auto"/>
              </w:rPr>
              <w:t>(2.3)</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(5.9)</w:t>
            </w:r>
          </w:p>
        </w:tc>
      </w:tr>
      <w:tr>
        <w:trPr>
          <w:trHeight w:val="31"/>
        </w:trPr>
        <w:tc>
          <w:tcPr>
            <w:tcW w:w="79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Payments for Equity Investments</w:t>
            </w:r>
          </w:p>
        </w:tc>
        <w:tc>
          <w:tcPr>
            <w:tcW w:w="262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(66.6)</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w:t>
            </w:r>
          </w:p>
        </w:tc>
      </w:tr>
      <w:tr>
        <w:trPr>
          <w:trHeight w:val="225"/>
        </w:trPr>
        <w:tc>
          <w:tcPr>
            <w:tcW w:w="7900" w:type="dxa"/>
            <w:vAlign w:val="bottom"/>
          </w:tcPr>
          <w:p>
            <w:pPr>
              <w:ind w:left="200"/>
              <w:spacing w:after="0"/>
              <w:rPr>
                <w:sz w:val="20"/>
                <w:szCs w:val="20"/>
                <w:color w:val="auto"/>
              </w:rPr>
            </w:pPr>
            <w:r>
              <w:rPr>
                <w:rFonts w:ascii="Arial" w:cs="Arial" w:eastAsia="Arial" w:hAnsi="Arial"/>
                <w:sz w:val="17"/>
                <w:szCs w:val="17"/>
                <w:color w:val="auto"/>
              </w:rPr>
              <w:t>Return of Capital from Equity Investments</w:t>
            </w:r>
          </w:p>
        </w:tc>
        <w:tc>
          <w:tcPr>
            <w:tcW w:w="2620" w:type="dxa"/>
            <w:vAlign w:val="bottom"/>
          </w:tcPr>
          <w:p>
            <w:pPr>
              <w:jc w:val="right"/>
              <w:ind w:right="455"/>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8.3</w:t>
            </w:r>
          </w:p>
        </w:tc>
      </w:tr>
      <w:tr>
        <w:trPr>
          <w:trHeight w:val="31"/>
        </w:trPr>
        <w:tc>
          <w:tcPr>
            <w:tcW w:w="79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Proceeds from Sale of U.S. Water Services – Net of Transaction Costs and Cash Retained</w:t>
            </w:r>
          </w:p>
        </w:tc>
        <w:tc>
          <w:tcPr>
            <w:tcW w:w="26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264.2</w:t>
            </w:r>
          </w:p>
        </w:tc>
      </w:tr>
      <w:tr>
        <w:trPr>
          <w:trHeight w:val="225"/>
        </w:trPr>
        <w:tc>
          <w:tcPr>
            <w:tcW w:w="7900" w:type="dxa"/>
            <w:vAlign w:val="bottom"/>
          </w:tcPr>
          <w:p>
            <w:pPr>
              <w:ind w:left="200"/>
              <w:spacing w:after="0"/>
              <w:rPr>
                <w:sz w:val="20"/>
                <w:szCs w:val="20"/>
                <w:color w:val="auto"/>
              </w:rPr>
            </w:pPr>
            <w:r>
              <w:rPr>
                <w:rFonts w:ascii="Arial" w:cs="Arial" w:eastAsia="Arial" w:hAnsi="Arial"/>
                <w:sz w:val="17"/>
                <w:szCs w:val="17"/>
                <w:color w:val="auto"/>
              </w:rPr>
              <w:t>Additions to Property, Plant and Equipment</w:t>
            </w:r>
          </w:p>
        </w:tc>
        <w:tc>
          <w:tcPr>
            <w:tcW w:w="2620" w:type="dxa"/>
            <w:vAlign w:val="bottom"/>
          </w:tcPr>
          <w:p>
            <w:pPr>
              <w:jc w:val="right"/>
              <w:ind w:right="415"/>
              <w:spacing w:after="0"/>
              <w:rPr>
                <w:sz w:val="20"/>
                <w:szCs w:val="20"/>
                <w:color w:val="auto"/>
              </w:rPr>
            </w:pPr>
            <w:r>
              <w:rPr>
                <w:rFonts w:ascii="Arial" w:cs="Arial" w:eastAsia="Arial" w:hAnsi="Arial"/>
                <w:sz w:val="17"/>
                <w:szCs w:val="17"/>
                <w:color w:val="auto"/>
              </w:rPr>
              <w:t>(419.9)</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(236.0)</w:t>
            </w:r>
          </w:p>
        </w:tc>
      </w:tr>
      <w:tr>
        <w:trPr>
          <w:trHeight w:val="31"/>
        </w:trPr>
        <w:tc>
          <w:tcPr>
            <w:tcW w:w="79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61"/>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Other Investing Activities</w:t>
            </w:r>
          </w:p>
        </w:tc>
        <w:tc>
          <w:tcPr>
            <w:tcW w:w="262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(0.7)</w:t>
            </w:r>
          </w:p>
        </w:tc>
        <w:tc>
          <w:tcPr>
            <w:tcW w:w="6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14.0</w:t>
            </w:r>
          </w:p>
        </w:tc>
      </w:tr>
      <w:tr>
        <w:trPr>
          <w:trHeight w:val="219"/>
        </w:trPr>
        <w:tc>
          <w:tcPr>
            <w:tcW w:w="7900" w:type="dxa"/>
            <w:vAlign w:val="bottom"/>
            <w:tcBorders>
              <w:top w:val="single" w:sz="8" w:color="auto"/>
            </w:tcBorders>
          </w:tcPr>
          <w:p>
            <w:pPr>
              <w:ind w:left="440"/>
              <w:spacing w:after="0"/>
              <w:rPr>
                <w:sz w:val="20"/>
                <w:szCs w:val="20"/>
                <w:color w:val="auto"/>
              </w:rPr>
            </w:pPr>
            <w:r>
              <w:rPr>
                <w:rFonts w:ascii="Arial" w:cs="Arial" w:eastAsia="Arial" w:hAnsi="Arial"/>
                <w:sz w:val="17"/>
                <w:szCs w:val="17"/>
                <w:color w:val="auto"/>
              </w:rPr>
              <w:t>Cash from (for) Investing Activities</w:t>
            </w:r>
          </w:p>
        </w:tc>
        <w:tc>
          <w:tcPr>
            <w:tcW w:w="262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color w:val="auto"/>
              </w:rPr>
              <w:t>(487.4)</w:t>
            </w:r>
          </w:p>
        </w:tc>
        <w:tc>
          <w:tcPr>
            <w:tcW w:w="68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46.0</w:t>
            </w:r>
          </w:p>
        </w:tc>
      </w:tr>
      <w:tr>
        <w:trPr>
          <w:trHeight w:val="31"/>
        </w:trPr>
        <w:tc>
          <w:tcPr>
            <w:tcW w:w="79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26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25"/>
        </w:trPr>
        <w:tc>
          <w:tcPr>
            <w:tcW w:w="7900" w:type="dxa"/>
            <w:vAlign w:val="bottom"/>
          </w:tcPr>
          <w:p>
            <w:pPr>
              <w:ind w:left="200"/>
              <w:spacing w:after="0"/>
              <w:rPr>
                <w:sz w:val="20"/>
                <w:szCs w:val="20"/>
                <w:color w:val="auto"/>
              </w:rPr>
            </w:pPr>
            <w:r>
              <w:rPr>
                <w:rFonts w:ascii="Arial" w:cs="Arial" w:eastAsia="Arial" w:hAnsi="Arial"/>
                <w:sz w:val="17"/>
                <w:szCs w:val="17"/>
                <w:color w:val="auto"/>
              </w:rPr>
              <w:t>Proceeds from Issuance of Common Stock</w:t>
            </w:r>
          </w:p>
        </w:tc>
        <w:tc>
          <w:tcPr>
            <w:tcW w:w="2620" w:type="dxa"/>
            <w:vAlign w:val="bottom"/>
          </w:tcPr>
          <w:p>
            <w:pPr>
              <w:jc w:val="right"/>
              <w:ind w:right="455"/>
              <w:spacing w:after="0"/>
              <w:rPr>
                <w:sz w:val="20"/>
                <w:szCs w:val="20"/>
                <w:color w:val="auto"/>
              </w:rPr>
            </w:pPr>
            <w:r>
              <w:rPr>
                <w:rFonts w:ascii="Arial" w:cs="Arial" w:eastAsia="Arial" w:hAnsi="Arial"/>
                <w:sz w:val="17"/>
                <w:szCs w:val="17"/>
                <w:color w:val="auto"/>
              </w:rPr>
              <w:t>7.9</w:t>
            </w:r>
          </w:p>
        </w:tc>
        <w:tc>
          <w:tcPr>
            <w:tcW w:w="680" w:type="dxa"/>
            <w:vAlign w:val="bottom"/>
          </w:tcPr>
          <w:p>
            <w:pPr>
              <w:jc w:val="right"/>
              <w:ind w:right="55"/>
              <w:spacing w:after="0"/>
              <w:rPr>
                <w:sz w:val="20"/>
                <w:szCs w:val="20"/>
                <w:color w:val="auto"/>
              </w:rPr>
            </w:pPr>
            <w:r>
              <w:rPr>
                <w:rFonts w:ascii="Arial" w:cs="Arial" w:eastAsia="Arial" w:hAnsi="Arial"/>
                <w:sz w:val="17"/>
                <w:szCs w:val="17"/>
                <w:color w:val="auto"/>
              </w:rPr>
              <w:t>1.5</w:t>
            </w:r>
          </w:p>
        </w:tc>
      </w:tr>
      <w:tr>
        <w:trPr>
          <w:trHeight w:val="31"/>
        </w:trPr>
        <w:tc>
          <w:tcPr>
            <w:tcW w:w="79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6"/>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Proceeds from Issuance of Long-Term Debt</w:t>
            </w:r>
          </w:p>
        </w:tc>
        <w:tc>
          <w:tcPr>
            <w:tcW w:w="26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297.4</w:t>
            </w:r>
          </w:p>
        </w:tc>
        <w:tc>
          <w:tcPr>
            <w:tcW w:w="6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100.0</w:t>
            </w:r>
          </w:p>
        </w:tc>
      </w:tr>
      <w:tr>
        <w:trPr>
          <w:trHeight w:val="225"/>
        </w:trPr>
        <w:tc>
          <w:tcPr>
            <w:tcW w:w="7900" w:type="dxa"/>
            <w:vAlign w:val="bottom"/>
          </w:tcPr>
          <w:p>
            <w:pPr>
              <w:ind w:left="200"/>
              <w:spacing w:after="0"/>
              <w:rPr>
                <w:sz w:val="20"/>
                <w:szCs w:val="20"/>
                <w:color w:val="auto"/>
              </w:rPr>
            </w:pPr>
            <w:r>
              <w:rPr>
                <w:rFonts w:ascii="Arial" w:cs="Arial" w:eastAsia="Arial" w:hAnsi="Arial"/>
                <w:sz w:val="17"/>
                <w:szCs w:val="17"/>
                <w:color w:val="auto"/>
              </w:rPr>
              <w:t>Repayments of Long-Term Debt</w:t>
            </w:r>
          </w:p>
        </w:tc>
        <w:tc>
          <w:tcPr>
            <w:tcW w:w="2620" w:type="dxa"/>
            <w:vAlign w:val="bottom"/>
          </w:tcPr>
          <w:p>
            <w:pPr>
              <w:jc w:val="right"/>
              <w:ind w:right="415"/>
              <w:spacing w:after="0"/>
              <w:rPr>
                <w:sz w:val="20"/>
                <w:szCs w:val="20"/>
                <w:color w:val="auto"/>
              </w:rPr>
            </w:pPr>
            <w:r>
              <w:rPr>
                <w:rFonts w:ascii="Arial" w:cs="Arial" w:eastAsia="Arial" w:hAnsi="Arial"/>
                <w:sz w:val="17"/>
                <w:szCs w:val="17"/>
                <w:color w:val="auto"/>
              </w:rPr>
              <w:t>(20.9)</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(49.8)</w:t>
            </w:r>
          </w:p>
        </w:tc>
      </w:tr>
      <w:tr>
        <w:trPr>
          <w:trHeight w:val="31"/>
        </w:trPr>
        <w:tc>
          <w:tcPr>
            <w:tcW w:w="79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6"/>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Proceeds from Non-Controlling Interest in Subsidiaries – Net of Issuance Costs</w:t>
            </w:r>
          </w:p>
        </w:tc>
        <w:tc>
          <w:tcPr>
            <w:tcW w:w="26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67.8</w:t>
            </w:r>
          </w:p>
        </w:tc>
        <w:tc>
          <w:tcPr>
            <w:tcW w:w="6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r>
      <w:tr>
        <w:trPr>
          <w:trHeight w:val="226"/>
        </w:trPr>
        <w:tc>
          <w:tcPr>
            <w:tcW w:w="7900" w:type="dxa"/>
            <w:vAlign w:val="bottom"/>
          </w:tcPr>
          <w:p>
            <w:pPr>
              <w:ind w:left="200"/>
              <w:spacing w:after="0"/>
              <w:rPr>
                <w:sz w:val="20"/>
                <w:szCs w:val="20"/>
                <w:color w:val="auto"/>
              </w:rPr>
            </w:pPr>
            <w:r>
              <w:rPr>
                <w:rFonts w:ascii="Arial" w:cs="Arial" w:eastAsia="Arial" w:hAnsi="Arial"/>
                <w:sz w:val="17"/>
                <w:szCs w:val="17"/>
                <w:color w:val="auto"/>
              </w:rPr>
              <w:t>Acquisition-Related Contingent Consideration Payments</w:t>
            </w:r>
          </w:p>
        </w:tc>
        <w:tc>
          <w:tcPr>
            <w:tcW w:w="2620" w:type="dxa"/>
            <w:vAlign w:val="bottom"/>
          </w:tcPr>
          <w:p>
            <w:pPr>
              <w:jc w:val="right"/>
              <w:ind w:right="455"/>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(3.8)</w:t>
            </w:r>
          </w:p>
        </w:tc>
      </w:tr>
      <w:tr>
        <w:trPr>
          <w:trHeight w:val="31"/>
        </w:trPr>
        <w:tc>
          <w:tcPr>
            <w:tcW w:w="79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Dividends on Common Stock</w:t>
            </w:r>
          </w:p>
        </w:tc>
        <w:tc>
          <w:tcPr>
            <w:tcW w:w="262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(63.9)</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(60.7)</w:t>
            </w:r>
          </w:p>
        </w:tc>
      </w:tr>
      <w:tr>
        <w:trPr>
          <w:trHeight w:val="225"/>
        </w:trPr>
        <w:tc>
          <w:tcPr>
            <w:tcW w:w="7900" w:type="dxa"/>
            <w:vAlign w:val="bottom"/>
          </w:tcPr>
          <w:p>
            <w:pPr>
              <w:ind w:left="200"/>
              <w:spacing w:after="0"/>
              <w:rPr>
                <w:sz w:val="20"/>
                <w:szCs w:val="20"/>
                <w:color w:val="auto"/>
              </w:rPr>
            </w:pPr>
            <w:r>
              <w:rPr>
                <w:rFonts w:ascii="Arial" w:cs="Arial" w:eastAsia="Arial" w:hAnsi="Arial"/>
                <w:sz w:val="17"/>
                <w:szCs w:val="17"/>
                <w:color w:val="auto"/>
              </w:rPr>
              <w:t>Other Financing Activities</w:t>
            </w:r>
          </w:p>
        </w:tc>
        <w:tc>
          <w:tcPr>
            <w:tcW w:w="2620" w:type="dxa"/>
            <w:vAlign w:val="bottom"/>
          </w:tcPr>
          <w:p>
            <w:pPr>
              <w:jc w:val="right"/>
              <w:ind w:right="415"/>
              <w:spacing w:after="0"/>
              <w:rPr>
                <w:sz w:val="20"/>
                <w:szCs w:val="20"/>
                <w:color w:val="auto"/>
              </w:rPr>
            </w:pPr>
            <w:r>
              <w:rPr>
                <w:rFonts w:ascii="Arial" w:cs="Arial" w:eastAsia="Arial" w:hAnsi="Arial"/>
                <w:sz w:val="17"/>
                <w:szCs w:val="17"/>
                <w:color w:val="auto"/>
              </w:rPr>
              <w:t>(0.5)</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(0.8)</w:t>
            </w:r>
          </w:p>
        </w:tc>
      </w:tr>
      <w:tr>
        <w:trPr>
          <w:trHeight w:val="31"/>
        </w:trPr>
        <w:tc>
          <w:tcPr>
            <w:tcW w:w="79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Cash from (for) Financing Activities</w:t>
            </w:r>
          </w:p>
        </w:tc>
        <w:tc>
          <w:tcPr>
            <w:tcW w:w="26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287.8</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(13.6)</w:t>
            </w:r>
          </w:p>
        </w:tc>
      </w:tr>
      <w:tr>
        <w:trPr>
          <w:trHeight w:val="219"/>
        </w:trPr>
        <w:tc>
          <w:tcPr>
            <w:tcW w:w="790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Change in Cash, Cash Equivalents and Restricted Cash</w:t>
            </w:r>
          </w:p>
        </w:tc>
        <w:tc>
          <w:tcPr>
            <w:tcW w:w="262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color w:val="auto"/>
              </w:rPr>
              <w:t>(55.1)</w:t>
            </w:r>
          </w:p>
        </w:tc>
        <w:tc>
          <w:tcPr>
            <w:tcW w:w="68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127.6</w:t>
            </w:r>
          </w:p>
        </w:tc>
      </w:tr>
      <w:tr>
        <w:trPr>
          <w:trHeight w:val="31"/>
        </w:trPr>
        <w:tc>
          <w:tcPr>
            <w:tcW w:w="79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62"/>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and Restricted Cash at Beginning of Period</w:t>
            </w:r>
          </w:p>
        </w:tc>
        <w:tc>
          <w:tcPr>
            <w:tcW w:w="26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92.5</w:t>
            </w:r>
          </w:p>
        </w:tc>
        <w:tc>
          <w:tcPr>
            <w:tcW w:w="6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79.0</w:t>
            </w:r>
          </w:p>
        </w:tc>
      </w:tr>
      <w:tr>
        <w:trPr>
          <w:trHeight w:val="219"/>
        </w:trPr>
        <w:tc>
          <w:tcPr>
            <w:tcW w:w="790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2620" w:type="dxa"/>
            <w:vAlign w:val="bottom"/>
            <w:tcBorders>
              <w:top w:val="single" w:sz="8" w:color="auto"/>
            </w:tcBorders>
          </w:tcPr>
          <w:p>
            <w:pPr>
              <w:jc w:val="right"/>
              <w:ind w:right="455"/>
              <w:spacing w:after="0"/>
              <w:rPr>
                <w:sz w:val="20"/>
                <w:szCs w:val="20"/>
                <w:color w:val="auto"/>
              </w:rPr>
            </w:pPr>
            <w:r>
              <w:rPr>
                <w:rFonts w:ascii="Arial" w:cs="Arial" w:eastAsia="Arial" w:hAnsi="Arial"/>
                <w:sz w:val="17"/>
                <w:szCs w:val="17"/>
                <w:color w:val="auto"/>
              </w:rPr>
              <w:t>$37.4</w:t>
            </w:r>
          </w:p>
        </w:tc>
        <w:tc>
          <w:tcPr>
            <w:tcW w:w="68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w w:val="99"/>
              </w:rPr>
              <w:t>$206.6</w:t>
            </w:r>
          </w:p>
        </w:tc>
      </w:tr>
      <w:tr>
        <w:trPr>
          <w:trHeight w:val="31"/>
        </w:trPr>
        <w:tc>
          <w:tcPr>
            <w:tcW w:w="79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ALLETE, Inc. Second Quarter 2020 Form 10-Q</w:t>
      </w:r>
    </w:p>
    <w:p>
      <w:pPr>
        <w:sectPr>
          <w:pgSz w:w="11900" w:h="16838" w:orient="portrait"/>
          <w:cols w:equalWidth="0" w:num="1">
            <w:col w:w="11220"/>
          </w:cols>
          <w:pgMar w:left="340" w:top="891" w:right="339" w:bottom="563" w:gutter="0" w:footer="0" w:header="0"/>
        </w:sectPr>
      </w:pPr>
    </w:p>
    <w:p>
      <w:pPr>
        <w:spacing w:after="0" w:line="13" w:lineRule="exact"/>
        <w:rPr>
          <w:sz w:val="20"/>
          <w:szCs w:val="20"/>
          <w:color w:val="auto"/>
        </w:rPr>
      </w:pPr>
    </w:p>
    <w:p>
      <w:pPr>
        <w:ind w:left="111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891" w:right="339" w:bottom="563"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26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Quarter Ended</w:t>
            </w:r>
          </w:p>
        </w:tc>
        <w:tc>
          <w:tcPr>
            <w:tcW w:w="20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6580" w:type="dxa"/>
            <w:vAlign w:val="bottom"/>
          </w:tcPr>
          <w:p>
            <w:pPr>
              <w:spacing w:after="0"/>
              <w:rPr>
                <w:sz w:val="23"/>
                <w:szCs w:val="23"/>
                <w:color w:val="auto"/>
              </w:rPr>
            </w:pPr>
          </w:p>
        </w:tc>
        <w:tc>
          <w:tcPr>
            <w:tcW w:w="266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June 30,</w:t>
            </w:r>
          </w:p>
        </w:tc>
        <w:tc>
          <w:tcPr>
            <w:tcW w:w="200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June 30,</w:t>
            </w:r>
          </w:p>
        </w:tc>
      </w:tr>
      <w:tr>
        <w:trPr>
          <w:trHeight w:val="270"/>
        </w:trPr>
        <w:tc>
          <w:tcPr>
            <w:tcW w:w="6580" w:type="dxa"/>
            <w:vAlign w:val="bottom"/>
          </w:tcPr>
          <w:p>
            <w:pPr>
              <w:spacing w:after="0"/>
              <w:rPr>
                <w:sz w:val="23"/>
                <w:szCs w:val="23"/>
                <w:color w:val="auto"/>
              </w:rPr>
            </w:pPr>
          </w:p>
        </w:tc>
        <w:tc>
          <w:tcPr>
            <w:tcW w:w="162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r>
      <w:tr>
        <w:trPr>
          <w:trHeight w:val="27"/>
        </w:trPr>
        <w:tc>
          <w:tcPr>
            <w:tcW w:w="65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1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6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1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$1,441.7</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$1,431.1</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$1,436.7</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$1,428.5</w:t>
            </w:r>
          </w:p>
        </w:tc>
      </w:tr>
      <w:tr>
        <w:trPr>
          <w:trHeight w:val="27"/>
        </w:trPr>
        <w:tc>
          <w:tcPr>
            <w:tcW w:w="6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11.0</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w:t>
            </w:r>
          </w:p>
        </w:tc>
      </w:tr>
      <w:tr>
        <w:trPr>
          <w:trHeight w:val="237"/>
        </w:trPr>
        <w:tc>
          <w:tcPr>
            <w:tcW w:w="65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Balance, End of Period</w:t>
            </w:r>
          </w:p>
        </w:tc>
        <w:tc>
          <w:tcPr>
            <w:tcW w:w="16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1,447.7</w:t>
            </w:r>
          </w:p>
        </w:tc>
        <w:tc>
          <w:tcPr>
            <w:tcW w:w="10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1,433.3</w:t>
            </w: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1,447.7</w:t>
            </w: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1,433.3</w:t>
            </w:r>
          </w:p>
        </w:tc>
      </w:tr>
      <w:tr>
        <w:trPr>
          <w:trHeight w:val="27"/>
        </w:trPr>
        <w:tc>
          <w:tcPr>
            <w:tcW w:w="65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65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1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(23.8)</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(27.2)</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(23.6)</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Other Comprehensive Income - Net of Income Taxes</w:t>
            </w:r>
          </w:p>
        </w:tc>
        <w:tc>
          <w:tcPr>
            <w:tcW w:w="1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Unrealized Gain on Debt Securities</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43"/>
        </w:trPr>
        <w:tc>
          <w:tcPr>
            <w:tcW w:w="6580" w:type="dxa"/>
            <w:vAlign w:val="bottom"/>
          </w:tcPr>
          <w:p>
            <w:pPr>
              <w:ind w:left="220"/>
              <w:spacing w:after="0"/>
              <w:rPr>
                <w:sz w:val="20"/>
                <w:szCs w:val="20"/>
                <w:color w:val="auto"/>
              </w:rPr>
            </w:pPr>
            <w:r>
              <w:rPr>
                <w:rFonts w:ascii="Arial" w:cs="Arial" w:eastAsia="Arial" w:hAnsi="Arial"/>
                <w:sz w:val="18"/>
                <w:szCs w:val="18"/>
                <w:color w:val="auto"/>
              </w:rPr>
              <w:t>Defined Benefit Pension and Other Postretirement Plans</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0.2</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0.3</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0.2</w:t>
            </w:r>
          </w:p>
        </w:tc>
      </w:tr>
      <w:tr>
        <w:trPr>
          <w:trHeight w:val="27"/>
        </w:trPr>
        <w:tc>
          <w:tcPr>
            <w:tcW w:w="65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8"/>
        </w:trPr>
        <w:tc>
          <w:tcPr>
            <w:tcW w:w="6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Balance, End of Period</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(23.3)</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(26.9)</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(23.3)</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r>
      <w:tr>
        <w:trPr>
          <w:trHeight w:val="250"/>
        </w:trPr>
        <w:tc>
          <w:tcPr>
            <w:tcW w:w="658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1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853.2</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794.8</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818.8</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754.6</w:t>
            </w:r>
          </w:p>
        </w:tc>
      </w:tr>
      <w:tr>
        <w:trPr>
          <w:trHeight w:val="27"/>
        </w:trPr>
        <w:tc>
          <w:tcPr>
            <w:tcW w:w="6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ALLETE</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20.1</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34.2</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86.4</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104.7</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Common Stock Dividends</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(32.0)</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(30.4)</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(63.9)</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(60.7)</w:t>
            </w:r>
          </w:p>
        </w:tc>
      </w:tr>
      <w:tr>
        <w:trPr>
          <w:trHeight w:val="27"/>
        </w:trPr>
        <w:tc>
          <w:tcPr>
            <w:tcW w:w="65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8"/>
        </w:trPr>
        <w:tc>
          <w:tcPr>
            <w:tcW w:w="6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Balance, End of Period</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841.3</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798.6</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841.3</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798.6</w:t>
            </w:r>
          </w:p>
        </w:tc>
      </w:tr>
      <w:tr>
        <w:trPr>
          <w:trHeight w:val="250"/>
        </w:trPr>
        <w:tc>
          <w:tcPr>
            <w:tcW w:w="658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Non-Controlling Interest in Subsidiaries</w:t>
            </w:r>
          </w:p>
        </w:tc>
        <w:tc>
          <w:tcPr>
            <w:tcW w:w="1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101.9</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103.7</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Non-Controlling Interest in Subsidiaries – Net of Issuance Costs</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67.8</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67.8</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8"/>
        </w:trPr>
        <w:tc>
          <w:tcPr>
            <w:tcW w:w="6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Balance, End of Period</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166.5</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166.5</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658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r>
      <w:tr>
        <w:trPr>
          <w:trHeight w:val="269"/>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$2,432.2</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$2,205.0</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$2,432.2</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$2,205.0</w:t>
            </w:r>
          </w:p>
        </w:tc>
      </w:tr>
      <w:tr>
        <w:trPr>
          <w:trHeight w:val="250"/>
        </w:trPr>
        <w:tc>
          <w:tcPr>
            <w:tcW w:w="658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Per Share of Common Stock</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$0.6175</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$0.5875</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$1.235</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$1.175</w:t>
            </w:r>
          </w:p>
        </w:tc>
      </w:tr>
      <w:tr>
        <w:trPr>
          <w:trHeight w:val="20"/>
        </w:trPr>
        <w:tc>
          <w:tcPr>
            <w:tcW w:w="65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2019, Consolidated Balance Sheet was derived from audited financial statements, but does not include all disclosures required by GAAP. In management’s opinion, these unaudited financial statements include all adjustments necessary for a fair statement of financial results. All adjustments are of a normal, recurring nature, except as otherwise disclosed. Operating results for the quarter and six months ended June 30, 2020, are not necessarily indicative of results that may be expected for any other interim period or for the year ending December 31, 2020. For further information, refer to the Consolidated Financial Statements and notes included in our 2019 Form 10-K.</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Cash, Cash Equivalents and Restricted Cash. </w:t>
      </w:r>
      <w:r>
        <w:rPr>
          <w:rFonts w:ascii="Arial" w:cs="Arial" w:eastAsia="Arial" w:hAnsi="Arial"/>
          <w:sz w:val="18"/>
          <w:szCs w:val="18"/>
          <w:color w:val="auto"/>
        </w:rPr>
        <w:t>We consider all investments purchased with original maturities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As of June 30, 2020, restricted cash amounts included in Prepayments and Other on the Consolidated Balance Sheet include collateral deposits required under ALLETE Clean Energy loan and tax equity financing agreements. The restricted cash amounts included in Other Non-Current Assets represent collateral deposits required under ALLETE Clean Energy PSAs and construction projects. In December 31, 2018 balance presented, the amount also includes deposits from a SWL&amp;P customer in aid of future capital expenditures. The following table provides a reconciliation of cash, cash equivalents and restricted cash reported within the Consolidated Balance Sheet that aggregate to the amounts presented in the Consolidated Statement of Cash Flows.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June 30,</w:t>
            </w:r>
          </w:p>
        </w:tc>
        <w:tc>
          <w:tcPr>
            <w:tcW w:w="1740" w:type="dxa"/>
            <w:vAlign w:val="bottom"/>
          </w:tcPr>
          <w:p>
            <w:pPr>
              <w:jc w:val="right"/>
              <w:ind w:right="350"/>
              <w:spacing w:after="0"/>
              <w:rPr>
                <w:sz w:val="20"/>
                <w:szCs w:val="20"/>
                <w:color w:val="auto"/>
              </w:rPr>
            </w:pPr>
            <w:r>
              <w:rPr>
                <w:rFonts w:ascii="Arial" w:cs="Arial" w:eastAsia="Arial" w:hAnsi="Arial"/>
                <w:sz w:val="18"/>
                <w:szCs w:val="18"/>
                <w:b w:val="1"/>
                <w:bCs w:val="1"/>
                <w:color w:val="auto"/>
              </w:rPr>
              <w:t>December 31,</w:t>
            </w: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rPr>
              <w:t>June 30,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7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r>
      <w:tr>
        <w:trPr>
          <w:trHeight w:val="27"/>
        </w:trPr>
        <w:tc>
          <w:tcPr>
            <w:tcW w:w="5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4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$25.7</w:t>
            </w:r>
          </w:p>
        </w:tc>
        <w:tc>
          <w:tcPr>
            <w:tcW w:w="17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$69.3</w:t>
            </w:r>
          </w:p>
        </w:tc>
        <w:tc>
          <w:tcPr>
            <w:tcW w:w="13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$203.1</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$69.1</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Restricted Cash included in Prepayments and Other</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7.3</w:t>
            </w:r>
          </w:p>
        </w:tc>
        <w:tc>
          <w:tcPr>
            <w:tcW w:w="1740" w:type="dxa"/>
            <w:vAlign w:val="bottom"/>
          </w:tcPr>
          <w:p>
            <w:pPr>
              <w:jc w:val="right"/>
              <w:ind w:right="490"/>
              <w:spacing w:after="0"/>
              <w:rPr>
                <w:sz w:val="20"/>
                <w:szCs w:val="20"/>
                <w:color w:val="auto"/>
              </w:rPr>
            </w:pPr>
            <w:r>
              <w:rPr>
                <w:rFonts w:ascii="Arial" w:cs="Arial" w:eastAsia="Arial" w:hAnsi="Arial"/>
                <w:sz w:val="18"/>
                <w:szCs w:val="18"/>
                <w:color w:val="auto"/>
              </w:rPr>
              <w:t>2.8</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0.9</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1.3</w:t>
            </w:r>
          </w:p>
        </w:tc>
      </w:tr>
      <w:tr>
        <w:trPr>
          <w:trHeight w:val="27"/>
        </w:trPr>
        <w:tc>
          <w:tcPr>
            <w:tcW w:w="5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4.4</w:t>
            </w:r>
          </w:p>
        </w:tc>
        <w:tc>
          <w:tcPr>
            <w:tcW w:w="17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20.4</w:t>
            </w:r>
          </w:p>
        </w:tc>
        <w:tc>
          <w:tcPr>
            <w:tcW w:w="13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2.6</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w:t>
            </w:r>
          </w:p>
        </w:tc>
      </w:tr>
      <w:tr>
        <w:trPr>
          <w:trHeight w:val="222"/>
        </w:trPr>
        <w:tc>
          <w:tcPr>
            <w:tcW w:w="5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Cash, Cash Equivalents and Restricted Cash on the Consolidated</w:t>
            </w:r>
          </w:p>
        </w:tc>
        <w:tc>
          <w:tcPr>
            <w:tcW w:w="14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Statement of Cash Flows</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$37.4</w:t>
            </w:r>
          </w:p>
        </w:tc>
        <w:tc>
          <w:tcPr>
            <w:tcW w:w="1740" w:type="dxa"/>
            <w:vAlign w:val="bottom"/>
          </w:tcPr>
          <w:p>
            <w:pPr>
              <w:jc w:val="right"/>
              <w:ind w:right="490"/>
              <w:spacing w:after="0"/>
              <w:rPr>
                <w:sz w:val="20"/>
                <w:szCs w:val="20"/>
                <w:color w:val="auto"/>
              </w:rPr>
            </w:pPr>
            <w:r>
              <w:rPr>
                <w:rFonts w:ascii="Arial" w:cs="Arial" w:eastAsia="Arial" w:hAnsi="Arial"/>
                <w:sz w:val="18"/>
                <w:szCs w:val="18"/>
                <w:color w:val="auto"/>
              </w:rPr>
              <w:t>$92.5</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$206.6</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$79.0</w:t>
            </w:r>
          </w:p>
        </w:tc>
      </w:tr>
      <w:tr>
        <w:trPr>
          <w:trHeight w:val="27"/>
        </w:trPr>
        <w:tc>
          <w:tcPr>
            <w:tcW w:w="5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33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 Net. </w:t>
      </w:r>
      <w:r>
        <w:rPr>
          <w:rFonts w:ascii="Arial" w:cs="Arial" w:eastAsia="Arial" w:hAnsi="Arial"/>
          <w:sz w:val="18"/>
          <w:szCs w:val="18"/>
          <w:color w:val="auto"/>
        </w:rPr>
        <w:t>Inventories are stated at the lower of cost or net realizable value. Inventories in our Regulated Operations segment are carried at an</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cost or first-in, first-out basis. Inventories in our ALLETE Clean Energy segment and Corporate and Other businesses are carried at an average cost, first-in, first-out or specific identification basis.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4540" w:type="dxa"/>
            <w:vAlign w:val="bottom"/>
          </w:tcPr>
          <w:p>
            <w:pPr>
              <w:jc w:val="right"/>
              <w:ind w:right="150"/>
              <w:spacing w:after="0"/>
              <w:rPr>
                <w:sz w:val="20"/>
                <w:szCs w:val="20"/>
                <w:color w:val="auto"/>
              </w:rPr>
            </w:pPr>
            <w:r>
              <w:rPr>
                <w:rFonts w:ascii="Arial" w:cs="Arial" w:eastAsia="Arial" w:hAnsi="Arial"/>
                <w:sz w:val="18"/>
                <w:szCs w:val="18"/>
                <w:b w:val="1"/>
                <w:bCs w:val="1"/>
                <w:color w:val="auto"/>
              </w:rPr>
              <w:t>June 30,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Inventories – Net</w:t>
            </w:r>
          </w:p>
        </w:tc>
        <w:tc>
          <w:tcPr>
            <w:tcW w:w="454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r>
      <w:tr>
        <w:trPr>
          <w:trHeight w:val="27"/>
        </w:trPr>
        <w:tc>
          <w:tcPr>
            <w:tcW w:w="536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5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4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$33.5</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$25.9</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Materials and Supplies</w:t>
            </w:r>
          </w:p>
        </w:tc>
        <w:tc>
          <w:tcPr>
            <w:tcW w:w="4540" w:type="dxa"/>
            <w:vAlign w:val="bottom"/>
          </w:tcPr>
          <w:p>
            <w:pPr>
              <w:jc w:val="right"/>
              <w:ind w:right="270"/>
              <w:spacing w:after="0"/>
              <w:rPr>
                <w:sz w:val="20"/>
                <w:szCs w:val="20"/>
                <w:color w:val="auto"/>
              </w:rPr>
            </w:pPr>
            <w:r>
              <w:rPr>
                <w:rFonts w:ascii="Arial" w:cs="Arial" w:eastAsia="Arial" w:hAnsi="Arial"/>
                <w:sz w:val="18"/>
                <w:szCs w:val="18"/>
                <w:color w:val="auto"/>
              </w:rPr>
              <w:t>48.5</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46.9</w:t>
            </w:r>
          </w:p>
        </w:tc>
      </w:tr>
      <w:tr>
        <w:trPr>
          <w:trHeight w:val="27"/>
        </w:trPr>
        <w:tc>
          <w:tcPr>
            <w:tcW w:w="536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 – Net</w:t>
            </w:r>
          </w:p>
        </w:tc>
        <w:tc>
          <w:tcPr>
            <w:tcW w:w="4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$82.0</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$72.8</w:t>
            </w:r>
          </w:p>
        </w:tc>
      </w:tr>
      <w:tr>
        <w:trPr>
          <w:trHeight w:val="20"/>
        </w:trPr>
        <w:tc>
          <w:tcPr>
            <w:tcW w:w="5360" w:type="dxa"/>
            <w:vAlign w:val="bottom"/>
            <w:shd w:val="clear" w:color="auto" w:fill="000000"/>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Fuel consists primarily of coal inventory at Minnesota Power.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0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46"/>
        </w:trPr>
        <w:tc>
          <w:tcPr>
            <w:tcW w:w="4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020" w:type="dxa"/>
            <w:vAlign w:val="bottom"/>
          </w:tcPr>
          <w:p>
            <w:pPr>
              <w:jc w:val="right"/>
              <w:ind w:right="150"/>
              <w:spacing w:after="0"/>
              <w:rPr>
                <w:sz w:val="20"/>
                <w:szCs w:val="20"/>
                <w:color w:val="auto"/>
              </w:rPr>
            </w:pPr>
            <w:r>
              <w:rPr>
                <w:rFonts w:ascii="Arial" w:cs="Arial" w:eastAsia="Arial" w:hAnsi="Arial"/>
                <w:sz w:val="18"/>
                <w:szCs w:val="18"/>
                <w:b w:val="1"/>
                <w:bCs w:val="1"/>
                <w:color w:val="auto"/>
              </w:rPr>
              <w:t>June 30,</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0" w:type="dxa"/>
            <w:vAlign w:val="bottom"/>
          </w:tcPr>
          <w:p>
            <w:pPr>
              <w:spacing w:after="0"/>
              <w:rPr>
                <w:sz w:val="20"/>
                <w:szCs w:val="20"/>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Other Non-Current Assets</w:t>
            </w:r>
          </w:p>
        </w:tc>
        <w:tc>
          <w:tcPr>
            <w:tcW w:w="202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r>
      <w:tr>
        <w:trPr>
          <w:trHeight w:val="27"/>
        </w:trPr>
        <w:tc>
          <w:tcPr>
            <w:tcW w:w="40" w:type="dxa"/>
            <w:vAlign w:val="bottom"/>
          </w:tcPr>
          <w:p>
            <w:pPr>
              <w:spacing w:after="0"/>
              <w:rPr>
                <w:sz w:val="2"/>
                <w:szCs w:val="2"/>
                <w:color w:val="auto"/>
              </w:rPr>
            </w:pPr>
          </w:p>
        </w:tc>
        <w:tc>
          <w:tcPr>
            <w:tcW w:w="78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20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Contract Assets </w:t>
            </w:r>
            <w:r>
              <w:rPr>
                <w:rFonts w:ascii="Arial" w:cs="Arial" w:eastAsia="Arial" w:hAnsi="Arial"/>
                <w:sz w:val="16"/>
                <w:szCs w:val="16"/>
                <w:i w:val="1"/>
                <w:iCs w:val="1"/>
                <w:color w:val="auto"/>
              </w:rPr>
              <w:t>(a)</w:t>
            </w:r>
          </w:p>
        </w:tc>
        <w:tc>
          <w:tcPr>
            <w:tcW w:w="20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$26.7</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$28.0</w:t>
            </w:r>
          </w:p>
        </w:tc>
      </w:tr>
      <w:tr>
        <w:trPr>
          <w:trHeight w:val="243"/>
        </w:trPr>
        <w:tc>
          <w:tcPr>
            <w:tcW w:w="40" w:type="dxa"/>
            <w:vAlign w:val="bottom"/>
          </w:tcPr>
          <w:p>
            <w:pPr>
              <w:spacing w:after="0"/>
              <w:rPr>
                <w:sz w:val="21"/>
                <w:szCs w:val="21"/>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020" w:type="dxa"/>
            <w:vAlign w:val="bottom"/>
          </w:tcPr>
          <w:p>
            <w:pPr>
              <w:jc w:val="right"/>
              <w:ind w:right="290"/>
              <w:spacing w:after="0"/>
              <w:rPr>
                <w:sz w:val="20"/>
                <w:szCs w:val="20"/>
                <w:color w:val="auto"/>
              </w:rPr>
            </w:pPr>
            <w:r>
              <w:rPr>
                <w:rFonts w:ascii="Arial" w:cs="Arial" w:eastAsia="Arial" w:hAnsi="Arial"/>
                <w:sz w:val="18"/>
                <w:szCs w:val="18"/>
                <w:color w:val="auto"/>
              </w:rPr>
              <w:t>25.4</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28.6</w:t>
            </w:r>
          </w:p>
        </w:tc>
      </w:tr>
      <w:tr>
        <w:trPr>
          <w:trHeight w:val="27"/>
        </w:trPr>
        <w:tc>
          <w:tcPr>
            <w:tcW w:w="4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ALLETE Properties</w:t>
            </w:r>
          </w:p>
        </w:tc>
        <w:tc>
          <w:tcPr>
            <w:tcW w:w="20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21.5</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21.9</w:t>
            </w:r>
          </w:p>
        </w:tc>
      </w:tr>
      <w:tr>
        <w:trPr>
          <w:trHeight w:val="243"/>
        </w:trPr>
        <w:tc>
          <w:tcPr>
            <w:tcW w:w="40" w:type="dxa"/>
            <w:vAlign w:val="bottom"/>
          </w:tcPr>
          <w:p>
            <w:pPr>
              <w:spacing w:after="0"/>
              <w:rPr>
                <w:sz w:val="21"/>
                <w:szCs w:val="21"/>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Restricted Cash</w:t>
            </w:r>
          </w:p>
        </w:tc>
        <w:tc>
          <w:tcPr>
            <w:tcW w:w="2020" w:type="dxa"/>
            <w:vAlign w:val="bottom"/>
          </w:tcPr>
          <w:p>
            <w:pPr>
              <w:jc w:val="right"/>
              <w:ind w:right="290"/>
              <w:spacing w:after="0"/>
              <w:rPr>
                <w:sz w:val="20"/>
                <w:szCs w:val="20"/>
                <w:color w:val="auto"/>
              </w:rPr>
            </w:pPr>
            <w:r>
              <w:rPr>
                <w:rFonts w:ascii="Arial" w:cs="Arial" w:eastAsia="Arial" w:hAnsi="Arial"/>
                <w:sz w:val="18"/>
                <w:szCs w:val="18"/>
                <w:color w:val="auto"/>
              </w:rPr>
              <w:t>4.4</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20.4</w:t>
            </w:r>
          </w:p>
        </w:tc>
      </w:tr>
      <w:tr>
        <w:trPr>
          <w:trHeight w:val="27"/>
        </w:trPr>
        <w:tc>
          <w:tcPr>
            <w:tcW w:w="4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Postretirement Benefit Plans</w:t>
            </w:r>
          </w:p>
        </w:tc>
        <w:tc>
          <w:tcPr>
            <w:tcW w:w="20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38.4</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37.5</w:t>
            </w:r>
          </w:p>
        </w:tc>
      </w:tr>
      <w:tr>
        <w:trPr>
          <w:trHeight w:val="243"/>
        </w:trPr>
        <w:tc>
          <w:tcPr>
            <w:tcW w:w="40" w:type="dxa"/>
            <w:vAlign w:val="bottom"/>
          </w:tcPr>
          <w:p>
            <w:pPr>
              <w:spacing w:after="0"/>
              <w:rPr>
                <w:sz w:val="21"/>
                <w:szCs w:val="21"/>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Other</w:t>
            </w:r>
          </w:p>
        </w:tc>
        <w:tc>
          <w:tcPr>
            <w:tcW w:w="2020" w:type="dxa"/>
            <w:vAlign w:val="bottom"/>
          </w:tcPr>
          <w:p>
            <w:pPr>
              <w:jc w:val="right"/>
              <w:ind w:right="290"/>
              <w:spacing w:after="0"/>
              <w:rPr>
                <w:sz w:val="20"/>
                <w:szCs w:val="20"/>
                <w:color w:val="auto"/>
              </w:rPr>
            </w:pPr>
            <w:r>
              <w:rPr>
                <w:rFonts w:ascii="Arial" w:cs="Arial" w:eastAsia="Arial" w:hAnsi="Arial"/>
                <w:sz w:val="18"/>
                <w:szCs w:val="18"/>
                <w:color w:val="auto"/>
              </w:rPr>
              <w:t>84.7</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81.8</w:t>
            </w:r>
          </w:p>
        </w:tc>
      </w:tr>
      <w:tr>
        <w:trPr>
          <w:trHeight w:val="27"/>
        </w:trPr>
        <w:tc>
          <w:tcPr>
            <w:tcW w:w="40" w:type="dxa"/>
            <w:vAlign w:val="bottom"/>
          </w:tcPr>
          <w:p>
            <w:pPr>
              <w:spacing w:after="0"/>
              <w:rPr>
                <w:sz w:val="2"/>
                <w:szCs w:val="2"/>
                <w:color w:val="auto"/>
              </w:rPr>
            </w:pPr>
          </w:p>
        </w:tc>
        <w:tc>
          <w:tcPr>
            <w:tcW w:w="78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Non-Current Assets</w:t>
            </w:r>
          </w:p>
        </w:tc>
        <w:tc>
          <w:tcPr>
            <w:tcW w:w="20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$201.1</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$218.2</w:t>
            </w:r>
          </w:p>
        </w:tc>
      </w:tr>
      <w:tr>
        <w:trPr>
          <w:trHeight w:val="20"/>
        </w:trPr>
        <w:tc>
          <w:tcPr>
            <w:tcW w:w="40" w:type="dxa"/>
            <w:vAlign w:val="bottom"/>
          </w:tcPr>
          <w:p>
            <w:pPr>
              <w:spacing w:after="0" w:line="20" w:lineRule="exact"/>
              <w:rPr>
                <w:sz w:val="1"/>
                <w:szCs w:val="1"/>
                <w:color w:val="auto"/>
              </w:rPr>
            </w:pPr>
          </w:p>
        </w:tc>
        <w:tc>
          <w:tcPr>
            <w:tcW w:w="786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98" w:lineRule="exact"/>
        <w:rPr>
          <w:sz w:val="20"/>
          <w:szCs w:val="20"/>
          <w:color w:val="auto"/>
        </w:rPr>
      </w:pPr>
    </w:p>
    <w:p>
      <w:pPr>
        <w:ind w:left="340" w:hanging="332"/>
        <w:spacing w:after="0" w:line="275" w:lineRule="auto"/>
        <w:tabs>
          <w:tab w:leader="none" w:pos="258"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Contract Assets consist of payments made to customers as an incentive to execute or extend service agreements. The contract payments are being amortized over the term of the respective agreements as a reduction to revenue.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4020" w:type="dxa"/>
            <w:vAlign w:val="bottom"/>
          </w:tcPr>
          <w:p>
            <w:pPr>
              <w:jc w:val="right"/>
              <w:ind w:right="150"/>
              <w:spacing w:after="0"/>
              <w:rPr>
                <w:sz w:val="20"/>
                <w:szCs w:val="20"/>
                <w:color w:val="auto"/>
              </w:rPr>
            </w:pPr>
            <w:r>
              <w:rPr>
                <w:rFonts w:ascii="Arial" w:cs="Arial" w:eastAsia="Arial" w:hAnsi="Arial"/>
                <w:sz w:val="18"/>
                <w:szCs w:val="18"/>
                <w:b w:val="1"/>
                <w:bCs w:val="1"/>
                <w:color w:val="auto"/>
              </w:rPr>
              <w:t>June 30,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Other Current Liabilities</w:t>
            </w:r>
          </w:p>
        </w:tc>
        <w:tc>
          <w:tcPr>
            <w:tcW w:w="402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r>
      <w:tr>
        <w:trPr>
          <w:trHeight w:val="27"/>
        </w:trPr>
        <w:tc>
          <w:tcPr>
            <w:tcW w:w="588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0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58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PSAs</w:t>
            </w:r>
          </w:p>
        </w:tc>
        <w:tc>
          <w:tcPr>
            <w:tcW w:w="40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$12.4</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$12.3</w:t>
            </w:r>
          </w:p>
        </w:tc>
      </w:tr>
      <w:tr>
        <w:trPr>
          <w:trHeight w:val="270"/>
        </w:trPr>
        <w:tc>
          <w:tcPr>
            <w:tcW w:w="5880" w:type="dxa"/>
            <w:vAlign w:val="bottom"/>
          </w:tcPr>
          <w:p>
            <w:pPr>
              <w:ind w:left="20"/>
              <w:spacing w:after="0"/>
              <w:rPr>
                <w:sz w:val="20"/>
                <w:szCs w:val="20"/>
                <w:color w:val="auto"/>
              </w:rPr>
            </w:pPr>
            <w:r>
              <w:rPr>
                <w:rFonts w:ascii="Arial" w:cs="Arial" w:eastAsia="Arial" w:hAnsi="Arial"/>
                <w:sz w:val="18"/>
                <w:szCs w:val="18"/>
                <w:color w:val="auto"/>
              </w:rPr>
              <w:t xml:space="preserve">Provision for Interim Rate Refund </w:t>
            </w:r>
            <w:r>
              <w:rPr>
                <w:rFonts w:ascii="Arial" w:cs="Arial" w:eastAsia="Arial" w:hAnsi="Arial"/>
                <w:sz w:val="16"/>
                <w:szCs w:val="16"/>
                <w:i w:val="1"/>
                <w:iCs w:val="1"/>
                <w:color w:val="auto"/>
              </w:rPr>
              <w:t>(a)</w:t>
            </w:r>
          </w:p>
        </w:tc>
        <w:tc>
          <w:tcPr>
            <w:tcW w:w="4020" w:type="dxa"/>
            <w:vAlign w:val="bottom"/>
          </w:tcPr>
          <w:p>
            <w:pPr>
              <w:jc w:val="right"/>
              <w:ind w:right="290"/>
              <w:spacing w:after="0"/>
              <w:rPr>
                <w:sz w:val="20"/>
                <w:szCs w:val="20"/>
                <w:color w:val="auto"/>
              </w:rPr>
            </w:pPr>
            <w:r>
              <w:rPr>
                <w:rFonts w:ascii="Arial" w:cs="Arial" w:eastAsia="Arial" w:hAnsi="Arial"/>
                <w:sz w:val="18"/>
                <w:szCs w:val="18"/>
                <w:color w:val="auto"/>
              </w:rPr>
              <w:t>11.7</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40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6.6</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Other</w:t>
            </w:r>
          </w:p>
        </w:tc>
        <w:tc>
          <w:tcPr>
            <w:tcW w:w="4020" w:type="dxa"/>
            <w:vAlign w:val="bottom"/>
          </w:tcPr>
          <w:p>
            <w:pPr>
              <w:jc w:val="right"/>
              <w:ind w:right="290"/>
              <w:spacing w:after="0"/>
              <w:rPr>
                <w:sz w:val="20"/>
                <w:szCs w:val="20"/>
                <w:color w:val="auto"/>
              </w:rPr>
            </w:pPr>
            <w:r>
              <w:rPr>
                <w:rFonts w:ascii="Arial" w:cs="Arial" w:eastAsia="Arial" w:hAnsi="Arial"/>
                <w:sz w:val="18"/>
                <w:szCs w:val="18"/>
                <w:color w:val="auto"/>
              </w:rPr>
              <w:t>34.7</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41.2</w:t>
            </w:r>
          </w:p>
        </w:tc>
      </w:tr>
      <w:tr>
        <w:trPr>
          <w:trHeight w:val="27"/>
        </w:trPr>
        <w:tc>
          <w:tcPr>
            <w:tcW w:w="588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Current Liabilities</w:t>
            </w:r>
          </w:p>
        </w:tc>
        <w:tc>
          <w:tcPr>
            <w:tcW w:w="40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$65.4</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$60.4</w:t>
            </w:r>
          </w:p>
        </w:tc>
      </w:tr>
      <w:tr>
        <w:trPr>
          <w:trHeight w:val="20"/>
        </w:trPr>
        <w:tc>
          <w:tcPr>
            <w:tcW w:w="5880" w:type="dxa"/>
            <w:vAlign w:val="bottom"/>
            <w:shd w:val="clear" w:color="auto" w:fill="000000"/>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98" w:lineRule="exact"/>
        <w:rPr>
          <w:sz w:val="20"/>
          <w:szCs w:val="20"/>
          <w:color w:val="auto"/>
        </w:rPr>
      </w:pPr>
    </w:p>
    <w:p>
      <w:pPr>
        <w:ind w:left="340" w:right="20" w:hanging="332"/>
        <w:spacing w:after="0" w:line="275"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Provision for Interim Rate Refund represents reserves for interim rates resulting from the MPUC’s approval of Minnesota Power’s petition and proposal to resolve and withdraw its rate case. (See Note 2. Regulatory Matters.)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840" w:type="dxa"/>
            <w:vAlign w:val="bottom"/>
          </w:tcPr>
          <w:p>
            <w:pPr>
              <w:jc w:val="right"/>
              <w:ind w:right="170"/>
              <w:spacing w:after="0"/>
              <w:rPr>
                <w:sz w:val="20"/>
                <w:szCs w:val="20"/>
                <w:color w:val="auto"/>
              </w:rPr>
            </w:pPr>
            <w:r>
              <w:rPr>
                <w:rFonts w:ascii="Arial" w:cs="Arial" w:eastAsia="Arial" w:hAnsi="Arial"/>
                <w:sz w:val="18"/>
                <w:szCs w:val="18"/>
                <w:b w:val="1"/>
                <w:bCs w:val="1"/>
                <w:color w:val="auto"/>
              </w:rPr>
              <w:t>June 30,</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Other Non-Current Liabilities</w:t>
            </w:r>
          </w:p>
        </w:tc>
        <w:tc>
          <w:tcPr>
            <w:tcW w:w="284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r>
      <w:tr>
        <w:trPr>
          <w:trHeight w:val="27"/>
        </w:trPr>
        <w:tc>
          <w:tcPr>
            <w:tcW w:w="20" w:type="dxa"/>
            <w:vAlign w:val="bottom"/>
            <w:tcBorders>
              <w:bottom w:val="single" w:sz="8" w:color="auto"/>
            </w:tcBorders>
          </w:tcPr>
          <w:p>
            <w:pPr>
              <w:spacing w:after="0"/>
              <w:rPr>
                <w:sz w:val="2"/>
                <w:szCs w:val="2"/>
                <w:color w:val="auto"/>
              </w:rPr>
            </w:pPr>
          </w:p>
        </w:tc>
        <w:tc>
          <w:tcPr>
            <w:tcW w:w="70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28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 Retirement Obligation</w:t>
            </w:r>
          </w:p>
        </w:tc>
        <w:tc>
          <w:tcPr>
            <w:tcW w:w="28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$164.8</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$160.3</w:t>
            </w:r>
          </w:p>
        </w:tc>
      </w:tr>
      <w:tr>
        <w:trPr>
          <w:trHeight w:val="243"/>
        </w:trPr>
        <w:tc>
          <w:tcPr>
            <w:tcW w:w="20" w:type="dxa"/>
            <w:vAlign w:val="bottom"/>
          </w:tcPr>
          <w:p>
            <w:pPr>
              <w:spacing w:after="0"/>
              <w:rPr>
                <w:sz w:val="21"/>
                <w:szCs w:val="21"/>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PSAs</w:t>
            </w:r>
          </w:p>
        </w:tc>
        <w:tc>
          <w:tcPr>
            <w:tcW w:w="2840" w:type="dxa"/>
            <w:vAlign w:val="bottom"/>
          </w:tcPr>
          <w:p>
            <w:pPr>
              <w:jc w:val="right"/>
              <w:ind w:right="310"/>
              <w:spacing w:after="0"/>
              <w:rPr>
                <w:sz w:val="20"/>
                <w:szCs w:val="20"/>
                <w:color w:val="auto"/>
              </w:rPr>
            </w:pPr>
            <w:r>
              <w:rPr>
                <w:rFonts w:ascii="Arial" w:cs="Arial" w:eastAsia="Arial" w:hAnsi="Arial"/>
                <w:sz w:val="18"/>
                <w:szCs w:val="18"/>
                <w:color w:val="auto"/>
              </w:rPr>
              <w:t>58.3</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64.6</w:t>
            </w: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8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18.8</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21.8</w:t>
            </w:r>
          </w:p>
        </w:tc>
      </w:tr>
      <w:tr>
        <w:trPr>
          <w:trHeight w:val="243"/>
        </w:trPr>
        <w:tc>
          <w:tcPr>
            <w:tcW w:w="20" w:type="dxa"/>
            <w:vAlign w:val="bottom"/>
          </w:tcPr>
          <w:p>
            <w:pPr>
              <w:spacing w:after="0"/>
              <w:rPr>
                <w:sz w:val="21"/>
                <w:szCs w:val="21"/>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Other</w:t>
            </w:r>
          </w:p>
        </w:tc>
        <w:tc>
          <w:tcPr>
            <w:tcW w:w="2840" w:type="dxa"/>
            <w:vAlign w:val="bottom"/>
          </w:tcPr>
          <w:p>
            <w:pPr>
              <w:jc w:val="right"/>
              <w:ind w:right="310"/>
              <w:spacing w:after="0"/>
              <w:rPr>
                <w:sz w:val="20"/>
                <w:szCs w:val="20"/>
                <w:color w:val="auto"/>
              </w:rPr>
            </w:pPr>
            <w:r>
              <w:rPr>
                <w:rFonts w:ascii="Arial" w:cs="Arial" w:eastAsia="Arial" w:hAnsi="Arial"/>
                <w:sz w:val="18"/>
                <w:szCs w:val="18"/>
                <w:color w:val="auto"/>
              </w:rPr>
              <w:t>46.2</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46.3</w:t>
            </w:r>
          </w:p>
        </w:tc>
      </w:tr>
      <w:tr>
        <w:trPr>
          <w:trHeight w:val="27"/>
        </w:trPr>
        <w:tc>
          <w:tcPr>
            <w:tcW w:w="20" w:type="dxa"/>
            <w:vAlign w:val="bottom"/>
            <w:tcBorders>
              <w:bottom w:val="single" w:sz="8" w:color="auto"/>
            </w:tcBorders>
          </w:tcPr>
          <w:p>
            <w:pPr>
              <w:spacing w:after="0"/>
              <w:rPr>
                <w:sz w:val="2"/>
                <w:szCs w:val="2"/>
                <w:color w:val="auto"/>
              </w:rPr>
            </w:pPr>
          </w:p>
        </w:tc>
        <w:tc>
          <w:tcPr>
            <w:tcW w:w="70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Non-Current Liabilities</w:t>
            </w:r>
          </w:p>
        </w:tc>
        <w:tc>
          <w:tcPr>
            <w:tcW w:w="28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$288.1</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$293.0</w:t>
            </w:r>
          </w:p>
        </w:tc>
      </w:tr>
      <w:tr>
        <w:trPr>
          <w:trHeight w:val="709"/>
        </w:trPr>
        <w:tc>
          <w:tcPr>
            <w:tcW w:w="20" w:type="dxa"/>
            <w:vAlign w:val="bottom"/>
            <w:tcBorders>
              <w:top w:val="single" w:sz="8" w:color="auto"/>
            </w:tcBorders>
          </w:tcPr>
          <w:p>
            <w:pPr>
              <w:spacing w:after="0"/>
              <w:rPr>
                <w:sz w:val="24"/>
                <w:szCs w:val="24"/>
                <w:color w:val="auto"/>
              </w:rPr>
            </w:pPr>
          </w:p>
        </w:tc>
        <w:tc>
          <w:tcPr>
            <w:tcW w:w="70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Other Income</w:t>
            </w:r>
          </w:p>
        </w:tc>
        <w:tc>
          <w:tcPr>
            <w:tcW w:w="28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70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284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r>
      <w:tr>
        <w:trPr>
          <w:trHeight w:val="27"/>
        </w:trPr>
        <w:tc>
          <w:tcPr>
            <w:tcW w:w="20" w:type="dxa"/>
            <w:vAlign w:val="bottom"/>
          </w:tcPr>
          <w:p>
            <w:pPr>
              <w:spacing w:after="0"/>
              <w:rPr>
                <w:sz w:val="2"/>
                <w:szCs w:val="2"/>
                <w:color w:val="auto"/>
              </w:rPr>
            </w:pPr>
          </w:p>
        </w:tc>
        <w:tc>
          <w:tcPr>
            <w:tcW w:w="70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8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Pension and Other Postretirement Benefit Plan Non-Service Credits </w:t>
            </w:r>
            <w:r>
              <w:rPr>
                <w:rFonts w:ascii="Arial" w:cs="Arial" w:eastAsia="Arial" w:hAnsi="Arial"/>
                <w:sz w:val="16"/>
                <w:szCs w:val="16"/>
                <w:i w:val="1"/>
                <w:iCs w:val="1"/>
                <w:color w:val="auto"/>
              </w:rPr>
              <w:t>(a)</w:t>
            </w:r>
          </w:p>
        </w:tc>
        <w:tc>
          <w:tcPr>
            <w:tcW w:w="2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$4.8</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r>
      <w:tr>
        <w:trPr>
          <w:trHeight w:val="243"/>
        </w:trPr>
        <w:tc>
          <w:tcPr>
            <w:tcW w:w="20" w:type="dxa"/>
            <w:vAlign w:val="bottom"/>
          </w:tcPr>
          <w:p>
            <w:pPr>
              <w:spacing w:after="0"/>
              <w:rPr>
                <w:sz w:val="21"/>
                <w:szCs w:val="21"/>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Interest and Investment Income (Loss)</w:t>
            </w:r>
          </w:p>
        </w:tc>
        <w:tc>
          <w:tcPr>
            <w:tcW w:w="2840" w:type="dxa"/>
            <w:vAlign w:val="bottom"/>
          </w:tcPr>
          <w:p>
            <w:pPr>
              <w:jc w:val="right"/>
              <w:ind w:right="210"/>
              <w:spacing w:after="0"/>
              <w:rPr>
                <w:sz w:val="20"/>
                <w:szCs w:val="20"/>
                <w:color w:val="auto"/>
              </w:rPr>
            </w:pPr>
            <w:r>
              <w:rPr>
                <w:rFonts w:ascii="Arial" w:cs="Arial" w:eastAsia="Arial" w:hAnsi="Arial"/>
                <w:sz w:val="18"/>
                <w:szCs w:val="18"/>
                <w:color w:val="auto"/>
              </w:rPr>
              <w:t>(0.5)</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2.5</w:t>
            </w: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AFUDC - Equity</w:t>
            </w:r>
          </w:p>
        </w:tc>
        <w:tc>
          <w:tcPr>
            <w:tcW w:w="2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r>
      <w:tr>
        <w:trPr>
          <w:trHeight w:val="243"/>
        </w:trPr>
        <w:tc>
          <w:tcPr>
            <w:tcW w:w="20" w:type="dxa"/>
            <w:vAlign w:val="bottom"/>
          </w:tcPr>
          <w:p>
            <w:pPr>
              <w:spacing w:after="0"/>
              <w:rPr>
                <w:sz w:val="21"/>
                <w:szCs w:val="21"/>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Gain on Land Sales</w:t>
            </w:r>
          </w:p>
        </w:tc>
        <w:tc>
          <w:tcPr>
            <w:tcW w:w="2840" w:type="dxa"/>
            <w:vAlign w:val="bottom"/>
          </w:tcPr>
          <w:p>
            <w:pPr>
              <w:jc w:val="right"/>
              <w:ind w:right="250"/>
              <w:spacing w:after="0"/>
              <w:rPr>
                <w:sz w:val="20"/>
                <w:szCs w:val="20"/>
                <w:color w:val="auto"/>
              </w:rPr>
            </w:pPr>
            <w:r>
              <w:rPr>
                <w:rFonts w:ascii="Arial" w:cs="Arial" w:eastAsia="Arial" w:hAnsi="Arial"/>
                <w:sz w:val="18"/>
                <w:szCs w:val="18"/>
                <w:color w:val="auto"/>
              </w:rPr>
              <w:t>0.1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2.0</w:t>
            </w: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0.4</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r>
      <w:tr>
        <w:trPr>
          <w:trHeight w:val="236"/>
        </w:trPr>
        <w:tc>
          <w:tcPr>
            <w:tcW w:w="20" w:type="dxa"/>
            <w:vAlign w:val="bottom"/>
          </w:tcPr>
          <w:p>
            <w:pPr>
              <w:spacing w:after="0"/>
              <w:rPr>
                <w:sz w:val="20"/>
                <w:szCs w:val="20"/>
                <w:color w:val="auto"/>
              </w:rPr>
            </w:pPr>
          </w:p>
        </w:tc>
        <w:tc>
          <w:tcPr>
            <w:tcW w:w="7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Other Income</w:t>
            </w:r>
          </w:p>
        </w:tc>
        <w:tc>
          <w:tcPr>
            <w:tcW w:w="28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$6.2</w:t>
            </w: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$11.6</w:t>
            </w:r>
          </w:p>
        </w:tc>
      </w:tr>
      <w:tr>
        <w:trPr>
          <w:trHeight w:val="27"/>
        </w:trPr>
        <w:tc>
          <w:tcPr>
            <w:tcW w:w="20" w:type="dxa"/>
            <w:vAlign w:val="bottom"/>
          </w:tcPr>
          <w:p>
            <w:pPr>
              <w:spacing w:after="0"/>
              <w:rPr>
                <w:sz w:val="2"/>
                <w:szCs w:val="2"/>
                <w:color w:val="auto"/>
              </w:rPr>
            </w:pPr>
          </w:p>
        </w:tc>
        <w:tc>
          <w:tcPr>
            <w:tcW w:w="70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98" w:lineRule="exact"/>
        <w:rPr>
          <w:sz w:val="20"/>
          <w:szCs w:val="20"/>
          <w:color w:val="auto"/>
        </w:rPr>
      </w:pPr>
    </w:p>
    <w:p>
      <w:pPr>
        <w:ind w:left="340" w:hanging="332"/>
        <w:spacing w:after="0" w:line="275"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components of net periodic pension and other postretirement benefit cost other than service cost. (See Note 9. Pension and Other Postretirement Benefit Plans.)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ectPr>
          <w:pgSz w:w="11900" w:h="16838" w:orient="portrait"/>
          <w:cols w:equalWidth="0" w:num="1">
            <w:col w:w="11240"/>
          </w:cols>
          <w:pgMar w:left="320" w:top="891" w:right="339" w:bottom="1440"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59"/>
        </w:trPr>
        <w:tc>
          <w:tcPr>
            <w:tcW w:w="832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2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r>
      <w:tr>
        <w:trPr>
          <w:trHeight w:val="27"/>
        </w:trPr>
        <w:tc>
          <w:tcPr>
            <w:tcW w:w="8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Interest – Net of Amounts Capitalized</w:t>
            </w:r>
          </w:p>
        </w:tc>
        <w:tc>
          <w:tcPr>
            <w:tcW w:w="20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$30.9</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$33.8</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Recognition of Right-of-use Assets and Lease Liabilities</w:t>
            </w:r>
          </w:p>
        </w:tc>
        <w:tc>
          <w:tcPr>
            <w:tcW w:w="20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$31.2</w:t>
            </w:r>
          </w:p>
        </w:tc>
      </w:tr>
      <w:tr>
        <w:trPr>
          <w:trHeight w:val="27"/>
        </w:trPr>
        <w:tc>
          <w:tcPr>
            <w:tcW w:w="83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0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20"/>
              <w:spacing w:after="0"/>
              <w:rPr>
                <w:sz w:val="20"/>
                <w:szCs w:val="20"/>
                <w:color w:val="auto"/>
              </w:rPr>
            </w:pPr>
            <w:r>
              <w:rPr>
                <w:rFonts w:ascii="Arial" w:cs="Arial" w:eastAsia="Arial" w:hAnsi="Arial"/>
                <w:sz w:val="18"/>
                <w:szCs w:val="18"/>
                <w:color w:val="auto"/>
              </w:rPr>
              <w:t>Increase (Decrease) in Accounts Payable for Capital Additions to Property, Plant and Equipment</w:t>
            </w:r>
          </w:p>
        </w:tc>
        <w:tc>
          <w:tcPr>
            <w:tcW w:w="2000" w:type="dxa"/>
            <w:vAlign w:val="bottom"/>
          </w:tcPr>
          <w:p>
            <w:pPr>
              <w:jc w:val="right"/>
              <w:ind w:right="230"/>
              <w:spacing w:after="0"/>
              <w:rPr>
                <w:sz w:val="20"/>
                <w:szCs w:val="20"/>
                <w:color w:val="auto"/>
              </w:rPr>
            </w:pPr>
            <w:r>
              <w:rPr>
                <w:rFonts w:ascii="Arial" w:cs="Arial" w:eastAsia="Arial" w:hAnsi="Arial"/>
                <w:sz w:val="18"/>
                <w:szCs w:val="18"/>
                <w:color w:val="auto"/>
              </w:rPr>
              <w:t>$(67.5)</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$21.1</w:t>
            </w:r>
          </w:p>
        </w:tc>
      </w:tr>
      <w:tr>
        <w:trPr>
          <w:trHeight w:val="27"/>
        </w:trPr>
        <w:tc>
          <w:tcPr>
            <w:tcW w:w="83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Capitalized Asset Retirement Costs</w:t>
            </w:r>
          </w:p>
        </w:tc>
        <w:tc>
          <w:tcPr>
            <w:tcW w:w="20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$2.1</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r>
      <w:tr>
        <w:trPr>
          <w:trHeight w:val="243"/>
        </w:trPr>
        <w:tc>
          <w:tcPr>
            <w:tcW w:w="8320" w:type="dxa"/>
            <w:vAlign w:val="bottom"/>
          </w:tcPr>
          <w:p>
            <w:pPr>
              <w:ind w:left="220"/>
              <w:spacing w:after="0"/>
              <w:rPr>
                <w:sz w:val="20"/>
                <w:szCs w:val="20"/>
                <w:color w:val="auto"/>
              </w:rPr>
            </w:pPr>
            <w:r>
              <w:rPr>
                <w:rFonts w:ascii="Arial" w:cs="Arial" w:eastAsia="Arial" w:hAnsi="Arial"/>
                <w:sz w:val="18"/>
                <w:szCs w:val="18"/>
                <w:color w:val="auto"/>
              </w:rPr>
              <w:t>AFUDC–Equity</w:t>
            </w:r>
          </w:p>
        </w:tc>
        <w:tc>
          <w:tcPr>
            <w:tcW w:w="2000" w:type="dxa"/>
            <w:vAlign w:val="bottom"/>
          </w:tcPr>
          <w:p>
            <w:pPr>
              <w:jc w:val="right"/>
              <w:ind w:right="370"/>
              <w:spacing w:after="0"/>
              <w:rPr>
                <w:sz w:val="20"/>
                <w:szCs w:val="20"/>
                <w:color w:val="auto"/>
              </w:rPr>
            </w:pPr>
            <w:r>
              <w:rPr>
                <w:rFonts w:ascii="Arial" w:cs="Arial" w:eastAsia="Arial" w:hAnsi="Arial"/>
                <w:sz w:val="18"/>
                <w:szCs w:val="18"/>
                <w:color w:val="auto"/>
              </w:rPr>
              <w:t>$1.4</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$1.3</w:t>
            </w:r>
          </w:p>
        </w:tc>
      </w:tr>
      <w:tr>
        <w:trPr>
          <w:trHeight w:val="27"/>
        </w:trPr>
        <w:tc>
          <w:tcPr>
            <w:tcW w:w="8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Sale of U.S. Water Services. </w:t>
      </w:r>
      <w:r>
        <w:rPr>
          <w:rFonts w:ascii="Arial" w:cs="Arial" w:eastAsia="Arial" w:hAnsi="Arial"/>
          <w:sz w:val="18"/>
          <w:szCs w:val="18"/>
          <w:color w:val="auto"/>
        </w:rPr>
        <w:t>In February 2019, the Company entered into a stock purchase agreement providing for the sale of U.S. Water Services to a</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of Kurita Water Industries Ltd. In March 2019, ALLETE completed the sale and received approximately $270 million in cash, net of transaction costs and cash retained. The gain on sale of U.S. Water Services in 2019 was $13.2 million after-tax.</w:t>
      </w:r>
    </w:p>
    <w:p>
      <w:pPr>
        <w:spacing w:after="0" w:line="203"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b w:val="1"/>
          <w:bCs w:val="1"/>
          <w:color w:val="auto"/>
        </w:rPr>
        <w:t xml:space="preserve">ALLETE Clean Energy Asset Acquisition. </w:t>
      </w:r>
      <w:r>
        <w:rPr>
          <w:rFonts w:ascii="Arial" w:cs="Arial" w:eastAsia="Arial" w:hAnsi="Arial"/>
          <w:sz w:val="17"/>
          <w:szCs w:val="17"/>
          <w:color w:val="auto"/>
        </w:rPr>
        <w:t>On March 10, 2020, ALLETE Clean Energy acquired the rights to the approximately 300 MW Caddo wind</w:t>
      </w:r>
      <w:r>
        <w:rPr>
          <w:rFonts w:ascii="Arial" w:cs="Arial" w:eastAsia="Arial" w:hAnsi="Arial"/>
          <w:sz w:val="17"/>
          <w:szCs w:val="17"/>
          <w:b w:val="1"/>
          <w:bCs w:val="1"/>
          <w:color w:val="auto"/>
        </w:rPr>
        <w:t xml:space="preserve"> </w:t>
      </w:r>
      <w:r>
        <w:rPr>
          <w:rFonts w:ascii="Arial" w:cs="Arial" w:eastAsia="Arial" w:hAnsi="Arial"/>
          <w:sz w:val="17"/>
          <w:szCs w:val="17"/>
          <w:color w:val="auto"/>
        </w:rPr>
        <w:t>project in Oklahoma from Apex Clean Energy for approximately $8 million with additional payments required to be made at defined milestones. The full development of this wind project will involve the sale of energy to corporate customers under long-term power sales agreements.</w:t>
      </w:r>
    </w:p>
    <w:p>
      <w:pPr>
        <w:spacing w:after="0" w:line="18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Non-Controlling Interest in Subsidiaries. </w:t>
      </w:r>
      <w:r>
        <w:rPr>
          <w:rFonts w:ascii="Arial" w:cs="Arial" w:eastAsia="Arial" w:hAnsi="Arial"/>
          <w:sz w:val="17"/>
          <w:szCs w:val="17"/>
          <w:color w:val="auto"/>
        </w:rPr>
        <w:t>Non-controlling interest in subsidiaries on the Consolidated Balance Sheet and net loss attributable to non-controlling interest on the Consolidated Statement of Income represent the portion of equity ownership and earnings, respectively, of subsidiaries that are not attributable to equity holders of ALLETE. These amounts as of and during the quarter and six months ended June 30, 2020, related to the tax equity financing structure for ALLETE Clean Energy’s 106 MW Glen Ullin and 80 MW South Peak wind energy facilities.</w:t>
      </w:r>
    </w:p>
    <w:p>
      <w:pPr>
        <w:spacing w:after="0" w:line="19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April 16, 2020, ALLETE Clean Energy commenced operations of South Peak, an 80 MW wind energy facility in Montana, and on April 29, 2020, received $67.8 million in cash, net of issuance costs, from a third-party investor as part of a tax equity financing for this wind energy facility.</w:t>
      </w:r>
    </w:p>
    <w:p>
      <w:pPr>
        <w:spacing w:after="0" w:line="1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date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Credit Losses. </w:t>
      </w:r>
      <w:r>
        <w:rPr>
          <w:rFonts w:ascii="Arial" w:cs="Arial" w:eastAsia="Arial" w:hAnsi="Arial"/>
          <w:sz w:val="18"/>
          <w:szCs w:val="18"/>
          <w:color w:val="auto"/>
        </w:rPr>
        <w:t>In 2016, the FASB issued an accounting standard update that requires entities to recognize an allowance for expected credit losses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instruments within its scope. Examples of financial instruments within the scope include trade receivables, certain financial guarantees, and held-to-maturity debt securities. The allowance for expected credit losses should be based on historical information, current conditions and reasonable and supportable forecasts. The new standard also revises the other-than-temporary impairment model for available-for-sale debt securities. The new guidance became effective January 1, 2020, and was adopted by the Company in the first quarter of 2020. Adoption of this standard did not have a material impact on our Consolidated Financial Statements.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REGULATORY MATTERS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Regulatory matters are summarized in Note 4. Regulatory Matters to the Consolidated Financial Statements in our 2019 Form 10-K, with additional disclosure provided in the following paragraphs.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PSCW or FERC. As authorized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MPUC, Minnesota Power also recognizes revenue under cost recovery riders for transmission, renewable, and environmental investments and expenditures. Revenue from cost recovery riders was $14.9 million for the six months ended June 30, 2020 ($17.4 million for six months ended June 30, 2019).</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ectPr>
          <w:pgSz w:w="11900" w:h="16838" w:orient="portrait"/>
          <w:cols w:equalWidth="0" w:num="1">
            <w:col w:w="11240"/>
          </w:cols>
          <w:pgMar w:left="320" w:top="891" w:right="339" w:bottom="1440"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2.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2020 Minnesota General Rate Case. </w:t>
      </w:r>
      <w:r>
        <w:rPr>
          <w:rFonts w:ascii="Arial" w:cs="Arial" w:eastAsia="Arial" w:hAnsi="Arial"/>
          <w:sz w:val="16"/>
          <w:szCs w:val="16"/>
          <w:color w:val="auto"/>
        </w:rPr>
        <w:t>In November 2019, Minnesota Power filed a retail rate increase request with the MPUC seeking an average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approximately 10.6 percent for retail customers. The rate filing sought a return on equity of 10.05 percent and a 53.81 percent equity ratio. On an annualized basis, the requested final rate increase would have generated approximately $66 million in additional revenue. In orders dated December 23, 2019, the MPUC accepted the filing as complete and authorized an annual interim rate increase of $36.1 million that began January 1, 2020.</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April 23, 2020, Minnesota Power filed a request with the MPUC that proposed a resolution of Minnesota Power’s 2020 general rate case. Key components of our proposal included removing the power marketing margin credit in base rates and reflecting actual power marketing margins in the fuel adjustment clause effective May 1, 2020; refunding to customers interim rates collected through April 2020; increasing customer rates 4.1 percent compared to the 5.8 percent increase reflected in interim rates; and a provision that Minnesota Power would not file another rate case until at least November 1, 2021, unless certain events occur. In an order dated June 30, 2020, the MPUC approved Minnesota Power’s petition and proposal to resolve and withdraw the general rate case. Effective May 1, 2020, customer rates were set at an increase of 4.1 percent with the removal of the power marketing margin credit from base rates. Actual power marketing margins will be reflected in the fuel adjustment clause on an ongoing basis. As of June 30, 2020, reserves for interim rates of $11.7 million were recorded, which are expected to be refunded to customers in the third quarter of 2020.</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Transmission Cost Recovery Rider</w:t>
      </w:r>
      <w:r>
        <w:rPr>
          <w:rFonts w:ascii="Arial" w:cs="Arial" w:eastAsia="Arial" w:hAnsi="Arial"/>
          <w:sz w:val="18"/>
          <w:szCs w:val="18"/>
          <w:color w:val="auto"/>
        </w:rPr>
        <w:t>. Minnesota Power has an approved cost recovery rider in place for certain transmission investments and expenditures.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a 2016 order, the MPUC approved Minnesota Power’s updated customer billing rates allowing Minnesota Power to charge retail customers on a current basis for the costs of constructing certain transmission facilities plus a return on the capital invested. On July 9, 2019, Minnesota Power filed a petition seeking MPUC approval to update the customer billing factor to include investments made for the GNTL, which was approved at a hearing on May 14, 2020. (See Note 6. Commitments, Guarantees and Contingencies.)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Renewable Cost Recovery Rider. </w:t>
      </w:r>
      <w:r>
        <w:rPr>
          <w:rFonts w:ascii="Arial" w:cs="Arial" w:eastAsia="Arial" w:hAnsi="Arial"/>
          <w:sz w:val="17"/>
          <w:szCs w:val="17"/>
          <w:color w:val="auto"/>
        </w:rPr>
        <w:t>Minnesota Power has an approved cost recovery rider for certain renewable investments and expenditures. The cost</w:t>
      </w:r>
      <w:r>
        <w:rPr>
          <w:rFonts w:ascii="Arial" w:cs="Arial" w:eastAsia="Arial" w:hAnsi="Arial"/>
          <w:sz w:val="17"/>
          <w:szCs w:val="17"/>
          <w:i w:val="1"/>
          <w:iCs w:val="1"/>
          <w:color w:val="auto"/>
        </w:rPr>
        <w:t xml:space="preserve"> </w:t>
      </w:r>
      <w:r>
        <w:rPr>
          <w:rFonts w:ascii="Arial" w:cs="Arial" w:eastAsia="Arial" w:hAnsi="Arial"/>
          <w:sz w:val="17"/>
          <w:szCs w:val="17"/>
          <w:color w:val="auto"/>
        </w:rPr>
        <w:t>recovery rider allows Minnesota Power to charge retail customers on a current basis for the costs of certain renewable investments plus a return on the capital invested. Current customer billing rates for the renewable cost recovery rider were approved by the MPUC in a November 2018 order. On August 15, 2019, Minnesota Power filed a petition seeking MPUC approval to update the customer billing factor.</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30, 2020, Minnesota Power filed a petition seeking MPUC approval of a customer billing rate for solar costs related to investments and expenditures for meeting the state of Minnesota’s solar energy standard.</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Fuel Adjustment Clause Reform</w:t>
      </w:r>
      <w:r>
        <w:rPr>
          <w:rFonts w:ascii="Arial" w:cs="Arial" w:eastAsia="Arial" w:hAnsi="Arial"/>
          <w:sz w:val="16"/>
          <w:szCs w:val="16"/>
          <w:color w:val="auto"/>
        </w:rPr>
        <w:t>. In a 2017 order, the MPUC adopted a program to implement certain procedural reforms to Minnesota utilities’ automatic</w:t>
      </w:r>
      <w:r>
        <w:rPr>
          <w:rFonts w:ascii="Arial" w:cs="Arial" w:eastAsia="Arial" w:hAnsi="Arial"/>
          <w:sz w:val="16"/>
          <w:szCs w:val="16"/>
          <w:i w:val="1"/>
          <w:iCs w:val="1"/>
          <w:color w:val="auto"/>
        </w:rPr>
        <w:t xml:space="preserve"> </w:t>
      </w:r>
      <w:r>
        <w:rPr>
          <w:rFonts w:ascii="Arial" w:cs="Arial" w:eastAsia="Arial" w:hAnsi="Arial"/>
          <w:sz w:val="16"/>
          <w:szCs w:val="16"/>
          <w:color w:val="auto"/>
        </w:rPr>
        <w:t>fuel adjustment clause (FAC) for fuel and purchased power. With this order, the method of accounting for all Minnesota electric utilities changed to a monthly budgeted, forward-looking FAC with annual prudence review and true-up to actual allowed costs. On May 1, 2019, Minnesota Power filed its fuel adjustment forecast for 2020, which was accepted by the MPUC in an order dated November 14, 2019, for purposes of setting fuel adjustment clause rates for 2020, subject to a true-up filing in 2021. On May 1, 2020, Minnesota Power filed its fuel adjustment forecast for 2021, subject to MPUC approval.</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COVID-19 Related Costs</w:t>
      </w:r>
      <w:r>
        <w:rPr>
          <w:rFonts w:ascii="Arial" w:cs="Arial" w:eastAsia="Arial" w:hAnsi="Arial"/>
          <w:sz w:val="17"/>
          <w:szCs w:val="17"/>
          <w:color w:val="auto"/>
        </w:rPr>
        <w:t>. In an order dated March 24, 2020, the PSCW authorized public utilities, which includes SWL&amp;P, to defer expenditures incurred</w:t>
      </w:r>
      <w:r>
        <w:rPr>
          <w:rFonts w:ascii="Arial" w:cs="Arial" w:eastAsia="Arial" w:hAnsi="Arial"/>
          <w:sz w:val="17"/>
          <w:szCs w:val="17"/>
          <w:i w:val="1"/>
          <w:iCs w:val="1"/>
          <w:color w:val="auto"/>
        </w:rPr>
        <w:t xml:space="preserve"> </w:t>
      </w:r>
      <w:r>
        <w:rPr>
          <w:rFonts w:ascii="Arial" w:cs="Arial" w:eastAsia="Arial" w:hAnsi="Arial"/>
          <w:sz w:val="17"/>
          <w:szCs w:val="17"/>
          <w:color w:val="auto"/>
        </w:rPr>
        <w:t>by the utility resulting from its compliance with state government or regulator orders, and as otherwise required to ensure the provision of safe, reliable and affordable access to utility services during Wisconsin’s declared public health emergency for COVID-19. On April 20, 2020, Minnesota Power along with other regulated electric and natural gas service providers in Minnesota filed a joint petition to request MPUC authorization to track incremental costs and expenses incurred as a result of the COVID-19 pandemic, and to defer and record such costs as a regulatory asset, subject to recovery in a future proceeding. In an order dated May 22, 2020, the MPUC approved the joint petition requiring the joint petitioners to track cost and revenue impacts resulting from the COVID-19 pandemic with review for recovery in a future rate proceeding.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2. REGULATORY MATTERS (Continued)</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Integrated Resource Plan. </w:t>
      </w:r>
      <w:r>
        <w:rPr>
          <w:rFonts w:ascii="Arial" w:cs="Arial" w:eastAsia="Arial" w:hAnsi="Arial"/>
          <w:sz w:val="17"/>
          <w:szCs w:val="17"/>
          <w:color w:val="auto"/>
        </w:rPr>
        <w:t>In a 2016 order, the MPUC approved Minnesota Power’s 2015 IRP with modifications. The order accepted Minnesota Power’s</w:t>
      </w:r>
      <w:r>
        <w:rPr>
          <w:rFonts w:ascii="Arial" w:cs="Arial" w:eastAsia="Arial" w:hAnsi="Arial"/>
          <w:sz w:val="17"/>
          <w:szCs w:val="17"/>
          <w:b w:val="1"/>
          <w:bCs w:val="1"/>
          <w:color w:val="auto"/>
        </w:rPr>
        <w:t xml:space="preserve"> </w:t>
      </w:r>
      <w:r>
        <w:rPr>
          <w:rFonts w:ascii="Arial" w:cs="Arial" w:eastAsia="Arial" w:hAnsi="Arial"/>
          <w:sz w:val="17"/>
          <w:szCs w:val="17"/>
          <w:color w:val="auto"/>
        </w:rPr>
        <w:t>plans for the economic idling of Taconite Harbor Units 1 and 2 and the ceasing of coal-fired operations at Taconite Harbor in 2020, directed Minnesota Power to retire Boswell Units 1 and 2 no later than 2022, required an analysis of generation and demand response alternatives to be filed with a natural gas resource proposal, and required Minnesota Power to conduct requests for proposal for additional wind, solar and demand response resource additions. Minnesota Power retired Boswell Units 1 and 2 in the fourth quarter of 2018. The MPUC also has required a baseload retirement evaluation in Minnesota Power’s next IRP filing analyzing its existing fleet, including potential early retirement scenarios of Boswell Units 3 and 4, as well as a securitization plan. Minnesota Power’s next IRP filing was due October 1, 2020; however, on May 29, 2020, Minnesota Power filed a request to extend the deadline for submitting its next IRP filing citing the COVID-19 pandemic. On July 30, 2020, the MPUC granted an extension of the deadline for submission until February 1, 2021, with interim reports due in the fourth quarter of 2020.</w:t>
      </w:r>
    </w:p>
    <w:p>
      <w:pPr>
        <w:spacing w:after="0" w:line="20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Nemadji Trail Energy Center. </w:t>
      </w:r>
      <w:r>
        <w:rPr>
          <w:rFonts w:ascii="Arial" w:cs="Arial" w:eastAsia="Arial" w:hAnsi="Arial"/>
          <w:sz w:val="16"/>
          <w:szCs w:val="16"/>
          <w:color w:val="auto"/>
        </w:rPr>
        <w:t>In 2017, Minnesota Power submitted a resource package to the MPUC which included requesting approval of a 250 MW</w:t>
      </w:r>
      <w:r>
        <w:rPr>
          <w:rFonts w:ascii="Arial" w:cs="Arial" w:eastAsia="Arial" w:hAnsi="Arial"/>
          <w:sz w:val="16"/>
          <w:szCs w:val="16"/>
          <w:b w:val="1"/>
          <w:bCs w:val="1"/>
          <w:color w:val="auto"/>
        </w:rPr>
        <w:t xml:space="preserve"> </w:t>
      </w:r>
      <w:r>
        <w:rPr>
          <w:rFonts w:ascii="Arial" w:cs="Arial" w:eastAsia="Arial" w:hAnsi="Arial"/>
          <w:sz w:val="16"/>
          <w:szCs w:val="16"/>
          <w:color w:val="auto"/>
        </w:rPr>
        <w:t>natural gas capacity dedication agreement. The natural gas capacity dedication agreement was subject to MPUC approval of the construction of NTEC, a 525 MW to 550 MW combined-cycle natural gas-fired generating facility which will be jointly owned by Dairyland Power Cooperative and a subsidiary of ALLETE. Minnesota Power would purchase approximately 50 percent of the facility's output starting in 2025. In an order dated January 24, 2019, the MPUC approved Minnesota Power’s request for approval of the NTEC natural gas capacity dedication agreement. On December 23, 2019, the Minnesota Court of Appeals reversed and remanded the MPUC’s decision to approve certain affiliated-interest agreements. The MPUC was ordered to determine whether NTEC may have the potential for significant environmental effects and, if so, to prepare an environmental assessment worksheet before reassessing the agreements. On January 22, 2020, Minnesota Power filed a petition for further review with the Minnesota Supreme Court requesting that it review and overturn the Minnesota Court of Appeals decision, which petition was accepted for review by the Minnesota Supreme Court on March 18, 2020. On January 8, 2019, an application for a certificate of public convenience and necessity for NTEC was submitted to the PSCW, which was approved by the PSCW at a hearing on January 16, 2020. Construction of NTEC is subject to obtaining additional permits from local, state and federal authorities. The total project cost is estimated to be approximately $700 million, of which ALLETE’s portion is expected to be approximately $350 million. ALLETE’s portion of NTEC project costs incurred through June 30, 2020, is approximately $14 million.</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Conservation Improvement Program. </w:t>
      </w:r>
      <w:r>
        <w:rPr>
          <w:rFonts w:ascii="Arial" w:cs="Arial" w:eastAsia="Arial" w:hAnsi="Arial"/>
          <w:sz w:val="18"/>
          <w:szCs w:val="18"/>
          <w:color w:val="auto"/>
        </w:rPr>
        <w:t>On July 1, 2020, Minnesota Power submitted its CIP triennial filing for 2021 through 2023 to the MPUC, which</w:t>
      </w:r>
      <w:r>
        <w:rPr>
          <w:rFonts w:ascii="Arial" w:cs="Arial" w:eastAsia="Arial" w:hAnsi="Arial"/>
          <w:sz w:val="18"/>
          <w:szCs w:val="18"/>
          <w:b w:val="1"/>
          <w:bCs w:val="1"/>
          <w:color w:val="auto"/>
        </w:rPr>
        <w:t xml:space="preserve"> </w:t>
      </w:r>
      <w:r>
        <w:rPr>
          <w:rFonts w:ascii="Arial" w:cs="Arial" w:eastAsia="Arial" w:hAnsi="Arial"/>
          <w:sz w:val="18"/>
          <w:szCs w:val="18"/>
          <w:color w:val="auto"/>
        </w:rPr>
        <w:t>outlines Minnesota Power’s CIP spending and energy-saving goals for those years. Minnesota Power’s CIP investment goals are $10.5 million for 2021, $10.7 million for 2022 and $10.9 million for 2023, subject to MPUC approval.</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MISO Return on Equity Complaint. </w:t>
      </w:r>
      <w:r>
        <w:rPr>
          <w:rFonts w:ascii="Arial" w:cs="Arial" w:eastAsia="Arial" w:hAnsi="Arial"/>
          <w:sz w:val="18"/>
          <w:szCs w:val="18"/>
          <w:color w:val="auto"/>
        </w:rPr>
        <w:t>MISO transmission owners, including ALLETE and ATC, have an authorized return on equity of 10.02 percent, or</w:t>
      </w:r>
      <w:r>
        <w:rPr>
          <w:rFonts w:ascii="Arial" w:cs="Arial" w:eastAsia="Arial" w:hAnsi="Arial"/>
          <w:sz w:val="18"/>
          <w:szCs w:val="18"/>
          <w:b w:val="1"/>
          <w:bCs w:val="1"/>
          <w:color w:val="auto"/>
        </w:rPr>
        <w:t xml:space="preserve"> </w:t>
      </w:r>
      <w:r>
        <w:rPr>
          <w:rFonts w:ascii="Arial" w:cs="Arial" w:eastAsia="Arial" w:hAnsi="Arial"/>
          <w:sz w:val="18"/>
          <w:szCs w:val="18"/>
          <w:color w:val="auto"/>
        </w:rPr>
        <w:t>10.52 percent including an incentive adder for participation in a regional transmission organization, based on a May 21, 2020, FERC order that granted rehearing of a November 2019 FERC order, which had reduced the base return on equity for regional transmission organizations to 9.88 percent, or 10.38 percent including an incentive adder.</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Minnesota Solar Energy Standard. </w:t>
      </w:r>
      <w:r>
        <w:rPr>
          <w:rFonts w:ascii="Arial" w:cs="Arial" w:eastAsia="Arial" w:hAnsi="Arial"/>
          <w:sz w:val="18"/>
          <w:szCs w:val="18"/>
          <w:color w:val="auto"/>
        </w:rPr>
        <w:t>On May 20, 2020, the MPUC issued a notice requesting all regulated gas and electric utilities provide a list of all</w:t>
      </w:r>
      <w:r>
        <w:rPr>
          <w:rFonts w:ascii="Arial" w:cs="Arial" w:eastAsia="Arial" w:hAnsi="Arial"/>
          <w:sz w:val="18"/>
          <w:szCs w:val="18"/>
          <w:b w:val="1"/>
          <w:bCs w:val="1"/>
          <w:color w:val="auto"/>
        </w:rPr>
        <w:t xml:space="preserve"> </w:t>
      </w:r>
      <w:r>
        <w:rPr>
          <w:rFonts w:ascii="Arial" w:cs="Arial" w:eastAsia="Arial" w:hAnsi="Arial"/>
          <w:sz w:val="18"/>
          <w:szCs w:val="18"/>
          <w:color w:val="auto"/>
        </w:rPr>
        <w:t>ongoing, planned, or possible investments that support Minnesota’s energy policy objectives and aid economic recovery in Minnesota, among other items. On June 17, 2020, Minnesota Power filed a response which included outlining a proposal to accelerate its plans for solar energy with an estimated $40 million investment in approximately 20 MW of solar energy projects in Minnesota.</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Regulatory Assets and Liabilities. </w:t>
      </w:r>
      <w:r>
        <w:rPr>
          <w:rFonts w:ascii="Arial" w:cs="Arial" w:eastAsia="Arial" w:hAnsi="Arial"/>
          <w:sz w:val="18"/>
          <w:szCs w:val="18"/>
          <w:color w:val="auto"/>
        </w:rPr>
        <w:t>Our regulated utility operations are subject to accounting guidance for the effect of certain types of regulation.</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With the exception of the regulatory asset for Boswell Units 1 and 2 net plant and equipment, no other regulatory assets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2.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Assets and Liabilities (Continued)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298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Regulatory Assets and Liabilities</w:t>
            </w:r>
          </w:p>
        </w:tc>
        <w:tc>
          <w:tcPr>
            <w:tcW w:w="2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r>
      <w:tr>
        <w:trPr>
          <w:trHeight w:val="27"/>
        </w:trPr>
        <w:tc>
          <w:tcPr>
            <w:tcW w:w="67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9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Regulatory Assets</w:t>
            </w:r>
          </w:p>
        </w:tc>
        <w:tc>
          <w:tcPr>
            <w:tcW w:w="29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tcPr>
          <w:p>
            <w:pPr>
              <w:ind w:left="220"/>
              <w:spacing w:after="0"/>
              <w:rPr>
                <w:sz w:val="20"/>
                <w:szCs w:val="20"/>
                <w:color w:val="auto"/>
              </w:rPr>
            </w:pPr>
            <w:r>
              <w:rPr>
                <w:rFonts w:ascii="Arial" w:cs="Arial" w:eastAsia="Arial" w:hAnsi="Arial"/>
                <w:sz w:val="18"/>
                <w:szCs w:val="18"/>
                <w:color w:val="auto"/>
              </w:rPr>
              <w:t>Defined Benefit Pension and Other Postretirement Benefit Plans</w:t>
            </w:r>
          </w:p>
        </w:tc>
        <w:tc>
          <w:tcPr>
            <w:tcW w:w="2980" w:type="dxa"/>
            <w:vAlign w:val="bottom"/>
          </w:tcPr>
          <w:p>
            <w:pPr>
              <w:jc w:val="right"/>
              <w:ind w:right="430"/>
              <w:spacing w:after="0"/>
              <w:rPr>
                <w:sz w:val="20"/>
                <w:szCs w:val="20"/>
                <w:color w:val="auto"/>
              </w:rPr>
            </w:pPr>
            <w:r>
              <w:rPr>
                <w:rFonts w:ascii="Arial" w:cs="Arial" w:eastAsia="Arial" w:hAnsi="Arial"/>
                <w:sz w:val="18"/>
                <w:szCs w:val="18"/>
                <w:color w:val="auto"/>
              </w:rPr>
              <w:t>$208.0</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$212.9</w:t>
            </w:r>
          </w:p>
        </w:tc>
      </w:tr>
      <w:tr>
        <w:trPr>
          <w:trHeight w:val="27"/>
        </w:trPr>
        <w:tc>
          <w:tcPr>
            <w:tcW w:w="67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29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122.1</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123.4</w:t>
            </w:r>
          </w:p>
        </w:tc>
      </w:tr>
      <w:tr>
        <w:trPr>
          <w:trHeight w:val="243"/>
        </w:trPr>
        <w:tc>
          <w:tcPr>
            <w:tcW w:w="6780" w:type="dxa"/>
            <w:vAlign w:val="bottom"/>
          </w:tcPr>
          <w:p>
            <w:pPr>
              <w:ind w:left="220"/>
              <w:spacing w:after="0"/>
              <w:rPr>
                <w:sz w:val="20"/>
                <w:szCs w:val="20"/>
                <w:color w:val="auto"/>
              </w:rPr>
            </w:pPr>
            <w:r>
              <w:rPr>
                <w:rFonts w:ascii="Arial" w:cs="Arial" w:eastAsia="Arial" w:hAnsi="Arial"/>
                <w:sz w:val="18"/>
                <w:szCs w:val="18"/>
                <w:color w:val="auto"/>
              </w:rPr>
              <w:t>Cost Recovery Riders</w:t>
            </w:r>
          </w:p>
        </w:tc>
        <w:tc>
          <w:tcPr>
            <w:tcW w:w="2980" w:type="dxa"/>
            <w:vAlign w:val="bottom"/>
          </w:tcPr>
          <w:p>
            <w:pPr>
              <w:jc w:val="right"/>
              <w:ind w:right="430"/>
              <w:spacing w:after="0"/>
              <w:rPr>
                <w:sz w:val="20"/>
                <w:szCs w:val="20"/>
                <w:color w:val="auto"/>
              </w:rPr>
            </w:pPr>
            <w:r>
              <w:rPr>
                <w:rFonts w:ascii="Arial" w:cs="Arial" w:eastAsia="Arial" w:hAnsi="Arial"/>
                <w:sz w:val="18"/>
                <w:szCs w:val="18"/>
                <w:color w:val="auto"/>
              </w:rPr>
              <w:t>39.3</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24.7</w:t>
            </w:r>
          </w:p>
        </w:tc>
      </w:tr>
      <w:tr>
        <w:trPr>
          <w:trHeight w:val="27"/>
        </w:trPr>
        <w:tc>
          <w:tcPr>
            <w:tcW w:w="67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Asset Retirement Obligations</w:t>
            </w:r>
          </w:p>
        </w:tc>
        <w:tc>
          <w:tcPr>
            <w:tcW w:w="29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31.7</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32.0</w:t>
            </w:r>
          </w:p>
        </w:tc>
      </w:tr>
      <w:tr>
        <w:trPr>
          <w:trHeight w:val="270"/>
        </w:trPr>
        <w:tc>
          <w:tcPr>
            <w:tcW w:w="6780" w:type="dxa"/>
            <w:vAlign w:val="bottom"/>
          </w:tcPr>
          <w:p>
            <w:pPr>
              <w:ind w:left="220"/>
              <w:spacing w:after="0"/>
              <w:rPr>
                <w:sz w:val="20"/>
                <w:szCs w:val="20"/>
                <w:color w:val="auto"/>
              </w:rPr>
            </w:pPr>
            <w:r>
              <w:rPr>
                <w:rFonts w:ascii="Arial" w:cs="Arial" w:eastAsia="Arial" w:hAnsi="Arial"/>
                <w:sz w:val="18"/>
                <w:szCs w:val="18"/>
                <w:color w:val="auto"/>
              </w:rPr>
              <w:t>Manufactured Gas Plant</w:t>
            </w:r>
          </w:p>
        </w:tc>
        <w:tc>
          <w:tcPr>
            <w:tcW w:w="2980" w:type="dxa"/>
            <w:vAlign w:val="bottom"/>
          </w:tcPr>
          <w:p>
            <w:pPr>
              <w:jc w:val="right"/>
              <w:ind w:right="430"/>
              <w:spacing w:after="0"/>
              <w:rPr>
                <w:sz w:val="20"/>
                <w:szCs w:val="20"/>
                <w:color w:val="auto"/>
              </w:rPr>
            </w:pPr>
            <w:r>
              <w:rPr>
                <w:rFonts w:ascii="Arial" w:cs="Arial" w:eastAsia="Arial" w:hAnsi="Arial"/>
                <w:sz w:val="18"/>
                <w:szCs w:val="18"/>
                <w:color w:val="auto"/>
              </w:rPr>
              <w:t>8.3</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8.2</w:t>
            </w:r>
          </w:p>
        </w:tc>
      </w:tr>
      <w:tr>
        <w:trPr>
          <w:trHeight w:val="250"/>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Boswell Units 1 and 2 Net Plant and Equipment</w:t>
            </w:r>
          </w:p>
        </w:tc>
        <w:tc>
          <w:tcPr>
            <w:tcW w:w="29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7.8</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w:t>
            </w:r>
          </w:p>
        </w:tc>
      </w:tr>
      <w:tr>
        <w:trPr>
          <w:trHeight w:val="243"/>
        </w:trPr>
        <w:tc>
          <w:tcPr>
            <w:tcW w:w="6780" w:type="dxa"/>
            <w:vAlign w:val="bottom"/>
          </w:tcPr>
          <w:p>
            <w:pPr>
              <w:ind w:left="220"/>
              <w:spacing w:after="0"/>
              <w:rPr>
                <w:sz w:val="20"/>
                <w:szCs w:val="20"/>
                <w:color w:val="auto"/>
              </w:rPr>
            </w:pPr>
            <w:r>
              <w:rPr>
                <w:rFonts w:ascii="Arial" w:cs="Arial" w:eastAsia="Arial" w:hAnsi="Arial"/>
                <w:sz w:val="18"/>
                <w:szCs w:val="18"/>
                <w:color w:val="auto"/>
              </w:rPr>
              <w:t>PPACA Income Tax Deferral</w:t>
            </w:r>
          </w:p>
        </w:tc>
        <w:tc>
          <w:tcPr>
            <w:tcW w:w="2980" w:type="dxa"/>
            <w:vAlign w:val="bottom"/>
          </w:tcPr>
          <w:p>
            <w:pPr>
              <w:jc w:val="right"/>
              <w:ind w:right="430"/>
              <w:spacing w:after="0"/>
              <w:rPr>
                <w:sz w:val="20"/>
                <w:szCs w:val="20"/>
                <w:color w:val="auto"/>
              </w:rPr>
            </w:pPr>
            <w:r>
              <w:rPr>
                <w:rFonts w:ascii="Arial" w:cs="Arial" w:eastAsia="Arial" w:hAnsi="Arial"/>
                <w:sz w:val="18"/>
                <w:szCs w:val="18"/>
                <w:color w:val="auto"/>
              </w:rPr>
              <w:t>4.7</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4.8</w:t>
            </w:r>
          </w:p>
        </w:tc>
      </w:tr>
      <w:tr>
        <w:trPr>
          <w:trHeight w:val="27"/>
        </w:trPr>
        <w:tc>
          <w:tcPr>
            <w:tcW w:w="67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9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2.8</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w:t>
            </w:r>
          </w:p>
        </w:tc>
      </w:tr>
      <w:tr>
        <w:trPr>
          <w:trHeight w:val="237"/>
        </w:trPr>
        <w:tc>
          <w:tcPr>
            <w:tcW w:w="6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Non-Current Regulatory Assets</w:t>
            </w:r>
          </w:p>
        </w:tc>
        <w:tc>
          <w:tcPr>
            <w:tcW w:w="29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$424.7</w:t>
            </w:r>
          </w:p>
        </w:tc>
        <w:tc>
          <w:tcPr>
            <w:tcW w:w="14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$420.5</w:t>
            </w:r>
          </w:p>
        </w:tc>
      </w:tr>
      <w:tr>
        <w:trPr>
          <w:trHeight w:val="27"/>
        </w:trPr>
        <w:tc>
          <w:tcPr>
            <w:tcW w:w="67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678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70"/>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 xml:space="preserve">Current Regulatory Liabilities </w:t>
            </w:r>
            <w:r>
              <w:rPr>
                <w:rFonts w:ascii="Arial" w:cs="Arial" w:eastAsia="Arial" w:hAnsi="Arial"/>
                <w:sz w:val="16"/>
                <w:szCs w:val="16"/>
                <w:i w:val="1"/>
                <w:iCs w:val="1"/>
                <w:color w:val="auto"/>
              </w:rPr>
              <w:t>(a)</w:t>
            </w:r>
          </w:p>
        </w:tc>
        <w:tc>
          <w:tcPr>
            <w:tcW w:w="29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Provision for Interim Rate Refund </w:t>
            </w:r>
            <w:r>
              <w:rPr>
                <w:rFonts w:ascii="Arial" w:cs="Arial" w:eastAsia="Arial" w:hAnsi="Arial"/>
                <w:sz w:val="16"/>
                <w:szCs w:val="16"/>
                <w:i w:val="1"/>
                <w:iCs w:val="1"/>
                <w:color w:val="auto"/>
              </w:rPr>
              <w:t>(b)</w:t>
            </w:r>
          </w:p>
        </w:tc>
        <w:tc>
          <w:tcPr>
            <w:tcW w:w="2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$11.7</w:t>
            </w: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6780" w:type="dxa"/>
            <w:vAlign w:val="bottom"/>
          </w:tcPr>
          <w:p>
            <w:pPr>
              <w:ind w:left="220"/>
              <w:spacing w:after="0"/>
              <w:rPr>
                <w:sz w:val="20"/>
                <w:szCs w:val="20"/>
                <w:color w:val="auto"/>
              </w:rPr>
            </w:pPr>
            <w:r>
              <w:rPr>
                <w:rFonts w:ascii="Arial" w:cs="Arial" w:eastAsia="Arial" w:hAnsi="Arial"/>
                <w:sz w:val="18"/>
                <w:szCs w:val="18"/>
                <w:color w:val="auto"/>
              </w:rPr>
              <w:t>Transmission Formula Rates Refund</w:t>
            </w:r>
          </w:p>
        </w:tc>
        <w:tc>
          <w:tcPr>
            <w:tcW w:w="2980" w:type="dxa"/>
            <w:vAlign w:val="bottom"/>
          </w:tcPr>
          <w:p>
            <w:pPr>
              <w:jc w:val="right"/>
              <w:ind w:right="430"/>
              <w:spacing w:after="0"/>
              <w:rPr>
                <w:sz w:val="20"/>
                <w:szCs w:val="20"/>
                <w:color w:val="auto"/>
              </w:rPr>
            </w:pPr>
            <w:r>
              <w:rPr>
                <w:rFonts w:ascii="Arial" w:cs="Arial" w:eastAsia="Arial" w:hAnsi="Arial"/>
                <w:sz w:val="18"/>
                <w:szCs w:val="18"/>
                <w:color w:val="auto"/>
              </w:rPr>
              <w:t>0.8</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$1.7</w:t>
            </w:r>
          </w:p>
        </w:tc>
      </w:tr>
      <w:tr>
        <w:trPr>
          <w:trHeight w:val="27"/>
        </w:trPr>
        <w:tc>
          <w:tcPr>
            <w:tcW w:w="67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9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1.7</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37"/>
        </w:trPr>
        <w:tc>
          <w:tcPr>
            <w:tcW w:w="678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Total Current Regulatory Liabilities</w:t>
            </w:r>
          </w:p>
        </w:tc>
        <w:tc>
          <w:tcPr>
            <w:tcW w:w="29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14.2</w:t>
            </w:r>
          </w:p>
        </w:tc>
        <w:tc>
          <w:tcPr>
            <w:tcW w:w="14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w:t>
            </w:r>
          </w:p>
        </w:tc>
      </w:tr>
      <w:tr>
        <w:trPr>
          <w:trHeight w:val="27"/>
        </w:trPr>
        <w:tc>
          <w:tcPr>
            <w:tcW w:w="67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Regulatory Liabilities</w:t>
            </w:r>
          </w:p>
        </w:tc>
        <w:tc>
          <w:tcPr>
            <w:tcW w:w="29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2980" w:type="dxa"/>
            <w:vAlign w:val="bottom"/>
          </w:tcPr>
          <w:p>
            <w:pPr>
              <w:jc w:val="right"/>
              <w:ind w:right="430"/>
              <w:spacing w:after="0"/>
              <w:rPr>
                <w:sz w:val="20"/>
                <w:szCs w:val="20"/>
                <w:color w:val="auto"/>
              </w:rPr>
            </w:pPr>
            <w:r>
              <w:rPr>
                <w:rFonts w:ascii="Arial" w:cs="Arial" w:eastAsia="Arial" w:hAnsi="Arial"/>
                <w:sz w:val="18"/>
                <w:szCs w:val="18"/>
                <w:color w:val="auto"/>
              </w:rPr>
              <w:t>395.5</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407.2</w:t>
            </w:r>
          </w:p>
        </w:tc>
      </w:tr>
      <w:tr>
        <w:trPr>
          <w:trHeight w:val="27"/>
        </w:trPr>
        <w:tc>
          <w:tcPr>
            <w:tcW w:w="67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Wholesale and Retail Contra AFUDC</w:t>
            </w:r>
          </w:p>
        </w:tc>
        <w:tc>
          <w:tcPr>
            <w:tcW w:w="29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87.4</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79.3</w:t>
            </w:r>
          </w:p>
        </w:tc>
      </w:tr>
      <w:tr>
        <w:trPr>
          <w:trHeight w:val="243"/>
        </w:trPr>
        <w:tc>
          <w:tcPr>
            <w:tcW w:w="6780" w:type="dxa"/>
            <w:vAlign w:val="bottom"/>
          </w:tcPr>
          <w:p>
            <w:pPr>
              <w:ind w:left="220"/>
              <w:spacing w:after="0"/>
              <w:rPr>
                <w:sz w:val="20"/>
                <w:szCs w:val="20"/>
                <w:color w:val="auto"/>
              </w:rPr>
            </w:pPr>
            <w:r>
              <w:rPr>
                <w:rFonts w:ascii="Arial" w:cs="Arial" w:eastAsia="Arial" w:hAnsi="Arial"/>
                <w:sz w:val="18"/>
                <w:szCs w:val="18"/>
                <w:color w:val="auto"/>
              </w:rPr>
              <w:t>Plant Removal Obligations</w:t>
            </w:r>
          </w:p>
        </w:tc>
        <w:tc>
          <w:tcPr>
            <w:tcW w:w="2980" w:type="dxa"/>
            <w:vAlign w:val="bottom"/>
          </w:tcPr>
          <w:p>
            <w:pPr>
              <w:jc w:val="right"/>
              <w:ind w:right="430"/>
              <w:spacing w:after="0"/>
              <w:rPr>
                <w:sz w:val="20"/>
                <w:szCs w:val="20"/>
                <w:color w:val="auto"/>
              </w:rPr>
            </w:pPr>
            <w:r>
              <w:rPr>
                <w:rFonts w:ascii="Arial" w:cs="Arial" w:eastAsia="Arial" w:hAnsi="Arial"/>
                <w:sz w:val="18"/>
                <w:szCs w:val="18"/>
                <w:color w:val="auto"/>
              </w:rPr>
              <w:t>39.3</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35.5</w:t>
            </w:r>
          </w:p>
        </w:tc>
      </w:tr>
      <w:tr>
        <w:trPr>
          <w:trHeight w:val="27"/>
        </w:trPr>
        <w:tc>
          <w:tcPr>
            <w:tcW w:w="67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Defined Benefit Pension and Other Postretirement Benefit Plans</w:t>
            </w:r>
          </w:p>
        </w:tc>
        <w:tc>
          <w:tcPr>
            <w:tcW w:w="29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14.1</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17.0</w:t>
            </w:r>
          </w:p>
        </w:tc>
      </w:tr>
      <w:tr>
        <w:trPr>
          <w:trHeight w:val="243"/>
        </w:trPr>
        <w:tc>
          <w:tcPr>
            <w:tcW w:w="6780" w:type="dxa"/>
            <w:vAlign w:val="bottom"/>
          </w:tcPr>
          <w:p>
            <w:pPr>
              <w:ind w:left="220"/>
              <w:spacing w:after="0"/>
              <w:rPr>
                <w:sz w:val="20"/>
                <w:szCs w:val="20"/>
                <w:color w:val="auto"/>
              </w:rPr>
            </w:pPr>
            <w:r>
              <w:rPr>
                <w:rFonts w:ascii="Arial" w:cs="Arial" w:eastAsia="Arial" w:hAnsi="Arial"/>
                <w:sz w:val="18"/>
                <w:szCs w:val="18"/>
                <w:color w:val="auto"/>
              </w:rPr>
              <w:t>North Dakota Investment Tax Credits</w:t>
            </w:r>
          </w:p>
        </w:tc>
        <w:tc>
          <w:tcPr>
            <w:tcW w:w="2980" w:type="dxa"/>
            <w:vAlign w:val="bottom"/>
          </w:tcPr>
          <w:p>
            <w:pPr>
              <w:jc w:val="right"/>
              <w:ind w:right="430"/>
              <w:spacing w:after="0"/>
              <w:rPr>
                <w:sz w:val="20"/>
                <w:szCs w:val="20"/>
                <w:color w:val="auto"/>
              </w:rPr>
            </w:pPr>
            <w:r>
              <w:rPr>
                <w:rFonts w:ascii="Arial" w:cs="Arial" w:eastAsia="Arial" w:hAnsi="Arial"/>
                <w:sz w:val="18"/>
                <w:szCs w:val="18"/>
                <w:color w:val="auto"/>
              </w:rPr>
              <w:t>12.2</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12.3</w:t>
            </w:r>
          </w:p>
        </w:tc>
      </w:tr>
      <w:tr>
        <w:trPr>
          <w:trHeight w:val="27"/>
        </w:trPr>
        <w:tc>
          <w:tcPr>
            <w:tcW w:w="67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Fuel Adjustment Clause </w:t>
            </w:r>
            <w:r>
              <w:rPr>
                <w:rFonts w:ascii="Arial" w:cs="Arial" w:eastAsia="Arial" w:hAnsi="Arial"/>
                <w:sz w:val="16"/>
                <w:szCs w:val="16"/>
                <w:i w:val="1"/>
                <w:iCs w:val="1"/>
                <w:color w:val="auto"/>
              </w:rPr>
              <w:t>(c)</w:t>
            </w:r>
          </w:p>
        </w:tc>
        <w:tc>
          <w:tcPr>
            <w:tcW w:w="2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12.2</w:t>
            </w: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6780" w:type="dxa"/>
            <w:vAlign w:val="bottom"/>
          </w:tcPr>
          <w:p>
            <w:pPr>
              <w:ind w:left="220"/>
              <w:spacing w:after="0"/>
              <w:rPr>
                <w:sz w:val="20"/>
                <w:szCs w:val="20"/>
                <w:color w:val="auto"/>
              </w:rPr>
            </w:pPr>
            <w:r>
              <w:rPr>
                <w:rFonts w:ascii="Arial" w:cs="Arial" w:eastAsia="Arial" w:hAnsi="Arial"/>
                <w:sz w:val="18"/>
                <w:szCs w:val="18"/>
                <w:color w:val="auto"/>
              </w:rPr>
              <w:t>Conservation Improvement Program</w:t>
            </w:r>
          </w:p>
        </w:tc>
        <w:tc>
          <w:tcPr>
            <w:tcW w:w="2980" w:type="dxa"/>
            <w:vAlign w:val="bottom"/>
          </w:tcPr>
          <w:p>
            <w:pPr>
              <w:jc w:val="right"/>
              <w:ind w:right="430"/>
              <w:spacing w:after="0"/>
              <w:rPr>
                <w:sz w:val="20"/>
                <w:szCs w:val="20"/>
                <w:color w:val="auto"/>
              </w:rPr>
            </w:pPr>
            <w:r>
              <w:rPr>
                <w:rFonts w:ascii="Arial" w:cs="Arial" w:eastAsia="Arial" w:hAnsi="Arial"/>
                <w:sz w:val="18"/>
                <w:szCs w:val="18"/>
                <w:color w:val="auto"/>
              </w:rPr>
              <w:t>5.4</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5.4</w:t>
            </w:r>
          </w:p>
        </w:tc>
      </w:tr>
      <w:tr>
        <w:trPr>
          <w:trHeight w:val="27"/>
        </w:trPr>
        <w:tc>
          <w:tcPr>
            <w:tcW w:w="67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9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3.5</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r>
      <w:tr>
        <w:trPr>
          <w:trHeight w:val="237"/>
        </w:trPr>
        <w:tc>
          <w:tcPr>
            <w:tcW w:w="678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Total Non-Current Regulatory Liabilities</w:t>
            </w:r>
          </w:p>
        </w:tc>
        <w:tc>
          <w:tcPr>
            <w:tcW w:w="29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569.6</w:t>
            </w:r>
          </w:p>
        </w:tc>
        <w:tc>
          <w:tcPr>
            <w:tcW w:w="14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560.3</w:t>
            </w:r>
          </w:p>
        </w:tc>
      </w:tr>
      <w:tr>
        <w:trPr>
          <w:trHeight w:val="27"/>
        </w:trPr>
        <w:tc>
          <w:tcPr>
            <w:tcW w:w="67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Regulatory Liabilities</w:t>
            </w:r>
          </w:p>
        </w:tc>
        <w:tc>
          <w:tcPr>
            <w:tcW w:w="29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$583.8</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$562.2</w:t>
            </w:r>
          </w:p>
        </w:tc>
      </w:tr>
      <w:tr>
        <w:trPr>
          <w:trHeight w:val="20"/>
        </w:trPr>
        <w:tc>
          <w:tcPr>
            <w:tcW w:w="678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9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liabilities are presented within Other Current Liabilities on the Consolidated Balance Sheet.</w:t>
      </w:r>
    </w:p>
    <w:p>
      <w:pPr>
        <w:spacing w:after="0" w:line="19"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Provision for Interim Rate Refund represents reserves for interim rates resulting from the MPUC’s approval of Minnesota Power’s petition and proposal to resolve and withdraw its rate case. This amount is expected to be refunded to Minnesota Power regulated retail customers in the third quarter of 2020. (See 2020 Minnesota General Rate Case.)</w:t>
      </w:r>
    </w:p>
    <w:p>
      <w:pPr>
        <w:spacing w:after="0" w:line="1" w:lineRule="exact"/>
        <w:rPr>
          <w:rFonts w:ascii="Arial" w:cs="Arial" w:eastAsia="Arial" w:hAnsi="Arial"/>
          <w:sz w:val="16"/>
          <w:szCs w:val="16"/>
          <w:i w:val="1"/>
          <w:iCs w:val="1"/>
          <w:color w:val="auto"/>
        </w:rPr>
      </w:pPr>
    </w:p>
    <w:p>
      <w:pPr>
        <w:ind w:left="340" w:hanging="332"/>
        <w:spacing w:after="0" w:line="257" w:lineRule="auto"/>
        <w:tabs>
          <w:tab w:leader="none" w:pos="331"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Fuel adjustment clause regulatory liability represents the amount expected to be refunded to customers for the over-collection of fuel adjustment clause recoveries. (See Fuel Adjustment Clause Reform.)</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EQUITY INVESTMENTS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Investment in ATC</w:t>
      </w:r>
      <w:r>
        <w:rPr>
          <w:rFonts w:ascii="Arial" w:cs="Arial" w:eastAsia="Arial" w:hAnsi="Arial"/>
          <w:sz w:val="18"/>
          <w:szCs w:val="18"/>
          <w:color w:val="auto"/>
        </w:rPr>
        <w:t>. Our wholly-owned subsidiary, ALLETE Transmission Holdings, owns approximately 8 percent of ATC, a Wisconsin-based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owns and maintains electric transmission assets in portions of Wisconsin, Michigan, Minnesota and Illinois. We account for our investment in ATC under the equity method of accounting. In the six months ended June 30, 2020, we invested $1.1 million in ATC, and on July 31, 2020, we invested an additional $0.8 million. We expect to make additional investments of $0.8 million in 2020.</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660" w:type="dxa"/>
            <w:vAlign w:val="bottom"/>
          </w:tcPr>
          <w:p>
            <w:pPr>
              <w:spacing w:after="0"/>
              <w:rPr>
                <w:sz w:val="20"/>
                <w:szCs w:val="20"/>
                <w:color w:val="auto"/>
              </w:rPr>
            </w:pPr>
          </w:p>
        </w:tc>
      </w:tr>
      <w:tr>
        <w:trPr>
          <w:trHeight w:val="27"/>
        </w:trPr>
        <w:tc>
          <w:tcPr>
            <w:tcW w:w="756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Investment Balance as of December 31, 2019</w:t>
            </w:r>
          </w:p>
        </w:tc>
        <w:tc>
          <w:tcPr>
            <w:tcW w:w="3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$141.6</w:t>
            </w: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Cash Investments</w:t>
            </w:r>
          </w:p>
        </w:tc>
        <w:tc>
          <w:tcPr>
            <w:tcW w:w="3660" w:type="dxa"/>
            <w:vAlign w:val="bottom"/>
          </w:tcPr>
          <w:p>
            <w:pPr>
              <w:jc w:val="right"/>
              <w:ind w:right="70"/>
              <w:spacing w:after="0"/>
              <w:rPr>
                <w:sz w:val="20"/>
                <w:szCs w:val="20"/>
                <w:color w:val="auto"/>
              </w:rPr>
            </w:pPr>
            <w:r>
              <w:rPr>
                <w:rFonts w:ascii="Arial" w:cs="Arial" w:eastAsia="Arial" w:hAnsi="Arial"/>
                <w:sz w:val="18"/>
                <w:szCs w:val="18"/>
                <w:color w:val="auto"/>
              </w:rPr>
              <w:t>1.1</w:t>
            </w:r>
          </w:p>
        </w:tc>
      </w:tr>
      <w:tr>
        <w:trPr>
          <w:trHeight w:val="27"/>
        </w:trPr>
        <w:tc>
          <w:tcPr>
            <w:tcW w:w="756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Equity in ATC Earnings </w:t>
            </w:r>
            <w:r>
              <w:rPr>
                <w:rFonts w:ascii="Arial" w:cs="Arial" w:eastAsia="Arial" w:hAnsi="Arial"/>
                <w:sz w:val="16"/>
                <w:szCs w:val="16"/>
                <w:i w:val="1"/>
                <w:iCs w:val="1"/>
                <w:color w:val="auto"/>
              </w:rPr>
              <w:t>(a)</w:t>
            </w:r>
          </w:p>
        </w:tc>
        <w:tc>
          <w:tcPr>
            <w:tcW w:w="3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w:t>
            </w: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Distributed ATC Earnings</w:t>
            </w:r>
          </w:p>
        </w:tc>
        <w:tc>
          <w:tcPr>
            <w:tcW w:w="3660" w:type="dxa"/>
            <w:vAlign w:val="bottom"/>
          </w:tcPr>
          <w:p>
            <w:pPr>
              <w:jc w:val="right"/>
              <w:ind w:right="30"/>
              <w:spacing w:after="0"/>
              <w:rPr>
                <w:sz w:val="20"/>
                <w:szCs w:val="20"/>
                <w:color w:val="auto"/>
              </w:rPr>
            </w:pPr>
            <w:r>
              <w:rPr>
                <w:rFonts w:ascii="Arial" w:cs="Arial" w:eastAsia="Arial" w:hAnsi="Arial"/>
                <w:sz w:val="18"/>
                <w:szCs w:val="18"/>
                <w:color w:val="auto"/>
              </w:rPr>
              <w:t>(9.4)</w:t>
            </w:r>
          </w:p>
        </w:tc>
      </w:tr>
      <w:tr>
        <w:trPr>
          <w:trHeight w:val="27"/>
        </w:trPr>
        <w:tc>
          <w:tcPr>
            <w:tcW w:w="756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75"/>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the Remeasurement of Deferred Income Taxes</w:t>
            </w:r>
          </w:p>
        </w:tc>
        <w:tc>
          <w:tcPr>
            <w:tcW w:w="3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r>
      <w:tr>
        <w:trPr>
          <w:trHeight w:val="236"/>
        </w:trPr>
        <w:tc>
          <w:tcPr>
            <w:tcW w:w="7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Equity Investment Balance as of June 30, 2020</w:t>
            </w:r>
          </w:p>
        </w:tc>
        <w:tc>
          <w:tcPr>
            <w:tcW w:w="3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$145.6</w:t>
            </w:r>
          </w:p>
        </w:tc>
      </w:tr>
      <w:tr>
        <w:trPr>
          <w:trHeight w:val="27"/>
        </w:trPr>
        <w:tc>
          <w:tcPr>
            <w:tcW w:w="75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bl>
    <w:p>
      <w:pPr>
        <w:spacing w:after="0" w:line="98" w:lineRule="exact"/>
        <w:rPr>
          <w:sz w:val="20"/>
          <w:szCs w:val="20"/>
          <w:color w:val="auto"/>
        </w:rPr>
      </w:pPr>
    </w:p>
    <w:p>
      <w:pPr>
        <w:ind w:left="340" w:right="20" w:hanging="332"/>
        <w:spacing w:after="0" w:line="275"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Equity in ATC Earnings includes $1.2 million of additional earnings resulting from the FERC’s May 21, 2020, order increasing ATC’s authorized return on equity to 10.52 percent including an incentive adder for participation in a regional transmission organization.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Second Quarter 2020 Form 10-Q</w:t>
      </w:r>
    </w:p>
    <w:p>
      <w:pPr>
        <w:sectPr>
          <w:pgSz w:w="11900" w:h="16838" w:orient="portrait"/>
          <w:cols w:equalWidth="0" w:num="1">
            <w:col w:w="11240"/>
          </w:cols>
          <w:pgMar w:left="320" w:top="891" w:right="339" w:bottom="140"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3. EQUITY INVESTMENTS (Continued)</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ATC’s authorized return on equity is 10.02 percent, or 10.52 percent including an incentive adder for participation in a regional transmission organization, based on a May 21, 2020, FERC order that granted rehearing of a November 2019 FERC order. (See Note 2. Regulatory Matters.)</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Investment in Nobles 2. </w:t>
      </w:r>
      <w:r>
        <w:rPr>
          <w:rFonts w:ascii="Arial" w:cs="Arial" w:eastAsia="Arial" w:hAnsi="Arial"/>
          <w:sz w:val="18"/>
          <w:szCs w:val="18"/>
          <w:color w:val="auto"/>
        </w:rPr>
        <w:t>Our wholly-owned subsidiary, ALLETE South Wind, owns 49 percent of Nobles 2, the entity that will own and operate a</w:t>
      </w:r>
      <w:r>
        <w:rPr>
          <w:rFonts w:ascii="Arial" w:cs="Arial" w:eastAsia="Arial" w:hAnsi="Arial"/>
          <w:sz w:val="18"/>
          <w:szCs w:val="18"/>
          <w:b w:val="1"/>
          <w:bCs w:val="1"/>
          <w:color w:val="auto"/>
        </w:rPr>
        <w:t xml:space="preserve"> </w:t>
      </w:r>
      <w:r>
        <w:rPr>
          <w:rFonts w:ascii="Arial" w:cs="Arial" w:eastAsia="Arial" w:hAnsi="Arial"/>
          <w:sz w:val="18"/>
          <w:szCs w:val="18"/>
          <w:color w:val="auto"/>
        </w:rPr>
        <w:t>250 MW wind energy facility in southwestern Minnesota pursuant to a 20-year PPA with Minnesota Power. We account for our investment in Nobles 2 under the equity method of accounting. As of June 30, 2020, our equity investment in Nobles 2 was $121.5 million ($56.0 million at December 31, 2019). In the six months ended June 30, 2020, we invested $65.5 million in Nobles 2, and in July 2020 we invested an additional $15.0 million. We expect to make approximately $35 million in additional investments in 2020.</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7. Fair Value to the Consolidated Financial Statements in our 2019 Form 10-K.</w:t>
      </w:r>
    </w:p>
    <w:p>
      <w:pPr>
        <w:spacing w:after="0" w:line="2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June 30, 2020, and December 31, 2019.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Arial" w:cs="Arial" w:eastAsia="Arial" w:hAnsi="Arial"/>
                <w:sz w:val="18"/>
                <w:szCs w:val="18"/>
                <w:b w:val="1"/>
                <w:bCs w:val="1"/>
                <w:color w:val="auto"/>
              </w:rPr>
              <w:t>NOTE 4. FAIR VALUE (Continued)</w:t>
            </w:r>
          </w:p>
        </w:tc>
        <w:tc>
          <w:tcPr>
            <w:tcW w:w="1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65"/>
        </w:trPr>
        <w:tc>
          <w:tcPr>
            <w:tcW w:w="6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Fair Value as of June 30, 2020</w:t>
            </w:r>
          </w:p>
        </w:tc>
        <w:tc>
          <w:tcPr>
            <w:tcW w:w="800" w:type="dxa"/>
            <w:vAlign w:val="bottom"/>
          </w:tcPr>
          <w:p>
            <w:pPr>
              <w:spacing w:after="0"/>
              <w:rPr>
                <w:sz w:val="24"/>
                <w:szCs w:val="24"/>
                <w:color w:val="auto"/>
              </w:rPr>
            </w:pPr>
          </w:p>
        </w:tc>
      </w:tr>
      <w:tr>
        <w:trPr>
          <w:trHeight w:val="27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1140" w:type="dxa"/>
            <w:vAlign w:val="bottom"/>
          </w:tcPr>
          <w:p>
            <w:pPr>
              <w:ind w:left="280"/>
              <w:spacing w:after="0"/>
              <w:rPr>
                <w:sz w:val="20"/>
                <w:szCs w:val="20"/>
                <w:color w:val="auto"/>
              </w:rPr>
            </w:pPr>
            <w:r>
              <w:rPr>
                <w:rFonts w:ascii="Arial" w:cs="Arial" w:eastAsia="Arial" w:hAnsi="Arial"/>
                <w:sz w:val="18"/>
                <w:szCs w:val="18"/>
                <w:b w:val="1"/>
                <w:bCs w:val="1"/>
                <w:color w:val="auto"/>
              </w:rPr>
              <w:t>Level 3</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r>
      <w:tr>
        <w:trPr>
          <w:trHeight w:val="27"/>
        </w:trPr>
        <w:tc>
          <w:tcPr>
            <w:tcW w:w="6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6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0"/>
        </w:trPr>
        <w:tc>
          <w:tcPr>
            <w:tcW w:w="6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Available-for-sale – Equity Securities</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w:t>
            </w:r>
          </w:p>
        </w:tc>
        <w:tc>
          <w:tcPr>
            <w:tcW w:w="14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w:t>
            </w:r>
          </w:p>
        </w:tc>
      </w:tr>
      <w:tr>
        <w:trPr>
          <w:trHeight w:val="243"/>
        </w:trPr>
        <w:tc>
          <w:tcPr>
            <w:tcW w:w="6240" w:type="dxa"/>
            <w:vAlign w:val="bottom"/>
          </w:tcPr>
          <w:p>
            <w:pPr>
              <w:ind w:left="220"/>
              <w:spacing w:after="0"/>
              <w:rPr>
                <w:sz w:val="20"/>
                <w:szCs w:val="20"/>
                <w:color w:val="auto"/>
              </w:rPr>
            </w:pPr>
            <w:r>
              <w:rPr>
                <w:rFonts w:ascii="Arial" w:cs="Arial" w:eastAsia="Arial" w:hAnsi="Arial"/>
                <w:sz w:val="18"/>
                <w:szCs w:val="18"/>
                <w:color w:val="auto"/>
              </w:rPr>
              <w:t xml:space="preserve">Available-for-sale – Corporate and Governmental Debt Securities </w:t>
            </w:r>
            <w:r>
              <w:rPr>
                <w:rFonts w:ascii="Arial" w:cs="Arial" w:eastAsia="Arial" w:hAnsi="Arial"/>
                <w:sz w:val="16"/>
                <w:szCs w:val="16"/>
                <w:i w:val="1"/>
                <w:iCs w:val="1"/>
                <w:color w:val="auto"/>
              </w:rPr>
              <w:t>(b)</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$9.8</w:t>
            </w:r>
          </w:p>
        </w:tc>
        <w:tc>
          <w:tcPr>
            <w:tcW w:w="1140" w:type="dxa"/>
            <w:vAlign w:val="bottom"/>
          </w:tcPr>
          <w:p>
            <w:pPr>
              <w:ind w:left="5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9.8</w:t>
            </w:r>
          </w:p>
        </w:tc>
      </w:tr>
      <w:tr>
        <w:trPr>
          <w:trHeight w:val="27"/>
        </w:trPr>
        <w:tc>
          <w:tcPr>
            <w:tcW w:w="6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14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r>
      <w:tr>
        <w:trPr>
          <w:trHeight w:val="237"/>
        </w:trPr>
        <w:tc>
          <w:tcPr>
            <w:tcW w:w="6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16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$10.9</w:t>
            </w:r>
          </w:p>
        </w:tc>
        <w:tc>
          <w:tcPr>
            <w:tcW w:w="14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$9.8</w:t>
            </w:r>
          </w:p>
        </w:tc>
        <w:tc>
          <w:tcPr>
            <w:tcW w:w="114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$20.7</w:t>
            </w:r>
          </w:p>
        </w:tc>
      </w:tr>
      <w:tr>
        <w:trPr>
          <w:trHeight w:val="27"/>
        </w:trPr>
        <w:tc>
          <w:tcPr>
            <w:tcW w:w="6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6"/>
        </w:trPr>
        <w:tc>
          <w:tcPr>
            <w:tcW w:w="62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$20.0</w:t>
            </w:r>
          </w:p>
        </w:tc>
        <w:tc>
          <w:tcPr>
            <w:tcW w:w="1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$20.0</w:t>
            </w:r>
          </w:p>
        </w:tc>
      </w:tr>
      <w:tr>
        <w:trPr>
          <w:trHeight w:val="237"/>
        </w:trPr>
        <w:tc>
          <w:tcPr>
            <w:tcW w:w="6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Fair Value of Liabilities</w:t>
            </w:r>
          </w:p>
        </w:tc>
        <w:tc>
          <w:tcPr>
            <w:tcW w:w="16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$20.0</w:t>
            </w:r>
          </w:p>
        </w:tc>
        <w:tc>
          <w:tcPr>
            <w:tcW w:w="114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$20.0</w:t>
            </w:r>
          </w:p>
        </w:tc>
      </w:tr>
      <w:tr>
        <w:trPr>
          <w:trHeight w:val="27"/>
        </w:trPr>
        <w:tc>
          <w:tcPr>
            <w:tcW w:w="6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Fair Value of Assets (Liabilities)</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w:t>
            </w:r>
          </w:p>
        </w:tc>
        <w:tc>
          <w:tcPr>
            <w:tcW w:w="1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$(10.2)</w:t>
            </w:r>
          </w:p>
        </w:tc>
        <w:tc>
          <w:tcPr>
            <w:tcW w:w="1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r>
      <w:tr>
        <w:trPr>
          <w:trHeight w:val="20"/>
        </w:trPr>
        <w:tc>
          <w:tcPr>
            <w:tcW w:w="62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4420" w:type="dxa"/>
            <w:vAlign w:val="bottom"/>
            <w:gridSpan w:val="3"/>
          </w:tcPr>
          <w:p>
            <w:pPr>
              <w:ind w:left="1580"/>
              <w:spacing w:after="0"/>
              <w:rPr>
                <w:sz w:val="20"/>
                <w:szCs w:val="20"/>
                <w:color w:val="auto"/>
              </w:rPr>
            </w:pPr>
            <w:r>
              <w:rPr>
                <w:rFonts w:ascii="Arial" w:cs="Arial" w:eastAsia="Arial" w:hAnsi="Arial"/>
                <w:sz w:val="18"/>
                <w:szCs w:val="18"/>
                <w:b w:val="1"/>
                <w:bCs w:val="1"/>
                <w:color w:val="auto"/>
                <w:w w:val="93"/>
              </w:rPr>
              <w:t>Fair Value as of December 31, 2019</w:t>
            </w:r>
          </w:p>
        </w:tc>
        <w:tc>
          <w:tcPr>
            <w:tcW w:w="680" w:type="dxa"/>
            <w:vAlign w:val="bottom"/>
          </w:tcPr>
          <w:p>
            <w:pPr>
              <w:spacing w:after="0"/>
              <w:rPr>
                <w:sz w:val="20"/>
                <w:szCs w:val="20"/>
                <w:color w:val="auto"/>
              </w:rPr>
            </w:pPr>
          </w:p>
        </w:tc>
      </w:tr>
      <w:tr>
        <w:trPr>
          <w:trHeight w:val="270"/>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202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1260" w:type="dxa"/>
            <w:vAlign w:val="bottom"/>
          </w:tcPr>
          <w:p>
            <w:pPr>
              <w:ind w:left="280"/>
              <w:spacing w:after="0"/>
              <w:rPr>
                <w:sz w:val="20"/>
                <w:szCs w:val="20"/>
                <w:color w:val="auto"/>
              </w:rPr>
            </w:pPr>
            <w:r>
              <w:rPr>
                <w:rFonts w:ascii="Arial" w:cs="Arial" w:eastAsia="Arial" w:hAnsi="Arial"/>
                <w:sz w:val="18"/>
                <w:szCs w:val="18"/>
                <w:b w:val="1"/>
                <w:bCs w:val="1"/>
                <w:color w:val="auto"/>
              </w:rPr>
              <w:t>Level 3</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r>
      <w:tr>
        <w:trPr>
          <w:trHeight w:val="27"/>
        </w:trPr>
        <w:tc>
          <w:tcPr>
            <w:tcW w:w="6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6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2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50"/>
        </w:trPr>
        <w:tc>
          <w:tcPr>
            <w:tcW w:w="6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Available-for-sale – Equity Securities</w:t>
            </w:r>
          </w:p>
        </w:tc>
        <w:tc>
          <w:tcPr>
            <w:tcW w:w="20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$11.1</w:t>
            </w:r>
          </w:p>
        </w:tc>
        <w:tc>
          <w:tcPr>
            <w:tcW w:w="1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w:t>
            </w:r>
          </w:p>
        </w:tc>
      </w:tr>
      <w:tr>
        <w:trPr>
          <w:trHeight w:val="243"/>
        </w:trPr>
        <w:tc>
          <w:tcPr>
            <w:tcW w:w="6120" w:type="dxa"/>
            <w:vAlign w:val="bottom"/>
          </w:tcPr>
          <w:p>
            <w:pPr>
              <w:ind w:left="220"/>
              <w:spacing w:after="0"/>
              <w:rPr>
                <w:sz w:val="20"/>
                <w:szCs w:val="20"/>
                <w:color w:val="auto"/>
              </w:rPr>
            </w:pPr>
            <w:r>
              <w:rPr>
                <w:rFonts w:ascii="Arial" w:cs="Arial" w:eastAsia="Arial" w:hAnsi="Arial"/>
                <w:sz w:val="18"/>
                <w:szCs w:val="18"/>
                <w:color w:val="auto"/>
              </w:rPr>
              <w:t>Available-for-sale – Corporate and Governmental Debt Securities</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$9.7</w:t>
            </w:r>
          </w:p>
        </w:tc>
        <w:tc>
          <w:tcPr>
            <w:tcW w:w="1260" w:type="dxa"/>
            <w:vAlign w:val="bottom"/>
          </w:tcPr>
          <w:p>
            <w:pPr>
              <w:ind w:left="5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9.7</w:t>
            </w:r>
          </w:p>
        </w:tc>
      </w:tr>
      <w:tr>
        <w:trPr>
          <w:trHeight w:val="27"/>
        </w:trPr>
        <w:tc>
          <w:tcPr>
            <w:tcW w:w="6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6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20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0.9</w:t>
            </w:r>
          </w:p>
        </w:tc>
        <w:tc>
          <w:tcPr>
            <w:tcW w:w="1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r>
      <w:tr>
        <w:trPr>
          <w:trHeight w:val="237"/>
        </w:trPr>
        <w:tc>
          <w:tcPr>
            <w:tcW w:w="6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20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$12.0</w:t>
            </w:r>
          </w:p>
        </w:tc>
        <w:tc>
          <w:tcPr>
            <w:tcW w:w="11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$9.7</w:t>
            </w:r>
          </w:p>
        </w:tc>
        <w:tc>
          <w:tcPr>
            <w:tcW w:w="126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$21.7</w:t>
            </w:r>
          </w:p>
        </w:tc>
      </w:tr>
      <w:tr>
        <w:trPr>
          <w:trHeight w:val="27"/>
        </w:trPr>
        <w:tc>
          <w:tcPr>
            <w:tcW w:w="6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6"/>
        </w:trPr>
        <w:tc>
          <w:tcPr>
            <w:tcW w:w="6120" w:type="dxa"/>
            <w:vAlign w:val="bottom"/>
            <w:tcBorders>
              <w:bottom w:val="single" w:sz="8" w:color="auto"/>
            </w:tcBorders>
            <w:shd w:val="clear" w:color="auto" w:fill="CCEEFF"/>
          </w:tcPr>
          <w:p>
            <w:pPr>
              <w:spacing w:after="0"/>
              <w:rPr>
                <w:sz w:val="17"/>
                <w:szCs w:val="17"/>
                <w:color w:val="auto"/>
              </w:rPr>
            </w:pPr>
          </w:p>
        </w:tc>
        <w:tc>
          <w:tcPr>
            <w:tcW w:w="20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r>
      <w:tr>
        <w:trPr>
          <w:trHeight w:val="237"/>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6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20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$21.2</w:t>
            </w:r>
          </w:p>
        </w:tc>
        <w:tc>
          <w:tcPr>
            <w:tcW w:w="12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$21.2</w:t>
            </w:r>
          </w:p>
        </w:tc>
      </w:tr>
      <w:tr>
        <w:trPr>
          <w:trHeight w:val="237"/>
        </w:trPr>
        <w:tc>
          <w:tcPr>
            <w:tcW w:w="6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Fair Value of Liabilities</w:t>
            </w:r>
          </w:p>
        </w:tc>
        <w:tc>
          <w:tcPr>
            <w:tcW w:w="20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$21.2</w:t>
            </w:r>
          </w:p>
        </w:tc>
        <w:tc>
          <w:tcPr>
            <w:tcW w:w="126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$21.2</w:t>
            </w:r>
          </w:p>
        </w:tc>
      </w:tr>
      <w:tr>
        <w:trPr>
          <w:trHeight w:val="27"/>
        </w:trPr>
        <w:tc>
          <w:tcPr>
            <w:tcW w:w="6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Fair Value of Assets (Liabilities)</w:t>
            </w:r>
          </w:p>
        </w:tc>
        <w:tc>
          <w:tcPr>
            <w:tcW w:w="20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$12.0</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$(11.5)</w:t>
            </w:r>
          </w:p>
        </w:tc>
        <w:tc>
          <w:tcPr>
            <w:tcW w:w="12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r>
      <w:tr>
        <w:trPr>
          <w:trHeight w:val="20"/>
        </w:trPr>
        <w:tc>
          <w:tcPr>
            <w:tcW w:w="612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bl>
    <w:p>
      <w:pPr>
        <w:spacing w:after="0" w:line="9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on the Consolidated Balance Sheet.</w:t>
      </w:r>
    </w:p>
    <w:p>
      <w:pPr>
        <w:spacing w:after="0" w:line="19" w:lineRule="exact"/>
        <w:rPr>
          <w:rFonts w:ascii="Arial" w:cs="Arial" w:eastAsia="Arial" w:hAnsi="Arial"/>
          <w:sz w:val="16"/>
          <w:szCs w:val="16"/>
          <w:i w:val="1"/>
          <w:iCs w:val="1"/>
          <w:color w:val="auto"/>
        </w:rPr>
      </w:pPr>
    </w:p>
    <w:p>
      <w:pPr>
        <w:ind w:left="340" w:right="20" w:hanging="332"/>
        <w:spacing w:after="0" w:line="246"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As of June 30, 2020, the aggregate amount of available-for-sale corporate and governmental debt securities maturing in one year or less was $3.8 million, in one year to less than three years was $5.0 million, in three years to less than five years was $1.0 million and in five or more years was zero.</w:t>
      </w:r>
    </w:p>
    <w:p>
      <w:pPr>
        <w:ind w:left="320" w:hanging="312"/>
        <w:spacing w:after="0"/>
        <w:tabs>
          <w:tab w:leader="none" w:pos="32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 listed in the following table, the estimated fair value of all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the carrying amount. The fair value of the item listed in the following table was based on quoted market prices for the same or similar instruments (Level 2).</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Financial Instruments</w:t>
            </w:r>
          </w:p>
        </w:tc>
        <w:tc>
          <w:tcPr>
            <w:tcW w:w="4520" w:type="dxa"/>
            <w:vAlign w:val="bottom"/>
          </w:tcPr>
          <w:p>
            <w:pPr>
              <w:jc w:val="right"/>
              <w:ind w:right="430"/>
              <w:spacing w:after="0"/>
              <w:rPr>
                <w:sz w:val="20"/>
                <w:szCs w:val="20"/>
                <w:color w:val="auto"/>
              </w:rPr>
            </w:pPr>
            <w:r>
              <w:rPr>
                <w:rFonts w:ascii="Arial" w:cs="Arial" w:eastAsia="Arial" w:hAnsi="Arial"/>
                <w:sz w:val="18"/>
                <w:szCs w:val="18"/>
                <w:b w:val="1"/>
                <w:bCs w:val="1"/>
                <w:color w:val="auto"/>
              </w:rPr>
              <w:t>Carrying Amount</w:t>
            </w:r>
          </w:p>
        </w:tc>
        <w:tc>
          <w:tcPr>
            <w:tcW w:w="1660" w:type="dxa"/>
            <w:vAlign w:val="bottom"/>
          </w:tcPr>
          <w:p>
            <w:pPr>
              <w:jc w:val="right"/>
              <w:ind w:right="43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02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5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and Long-Term Debt</w:t>
            </w:r>
          </w:p>
        </w:tc>
        <w:tc>
          <w:tcPr>
            <w:tcW w:w="4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20"/>
              <w:spacing w:after="0"/>
              <w:rPr>
                <w:sz w:val="20"/>
                <w:szCs w:val="20"/>
                <w:color w:val="auto"/>
              </w:rPr>
            </w:pPr>
            <w:r>
              <w:rPr>
                <w:rFonts w:ascii="Arial" w:cs="Arial" w:eastAsia="Arial" w:hAnsi="Arial"/>
                <w:sz w:val="18"/>
                <w:szCs w:val="18"/>
                <w:color w:val="auto"/>
              </w:rPr>
              <w:t>June 30, 2020</w:t>
            </w:r>
          </w:p>
        </w:tc>
        <w:tc>
          <w:tcPr>
            <w:tcW w:w="4520" w:type="dxa"/>
            <w:vAlign w:val="bottom"/>
          </w:tcPr>
          <w:p>
            <w:pPr>
              <w:jc w:val="right"/>
              <w:ind w:right="230"/>
              <w:spacing w:after="0"/>
              <w:rPr>
                <w:sz w:val="20"/>
                <w:szCs w:val="20"/>
                <w:color w:val="auto"/>
              </w:rPr>
            </w:pPr>
            <w:r>
              <w:rPr>
                <w:rFonts w:ascii="Arial" w:cs="Arial" w:eastAsia="Arial" w:hAnsi="Arial"/>
                <w:sz w:val="18"/>
                <w:szCs w:val="18"/>
                <w:color w:val="auto"/>
              </w:rPr>
              <w:t>$1,899.0</w:t>
            </w:r>
          </w:p>
        </w:tc>
        <w:tc>
          <w:tcPr>
            <w:tcW w:w="1660" w:type="dxa"/>
            <w:vAlign w:val="bottom"/>
          </w:tcPr>
          <w:p>
            <w:pPr>
              <w:jc w:val="right"/>
              <w:spacing w:after="0"/>
              <w:rPr>
                <w:sz w:val="20"/>
                <w:szCs w:val="20"/>
                <w:color w:val="auto"/>
              </w:rPr>
            </w:pPr>
            <w:r>
              <w:rPr>
                <w:rFonts w:ascii="Arial" w:cs="Arial" w:eastAsia="Arial" w:hAnsi="Arial"/>
                <w:sz w:val="18"/>
                <w:szCs w:val="18"/>
                <w:color w:val="auto"/>
              </w:rPr>
              <w:t>$2,163.4</w:t>
            </w:r>
          </w:p>
        </w:tc>
      </w:tr>
      <w:tr>
        <w:trPr>
          <w:trHeight w:val="27"/>
        </w:trPr>
        <w:tc>
          <w:tcPr>
            <w:tcW w:w="50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December 31, 2019</w:t>
            </w:r>
          </w:p>
        </w:tc>
        <w:tc>
          <w:tcPr>
            <w:tcW w:w="4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$1,622.6</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$1,791.8</w:t>
            </w:r>
          </w:p>
        </w:tc>
      </w:tr>
      <w:tr>
        <w:trPr>
          <w:trHeight w:val="20"/>
        </w:trPr>
        <w:tc>
          <w:tcPr>
            <w:tcW w:w="502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spacing w:after="0" w:line="3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land inventory,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plant and equipment are measured at fair value when there is an indicator of impairment and recorded at fair value only when an impairment is recognized. For the quarter and six months ended June 30, 2020, and the year ended December 31, 2019, there were no indicators of impairment for these non-financial assets.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monitor changes in the broader energy markets that could indicate impairment at an ALLETE Clean Energy wind energy facility which currently has undiscounted future cash flows that are marginally in excess of the asset carrying value of approximately $11 million. A continued decline in energy prices would likely result in a future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Second Quarter 2020 Form 10-Q</w:t>
      </w:r>
    </w:p>
    <w:p>
      <w:pPr>
        <w:sectPr>
          <w:pgSz w:w="11900" w:h="16838" w:orient="portrait"/>
          <w:cols w:equalWidth="0" w:num="1">
            <w:col w:w="11240"/>
          </w:cols>
          <w:pgMar w:left="320" w:top="891" w:right="339" w:bottom="694"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694"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NOTE 5. SHORT-TERM AND LONG-TERM DEBT</w:t>
            </w:r>
          </w:p>
        </w:tc>
        <w:tc>
          <w:tcPr>
            <w:tcW w:w="22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59"/>
        </w:trPr>
        <w:tc>
          <w:tcPr>
            <w:tcW w:w="9840" w:type="dxa"/>
            <w:vAlign w:val="bottom"/>
            <w:gridSpan w:val="3"/>
          </w:tcPr>
          <w:p>
            <w:pPr>
              <w:spacing w:after="0"/>
              <w:rPr>
                <w:sz w:val="20"/>
                <w:szCs w:val="20"/>
                <w:color w:val="auto"/>
              </w:rPr>
            </w:pPr>
            <w:r>
              <w:rPr>
                <w:rFonts w:ascii="Arial" w:cs="Arial" w:eastAsia="Arial" w:hAnsi="Arial"/>
                <w:sz w:val="18"/>
                <w:szCs w:val="18"/>
                <w:color w:val="auto"/>
              </w:rPr>
              <w:t>The following tables present the Company’s short-term and long-term debt as of June 30, 2020, and December 31, 2019:</w:t>
            </w:r>
          </w:p>
        </w:tc>
        <w:tc>
          <w:tcPr>
            <w:tcW w:w="1400" w:type="dxa"/>
            <w:vAlign w:val="bottom"/>
          </w:tcPr>
          <w:p>
            <w:pPr>
              <w:spacing w:after="0"/>
              <w:rPr>
                <w:sz w:val="24"/>
                <w:szCs w:val="24"/>
                <w:color w:val="auto"/>
              </w:rPr>
            </w:pPr>
          </w:p>
        </w:tc>
      </w:tr>
      <w:tr>
        <w:trPr>
          <w:trHeight w:val="346"/>
        </w:trPr>
        <w:tc>
          <w:tcPr>
            <w:tcW w:w="5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300" w:type="dxa"/>
            <w:vAlign w:val="bottom"/>
          </w:tcPr>
          <w:p>
            <w:pPr>
              <w:jc w:val="right"/>
              <w:ind w:right="510"/>
              <w:spacing w:after="0"/>
              <w:rPr>
                <w:sz w:val="20"/>
                <w:szCs w:val="20"/>
                <w:color w:val="auto"/>
              </w:rPr>
            </w:pPr>
            <w:r>
              <w:rPr>
                <w:rFonts w:ascii="Arial" w:cs="Arial" w:eastAsia="Arial" w:hAnsi="Arial"/>
                <w:sz w:val="18"/>
                <w:szCs w:val="18"/>
                <w:b w:val="1"/>
                <w:bCs w:val="1"/>
                <w:color w:val="auto"/>
              </w:rPr>
              <w:t>Unamortized Debt</w:t>
            </w:r>
          </w:p>
        </w:tc>
        <w:tc>
          <w:tcPr>
            <w:tcW w:w="1400" w:type="dxa"/>
            <w:vAlign w:val="bottom"/>
          </w:tcPr>
          <w:p>
            <w:pPr>
              <w:spacing w:after="0"/>
              <w:rPr>
                <w:sz w:val="24"/>
                <w:szCs w:val="24"/>
                <w:color w:val="auto"/>
              </w:rPr>
            </w:pPr>
          </w:p>
        </w:tc>
      </w:tr>
      <w:tr>
        <w:trPr>
          <w:trHeight w:val="234"/>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June 30, 2020</w:t>
            </w:r>
          </w:p>
        </w:tc>
        <w:tc>
          <w:tcPr>
            <w:tcW w:w="2240" w:type="dxa"/>
            <w:vAlign w:val="bottom"/>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2300" w:type="dxa"/>
            <w:vAlign w:val="bottom"/>
          </w:tcPr>
          <w:p>
            <w:pPr>
              <w:jc w:val="right"/>
              <w:ind w:right="510"/>
              <w:spacing w:after="0"/>
              <w:rPr>
                <w:sz w:val="20"/>
                <w:szCs w:val="20"/>
                <w:color w:val="auto"/>
              </w:rPr>
            </w:pPr>
            <w:r>
              <w:rPr>
                <w:rFonts w:ascii="Arial" w:cs="Arial" w:eastAsia="Arial" w:hAnsi="Arial"/>
                <w:sz w:val="18"/>
                <w:szCs w:val="18"/>
                <w:b w:val="1"/>
                <w:bCs w:val="1"/>
                <w:color w:val="auto"/>
              </w:rPr>
              <w:t>Issuance Costs</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r>
      <w:tr>
        <w:trPr>
          <w:trHeight w:val="27"/>
        </w:trPr>
        <w:tc>
          <w:tcPr>
            <w:tcW w:w="53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22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$510.0</w:t>
            </w:r>
          </w:p>
        </w:tc>
        <w:tc>
          <w:tcPr>
            <w:tcW w:w="23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$(0.3)</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$509.7</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40" w:type="dxa"/>
            <w:vAlign w:val="bottom"/>
          </w:tcPr>
          <w:p>
            <w:pPr>
              <w:jc w:val="right"/>
              <w:ind w:right="330"/>
              <w:spacing w:after="0"/>
              <w:rPr>
                <w:sz w:val="20"/>
                <w:szCs w:val="20"/>
                <w:color w:val="auto"/>
              </w:rPr>
            </w:pPr>
            <w:r>
              <w:rPr>
                <w:rFonts w:ascii="Arial" w:cs="Arial" w:eastAsia="Arial" w:hAnsi="Arial"/>
                <w:sz w:val="18"/>
                <w:szCs w:val="18"/>
                <w:color w:val="auto"/>
              </w:rPr>
              <w:t>1,389.0</w:t>
            </w:r>
          </w:p>
        </w:tc>
        <w:tc>
          <w:tcPr>
            <w:tcW w:w="2300" w:type="dxa"/>
            <w:vAlign w:val="bottom"/>
          </w:tcPr>
          <w:p>
            <w:pPr>
              <w:jc w:val="right"/>
              <w:ind w:right="510"/>
              <w:spacing w:after="0"/>
              <w:rPr>
                <w:sz w:val="20"/>
                <w:szCs w:val="20"/>
                <w:color w:val="auto"/>
              </w:rPr>
            </w:pPr>
            <w:r>
              <w:rPr>
                <w:rFonts w:ascii="Arial" w:cs="Arial" w:eastAsia="Arial" w:hAnsi="Arial"/>
                <w:sz w:val="18"/>
                <w:szCs w:val="18"/>
                <w:color w:val="auto"/>
              </w:rPr>
              <w:t>(8.0)</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1,381.0</w:t>
            </w:r>
          </w:p>
        </w:tc>
      </w:tr>
      <w:tr>
        <w:trPr>
          <w:trHeight w:val="27"/>
        </w:trPr>
        <w:tc>
          <w:tcPr>
            <w:tcW w:w="53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2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$1,899.0</w:t>
            </w:r>
          </w:p>
        </w:tc>
        <w:tc>
          <w:tcPr>
            <w:tcW w:w="23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$(8.3)</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$1,890.7</w:t>
            </w:r>
          </w:p>
        </w:tc>
      </w:tr>
      <w:tr>
        <w:trPr>
          <w:trHeight w:val="353"/>
        </w:trPr>
        <w:tc>
          <w:tcPr>
            <w:tcW w:w="5300" w:type="dxa"/>
            <w:vAlign w:val="bottom"/>
            <w:tcBorders>
              <w:top w:val="single" w:sz="8" w:color="auto"/>
            </w:tcBorders>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Unamortized Debt</w:t>
            </w:r>
          </w:p>
        </w:tc>
        <w:tc>
          <w:tcPr>
            <w:tcW w:w="1400" w:type="dxa"/>
            <w:vAlign w:val="bottom"/>
            <w:tcBorders>
              <w:top w:val="single" w:sz="8" w:color="auto"/>
            </w:tcBorders>
          </w:tcPr>
          <w:p>
            <w:pPr>
              <w:spacing w:after="0"/>
              <w:rPr>
                <w:sz w:val="24"/>
                <w:szCs w:val="24"/>
                <w:color w:val="auto"/>
              </w:rPr>
            </w:pPr>
          </w:p>
        </w:tc>
      </w:tr>
      <w:tr>
        <w:trPr>
          <w:trHeight w:val="234"/>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December 31, 2019</w:t>
            </w:r>
          </w:p>
        </w:tc>
        <w:tc>
          <w:tcPr>
            <w:tcW w:w="2240" w:type="dxa"/>
            <w:vAlign w:val="bottom"/>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2300" w:type="dxa"/>
            <w:vAlign w:val="bottom"/>
          </w:tcPr>
          <w:p>
            <w:pPr>
              <w:jc w:val="right"/>
              <w:ind w:right="510"/>
              <w:spacing w:after="0"/>
              <w:rPr>
                <w:sz w:val="20"/>
                <w:szCs w:val="20"/>
                <w:color w:val="auto"/>
              </w:rPr>
            </w:pPr>
            <w:r>
              <w:rPr>
                <w:rFonts w:ascii="Arial" w:cs="Arial" w:eastAsia="Arial" w:hAnsi="Arial"/>
                <w:sz w:val="18"/>
                <w:szCs w:val="18"/>
                <w:b w:val="1"/>
                <w:bCs w:val="1"/>
                <w:color w:val="auto"/>
              </w:rPr>
              <w:t>Issuance Costs</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r>
      <w:tr>
        <w:trPr>
          <w:trHeight w:val="27"/>
        </w:trPr>
        <w:tc>
          <w:tcPr>
            <w:tcW w:w="53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22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$213.3</w:t>
            </w:r>
          </w:p>
        </w:tc>
        <w:tc>
          <w:tcPr>
            <w:tcW w:w="23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$(0.4)</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$212.9</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40" w:type="dxa"/>
            <w:vAlign w:val="bottom"/>
          </w:tcPr>
          <w:p>
            <w:pPr>
              <w:jc w:val="right"/>
              <w:ind w:right="330"/>
              <w:spacing w:after="0"/>
              <w:rPr>
                <w:sz w:val="20"/>
                <w:szCs w:val="20"/>
                <w:color w:val="auto"/>
              </w:rPr>
            </w:pPr>
            <w:r>
              <w:rPr>
                <w:rFonts w:ascii="Arial" w:cs="Arial" w:eastAsia="Arial" w:hAnsi="Arial"/>
                <w:sz w:val="18"/>
                <w:szCs w:val="18"/>
                <w:color w:val="auto"/>
              </w:rPr>
              <w:t>1,409.3</w:t>
            </w:r>
          </w:p>
        </w:tc>
        <w:tc>
          <w:tcPr>
            <w:tcW w:w="2300" w:type="dxa"/>
            <w:vAlign w:val="bottom"/>
          </w:tcPr>
          <w:p>
            <w:pPr>
              <w:jc w:val="right"/>
              <w:ind w:right="510"/>
              <w:spacing w:after="0"/>
              <w:rPr>
                <w:sz w:val="20"/>
                <w:szCs w:val="20"/>
                <w:color w:val="auto"/>
              </w:rPr>
            </w:pPr>
            <w:r>
              <w:rPr>
                <w:rFonts w:ascii="Arial" w:cs="Arial" w:eastAsia="Arial" w:hAnsi="Arial"/>
                <w:sz w:val="18"/>
                <w:szCs w:val="18"/>
                <w:color w:val="auto"/>
              </w:rPr>
              <w:t>(8.4)</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1,400.9</w:t>
            </w:r>
          </w:p>
        </w:tc>
      </w:tr>
      <w:tr>
        <w:trPr>
          <w:trHeight w:val="27"/>
        </w:trPr>
        <w:tc>
          <w:tcPr>
            <w:tcW w:w="53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2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$1,622.6</w:t>
            </w:r>
          </w:p>
        </w:tc>
        <w:tc>
          <w:tcPr>
            <w:tcW w:w="23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$(8.8)</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$1,613.8</w:t>
            </w:r>
          </w:p>
        </w:tc>
      </w:tr>
      <w:tr>
        <w:trPr>
          <w:trHeight w:val="20"/>
        </w:trPr>
        <w:tc>
          <w:tcPr>
            <w:tcW w:w="530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$23.5 million outstanding in standby letters of credit and no outstanding draws under our lines of credit as of June 30, 2020 ($62.0 million in standby letters of credit and no outstanding draws as of December 31, 2019).</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10, 2020, ALLETE entered into a $200 million unsecured term loan agreement (Term Loan) of which we have borrowed the full amount as of June 30, 2020. The Term Loan is due on February 10, 2021, and may be repaid at any time. Interest is payable monthly at a rate per annum equal to LIBOR plus 0.55 percent. Proceeds from the Term Loan were used for construction-related expenditures.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26, 2020, ALLETE agreed to sell first mortgage bonds (Bonds) to certain institutional buyers in the private placement market, which were issued on August 3, 2020, in two series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ind w:left="1340"/>
              <w:spacing w:after="0"/>
              <w:rPr>
                <w:sz w:val="20"/>
                <w:szCs w:val="20"/>
                <w:color w:val="auto"/>
              </w:rPr>
            </w:pPr>
            <w:r>
              <w:rPr>
                <w:rFonts w:ascii="Arial" w:cs="Arial" w:eastAsia="Arial" w:hAnsi="Arial"/>
                <w:sz w:val="18"/>
                <w:szCs w:val="18"/>
                <w:b w:val="1"/>
                <w:bCs w:val="1"/>
                <w:color w:val="auto"/>
              </w:rPr>
              <w:t>Maturity Date</w:t>
            </w:r>
          </w:p>
        </w:tc>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Amount</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w:t>
            </w:r>
          </w:p>
        </w:tc>
      </w:tr>
      <w:tr>
        <w:trPr>
          <w:trHeight w:val="27"/>
        </w:trPr>
        <w:tc>
          <w:tcPr>
            <w:tcW w:w="37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3"/>
        </w:trPr>
        <w:tc>
          <w:tcPr>
            <w:tcW w:w="370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August 1, 2030</w:t>
            </w:r>
          </w:p>
        </w:tc>
        <w:tc>
          <w:tcPr>
            <w:tcW w:w="3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$46 Million</w:t>
            </w:r>
          </w:p>
        </w:tc>
        <w:tc>
          <w:tcPr>
            <w:tcW w:w="36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0"/>
              </w:rPr>
              <w:t>2.50%</w:t>
            </w:r>
          </w:p>
        </w:tc>
      </w:tr>
      <w:tr>
        <w:trPr>
          <w:trHeight w:val="243"/>
        </w:trPr>
        <w:tc>
          <w:tcPr>
            <w:tcW w:w="3700" w:type="dxa"/>
            <w:vAlign w:val="bottom"/>
          </w:tcPr>
          <w:p>
            <w:pPr>
              <w:ind w:left="1340"/>
              <w:spacing w:after="0"/>
              <w:rPr>
                <w:sz w:val="20"/>
                <w:szCs w:val="20"/>
                <w:color w:val="auto"/>
              </w:rPr>
            </w:pPr>
            <w:r>
              <w:rPr>
                <w:rFonts w:ascii="Arial" w:cs="Arial" w:eastAsia="Arial" w:hAnsi="Arial"/>
                <w:sz w:val="18"/>
                <w:szCs w:val="18"/>
                <w:color w:val="auto"/>
              </w:rPr>
              <w:t>August 1, 2050</w:t>
            </w:r>
          </w:p>
        </w:tc>
        <w:tc>
          <w:tcPr>
            <w:tcW w:w="3900" w:type="dxa"/>
            <w:vAlign w:val="bottom"/>
          </w:tcPr>
          <w:p>
            <w:pPr>
              <w:jc w:val="center"/>
              <w:spacing w:after="0"/>
              <w:rPr>
                <w:sz w:val="20"/>
                <w:szCs w:val="20"/>
                <w:color w:val="auto"/>
              </w:rPr>
            </w:pPr>
            <w:r>
              <w:rPr>
                <w:rFonts w:ascii="Arial" w:cs="Arial" w:eastAsia="Arial" w:hAnsi="Arial"/>
                <w:sz w:val="18"/>
                <w:szCs w:val="18"/>
                <w:color w:val="auto"/>
                <w:w w:val="99"/>
              </w:rPr>
              <w:t>$94 Million</w:t>
            </w:r>
          </w:p>
        </w:tc>
        <w:tc>
          <w:tcPr>
            <w:tcW w:w="3640" w:type="dxa"/>
            <w:vAlign w:val="bottom"/>
          </w:tcPr>
          <w:p>
            <w:pPr>
              <w:jc w:val="center"/>
              <w:ind w:right="10"/>
              <w:spacing w:after="0"/>
              <w:rPr>
                <w:sz w:val="20"/>
                <w:szCs w:val="20"/>
                <w:color w:val="auto"/>
              </w:rPr>
            </w:pPr>
            <w:r>
              <w:rPr>
                <w:rFonts w:ascii="Arial" w:cs="Arial" w:eastAsia="Arial" w:hAnsi="Arial"/>
                <w:sz w:val="18"/>
                <w:szCs w:val="18"/>
                <w:color w:val="auto"/>
                <w:w w:val="90"/>
              </w:rPr>
              <w:t>3.30%</w:t>
            </w:r>
          </w:p>
        </w:tc>
      </w:tr>
      <w:tr>
        <w:trPr>
          <w:trHeight w:val="27"/>
        </w:trPr>
        <w:tc>
          <w:tcPr>
            <w:tcW w:w="37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ALLETE has the option to prepay all or a portion of the Bonds at its discretion, subject to a make-whole provision. The Bonds are subject to additional terms and conditions which are customary for these types of transactions. ALLETE plans to use the proceeds from the sale of the Bonds to fund utility capital investment and for general corporate purposes. The Bonds were sold in reliance on an exemption from registration under Section 4(a)(2) of the Securities Act of 1933, as amended, to institutional accredited investors.</w:t>
      </w:r>
    </w:p>
    <w:p>
      <w:pPr>
        <w:spacing w:after="0" w:line="21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On April 8, 2020, ALLETE entered into a $115 million unsecured term loan agreement (Term Loan) and borrowed $95 million upon execution. The additional draw of $20 million provided for under the Term Loan was made in July 2020. The Term Loan is due on April 7, 2021, and may be repaid at any time. Interest is payable monthly at a rate per annum equal to LIBOR plus 1.7 percent with a LIBOR floor of 0.75 percent. Proceeds from the Term Loan will be used for general corporate purposes.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June 30, 2020, our ratio was approximately 0.44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June 30, 2020, ALLETE was in compliance with its financial covenants.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ectPr>
          <w:pgSz w:w="11900" w:h="16838" w:orient="portrait"/>
          <w:cols w:equalWidth="0" w:num="1">
            <w:col w:w="11240"/>
          </w:cols>
          <w:pgMar w:left="320" w:top="891" w:right="339" w:bottom="1440"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6. COMMITMENTS, GUARANTEES AND CONTINGENCIES</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Power Purchase and Sale Agreements. </w:t>
      </w:r>
      <w:r>
        <w:rPr>
          <w:rFonts w:ascii="Arial" w:cs="Arial" w:eastAsia="Arial" w:hAnsi="Arial"/>
          <w:sz w:val="18"/>
          <w:szCs w:val="18"/>
          <w:color w:val="auto"/>
        </w:rPr>
        <w:t>Our long-term PPAs have been evaluated under the accounting guidance for variable interest entities.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that 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PPAs are summarized in Note 9. Commitments, Guarantees and Contingencies to the Consolidated Financial Statements in our 2019 Form 10-K, with additional disclosure provided in the following paragraphs.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As of June 30, 2020, Square Butte had total debt outstanding of $272.9 million. Fuel expenses are recoverable through Minnesota</w:t>
      </w:r>
      <w:r>
        <w:rPr>
          <w:rFonts w:ascii="Arial" w:cs="Arial" w:eastAsia="Arial" w:hAnsi="Arial"/>
          <w:sz w:val="17"/>
          <w:szCs w:val="17"/>
          <w:i w:val="1"/>
          <w:iCs w:val="1"/>
          <w:color w:val="auto"/>
        </w:rPr>
        <w:t xml:space="preserve"> </w:t>
      </w:r>
      <w:r>
        <w:rPr>
          <w:rFonts w:ascii="Arial" w:cs="Arial" w:eastAsia="Arial" w:hAnsi="Arial"/>
          <w:sz w:val="17"/>
          <w:szCs w:val="17"/>
          <w:color w:val="auto"/>
        </w:rPr>
        <w:t>Power’s fuel adjustment clause and include the cost of coal purchased from BNI Energy under a long-term contract. Minnesota Power’s cost of power purchased from Square Butte during the six months ended June 30, 2020, was $40.8 million ($41.1 million for the same period in 2019). This reflects Minnesota Power’s pro rata share of total Square Butte costs based on the 50 percent output entitlement. Included in this amount was Minnesota Power’s pro rata share of interest expense of $3.7 million ($4.2 million for the same period in 2019). Minnesota Power’s payments to Square Butte are approved as a purchased power expense for ratemaking purposes by both the MPUC and the FERC.</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PSA. </w:t>
      </w:r>
      <w:r>
        <w:rPr>
          <w:rFonts w:ascii="Arial" w:cs="Arial" w:eastAsia="Arial" w:hAnsi="Arial"/>
          <w:sz w:val="18"/>
          <w:szCs w:val="18"/>
          <w:color w:val="auto"/>
        </w:rPr>
        <w:t>Minnesota Power has a PSA with Minnkota Power, which commenced in 2014. Under the PSA, Minnesota Power is selling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its entitlement from Square Butte to Minnkota Power, resulting in Minnkota Power’s net entitlement increasing and Minnesota Power’s net entitlement decreasing until Minnesota Power’s share is eliminated at the end of 2025. Of Minnesota Power’s 50 percent output entitlement, it sold to Minnkota Power approximately 28 percent in 2020 and in 2019.</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Minnesota Power Short-term PSAs</w:t>
      </w:r>
      <w:r>
        <w:rPr>
          <w:rFonts w:ascii="Arial" w:cs="Arial" w:eastAsia="Arial" w:hAnsi="Arial"/>
          <w:sz w:val="17"/>
          <w:szCs w:val="17"/>
          <w:color w:val="auto"/>
        </w:rPr>
        <w:t>. Minnesota Power has entered into various short-term PSAs to sell 300 MW of energy in 2020 and 2021. These PSAs</w:t>
      </w:r>
      <w:r>
        <w:rPr>
          <w:rFonts w:ascii="Arial" w:cs="Arial" w:eastAsia="Arial" w:hAnsi="Arial"/>
          <w:sz w:val="17"/>
          <w:szCs w:val="17"/>
          <w:i w:val="1"/>
          <w:iCs w:val="1"/>
          <w:color w:val="auto"/>
        </w:rPr>
        <w:t xml:space="preserve"> </w:t>
      </w:r>
      <w:r>
        <w:rPr>
          <w:rFonts w:ascii="Arial" w:cs="Arial" w:eastAsia="Arial" w:hAnsi="Arial"/>
          <w:sz w:val="17"/>
          <w:szCs w:val="17"/>
          <w:color w:val="auto"/>
        </w:rPr>
        <w:t>were entered into to proactively mitigate the uncertainty of customers’ energy needs and potential load loss due to the COVID-19 pandemic. Additional transactions, purchases or sales, could be entered into as the extent and duration of the COVID-19 pandemic becomes known.</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Minnesota Power has coal supply agreements providing for the purchase of a significant portion of its coal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through December 2021. Minnesota Power also has coal transportation agreements in place for the delivery of a significant portion of its coal requirements through December 2021. The costs of fuel and related transportation costs for Minnesota Power’s generation are recoverable from Minnesota Power’s retail and municipal utility customers through the fuel adjustment clause.</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Great Northern Transmission Line. </w:t>
      </w:r>
      <w:r>
        <w:rPr>
          <w:rFonts w:ascii="Arial" w:cs="Arial" w:eastAsia="Arial" w:hAnsi="Arial"/>
          <w:sz w:val="16"/>
          <w:szCs w:val="16"/>
          <w:color w:val="auto"/>
        </w:rPr>
        <w:t>As a condition of the 250-MW long-term PPA entered into with Manitoba Hydro, construction of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transmission capacity was required. As a result, Minnesota Power constructed the GNTL, an approximately 220-mile 500-kV transmission line between Manitoba and Minnesota’s Iron Range that was proposed by Minnesota Power and Manitoba Hydro in order to strengthen the electric grid, enhance regional reliability and promote a greater exchange of sustainable energy. On June 1, 2020, Minnesota Power placed the GNTL into service with project costs of $307.1 million incurred by Minnesota Power through June 30, 2020. Total project costs, including those costs contributed by a subsidiary of Manitoba Hydro, incurred through June 30, 2020 totaled $657.0 million. Also on June 1, 2020, Manitoba Hydro placed the MMTP into service.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thermal generating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mainly burn low-sulfur western sub-bituminous coal. All of Minnesota Power’s coal-fired generating facilities are equipped with pollution control equipment such as scrubbers, baghouses and low NO</w:t>
      </w:r>
      <w:r>
        <w:rPr>
          <w:rFonts w:ascii="Arial" w:cs="Arial" w:eastAsia="Arial" w:hAnsi="Arial"/>
          <w:sz w:val="23"/>
          <w:szCs w:val="23"/>
          <w:color w:val="auto"/>
          <w:vertAlign w:val="subscript"/>
        </w:rPr>
        <w:t>X</w:t>
      </w:r>
      <w:r>
        <w:rPr>
          <w:rFonts w:ascii="Arial" w:cs="Arial" w:eastAsia="Arial" w:hAnsi="Arial"/>
          <w:sz w:val="18"/>
          <w:szCs w:val="18"/>
          <w:color w:val="auto"/>
        </w:rPr>
        <w:t xml:space="preserve"> technologies. Under currently applicable environmental regulations, these facilities are substantially compliant with emission requirements.</w:t>
      </w:r>
    </w:p>
    <w:p>
      <w:pPr>
        <w:spacing w:after="0" w:line="22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Cross-State Air Pollution Rule (CSAPR). </w:t>
      </w:r>
      <w:r>
        <w:rPr>
          <w:rFonts w:ascii="Arial" w:cs="Arial" w:eastAsia="Arial" w:hAnsi="Arial"/>
          <w:sz w:val="18"/>
          <w:szCs w:val="18"/>
          <w:color w:val="auto"/>
        </w:rPr>
        <w:t>The CSAPR requires certain states in the eastern half of the U.S., including Minnesota, to reduce power plant</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our review of the NO</w:t>
      </w:r>
      <w:r>
        <w:rPr>
          <w:rFonts w:ascii="Arial" w:cs="Arial" w:eastAsia="Arial" w:hAnsi="Arial"/>
          <w:sz w:val="23"/>
          <w:szCs w:val="23"/>
          <w:color w:val="auto"/>
          <w:vertAlign w:val="subscript"/>
        </w:rPr>
        <w:t>x</w:t>
      </w:r>
      <w:r>
        <w:rPr>
          <w:rFonts w:ascii="Arial" w:cs="Arial" w:eastAsia="Arial" w:hAnsi="Arial"/>
          <w:sz w:val="18"/>
          <w:szCs w:val="18"/>
          <w:color w:val="auto"/>
        </w:rPr>
        <w:t xml:space="preserve"> and SO</w:t>
      </w:r>
      <w:r>
        <w:rPr>
          <w:rFonts w:ascii="Arial" w:cs="Arial" w:eastAsia="Arial" w:hAnsi="Arial"/>
          <w:sz w:val="23"/>
          <w:szCs w:val="23"/>
          <w:color w:val="auto"/>
          <w:vertAlign w:val="subscript"/>
        </w:rPr>
        <w:t>2</w:t>
      </w:r>
      <w:r>
        <w:rPr>
          <w:rFonts w:ascii="Arial" w:cs="Arial" w:eastAsia="Arial" w:hAnsi="Arial"/>
          <w:sz w:val="18"/>
          <w:szCs w:val="18"/>
          <w:color w:val="auto"/>
        </w:rPr>
        <w:t xml:space="preserve"> allowances issued and pending issuance, we currently expect generation levels and emission rates will result in continued compliance with the CSAPR. The ongoing CSAPR “good neighbor” provision and interstate transport litigation is also not currently projected to affect Minnesota Power’s CSAPR compliance. The State of Minnesota has not been identified by the downwind litigant states as a culpable upwind source, and previous EPA air quality modeling has demonstrated that Minnesota is not a significant contributor to downwind air quality attainment challenges. Minnesota Power also does not currently anticipate being affected by the EPA’s expected upcoming rulemakings to address the remand of certain CSAPR rules. Minnesota Power will continue to monitor ongoing CSAPR litigation and associated rulemakings.</w:t>
      </w:r>
    </w:p>
    <w:p>
      <w:pPr>
        <w:spacing w:after="0" w:line="23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National Ambient Air Quality Standards (NAAQS). </w:t>
      </w:r>
      <w:r>
        <w:rPr>
          <w:rFonts w:ascii="Arial" w:cs="Arial" w:eastAsia="Arial" w:hAnsi="Arial"/>
          <w:sz w:val="16"/>
          <w:szCs w:val="16"/>
          <w:color w:val="auto"/>
        </w:rPr>
        <w:t>The EPA is required to review the NAAQS every five years. If the EPA determines that a state’s air</w:t>
      </w:r>
      <w:r>
        <w:rPr>
          <w:rFonts w:ascii="Arial" w:cs="Arial" w:eastAsia="Arial" w:hAnsi="Arial"/>
          <w:sz w:val="16"/>
          <w:szCs w:val="16"/>
          <w:i w:val="1"/>
          <w:iCs w:val="1"/>
          <w:color w:val="auto"/>
        </w:rPr>
        <w:t xml:space="preserve"> </w:t>
      </w:r>
      <w:r>
        <w:rPr>
          <w:rFonts w:ascii="Arial" w:cs="Arial" w:eastAsia="Arial" w:hAnsi="Arial"/>
          <w:sz w:val="16"/>
          <w:szCs w:val="16"/>
          <w:color w:val="auto"/>
        </w:rPr>
        <w:t>quality is not in compliance with the NAAQS, the state is required to adopt plans describing how it will reduce emissions to attain the NAAQS. Minnesota Power actively monitors NAAQS developments and compliance costs for existing standards or proposed NAAQS revisions are not expected to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risks. Physical risks could include, but are not limited to: increased or decreased precipitation and water levels in lakes and rivers; increases or other changes in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21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renewable power supply for both our operations and the operations of others;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management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Improving efficiency of our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generating facilities and carbon sequestration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Evaluating and developing less carbon intensive future generating assets such as efficient and flexible natural gas-fired generating facilities;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Managing vegetation on right-of-way corridors to reduce potential wildfire or storm damage risks; and</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Practicing sound forestry management in our service territories to create landscapes more resilient to disruption from climate-related changes, including planting and managing long-lived conifer species.</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EPA Regulation of GHG Emissions. </w:t>
      </w:r>
      <w:r>
        <w:rPr>
          <w:rFonts w:ascii="Arial" w:cs="Arial" w:eastAsia="Arial" w:hAnsi="Arial"/>
          <w:sz w:val="18"/>
          <w:szCs w:val="18"/>
          <w:color w:val="auto"/>
        </w:rPr>
        <w:t>On June 19, 2019, the EPA finalized several separate rulemakings regarding regulating carbon emissions from electric</w:t>
      </w:r>
      <w:r>
        <w:rPr>
          <w:rFonts w:ascii="Arial" w:cs="Arial" w:eastAsia="Arial" w:hAnsi="Arial"/>
          <w:sz w:val="18"/>
          <w:szCs w:val="18"/>
          <w:i w:val="1"/>
          <w:iCs w:val="1"/>
          <w:color w:val="auto"/>
        </w:rPr>
        <w:t xml:space="preserve"> </w:t>
      </w:r>
      <w:r>
        <w:rPr>
          <w:rFonts w:ascii="Arial" w:cs="Arial" w:eastAsia="Arial" w:hAnsi="Arial"/>
          <w:sz w:val="18"/>
          <w:szCs w:val="18"/>
          <w:color w:val="auto"/>
        </w:rPr>
        <w:t>utility generating units.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EPA repealed the Clean Power Plan (CPP), following a determination by the EPA that the CPP exceeded the EPA’s statutory authority under the Clean Air Act (CAA). The primary reason for the repeal was the CPP’s attempt to regulate electric generating unit’s carbon emissions through measures outside of the affected unit’s direct control. The CPP was first announced as a proposed rule under Section 111(d) of the Clean Air Act for existing power plants entitled “Carbon Pollution Emission Guidelines for Existing Stationary Sources: Electric Generating Units”.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the repeal of the CPP, the Affordable Clean Energy Rule was finalized. The rule establishes emissions guidelines for states to use when developing plans to limit carbon dioxide at coal-fired power plants. The rule identifies heat rate improvements made at individual units as the best system of emission reduction. Affected facilities for Minnesota Power include Boswell Units 3 and 4. Based on our initial review of the rule, many of the candidate heat rate improvements are already installed on Boswell Units 3 and 4.</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the EPA finalized new regulations for the state implementation of the Affordable Clean Energy Rule and any future emission guidelines issued under CAA Section 111(d). States will have three years to submit State Implementation Plans (SIPs), and the EPA has 12 months to review and approve those plans. Since the Affordable Clean Energy Rule allows states considerable flexibility in how to best implement its requirements, Minnesota Power plans to work closely with the MPCA and the Minnesota Department of Commerce, who are currently co-reviewing the rule as the state develops its SIP. If a state does not submit a SIP or submits a SIP that is unacceptable to the EPA, the EPA will develop a Federal Implementation Plan. The MPCA currently plans to develop a SIP for the Affordable Clean Energy Rule and Minnesota Power is working with the MPCA to provide requested information for the SIP.</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Minnesota had already initiated several measures consistent with those called for under the now repealed CPP and finalized Affordable Clean Energy Rule. Minnesota Power continues implementing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strategic plan that provides for significant emission reductions and diversifying its electricity generation mix to include more renewable and natural gas energy. We are unable to predict the GHG emission compliance costs we might incur as a result of the Affordable Clean Energy Rule and the resulting SIP; however, the costs could be material. Minnesota Power would seek recovery of additional costs through a rate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wastewater discharged into navigable waters. We have obtained all necessary NPDES permits, including NPDES storm water permits for applicable facilities, to conduct our operations.</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Steam Electric Power Generating Effluent Limitations Guidelines. </w:t>
      </w:r>
      <w:r>
        <w:rPr>
          <w:rFonts w:ascii="Arial" w:cs="Arial" w:eastAsia="Arial" w:hAnsi="Arial"/>
          <w:sz w:val="16"/>
          <w:szCs w:val="16"/>
          <w:color w:val="auto"/>
        </w:rPr>
        <w:t>In 2015, the EPA issued revised federal effluent limitation guidelines (ELG) for steam</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 power generating stations under the Clean Water Act. It set effluent limits and prescribed BACT for several wastewater streams, including flue gas desulphurization (FGD) water, bottom ash transport water and coal combustion landfill leachate. In 2017, the EPA announced a two-year postponement of the ELG compliance date of November 1, 2018, to November 1, 2020, while the agency reconsiders the bottom ash transport water and FGD wastewater provisions. On April 12, 2019, the U.S. Court of Appeals for the Fifth Circuit vacated and remanded back to the EPA portions of the ELG that allowed for continued discharge of legacy wastewater and leachate. On November 22, 2019, the EPA published a draft rulemaking that proposes to allow re-use of bottom ash transport water in FGD scrubber systems with minor discharges related to maintaining system water balance. The proposed rulemaking would also allow future discharge of FGD wastewater discharge provided it meets new BACT standards. A final rulemaking is anticipated in late 2020.</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ELG's potential impact on Minnesota Power operations is primarily at Boswell. Boswell currently discharges bottom ash contact water through its NPDES permit, and also has a closed-loop FGD system that does not discharge to surface waters, but may do so in the future if additional water treatment measures are implemented. Under the current ELG rule, bottom ash transport water discharge to surface waters must cease no later than December 31, 2023. Bottom ash contact water will either need to be re-used in a closed-loop process, routed to a FGD scrubber, or the bottom ash handling system will need to be converted to a dry process. The ELG rule provision regarding these two waste-streams are being reconsidered and may change prior to November 1, 2020. Efforts have been underway at Boswell to reduce the amount of water discharged and evaluate potential re-use options in its plant processes. The EPA’s additional reconsideration of legacy wastewater discharge requirements have the potential to reduce timelines for dewatering Boswell’s existing bottom ash pond. The timing of a draft rule addressing legacy wastewater and leachate is currently unknown.</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this time, we estimate that the planned dry conversion of bottom ash handling and storage at Boswell in response to the CCR revisions requiring closure of clay-lined impoundments as well as other water re-use practices, will reduce or eliminate the need for additional significant compliance costs for ELG bottom ash water requirements. Compliance costs we might incur related to other ELG waste streams (e.g. legacy leachate) or other potential future water discharge regulations cannot be estimated; however, the costs could be material, including costs associated with wastewater treatment and re-use. Minnesota Power would seek recovery of additional costs through a rate proceeding.</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Solid and Hazardous Waste. </w:t>
      </w:r>
      <w:r>
        <w:rPr>
          <w:rFonts w:ascii="Arial" w:cs="Arial" w:eastAsia="Arial" w:hAnsi="Arial"/>
          <w:sz w:val="18"/>
          <w:szCs w:val="18"/>
          <w:color w:val="auto"/>
        </w:rPr>
        <w:t>The Resource Conservation and Recovery Act of 1976 regulates the management and disposal of solid and hazardous</w:t>
      </w:r>
      <w:r>
        <w:rPr>
          <w:rFonts w:ascii="Arial" w:cs="Arial" w:eastAsia="Arial" w:hAnsi="Arial"/>
          <w:sz w:val="18"/>
          <w:szCs w:val="18"/>
          <w:b w:val="1"/>
          <w:bCs w:val="1"/>
          <w:color w:val="auto"/>
        </w:rPr>
        <w:t xml:space="preserve"> </w:t>
      </w:r>
      <w:r>
        <w:rPr>
          <w:rFonts w:ascii="Arial" w:cs="Arial" w:eastAsia="Arial" w:hAnsi="Arial"/>
          <w:sz w:val="18"/>
          <w:szCs w:val="18"/>
          <w:color w:val="auto"/>
        </w:rPr>
        <w:t>wastes. We are required to notify the EPA of hazardous waste activity and, consequently, routinely submit reports to the EPA.</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Coal Ash Management Facilities. </w:t>
      </w:r>
      <w:r>
        <w:rPr>
          <w:rFonts w:ascii="Arial" w:cs="Arial" w:eastAsia="Arial" w:hAnsi="Arial"/>
          <w:sz w:val="18"/>
          <w:szCs w:val="18"/>
          <w:color w:val="auto"/>
        </w:rPr>
        <w:t>Minnesota Power stores or disposes coal ash at four of its electric generating facilities by the following methods: storing</w:t>
      </w:r>
      <w:r>
        <w:rPr>
          <w:rFonts w:ascii="Arial" w:cs="Arial" w:eastAsia="Arial" w:hAnsi="Arial"/>
          <w:sz w:val="18"/>
          <w:szCs w:val="18"/>
          <w:i w:val="1"/>
          <w:iCs w:val="1"/>
          <w:color w:val="auto"/>
        </w:rPr>
        <w:t xml:space="preserve"> </w:t>
      </w:r>
      <w:r>
        <w:rPr>
          <w:rFonts w:ascii="Arial" w:cs="Arial" w:eastAsia="Arial" w:hAnsi="Arial"/>
          <w:sz w:val="18"/>
          <w:szCs w:val="18"/>
          <w:color w:val="auto"/>
        </w:rPr>
        <w:t>ash in clay-lined onsite impoundments (ash ponds), disposing of dry ash in a lined dry ash landfill, applying ash to land as an approved beneficial use and trucking ash to state permitted landfills.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Coal Combustion Residuals from Electric Utilities (CCR). </w:t>
      </w:r>
      <w:r>
        <w:rPr>
          <w:rFonts w:ascii="Arial" w:cs="Arial" w:eastAsia="Arial" w:hAnsi="Arial"/>
          <w:sz w:val="17"/>
          <w:szCs w:val="17"/>
          <w:color w:val="auto"/>
        </w:rPr>
        <w:t>In 2015, the EPA published the final rule regulating CCR as nonhazardous waste under Subtitle</w:t>
      </w:r>
      <w:r>
        <w:rPr>
          <w:rFonts w:ascii="Arial" w:cs="Arial" w:eastAsia="Arial" w:hAnsi="Arial"/>
          <w:sz w:val="17"/>
          <w:szCs w:val="17"/>
          <w:i w:val="1"/>
          <w:iCs w:val="1"/>
          <w:color w:val="auto"/>
        </w:rPr>
        <w:t xml:space="preserve"> </w:t>
      </w:r>
      <w:r>
        <w:rPr>
          <w:rFonts w:ascii="Arial" w:cs="Arial" w:eastAsia="Arial" w:hAnsi="Arial"/>
          <w:sz w:val="17"/>
          <w:szCs w:val="17"/>
          <w:color w:val="auto"/>
        </w:rPr>
        <w:t>D of the Resource Conservation and Recovery Act (RCRA) in the Federal Register. The rule includes additional requirements for new landfill and impoundment construction as well as closure activities related to certain existing impoundments. Costs of compliance for Boswell and Laskin are expected to occur primarily over the next 15 years and be between approximately $65 million and $120 million. Compliance costs for CCR at Taconite Harbor are not expected to be material. Minnesota Power would seek recovery of additional costs through a rate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Minnesota Power continues to work on minimizing costs through evaluation of beneficial re-use and recycling of CCR and CCR-related waters. In 2017, the EPA announced its intention to formally reconsider the CCR rule under Subtitle D of the RCRA and in March 2018, published the first phase of the proposed rule revisions in the Federal Register. In July 2018, the EPA finalized revisions to elements of the CCR rule, including extending certain deadlines by two years, the establishment of alternative groundwater protection standards for certain constituents and the potential for risk-based management options at facilities based on site characteristics. In August 2018, a U.S. District Court for the District of Columbia decision vacated specific provisions of the CCR rule. The court decision changed the status of three existing impoundments at Boswell that must now be considered unlined. The EPA proposed additional rule revisions in August and December 2019 to address outstanding issues from litigation and closure timelines for unlined impoundments, respectively. These rules are anticipated to be finalized in 2020 and could impact the timing of closure activities for Boswell’s three impoundments. Additionally, the EPA recently released a proposed Part B rulemaking that addresses options for beneficial reuse of CCR materials, alternative liner demonstrations, and other CCR regulatory revisions. Expected compliance costs at Boswell due to the court decision and subsequent rule revisions are reflected in our estimate of compliance costs for the CCR rule noted previously. Minnesota Power would seek recovery of additional costs through a rate proceeding.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Environmental Matters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Manufactured Gas Plant Site. </w:t>
      </w:r>
      <w:r>
        <w:rPr>
          <w:rFonts w:ascii="Arial" w:cs="Arial" w:eastAsia="Arial" w:hAnsi="Arial"/>
          <w:sz w:val="18"/>
          <w:szCs w:val="18"/>
          <w:color w:val="auto"/>
        </w:rPr>
        <w:t>We are reviewing and addressing environmental conditions at a former manufactured gas plant site located in Superior,</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SWL&amp;P has been working with the Wisconsin Department of Natural Resources (WDNR) in determining the extent of contamination at the site and surrounding properties. In December 2017, the WDNR authorized SWL&amp;P to transition from site investigation into the remedial design process. As of June 30, 2020, we have recorded a liability of approximately $7 million for remediation costs at this site (approximately $7 million as of December 31, 2019). SWL&amp;P has also recorded an associated regulatory asset as we expect recovery of these remediation costs to be allowed by the PSCW. Remediation costs are expected to be incurred through 2023.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multiple credit facility agreements in place that provide the ability to issue standby letters of credit to satisfy our contractual security requirements across our businesses. As of June 30, 2020, we had $84.0 million of outstanding letters of credit issued, including those issued under our revolving credit facility.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Minnesota Power. </w:t>
      </w:r>
      <w:r>
        <w:rPr>
          <w:rFonts w:ascii="Arial" w:cs="Arial" w:eastAsia="Arial" w:hAnsi="Arial"/>
          <w:sz w:val="18"/>
          <w:szCs w:val="18"/>
          <w:color w:val="auto"/>
        </w:rPr>
        <w:t>As of June 30, 2020, Minnesota Power had $6.4 million outstanding in standby letters of credit which are pledged as security for MISO</w:t>
      </w:r>
      <w:r>
        <w:rPr>
          <w:rFonts w:ascii="Arial" w:cs="Arial" w:eastAsia="Arial" w:hAnsi="Arial"/>
          <w:sz w:val="18"/>
          <w:szCs w:val="18"/>
          <w:i w:val="1"/>
          <w:iCs w:val="1"/>
          <w:color w:val="auto"/>
        </w:rPr>
        <w:t xml:space="preserve"> </w:t>
      </w:r>
      <w:r>
        <w:rPr>
          <w:rFonts w:ascii="Arial" w:cs="Arial" w:eastAsia="Arial" w:hAnsi="Arial"/>
          <w:sz w:val="18"/>
          <w:szCs w:val="18"/>
          <w:color w:val="auto"/>
        </w:rPr>
        <w:t>and state agency agreements.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ALLETE Clean Energy. </w:t>
      </w:r>
      <w:r>
        <w:rPr>
          <w:rFonts w:ascii="Arial" w:cs="Arial" w:eastAsia="Arial" w:hAnsi="Arial"/>
          <w:sz w:val="18"/>
          <w:szCs w:val="18"/>
          <w:color w:val="auto"/>
        </w:rPr>
        <w:t>ALLETE Clean Energy’s wind energy facilities have PSAs in place for their entire output and expire in various years between 2022</w:t>
      </w:r>
      <w:r>
        <w:rPr>
          <w:rFonts w:ascii="Arial" w:cs="Arial" w:eastAsia="Arial" w:hAnsi="Arial"/>
          <w:sz w:val="18"/>
          <w:szCs w:val="18"/>
          <w:i w:val="1"/>
          <w:iCs w:val="1"/>
          <w:color w:val="auto"/>
        </w:rPr>
        <w:t xml:space="preserve"> </w:t>
      </w:r>
      <w:r>
        <w:rPr>
          <w:rFonts w:ascii="Arial" w:cs="Arial" w:eastAsia="Arial" w:hAnsi="Arial"/>
          <w:sz w:val="18"/>
          <w:szCs w:val="18"/>
          <w:color w:val="auto"/>
        </w:rPr>
        <w:t>and 2039. As of June 30, 2020, ALLETE Clean Energy has $63.6 million outstanding in standby letters of credit, the majority of which are pledged as security under these PSAs and PSAs for wind energy facilities under development.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Investment in Nobles 2. </w:t>
      </w:r>
      <w:r>
        <w:rPr>
          <w:rFonts w:ascii="Arial" w:cs="Arial" w:eastAsia="Arial" w:hAnsi="Arial"/>
          <w:sz w:val="18"/>
          <w:szCs w:val="18"/>
          <w:color w:val="auto"/>
        </w:rPr>
        <w:t>Construction of the Nobles 2 wind energy facility requires standby letters of credit as security for certain contractual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As of June 30, 2020, ALLETE South Wind has $14.0 million outstanding in standby letters of credit, related to our portion of the security requirements relative to our ownership in Nobles 2.</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BNI Energy. </w:t>
      </w:r>
      <w:r>
        <w:rPr>
          <w:rFonts w:ascii="Arial" w:cs="Arial" w:eastAsia="Arial" w:hAnsi="Arial"/>
          <w:sz w:val="18"/>
          <w:szCs w:val="18"/>
          <w:color w:val="auto"/>
        </w:rPr>
        <w:t>As of June 30, 2020, BNI Energy had surety bonds outstanding of $67.7 million related to the reclamation liability for closing costs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its mine and mine facilities. Although its coal supply agreements obligate the customers to provide for the closing costs, additional assurance is required by federal and state regulations. BNI Energy’s total reclamation liability is currently estimated at $67.3 million. BNI Energy does not believe it is likely that any of these outstanding surety bonds will be drawn upon.</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ALLETE Properties. </w:t>
      </w:r>
      <w:r>
        <w:rPr>
          <w:rFonts w:ascii="Arial" w:cs="Arial" w:eastAsia="Arial" w:hAnsi="Arial"/>
          <w:sz w:val="17"/>
          <w:szCs w:val="17"/>
          <w:color w:val="auto"/>
        </w:rPr>
        <w:t>As of June 30, 2020, ALLETE Properties had surety bonds outstanding and letters of credit to governmental entities totaling</w:t>
      </w:r>
      <w:r>
        <w:rPr>
          <w:rFonts w:ascii="Arial" w:cs="Arial" w:eastAsia="Arial" w:hAnsi="Arial"/>
          <w:sz w:val="17"/>
          <w:szCs w:val="17"/>
          <w:b w:val="1"/>
          <w:bCs w:val="1"/>
          <w:color w:val="auto"/>
        </w:rPr>
        <w:t xml:space="preserve"> </w:t>
      </w:r>
      <w:r>
        <w:rPr>
          <w:rFonts w:ascii="Arial" w:cs="Arial" w:eastAsia="Arial" w:hAnsi="Arial"/>
          <w:sz w:val="17"/>
          <w:szCs w:val="17"/>
          <w:color w:val="auto"/>
        </w:rPr>
        <w:t>$2.3 million primarily related to development and maintenance obligations for various projects. The estimated cost of the remaining development work is $1.3 million. ALLETE Properties does not believe it is likely that any of these outstanding surety bonds or letters of credit will be drawn upon.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(Continued)</w:t>
      </w:r>
    </w:p>
    <w:p>
      <w:pPr>
        <w:spacing w:after="0" w:line="2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Community Development District Obligations. </w:t>
      </w:r>
      <w:r>
        <w:rPr>
          <w:rFonts w:ascii="Arial" w:cs="Arial" w:eastAsia="Arial" w:hAnsi="Arial"/>
          <w:sz w:val="16"/>
          <w:szCs w:val="16"/>
          <w:color w:val="auto"/>
        </w:rPr>
        <w:t>As of June 30, 2020, we owned 53 percent of the assessable land in the Town Center District (53 percent as</w:t>
      </w:r>
      <w:r>
        <w:rPr>
          <w:rFonts w:ascii="Arial" w:cs="Arial" w:eastAsia="Arial" w:hAnsi="Arial"/>
          <w:sz w:val="16"/>
          <w:szCs w:val="16"/>
          <w:i w:val="1"/>
          <w:iCs w:val="1"/>
          <w:color w:val="auto"/>
        </w:rPr>
        <w:t xml:space="preserve"> </w:t>
      </w:r>
      <w:r>
        <w:rPr>
          <w:rFonts w:ascii="Arial" w:cs="Arial" w:eastAsia="Arial" w:hAnsi="Arial"/>
          <w:sz w:val="16"/>
          <w:szCs w:val="16"/>
          <w:color w:val="auto"/>
        </w:rPr>
        <w:t>of December 31, 2019). As of June 30, 2020, ownership levels, our annual assessments related to capital improvement and special assessment bonds for the ALLETE Properties project within the district is approximately $1.9 million. As we sell property at this project, the obligation to pay special assessments will pass to the new landowners. In accordance with accounting guidance, these bonds are not reflected as debt on our Consolidated Balance Sheet.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PER SHARE AND COMMON STOCK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compute basic earnings per share using the weighted average number of shares of common stock outstanding during each period. The difference between basic and diluted earnings per share, if any, arises from non-vested restricted stock units and performance share awards granted under our Executive Long-Term Incentive Compensation Plan.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Reconciliation of Basic and Diluted</w:t>
            </w: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5"/>
              </w:rPr>
              <w:t>Dilutive</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Dilutive</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Basic</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Diluted</w:t>
            </w: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Basic</w:t>
            </w: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Securities</w:t>
            </w: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7"/>
        </w:trPr>
        <w:tc>
          <w:tcPr>
            <w:tcW w:w="4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1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1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$20.1</w:t>
            </w:r>
          </w:p>
        </w:tc>
        <w:tc>
          <w:tcPr>
            <w:tcW w:w="12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21"/>
                <w:szCs w:val="21"/>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$34.2</w:t>
            </w:r>
          </w:p>
        </w:tc>
        <w:tc>
          <w:tcPr>
            <w:tcW w:w="12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Common Shares</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51.8</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51.9</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51.6</w:t>
            </w:r>
          </w:p>
        </w:tc>
        <w:tc>
          <w:tcPr>
            <w:tcW w:w="124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87"/>
              </w:rPr>
              <w:t>0.1</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$0.39</w:t>
            </w:r>
          </w:p>
        </w:tc>
        <w:tc>
          <w:tcPr>
            <w:tcW w:w="12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$0.39</w:t>
            </w:r>
          </w:p>
        </w:tc>
        <w:tc>
          <w:tcPr>
            <w:tcW w:w="140" w:type="dxa"/>
            <w:vAlign w:val="bottom"/>
          </w:tcPr>
          <w:p>
            <w:pPr>
              <w:spacing w:after="0"/>
              <w:rPr>
                <w:sz w:val="21"/>
                <w:szCs w:val="21"/>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$0.66</w:t>
            </w:r>
          </w:p>
        </w:tc>
        <w:tc>
          <w:tcPr>
            <w:tcW w:w="12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7"/>
        </w:trPr>
        <w:tc>
          <w:tcPr>
            <w:tcW w:w="4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1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$86.4</w:t>
            </w:r>
          </w:p>
        </w:tc>
        <w:tc>
          <w:tcPr>
            <w:tcW w:w="12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$86.4</w:t>
            </w:r>
          </w:p>
        </w:tc>
        <w:tc>
          <w:tcPr>
            <w:tcW w:w="140" w:type="dxa"/>
            <w:vAlign w:val="bottom"/>
          </w:tcPr>
          <w:p>
            <w:pPr>
              <w:spacing w:after="0"/>
              <w:rPr>
                <w:sz w:val="21"/>
                <w:szCs w:val="21"/>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$104.7</w:t>
            </w:r>
          </w:p>
        </w:tc>
        <w:tc>
          <w:tcPr>
            <w:tcW w:w="12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Common Shares</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51.8</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51.8</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51.6</w:t>
            </w:r>
          </w:p>
        </w:tc>
        <w:tc>
          <w:tcPr>
            <w:tcW w:w="124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87"/>
              </w:rPr>
              <w:t>0.1</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$1.67</w:t>
            </w:r>
          </w:p>
        </w:tc>
        <w:tc>
          <w:tcPr>
            <w:tcW w:w="12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21"/>
                <w:szCs w:val="21"/>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$2.03</w:t>
            </w:r>
          </w:p>
        </w:tc>
        <w:tc>
          <w:tcPr>
            <w:tcW w:w="12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4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5"/>
        </w:trPr>
        <w:tc>
          <w:tcPr>
            <w:tcW w:w="4180" w:type="dxa"/>
            <w:vAlign w:val="bottom"/>
          </w:tcPr>
          <w:p>
            <w:pPr>
              <w:spacing w:after="0"/>
              <w:rPr>
                <w:sz w:val="20"/>
                <w:szCs w:val="20"/>
                <w:color w:val="auto"/>
              </w:rPr>
            </w:pPr>
            <w:r>
              <w:rPr>
                <w:rFonts w:ascii="Arial" w:cs="Arial" w:eastAsia="Arial" w:hAnsi="Arial"/>
                <w:sz w:val="18"/>
                <w:szCs w:val="18"/>
                <w:b w:val="1"/>
                <w:bCs w:val="1"/>
                <w:color w:val="auto"/>
              </w:rPr>
              <w:t>NOTE 8. INCOME TAX EXPENSE</w:t>
            </w: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2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Quarter Ended</w:t>
            </w:r>
          </w:p>
        </w:tc>
        <w:tc>
          <w:tcPr>
            <w:tcW w:w="22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42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June 30,</w:t>
            </w:r>
          </w:p>
        </w:tc>
        <w:tc>
          <w:tcPr>
            <w:tcW w:w="226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3"/>
                <w:szCs w:val="23"/>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4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Current Income Tax Expense </w:t>
            </w:r>
            <w:r>
              <w:rPr>
                <w:rFonts w:ascii="Arial" w:cs="Arial" w:eastAsia="Arial" w:hAnsi="Arial"/>
                <w:sz w:val="16"/>
                <w:szCs w:val="16"/>
                <w:i w:val="1"/>
                <w:iCs w:val="1"/>
                <w:color w:val="auto"/>
              </w:rPr>
              <w:t>(a)</w:t>
            </w:r>
          </w:p>
        </w:tc>
        <w:tc>
          <w:tcPr>
            <w:tcW w:w="1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20"/>
              <w:spacing w:after="0"/>
              <w:rPr>
                <w:sz w:val="20"/>
                <w:szCs w:val="20"/>
                <w:color w:val="auto"/>
              </w:rPr>
            </w:pPr>
            <w:r>
              <w:rPr>
                <w:rFonts w:ascii="Arial" w:cs="Arial" w:eastAsia="Arial" w:hAnsi="Arial"/>
                <w:sz w:val="18"/>
                <w:szCs w:val="18"/>
                <w:color w:val="auto"/>
              </w:rPr>
              <w:t>Federal</w:t>
            </w:r>
          </w:p>
        </w:tc>
        <w:tc>
          <w:tcPr>
            <w:tcW w:w="1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12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6"/>
        </w:trPr>
        <w:tc>
          <w:tcPr>
            <w:tcW w:w="418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Total Current Income Tax Expense (Benefit)</w:t>
            </w:r>
          </w:p>
        </w:tc>
        <w:tc>
          <w:tcPr>
            <w:tcW w:w="1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$(0.1)</w:t>
            </w:r>
          </w:p>
        </w:tc>
        <w:tc>
          <w:tcPr>
            <w:tcW w:w="12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Expense (Benefit)</w:t>
            </w:r>
          </w:p>
        </w:tc>
        <w:tc>
          <w:tcPr>
            <w:tcW w:w="1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22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6"/>
                <w:szCs w:val="16"/>
                <w:i w:val="1"/>
                <w:iCs w:val="1"/>
                <w:color w:val="auto"/>
              </w:rPr>
              <w:t>(b)</w:t>
            </w:r>
          </w:p>
        </w:tc>
        <w:tc>
          <w:tcPr>
            <w:tcW w:w="1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w w:val="89"/>
              </w:rPr>
              <w:t>$(8.6)</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$(7.1)</w:t>
            </w:r>
          </w:p>
        </w:tc>
        <w:tc>
          <w:tcPr>
            <w:tcW w:w="1240" w:type="dxa"/>
            <w:vAlign w:val="bottom"/>
          </w:tcPr>
          <w:p>
            <w:pPr>
              <w:jc w:val="center"/>
              <w:ind w:left="250"/>
              <w:spacing w:after="0"/>
              <w:rPr>
                <w:sz w:val="20"/>
                <w:szCs w:val="20"/>
                <w:color w:val="auto"/>
              </w:rPr>
            </w:pPr>
            <w:r>
              <w:rPr>
                <w:rFonts w:ascii="Arial" w:cs="Arial" w:eastAsia="Arial" w:hAnsi="Arial"/>
                <w:sz w:val="18"/>
                <w:szCs w:val="18"/>
                <w:color w:val="auto"/>
                <w:w w:val="94"/>
              </w:rPr>
              <w:t>$(26.2)</w:t>
            </w:r>
          </w:p>
        </w:tc>
        <w:tc>
          <w:tcPr>
            <w:tcW w:w="102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0"/>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6"/>
                <w:szCs w:val="16"/>
                <w:i w:val="1"/>
                <w:iCs w:val="1"/>
                <w:color w:val="auto"/>
              </w:rPr>
              <w:t>(c)</w:t>
            </w:r>
          </w:p>
        </w:tc>
        <w:tc>
          <w:tcPr>
            <w:tcW w:w="1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w:t>
            </w: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4.2</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4180" w:type="dxa"/>
            <w:vAlign w:val="bottom"/>
          </w:tcPr>
          <w:p>
            <w:pPr>
              <w:ind w:left="220"/>
              <w:spacing w:after="0"/>
              <w:rPr>
                <w:sz w:val="20"/>
                <w:szCs w:val="20"/>
                <w:color w:val="auto"/>
              </w:rPr>
            </w:pPr>
            <w:r>
              <w:rPr>
                <w:rFonts w:ascii="Arial" w:cs="Arial" w:eastAsia="Arial" w:hAnsi="Arial"/>
                <w:sz w:val="18"/>
                <w:szCs w:val="18"/>
                <w:color w:val="auto"/>
              </w:rPr>
              <w:t>Investment Tax Credit Amortization</w:t>
            </w:r>
          </w:p>
        </w:tc>
        <w:tc>
          <w:tcPr>
            <w:tcW w:w="1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(0.1)</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40" w:type="dxa"/>
            <w:vAlign w:val="bottom"/>
          </w:tcPr>
          <w:p>
            <w:pPr>
              <w:jc w:val="center"/>
              <w:ind w:left="250"/>
              <w:spacing w:after="0"/>
              <w:rPr>
                <w:sz w:val="20"/>
                <w:szCs w:val="20"/>
                <w:color w:val="auto"/>
              </w:rPr>
            </w:pPr>
            <w:r>
              <w:rPr>
                <w:rFonts w:ascii="Arial" w:cs="Arial" w:eastAsia="Arial" w:hAnsi="Arial"/>
                <w:sz w:val="18"/>
                <w:szCs w:val="18"/>
                <w:color w:val="auto"/>
                <w:w w:val="91"/>
              </w:rPr>
              <w:t>(0.3)</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Deferred Income Tax Benefit</w:t>
            </w:r>
          </w:p>
        </w:tc>
        <w:tc>
          <w:tcPr>
            <w:tcW w:w="1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w w:val="89"/>
              </w:rPr>
              <w:t>$(8.5)</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w:t>
            </w:r>
          </w:p>
        </w:tc>
        <w:tc>
          <w:tcPr>
            <w:tcW w:w="124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94"/>
              </w:rPr>
              <w:t>$(22.3)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6"/>
        </w:trPr>
        <w:tc>
          <w:tcPr>
            <w:tcW w:w="4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Income Tax Benefit</w:t>
            </w:r>
          </w:p>
        </w:tc>
        <w:tc>
          <w:tcPr>
            <w:tcW w:w="1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ind w:left="780"/>
              <w:spacing w:after="0"/>
              <w:rPr>
                <w:sz w:val="20"/>
                <w:szCs w:val="20"/>
                <w:color w:val="auto"/>
              </w:rPr>
            </w:pPr>
            <w:r>
              <w:rPr>
                <w:rFonts w:ascii="Arial" w:cs="Arial" w:eastAsia="Arial" w:hAnsi="Arial"/>
                <w:sz w:val="18"/>
                <w:szCs w:val="18"/>
                <w:color w:val="auto"/>
                <w:w w:val="89"/>
              </w:rPr>
              <w:t>$(8.5)</w:t>
            </w: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$(4.8)</w:t>
            </w:r>
          </w:p>
        </w:tc>
        <w:tc>
          <w:tcPr>
            <w:tcW w:w="1240" w:type="dxa"/>
            <w:vAlign w:val="bottom"/>
            <w:tcBorders>
              <w:top w:val="single" w:sz="8" w:color="auto"/>
            </w:tcBorders>
          </w:tcPr>
          <w:p>
            <w:pPr>
              <w:jc w:val="center"/>
              <w:ind w:left="250"/>
              <w:spacing w:after="0"/>
              <w:rPr>
                <w:sz w:val="20"/>
                <w:szCs w:val="20"/>
                <w:color w:val="auto"/>
              </w:rPr>
            </w:pPr>
            <w:r>
              <w:rPr>
                <w:rFonts w:ascii="Arial" w:cs="Arial" w:eastAsia="Arial" w:hAnsi="Arial"/>
                <w:sz w:val="18"/>
                <w:szCs w:val="18"/>
                <w:color w:val="auto"/>
                <w:w w:val="94"/>
              </w:rPr>
              <w:t>$(22.3)</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40" w:hanging="332"/>
        <w:spacing w:after="0" w:line="255"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For each of the six months ended June 30, 2020 and 2019, the federal and state current tax expense was minimal due to NOLs which resulted from the bonus depreciation provisions of certain tax legislation. Federal and state NOLs are being carried forward to offset current and future taxable income.</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For each of the six months ended June 30, 2020 and 2019, the federal income tax benefit is primarily due to production tax credits.</w:t>
      </w:r>
    </w:p>
    <w:p>
      <w:pPr>
        <w:spacing w:after="0" w:line="5" w:lineRule="exact"/>
        <w:rPr>
          <w:rFonts w:ascii="Arial" w:cs="Arial" w:eastAsia="Arial" w:hAnsi="Arial"/>
          <w:sz w:val="16"/>
          <w:szCs w:val="16"/>
          <w:i w:val="1"/>
          <w:iCs w:val="1"/>
          <w:color w:val="auto"/>
        </w:rPr>
      </w:pPr>
    </w:p>
    <w:p>
      <w:pPr>
        <w:ind w:left="320" w:hanging="312"/>
        <w:spacing w:after="0"/>
        <w:tabs>
          <w:tab w:leader="none" w:pos="32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For the six months ended June 30, 2019, the state income tax expense is primarily related to the sale of U.S. Water Services.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ectPr>
          <w:pgSz w:w="11900" w:h="16838" w:orient="portrait"/>
          <w:cols w:equalWidth="0" w:num="1">
            <w:col w:w="11240"/>
          </w:cols>
          <w:pgMar w:left="320" w:top="891" w:right="339" w:bottom="775"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775"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8. INCOME TAX EXPENSE (Continued)</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3380" w:type="dxa"/>
            <w:vAlign w:val="bottom"/>
            <w:gridSpan w:val="2"/>
          </w:tcPr>
          <w:p>
            <w:pPr>
              <w:ind w:left="1520"/>
              <w:spacing w:after="0"/>
              <w:rPr>
                <w:sz w:val="20"/>
                <w:szCs w:val="20"/>
                <w:color w:val="auto"/>
              </w:rPr>
            </w:pPr>
            <w:r>
              <w:rPr>
                <w:rFonts w:ascii="Arial" w:cs="Arial" w:eastAsia="Arial" w:hAnsi="Arial"/>
                <w:sz w:val="18"/>
                <w:szCs w:val="18"/>
                <w:b w:val="1"/>
                <w:bCs w:val="1"/>
                <w:color w:val="auto"/>
              </w:rPr>
              <w:t>Quarter Ended</w:t>
            </w:r>
          </w:p>
        </w:tc>
        <w:tc>
          <w:tcPr>
            <w:tcW w:w="222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23"/>
                <w:szCs w:val="23"/>
                <w:color w:val="auto"/>
              </w:rPr>
            </w:pPr>
          </w:p>
        </w:tc>
      </w:tr>
      <w:tr>
        <w:trPr>
          <w:trHeight w:val="270"/>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Rate to Total Income Tax Expense</w:t>
            </w:r>
          </w:p>
        </w:tc>
        <w:tc>
          <w:tcPr>
            <w:tcW w:w="2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920" w:type="dxa"/>
            <w:vAlign w:val="bottom"/>
          </w:tcPr>
          <w:p>
            <w:pPr>
              <w:jc w:val="right"/>
              <w:ind w:right="430"/>
              <w:spacing w:after="0"/>
              <w:rPr>
                <w:sz w:val="20"/>
                <w:szCs w:val="20"/>
                <w:color w:val="auto"/>
              </w:rPr>
            </w:pPr>
            <w:r>
              <w:rPr>
                <w:rFonts w:ascii="Arial" w:cs="Arial" w:eastAsia="Arial" w:hAnsi="Arial"/>
                <w:sz w:val="18"/>
                <w:szCs w:val="18"/>
                <w:b w:val="1"/>
                <w:bCs w:val="1"/>
                <w:color w:val="auto"/>
                <w:w w:val="94"/>
              </w:rPr>
              <w:t>2019</w:t>
            </w:r>
          </w:p>
        </w:tc>
        <w:tc>
          <w:tcPr>
            <w:tcW w:w="1400" w:type="dxa"/>
            <w:vAlign w:val="bottom"/>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2019</w:t>
            </w:r>
          </w:p>
        </w:tc>
      </w:tr>
      <w:tr>
        <w:trPr>
          <w:trHeight w:val="27"/>
        </w:trPr>
        <w:tc>
          <w:tcPr>
            <w:tcW w:w="56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$8.4</w:t>
            </w:r>
          </w:p>
        </w:tc>
        <w:tc>
          <w:tcPr>
            <w:tcW w:w="9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$29.4</w:t>
            </w:r>
          </w:p>
        </w:tc>
        <w:tc>
          <w:tcPr>
            <w:tcW w:w="14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$59.1</w:t>
            </w:r>
          </w:p>
        </w:tc>
        <w:tc>
          <w:tcPr>
            <w:tcW w:w="8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$102.8</w:t>
            </w:r>
          </w:p>
        </w:tc>
      </w:tr>
      <w:tr>
        <w:trPr>
          <w:trHeight w:val="237"/>
        </w:trPr>
        <w:tc>
          <w:tcPr>
            <w:tcW w:w="5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Statutory Federal Income Tax Rate</w:t>
            </w:r>
          </w:p>
        </w:tc>
        <w:tc>
          <w:tcPr>
            <w:tcW w:w="24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21 %</w:t>
            </w: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21 %</w:t>
            </w:r>
          </w:p>
        </w:tc>
        <w:tc>
          <w:tcPr>
            <w:tcW w:w="14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21 %</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7"/>
        </w:trPr>
        <w:tc>
          <w:tcPr>
            <w:tcW w:w="56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Computed at Statutory Federal Rate</w:t>
            </w:r>
          </w:p>
        </w:tc>
        <w:tc>
          <w:tcPr>
            <w:tcW w:w="24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$1.7</w:t>
            </w:r>
          </w:p>
        </w:tc>
        <w:tc>
          <w:tcPr>
            <w:tcW w:w="9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$6.2</w:t>
            </w:r>
          </w:p>
        </w:tc>
        <w:tc>
          <w:tcPr>
            <w:tcW w:w="14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$12.4</w:t>
            </w:r>
          </w:p>
        </w:tc>
        <w:tc>
          <w:tcPr>
            <w:tcW w:w="8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$21.6</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Increase (Decrease) in Income Tax Due to:</w:t>
            </w:r>
          </w:p>
        </w:tc>
        <w:tc>
          <w:tcPr>
            <w:tcW w:w="2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56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State Income Taxes – Net of Federal Income Tax Benefit</w:t>
            </w:r>
          </w:p>
        </w:tc>
        <w:tc>
          <w:tcPr>
            <w:tcW w:w="24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0.1</w:t>
            </w:r>
          </w:p>
        </w:tc>
        <w:tc>
          <w:tcPr>
            <w:tcW w:w="9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1.9</w:t>
            </w:r>
          </w:p>
        </w:tc>
        <w:tc>
          <w:tcPr>
            <w:tcW w:w="14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3.3</w:t>
            </w:r>
          </w:p>
        </w:tc>
        <w:tc>
          <w:tcPr>
            <w:tcW w:w="8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12.0</w:t>
            </w:r>
          </w:p>
        </w:tc>
      </w:tr>
      <w:tr>
        <w:trPr>
          <w:trHeight w:val="243"/>
        </w:trPr>
        <w:tc>
          <w:tcPr>
            <w:tcW w:w="5640" w:type="dxa"/>
            <w:vAlign w:val="bottom"/>
          </w:tcPr>
          <w:p>
            <w:pPr>
              <w:ind w:left="220"/>
              <w:spacing w:after="0"/>
              <w:rPr>
                <w:sz w:val="20"/>
                <w:szCs w:val="20"/>
                <w:color w:val="auto"/>
              </w:rPr>
            </w:pPr>
            <w:r>
              <w:rPr>
                <w:rFonts w:ascii="Arial" w:cs="Arial" w:eastAsia="Arial" w:hAnsi="Arial"/>
                <w:sz w:val="18"/>
                <w:szCs w:val="18"/>
                <w:color w:val="auto"/>
              </w:rPr>
              <w:t>Production Tax Credits</w:t>
            </w:r>
          </w:p>
        </w:tc>
        <w:tc>
          <w:tcPr>
            <w:tcW w:w="2460" w:type="dxa"/>
            <w:vAlign w:val="bottom"/>
          </w:tcPr>
          <w:p>
            <w:pPr>
              <w:ind w:left="1520"/>
              <w:spacing w:after="0"/>
              <w:rPr>
                <w:sz w:val="20"/>
                <w:szCs w:val="20"/>
                <w:color w:val="auto"/>
              </w:rPr>
            </w:pPr>
            <w:r>
              <w:rPr>
                <w:rFonts w:ascii="Arial" w:cs="Arial" w:eastAsia="Arial" w:hAnsi="Arial"/>
                <w:sz w:val="18"/>
                <w:szCs w:val="18"/>
                <w:color w:val="auto"/>
              </w:rPr>
              <w:t>(9.6)</w:t>
            </w:r>
          </w:p>
        </w:tc>
        <w:tc>
          <w:tcPr>
            <w:tcW w:w="920" w:type="dxa"/>
            <w:vAlign w:val="bottom"/>
          </w:tcPr>
          <w:p>
            <w:pPr>
              <w:ind w:left="200"/>
              <w:spacing w:after="0"/>
              <w:rPr>
                <w:sz w:val="20"/>
                <w:szCs w:val="20"/>
                <w:color w:val="auto"/>
              </w:rPr>
            </w:pPr>
            <w:r>
              <w:rPr>
                <w:rFonts w:ascii="Arial" w:cs="Arial" w:eastAsia="Arial" w:hAnsi="Arial"/>
                <w:sz w:val="18"/>
                <w:szCs w:val="18"/>
                <w:color w:val="auto"/>
              </w:rPr>
              <w:t>(9.8)</w:t>
            </w: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(33.4)</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(26.1)</w:t>
            </w:r>
          </w:p>
        </w:tc>
      </w:tr>
      <w:tr>
        <w:trPr>
          <w:trHeight w:val="27"/>
        </w:trPr>
        <w:tc>
          <w:tcPr>
            <w:tcW w:w="56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Regulatory Differences – Excess Deferred Tax</w:t>
            </w:r>
          </w:p>
        </w:tc>
        <w:tc>
          <w:tcPr>
            <w:tcW w:w="246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(0.9)</w:t>
            </w:r>
          </w:p>
        </w:tc>
        <w:tc>
          <w:tcPr>
            <w:tcW w:w="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(1.6)</w:t>
            </w:r>
          </w:p>
        </w:tc>
        <w:tc>
          <w:tcPr>
            <w:tcW w:w="14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(5.3)</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w:t>
            </w:r>
          </w:p>
        </w:tc>
      </w:tr>
      <w:tr>
        <w:trPr>
          <w:trHeight w:val="243"/>
        </w:trPr>
        <w:tc>
          <w:tcPr>
            <w:tcW w:w="5640" w:type="dxa"/>
            <w:vAlign w:val="bottom"/>
          </w:tcPr>
          <w:p>
            <w:pPr>
              <w:ind w:left="220"/>
              <w:spacing w:after="0"/>
              <w:rPr>
                <w:sz w:val="20"/>
                <w:szCs w:val="20"/>
                <w:color w:val="auto"/>
              </w:rPr>
            </w:pPr>
            <w:r>
              <w:rPr>
                <w:rFonts w:ascii="Arial" w:cs="Arial" w:eastAsia="Arial" w:hAnsi="Arial"/>
                <w:sz w:val="18"/>
                <w:szCs w:val="18"/>
                <w:color w:val="auto"/>
              </w:rPr>
              <w:t>U.S. Water Services Sale of Stock Basis Difference</w:t>
            </w:r>
          </w:p>
        </w:tc>
        <w:tc>
          <w:tcPr>
            <w:tcW w:w="24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20" w:type="dxa"/>
            <w:vAlign w:val="bottom"/>
          </w:tcPr>
          <w:p>
            <w:pPr>
              <w:ind w:left="200"/>
              <w:spacing w:after="0"/>
              <w:rPr>
                <w:sz w:val="20"/>
                <w:szCs w:val="20"/>
                <w:color w:val="auto"/>
              </w:rPr>
            </w:pPr>
            <w:r>
              <w:rPr>
                <w:rFonts w:ascii="Arial" w:cs="Arial" w:eastAsia="Arial" w:hAnsi="Arial"/>
                <w:sz w:val="18"/>
                <w:szCs w:val="18"/>
                <w:color w:val="auto"/>
              </w:rPr>
              <w:t>(0.7)</w:t>
            </w:r>
          </w:p>
        </w:tc>
        <w:tc>
          <w:tcPr>
            <w:tcW w:w="14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1.7</w:t>
            </w:r>
          </w:p>
        </w:tc>
      </w:tr>
      <w:tr>
        <w:trPr>
          <w:trHeight w:val="27"/>
        </w:trPr>
        <w:tc>
          <w:tcPr>
            <w:tcW w:w="56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24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(0.1)</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r>
      <w:tr>
        <w:trPr>
          <w:trHeight w:val="243"/>
        </w:trPr>
        <w:tc>
          <w:tcPr>
            <w:tcW w:w="5640" w:type="dxa"/>
            <w:vAlign w:val="bottom"/>
          </w:tcPr>
          <w:p>
            <w:pPr>
              <w:ind w:left="220"/>
              <w:spacing w:after="0"/>
              <w:rPr>
                <w:sz w:val="20"/>
                <w:szCs w:val="20"/>
                <w:color w:val="auto"/>
              </w:rPr>
            </w:pPr>
            <w:r>
              <w:rPr>
                <w:rFonts w:ascii="Arial" w:cs="Arial" w:eastAsia="Arial" w:hAnsi="Arial"/>
                <w:sz w:val="18"/>
                <w:szCs w:val="18"/>
                <w:color w:val="auto"/>
              </w:rPr>
              <w:t>Other</w:t>
            </w:r>
          </w:p>
        </w:tc>
        <w:tc>
          <w:tcPr>
            <w:tcW w:w="2460" w:type="dxa"/>
            <w:vAlign w:val="bottom"/>
          </w:tcPr>
          <w:p>
            <w:pPr>
              <w:jc w:val="right"/>
              <w:ind w:right="550"/>
              <w:spacing w:after="0"/>
              <w:rPr>
                <w:sz w:val="20"/>
                <w:szCs w:val="20"/>
                <w:color w:val="auto"/>
              </w:rPr>
            </w:pPr>
            <w:r>
              <w:rPr>
                <w:rFonts w:ascii="Arial" w:cs="Arial" w:eastAsia="Arial" w:hAnsi="Arial"/>
                <w:sz w:val="18"/>
                <w:szCs w:val="18"/>
                <w:color w:val="auto"/>
              </w:rPr>
              <w:t>0.2</w:t>
            </w:r>
          </w:p>
        </w:tc>
        <w:tc>
          <w:tcPr>
            <w:tcW w:w="920" w:type="dxa"/>
            <w:vAlign w:val="bottom"/>
          </w:tcPr>
          <w:p>
            <w:pPr>
              <w:ind w:left="200"/>
              <w:spacing w:after="0"/>
              <w:rPr>
                <w:sz w:val="20"/>
                <w:szCs w:val="20"/>
                <w:color w:val="auto"/>
              </w:rPr>
            </w:pPr>
            <w:r>
              <w:rPr>
                <w:rFonts w:ascii="Arial" w:cs="Arial" w:eastAsia="Arial" w:hAnsi="Arial"/>
                <w:sz w:val="18"/>
                <w:szCs w:val="18"/>
                <w:color w:val="auto"/>
              </w:rPr>
              <w:t>(0.8)</w:t>
            </w:r>
          </w:p>
        </w:tc>
        <w:tc>
          <w:tcPr>
            <w:tcW w:w="1400" w:type="dxa"/>
            <w:vAlign w:val="bottom"/>
          </w:tcPr>
          <w:p>
            <w:pPr>
              <w:jc w:val="right"/>
              <w:ind w:right="570"/>
              <w:spacing w:after="0"/>
              <w:rPr>
                <w:sz w:val="20"/>
                <w:szCs w:val="20"/>
                <w:color w:val="auto"/>
              </w:rPr>
            </w:pPr>
            <w:r>
              <w:rPr>
                <w:rFonts w:ascii="Arial" w:cs="Arial" w:eastAsia="Arial" w:hAnsi="Arial"/>
                <w:sz w:val="18"/>
                <w:szCs w:val="18"/>
                <w:color w:val="auto"/>
              </w:rPr>
              <w:t>0.8</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(5.4)</w:t>
            </w:r>
          </w:p>
        </w:tc>
      </w:tr>
      <w:tr>
        <w:trPr>
          <w:trHeight w:val="27"/>
        </w:trPr>
        <w:tc>
          <w:tcPr>
            <w:tcW w:w="56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Benefit</w:t>
            </w:r>
          </w:p>
        </w:tc>
        <w:tc>
          <w:tcPr>
            <w:tcW w:w="246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$(8.5)</w:t>
            </w:r>
          </w:p>
        </w:tc>
        <w:tc>
          <w:tcPr>
            <w:tcW w:w="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$(4.8)</w:t>
            </w:r>
          </w:p>
        </w:tc>
        <w:tc>
          <w:tcPr>
            <w:tcW w:w="1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$(22.3)</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0"/>
        </w:trPr>
        <w:tc>
          <w:tcPr>
            <w:tcW w:w="564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2020, the effective tax rate was a benefit of 37.8 percent (benefit of 1.8 percent for the six months ended June 30, 2019). The effective tax rate for 2020 was primarily impacted by production tax credits. The effective tax rate for 2019 was primarily impacted by production tax credits and the gain on sale of U.S. Water Services.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June 30, 2020, we had gross unrecognized tax benefits of $1.4 million ($1.4 million as of December 31, 2019). Of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gross unrecognized tax benefits, $0.6 million represents the amount of unrecognized tax benefits included on the Consolidated Balance Sheet that, if recognized, would favorably impact the effective income tax rate. The unrecognized tax benefit amounts have been presented as reductions to the tax benefits associated with NOL and tax credit carryforwards on the Consolidated Balance Sheet.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ALLETE and its subsidiaries file a consolidated federal income tax return as well as combined and separate state income tax returns in various jurisdictions. ALLETE has no open federal or state audits, and is no longer subject to federal examination for years before 2016, or state examination for years before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Arial" w:cs="Arial" w:eastAsia="Arial" w:hAnsi="Arial"/>
                <w:sz w:val="18"/>
                <w:szCs w:val="18"/>
                <w:b w:val="1"/>
                <w:bCs w:val="1"/>
                <w:color w:val="auto"/>
              </w:rPr>
              <w:t>NOTE 9. PENSION AND OTHER POSTRETIREMENT BENEFIT PLANS</w:t>
            </w:r>
          </w:p>
        </w:tc>
        <w:tc>
          <w:tcPr>
            <w:tcW w:w="1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46"/>
        </w:trPr>
        <w:tc>
          <w:tcPr>
            <w:tcW w:w="6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jc w:val="center"/>
              <w:ind w:left="590"/>
              <w:spacing w:after="0"/>
              <w:rPr>
                <w:sz w:val="20"/>
                <w:szCs w:val="20"/>
                <w:color w:val="auto"/>
              </w:rPr>
            </w:pPr>
            <w:r>
              <w:rPr>
                <w:rFonts w:ascii="Arial" w:cs="Arial" w:eastAsia="Arial" w:hAnsi="Arial"/>
                <w:sz w:val="18"/>
                <w:szCs w:val="18"/>
                <w:b w:val="1"/>
                <w:bCs w:val="1"/>
                <w:color w:val="auto"/>
                <w:w w:val="95"/>
              </w:rPr>
              <w:t>Other</w:t>
            </w:r>
          </w:p>
        </w:tc>
        <w:tc>
          <w:tcPr>
            <w:tcW w:w="740" w:type="dxa"/>
            <w:vAlign w:val="bottom"/>
          </w:tcPr>
          <w:p>
            <w:pPr>
              <w:spacing w:after="0"/>
              <w:rPr>
                <w:sz w:val="24"/>
                <w:szCs w:val="24"/>
                <w:color w:val="auto"/>
              </w:rPr>
            </w:pPr>
          </w:p>
        </w:tc>
      </w:tr>
      <w:tr>
        <w:trPr>
          <w:trHeight w:val="234"/>
        </w:trPr>
        <w:tc>
          <w:tcPr>
            <w:tcW w:w="66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860" w:type="dxa"/>
            <w:vAlign w:val="bottom"/>
          </w:tcPr>
          <w:p>
            <w:pPr>
              <w:spacing w:after="0"/>
              <w:rPr>
                <w:sz w:val="20"/>
                <w:szCs w:val="20"/>
                <w:color w:val="auto"/>
              </w:rPr>
            </w:pPr>
          </w:p>
        </w:tc>
        <w:tc>
          <w:tcPr>
            <w:tcW w:w="2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Postretirement</w:t>
            </w: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74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60" w:type="dxa"/>
            <w:vAlign w:val="bottom"/>
          </w:tcPr>
          <w:p>
            <w:pPr>
              <w:jc w:val="right"/>
              <w:ind w:right="370"/>
              <w:spacing w:after="0"/>
              <w:rPr>
                <w:sz w:val="20"/>
                <w:szCs w:val="20"/>
                <w:color w:val="auto"/>
              </w:rPr>
            </w:pPr>
            <w:r>
              <w:rPr>
                <w:rFonts w:ascii="Arial" w:cs="Arial" w:eastAsia="Arial" w:hAnsi="Arial"/>
                <w:sz w:val="18"/>
                <w:szCs w:val="18"/>
                <w:b w:val="1"/>
                <w:bCs w:val="1"/>
                <w:color w:val="auto"/>
                <w:w w:val="94"/>
              </w:rPr>
              <w:t>2019</w:t>
            </w: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r>
      <w:tr>
        <w:trPr>
          <w:trHeight w:val="27"/>
        </w:trPr>
        <w:tc>
          <w:tcPr>
            <w:tcW w:w="66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1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$2.7</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$2.4</w:t>
            </w:r>
          </w:p>
        </w:tc>
        <w:tc>
          <w:tcPr>
            <w:tcW w:w="1260" w:type="dxa"/>
            <w:vAlign w:val="bottom"/>
          </w:tcPr>
          <w:p>
            <w:pPr>
              <w:jc w:val="right"/>
              <w:ind w:right="410"/>
              <w:spacing w:after="0"/>
              <w:rPr>
                <w:sz w:val="20"/>
                <w:szCs w:val="20"/>
                <w:color w:val="auto"/>
              </w:rPr>
            </w:pPr>
            <w:r>
              <w:rPr>
                <w:rFonts w:ascii="Arial" w:cs="Arial" w:eastAsia="Arial" w:hAnsi="Arial"/>
                <w:sz w:val="18"/>
                <w:szCs w:val="18"/>
                <w:color w:val="auto"/>
              </w:rPr>
              <w:t>$0.9</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$1.0</w:t>
            </w:r>
          </w:p>
        </w:tc>
      </w:tr>
      <w:tr>
        <w:trPr>
          <w:trHeight w:val="27"/>
        </w:trPr>
        <w:tc>
          <w:tcPr>
            <w:tcW w:w="6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7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43"/>
        </w:trPr>
        <w:tc>
          <w:tcPr>
            <w:tcW w:w="6600" w:type="dxa"/>
            <w:vAlign w:val="bottom"/>
          </w:tcPr>
          <w:p>
            <w:pPr>
              <w:ind w:left="120"/>
              <w:spacing w:after="0"/>
              <w:rPr>
                <w:sz w:val="20"/>
                <w:szCs w:val="20"/>
                <w:color w:val="auto"/>
              </w:rPr>
            </w:pPr>
            <w:r>
              <w:rPr>
                <w:rFonts w:ascii="Arial" w:cs="Arial" w:eastAsia="Arial" w:hAnsi="Arial"/>
                <w:sz w:val="18"/>
                <w:szCs w:val="18"/>
                <w:color w:val="auto"/>
              </w:rPr>
              <w:t>Interest Cost</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7.0</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8.0</w:t>
            </w:r>
          </w:p>
        </w:tc>
        <w:tc>
          <w:tcPr>
            <w:tcW w:w="1260" w:type="dxa"/>
            <w:vAlign w:val="bottom"/>
          </w:tcPr>
          <w:p>
            <w:pPr>
              <w:jc w:val="right"/>
              <w:ind w:right="410"/>
              <w:spacing w:after="0"/>
              <w:rPr>
                <w:sz w:val="20"/>
                <w:szCs w:val="20"/>
                <w:color w:val="auto"/>
              </w:rPr>
            </w:pPr>
            <w:r>
              <w:rPr>
                <w:rFonts w:ascii="Arial" w:cs="Arial" w:eastAsia="Arial" w:hAnsi="Arial"/>
                <w:sz w:val="18"/>
                <w:szCs w:val="18"/>
                <w:color w:val="auto"/>
              </w:rPr>
              <w:t>1.2</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1.9</w:t>
            </w:r>
          </w:p>
        </w:tc>
      </w:tr>
      <w:tr>
        <w:trPr>
          <w:trHeight w:val="27"/>
        </w:trPr>
        <w:tc>
          <w:tcPr>
            <w:tcW w:w="6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Expected Return on Plan Assets</w:t>
            </w:r>
          </w:p>
        </w:tc>
        <w:tc>
          <w:tcPr>
            <w:tcW w:w="17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(10.7)</w:t>
            </w:r>
          </w:p>
        </w:tc>
        <w:tc>
          <w:tcPr>
            <w:tcW w:w="8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(11.1)</w:t>
            </w:r>
          </w:p>
        </w:tc>
        <w:tc>
          <w:tcPr>
            <w:tcW w:w="1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(2.4)</w:t>
            </w:r>
          </w:p>
        </w:tc>
        <w:tc>
          <w:tcPr>
            <w:tcW w:w="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(2.7)</w:t>
            </w:r>
          </w:p>
        </w:tc>
      </w:tr>
      <w:tr>
        <w:trPr>
          <w:trHeight w:val="243"/>
        </w:trPr>
        <w:tc>
          <w:tcPr>
            <w:tcW w:w="6600" w:type="dxa"/>
            <w:vAlign w:val="bottom"/>
          </w:tcPr>
          <w:p>
            <w:pPr>
              <w:ind w:left="120"/>
              <w:spacing w:after="0"/>
              <w:rPr>
                <w:sz w:val="20"/>
                <w:szCs w:val="20"/>
                <w:color w:val="auto"/>
              </w:rPr>
            </w:pPr>
            <w:r>
              <w:rPr>
                <w:rFonts w:ascii="Arial" w:cs="Arial" w:eastAsia="Arial" w:hAnsi="Arial"/>
                <w:sz w:val="18"/>
                <w:szCs w:val="18"/>
                <w:color w:val="auto"/>
              </w:rPr>
              <w:t>Amortization of Prior Service Credits</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(0.1)</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(0.1)</w:t>
            </w:r>
          </w:p>
        </w:tc>
        <w:tc>
          <w:tcPr>
            <w:tcW w:w="1260" w:type="dxa"/>
            <w:vAlign w:val="bottom"/>
          </w:tcPr>
          <w:p>
            <w:pPr>
              <w:ind w:left="460"/>
              <w:spacing w:after="0"/>
              <w:rPr>
                <w:sz w:val="20"/>
                <w:szCs w:val="20"/>
                <w:color w:val="auto"/>
              </w:rPr>
            </w:pPr>
            <w:r>
              <w:rPr>
                <w:rFonts w:ascii="Arial" w:cs="Arial" w:eastAsia="Arial" w:hAnsi="Arial"/>
                <w:sz w:val="18"/>
                <w:szCs w:val="18"/>
                <w:color w:val="auto"/>
              </w:rPr>
              <w:t>(2.0)</w:t>
            </w:r>
          </w:p>
        </w:tc>
        <w:tc>
          <w:tcPr>
            <w:tcW w:w="740" w:type="dxa"/>
            <w:vAlign w:val="bottom"/>
          </w:tcPr>
          <w:p>
            <w:pPr>
              <w:ind w:left="280"/>
              <w:spacing w:after="0"/>
              <w:rPr>
                <w:sz w:val="20"/>
                <w:szCs w:val="20"/>
                <w:color w:val="auto"/>
              </w:rPr>
            </w:pPr>
            <w:r>
              <w:rPr>
                <w:rFonts w:ascii="Arial" w:cs="Arial" w:eastAsia="Arial" w:hAnsi="Arial"/>
                <w:sz w:val="18"/>
                <w:szCs w:val="18"/>
                <w:color w:val="auto"/>
              </w:rPr>
              <w:t>(0.4)</w:t>
            </w:r>
          </w:p>
        </w:tc>
      </w:tr>
      <w:tr>
        <w:trPr>
          <w:trHeight w:val="27"/>
        </w:trPr>
        <w:tc>
          <w:tcPr>
            <w:tcW w:w="6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5"/>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7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3.2</w:t>
            </w:r>
          </w:p>
        </w:tc>
        <w:tc>
          <w:tcPr>
            <w:tcW w:w="8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1.9</w:t>
            </w:r>
          </w:p>
        </w:tc>
        <w:tc>
          <w:tcPr>
            <w:tcW w:w="12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0.2</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r>
      <w:tr>
        <w:trPr>
          <w:trHeight w:val="237"/>
        </w:trPr>
        <w:tc>
          <w:tcPr>
            <w:tcW w:w="6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Periodic Benefit Cost (Credit)</w:t>
            </w:r>
          </w:p>
        </w:tc>
        <w:tc>
          <w:tcPr>
            <w:tcW w:w="17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$2.1</w:t>
            </w:r>
          </w:p>
        </w:tc>
        <w:tc>
          <w:tcPr>
            <w:tcW w:w="8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$1.1</w:t>
            </w:r>
          </w:p>
        </w:tc>
        <w:tc>
          <w:tcPr>
            <w:tcW w:w="126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$(2.1)</w:t>
            </w:r>
          </w:p>
        </w:tc>
        <w:tc>
          <w:tcPr>
            <w:tcW w:w="7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w w:val="93"/>
              </w:rPr>
              <w:t>$(0.1)</w:t>
            </w:r>
          </w:p>
        </w:tc>
      </w:tr>
      <w:tr>
        <w:trPr>
          <w:trHeight w:val="27"/>
        </w:trPr>
        <w:tc>
          <w:tcPr>
            <w:tcW w:w="66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6"/>
        </w:trPr>
        <w:tc>
          <w:tcPr>
            <w:tcW w:w="66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17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7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$5.3</w:t>
            </w:r>
          </w:p>
        </w:tc>
        <w:tc>
          <w:tcPr>
            <w:tcW w:w="8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$4.7</w:t>
            </w:r>
          </w:p>
        </w:tc>
        <w:tc>
          <w:tcPr>
            <w:tcW w:w="12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$1.7</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0"/>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7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14.0</w:t>
            </w:r>
          </w:p>
        </w:tc>
        <w:tc>
          <w:tcPr>
            <w:tcW w:w="8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16.0</w:t>
            </w:r>
          </w:p>
        </w:tc>
        <w:tc>
          <w:tcPr>
            <w:tcW w:w="12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2.5</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w:t>
            </w:r>
          </w:p>
        </w:tc>
      </w:tr>
      <w:tr>
        <w:trPr>
          <w:trHeight w:val="243"/>
        </w:trPr>
        <w:tc>
          <w:tcPr>
            <w:tcW w:w="6600" w:type="dxa"/>
            <w:vAlign w:val="bottom"/>
          </w:tcPr>
          <w:p>
            <w:pPr>
              <w:ind w:left="120"/>
              <w:spacing w:after="0"/>
              <w:rPr>
                <w:sz w:val="20"/>
                <w:szCs w:val="20"/>
                <w:color w:val="auto"/>
              </w:rPr>
            </w:pPr>
            <w:r>
              <w:rPr>
                <w:rFonts w:ascii="Arial" w:cs="Arial" w:eastAsia="Arial" w:hAnsi="Arial"/>
                <w:sz w:val="18"/>
                <w:szCs w:val="18"/>
                <w:color w:val="auto"/>
              </w:rPr>
              <w:t>Expected Return on Plan Assets</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(21.4)</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(22.1)</w:t>
            </w:r>
          </w:p>
        </w:tc>
        <w:tc>
          <w:tcPr>
            <w:tcW w:w="1260" w:type="dxa"/>
            <w:vAlign w:val="bottom"/>
          </w:tcPr>
          <w:p>
            <w:pPr>
              <w:ind w:left="460"/>
              <w:spacing w:after="0"/>
              <w:rPr>
                <w:sz w:val="20"/>
                <w:szCs w:val="20"/>
                <w:color w:val="auto"/>
              </w:rPr>
            </w:pPr>
            <w:r>
              <w:rPr>
                <w:rFonts w:ascii="Arial" w:cs="Arial" w:eastAsia="Arial" w:hAnsi="Arial"/>
                <w:sz w:val="18"/>
                <w:szCs w:val="18"/>
                <w:color w:val="auto"/>
              </w:rPr>
              <w:t>(4.9)</w:t>
            </w:r>
          </w:p>
        </w:tc>
        <w:tc>
          <w:tcPr>
            <w:tcW w:w="740" w:type="dxa"/>
            <w:vAlign w:val="bottom"/>
          </w:tcPr>
          <w:p>
            <w:pPr>
              <w:ind w:left="280"/>
              <w:spacing w:after="0"/>
              <w:rPr>
                <w:sz w:val="20"/>
                <w:szCs w:val="20"/>
                <w:color w:val="auto"/>
              </w:rPr>
            </w:pPr>
            <w:r>
              <w:rPr>
                <w:rFonts w:ascii="Arial" w:cs="Arial" w:eastAsia="Arial" w:hAnsi="Arial"/>
                <w:sz w:val="18"/>
                <w:szCs w:val="18"/>
                <w:color w:val="auto"/>
              </w:rPr>
              <w:t>(5.3)</w:t>
            </w:r>
          </w:p>
        </w:tc>
      </w:tr>
      <w:tr>
        <w:trPr>
          <w:trHeight w:val="27"/>
        </w:trPr>
        <w:tc>
          <w:tcPr>
            <w:tcW w:w="6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Credits</w:t>
            </w:r>
          </w:p>
        </w:tc>
        <w:tc>
          <w:tcPr>
            <w:tcW w:w="17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(0.1)</w:t>
            </w:r>
          </w:p>
        </w:tc>
        <w:tc>
          <w:tcPr>
            <w:tcW w:w="8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1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(4.0)</w:t>
            </w:r>
          </w:p>
        </w:tc>
        <w:tc>
          <w:tcPr>
            <w:tcW w:w="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(0.8)</w:t>
            </w:r>
          </w:p>
        </w:tc>
      </w:tr>
      <w:tr>
        <w:trPr>
          <w:trHeight w:val="243"/>
        </w:trPr>
        <w:tc>
          <w:tcPr>
            <w:tcW w:w="6600" w:type="dxa"/>
            <w:vAlign w:val="bottom"/>
          </w:tcPr>
          <w:p>
            <w:pPr>
              <w:ind w:left="120"/>
              <w:spacing w:after="0"/>
              <w:rPr>
                <w:sz w:val="20"/>
                <w:szCs w:val="20"/>
                <w:color w:val="auto"/>
              </w:rPr>
            </w:pPr>
            <w:r>
              <w:rPr>
                <w:rFonts w:ascii="Arial" w:cs="Arial" w:eastAsia="Arial" w:hAnsi="Arial"/>
                <w:sz w:val="18"/>
                <w:szCs w:val="18"/>
                <w:color w:val="auto"/>
              </w:rPr>
              <w:t>Amortization of Net Loss</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6.4</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3.7</w:t>
            </w:r>
          </w:p>
        </w:tc>
        <w:tc>
          <w:tcPr>
            <w:tcW w:w="1260" w:type="dxa"/>
            <w:vAlign w:val="bottom"/>
          </w:tcPr>
          <w:p>
            <w:pPr>
              <w:jc w:val="right"/>
              <w:ind w:right="410"/>
              <w:spacing w:after="0"/>
              <w:rPr>
                <w:sz w:val="20"/>
                <w:szCs w:val="20"/>
                <w:color w:val="auto"/>
              </w:rPr>
            </w:pPr>
            <w:r>
              <w:rPr>
                <w:rFonts w:ascii="Arial" w:cs="Arial" w:eastAsia="Arial" w:hAnsi="Arial"/>
                <w:sz w:val="18"/>
                <w:szCs w:val="18"/>
                <w:color w:val="auto"/>
              </w:rPr>
              <w:t>0.5</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0.2</w:t>
            </w:r>
          </w:p>
        </w:tc>
      </w:tr>
      <w:tr>
        <w:trPr>
          <w:trHeight w:val="27"/>
        </w:trPr>
        <w:tc>
          <w:tcPr>
            <w:tcW w:w="66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 (Credit)</w:t>
            </w:r>
          </w:p>
        </w:tc>
        <w:tc>
          <w:tcPr>
            <w:tcW w:w="17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$4.2</w:t>
            </w:r>
          </w:p>
        </w:tc>
        <w:tc>
          <w:tcPr>
            <w:tcW w:w="8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$2.2</w:t>
            </w:r>
          </w:p>
        </w:tc>
        <w:tc>
          <w:tcPr>
            <w:tcW w:w="1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$(4.2)</w:t>
            </w:r>
          </w:p>
        </w:tc>
        <w:tc>
          <w:tcPr>
            <w:tcW w:w="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$(0.1)</w:t>
            </w:r>
          </w:p>
        </w:tc>
      </w:tr>
      <w:tr>
        <w:trPr>
          <w:trHeight w:val="20"/>
        </w:trPr>
        <w:tc>
          <w:tcPr>
            <w:tcW w:w="66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These components of net periodic benefit cost (credit) are included in the line item “Other” under Other Income (Expense) on the Consolidated Statement of Income.</w:t>
      </w:r>
    </w:p>
    <w:p>
      <w:pPr>
        <w:spacing w:after="0" w:line="24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six months ended June 30, 2020, we contributed $10.7 million in cash to the defined benefit pension plans</w:t>
      </w:r>
      <w:r>
        <w:rPr>
          <w:rFonts w:ascii="Arial" w:cs="Arial" w:eastAsia="Arial" w:hAnsi="Arial"/>
          <w:sz w:val="18"/>
          <w:szCs w:val="18"/>
          <w:b w:val="1"/>
          <w:bCs w:val="1"/>
          <w:color w:val="auto"/>
        </w:rPr>
        <w:t xml:space="preserve"> </w:t>
      </w:r>
      <w:r>
        <w:rPr>
          <w:rFonts w:ascii="Arial" w:cs="Arial" w:eastAsia="Arial" w:hAnsi="Arial"/>
          <w:sz w:val="18"/>
          <w:szCs w:val="18"/>
          <w:color w:val="auto"/>
        </w:rPr>
        <w:t>($10.4 million for the six months ended June 30, 2019); we do not expect to make additional contributions to our defined benefit pension plans in 2020. For the six months ended June 30, 2020, and 2019, we made no contributions to our other postretirement benefit plans; we do not expect to make any contributions to our other postretirement benefit plans in 2020.</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SEGMENTS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present three reportable segments: Regulated Operations, ALLETE Clean Energy and U.S. Water Services. We measure performance of our operations through budgeting and monitoring of contributions to consolidated net income by each business segment.</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U.S. Water Services was our integrated water management company, which is reflected in operating results until it was sold in March 2019. We also present Corporate and Other which includes two operating segments, BNI Energy, our coal mining operations in North Dakota, and ALLETE Properties, our legacy Florida real estate investment, along with our investment in Nobles 2, other business development and corporate expenditures, unallocated interest expense, a small amount of non-rate base generation, approximately 4,000 acres of land in Minnesota, and earnings on cash and investments.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NOTE 10. BUSINESS SEGMENTS (Continued)</w:t>
            </w:r>
          </w:p>
        </w:tc>
        <w:tc>
          <w:tcPr>
            <w:tcW w:w="2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24"/>
        </w:trPr>
        <w:tc>
          <w:tcPr>
            <w:tcW w:w="5500" w:type="dxa"/>
            <w:vAlign w:val="bottom"/>
          </w:tcPr>
          <w:p>
            <w:pPr>
              <w:spacing w:after="0"/>
              <w:rPr>
                <w:sz w:val="24"/>
                <w:szCs w:val="24"/>
                <w:color w:val="auto"/>
              </w:rPr>
            </w:pPr>
          </w:p>
        </w:tc>
        <w:tc>
          <w:tcPr>
            <w:tcW w:w="356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Quarter Ended</w:t>
            </w:r>
          </w:p>
        </w:tc>
        <w:tc>
          <w:tcPr>
            <w:tcW w:w="21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500" w:type="dxa"/>
            <w:vAlign w:val="bottom"/>
          </w:tcPr>
          <w:p>
            <w:pPr>
              <w:spacing w:after="0"/>
              <w:rPr>
                <w:sz w:val="23"/>
                <w:szCs w:val="23"/>
                <w:color w:val="auto"/>
              </w:rPr>
            </w:pPr>
          </w:p>
        </w:tc>
        <w:tc>
          <w:tcPr>
            <w:tcW w:w="356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June 30,</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Pr>
          <w:p>
            <w:pPr>
              <w:spacing w:after="0"/>
              <w:rPr>
                <w:sz w:val="23"/>
                <w:szCs w:val="23"/>
                <w:color w:val="auto"/>
              </w:rPr>
            </w:pPr>
          </w:p>
        </w:tc>
      </w:tr>
      <w:tr>
        <w:trPr>
          <w:trHeight w:val="270"/>
        </w:trPr>
        <w:tc>
          <w:tcPr>
            <w:tcW w:w="5500" w:type="dxa"/>
            <w:vAlign w:val="bottom"/>
          </w:tcPr>
          <w:p>
            <w:pPr>
              <w:spacing w:after="0"/>
              <w:rPr>
                <w:sz w:val="23"/>
                <w:szCs w:val="23"/>
                <w:color w:val="auto"/>
              </w:rPr>
            </w:pPr>
          </w:p>
        </w:tc>
        <w:tc>
          <w:tcPr>
            <w:tcW w:w="248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44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55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2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20"/>
              <w:spacing w:after="0"/>
              <w:rPr>
                <w:sz w:val="20"/>
                <w:szCs w:val="20"/>
                <w:color w:val="auto"/>
              </w:rPr>
            </w:pPr>
            <w:r>
              <w:rPr>
                <w:rFonts w:ascii="Arial" w:cs="Arial" w:eastAsia="Arial" w:hAnsi="Arial"/>
                <w:sz w:val="18"/>
                <w:szCs w:val="18"/>
                <w:color w:val="auto"/>
              </w:rPr>
              <w:t>Regulated Operations</w:t>
            </w:r>
          </w:p>
        </w:tc>
        <w:tc>
          <w:tcPr>
            <w:tcW w:w="2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Residential</w:t>
            </w:r>
          </w:p>
        </w:tc>
        <w:tc>
          <w:tcPr>
            <w:tcW w:w="2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$27.4</w:t>
            </w:r>
          </w:p>
        </w:tc>
        <w:tc>
          <w:tcPr>
            <w:tcW w:w="10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$29.2</w:t>
            </w:r>
          </w:p>
        </w:tc>
        <w:tc>
          <w:tcPr>
            <w:tcW w:w="14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$68.3</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$74.4</w:t>
            </w:r>
          </w:p>
        </w:tc>
      </w:tr>
      <w:tr>
        <w:trPr>
          <w:trHeight w:val="243"/>
        </w:trPr>
        <w:tc>
          <w:tcPr>
            <w:tcW w:w="550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2480" w:type="dxa"/>
            <w:vAlign w:val="bottom"/>
          </w:tcPr>
          <w:p>
            <w:pPr>
              <w:jc w:val="right"/>
              <w:ind w:right="130"/>
              <w:spacing w:after="0"/>
              <w:rPr>
                <w:sz w:val="20"/>
                <w:szCs w:val="20"/>
                <w:color w:val="auto"/>
              </w:rPr>
            </w:pPr>
            <w:r>
              <w:rPr>
                <w:rFonts w:ascii="Arial" w:cs="Arial" w:eastAsia="Arial" w:hAnsi="Arial"/>
                <w:sz w:val="18"/>
                <w:szCs w:val="18"/>
                <w:color w:val="auto"/>
              </w:rPr>
              <w:t>28.8</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34.9</w:t>
            </w:r>
          </w:p>
        </w:tc>
        <w:tc>
          <w:tcPr>
            <w:tcW w:w="1440" w:type="dxa"/>
            <w:vAlign w:val="bottom"/>
          </w:tcPr>
          <w:p>
            <w:pPr>
              <w:jc w:val="right"/>
              <w:ind w:right="410"/>
              <w:spacing w:after="0"/>
              <w:rPr>
                <w:sz w:val="20"/>
                <w:szCs w:val="20"/>
                <w:color w:val="auto"/>
              </w:rPr>
            </w:pPr>
            <w:r>
              <w:rPr>
                <w:rFonts w:ascii="Arial" w:cs="Arial" w:eastAsia="Arial" w:hAnsi="Arial"/>
                <w:sz w:val="18"/>
                <w:szCs w:val="18"/>
                <w:color w:val="auto"/>
              </w:rPr>
              <w:t>66.1</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73.8</w:t>
            </w:r>
          </w:p>
        </w:tc>
      </w:tr>
      <w:tr>
        <w:trPr>
          <w:trHeight w:val="27"/>
        </w:trPr>
        <w:tc>
          <w:tcPr>
            <w:tcW w:w="5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Municipal</w:t>
            </w:r>
          </w:p>
        </w:tc>
        <w:tc>
          <w:tcPr>
            <w:tcW w:w="2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9.0</w:t>
            </w:r>
          </w:p>
        </w:tc>
        <w:tc>
          <w:tcPr>
            <w:tcW w:w="10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12.2</w:t>
            </w:r>
          </w:p>
        </w:tc>
        <w:tc>
          <w:tcPr>
            <w:tcW w:w="14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19.3</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27.6</w:t>
            </w:r>
          </w:p>
        </w:tc>
      </w:tr>
      <w:tr>
        <w:trPr>
          <w:trHeight w:val="243"/>
        </w:trPr>
        <w:tc>
          <w:tcPr>
            <w:tcW w:w="5500" w:type="dxa"/>
            <w:vAlign w:val="bottom"/>
          </w:tcPr>
          <w:p>
            <w:pPr>
              <w:ind w:left="220"/>
              <w:spacing w:after="0"/>
              <w:rPr>
                <w:sz w:val="20"/>
                <w:szCs w:val="20"/>
                <w:color w:val="auto"/>
              </w:rPr>
            </w:pPr>
            <w:r>
              <w:rPr>
                <w:rFonts w:ascii="Arial" w:cs="Arial" w:eastAsia="Arial" w:hAnsi="Arial"/>
                <w:sz w:val="18"/>
                <w:szCs w:val="18"/>
                <w:color w:val="auto"/>
              </w:rPr>
              <w:t>Industrial</w:t>
            </w:r>
          </w:p>
        </w:tc>
        <w:tc>
          <w:tcPr>
            <w:tcW w:w="2480" w:type="dxa"/>
            <w:vAlign w:val="bottom"/>
          </w:tcPr>
          <w:p>
            <w:pPr>
              <w:jc w:val="right"/>
              <w:ind w:right="130"/>
              <w:spacing w:after="0"/>
              <w:rPr>
                <w:sz w:val="20"/>
                <w:szCs w:val="20"/>
                <w:color w:val="auto"/>
              </w:rPr>
            </w:pPr>
            <w:r>
              <w:rPr>
                <w:rFonts w:ascii="Arial" w:cs="Arial" w:eastAsia="Arial" w:hAnsi="Arial"/>
                <w:sz w:val="18"/>
                <w:szCs w:val="18"/>
                <w:color w:val="auto"/>
              </w:rPr>
              <w:t>88.0</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120.3</w:t>
            </w:r>
          </w:p>
        </w:tc>
        <w:tc>
          <w:tcPr>
            <w:tcW w:w="1440" w:type="dxa"/>
            <w:vAlign w:val="bottom"/>
          </w:tcPr>
          <w:p>
            <w:pPr>
              <w:jc w:val="right"/>
              <w:ind w:right="410"/>
              <w:spacing w:after="0"/>
              <w:rPr>
                <w:sz w:val="20"/>
                <w:szCs w:val="20"/>
                <w:color w:val="auto"/>
              </w:rPr>
            </w:pPr>
            <w:r>
              <w:rPr>
                <w:rFonts w:ascii="Arial" w:cs="Arial" w:eastAsia="Arial" w:hAnsi="Arial"/>
                <w:sz w:val="18"/>
                <w:szCs w:val="18"/>
                <w:color w:val="auto"/>
              </w:rPr>
              <w:t>206.8</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241.9</w:t>
            </w:r>
          </w:p>
        </w:tc>
      </w:tr>
      <w:tr>
        <w:trPr>
          <w:trHeight w:val="27"/>
        </w:trPr>
        <w:tc>
          <w:tcPr>
            <w:tcW w:w="5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Power Suppliers</w:t>
            </w:r>
          </w:p>
        </w:tc>
        <w:tc>
          <w:tcPr>
            <w:tcW w:w="2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27.4</w:t>
            </w:r>
          </w:p>
        </w:tc>
        <w:tc>
          <w:tcPr>
            <w:tcW w:w="10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35.2</w:t>
            </w:r>
          </w:p>
        </w:tc>
        <w:tc>
          <w:tcPr>
            <w:tcW w:w="14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65.7</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74.6</w:t>
            </w:r>
          </w:p>
        </w:tc>
      </w:tr>
      <w:tr>
        <w:trPr>
          <w:trHeight w:val="243"/>
        </w:trPr>
        <w:tc>
          <w:tcPr>
            <w:tcW w:w="5500" w:type="dxa"/>
            <w:vAlign w:val="bottom"/>
          </w:tcPr>
          <w:p>
            <w:pPr>
              <w:ind w:left="220"/>
              <w:spacing w:after="0"/>
              <w:rPr>
                <w:sz w:val="20"/>
                <w:szCs w:val="20"/>
                <w:color w:val="auto"/>
              </w:rPr>
            </w:pPr>
            <w:r>
              <w:rPr>
                <w:rFonts w:ascii="Arial" w:cs="Arial" w:eastAsia="Arial" w:hAnsi="Arial"/>
                <w:sz w:val="18"/>
                <w:szCs w:val="18"/>
                <w:color w:val="auto"/>
              </w:rPr>
              <w:t>Other</w:t>
            </w:r>
          </w:p>
        </w:tc>
        <w:tc>
          <w:tcPr>
            <w:tcW w:w="2480" w:type="dxa"/>
            <w:vAlign w:val="bottom"/>
          </w:tcPr>
          <w:p>
            <w:pPr>
              <w:jc w:val="right"/>
              <w:ind w:right="130"/>
              <w:spacing w:after="0"/>
              <w:rPr>
                <w:sz w:val="20"/>
                <w:szCs w:val="20"/>
                <w:color w:val="auto"/>
              </w:rPr>
            </w:pPr>
            <w:r>
              <w:rPr>
                <w:rFonts w:ascii="Arial" w:cs="Arial" w:eastAsia="Arial" w:hAnsi="Arial"/>
                <w:sz w:val="18"/>
                <w:szCs w:val="18"/>
                <w:color w:val="auto"/>
              </w:rPr>
              <w:t>20.2</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18.0</w:t>
            </w:r>
          </w:p>
        </w:tc>
        <w:tc>
          <w:tcPr>
            <w:tcW w:w="1440" w:type="dxa"/>
            <w:vAlign w:val="bottom"/>
          </w:tcPr>
          <w:p>
            <w:pPr>
              <w:jc w:val="right"/>
              <w:ind w:right="410"/>
              <w:spacing w:after="0"/>
              <w:rPr>
                <w:sz w:val="20"/>
                <w:szCs w:val="20"/>
                <w:color w:val="auto"/>
              </w:rPr>
            </w:pPr>
            <w:r>
              <w:rPr>
                <w:rFonts w:ascii="Arial" w:cs="Arial" w:eastAsia="Arial" w:hAnsi="Arial"/>
                <w:sz w:val="18"/>
                <w:szCs w:val="18"/>
                <w:color w:val="auto"/>
              </w:rPr>
              <w:t>39.9</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39.7</w:t>
            </w:r>
          </w:p>
        </w:tc>
      </w:tr>
      <w:tr>
        <w:trPr>
          <w:trHeight w:val="27"/>
        </w:trPr>
        <w:tc>
          <w:tcPr>
            <w:tcW w:w="55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8"/>
        </w:trPr>
        <w:tc>
          <w:tcPr>
            <w:tcW w:w="5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Regulated Operations</w:t>
            </w:r>
          </w:p>
        </w:tc>
        <w:tc>
          <w:tcPr>
            <w:tcW w:w="2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200.8</w:t>
            </w:r>
          </w:p>
        </w:tc>
        <w:tc>
          <w:tcPr>
            <w:tcW w:w="10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249.8</w:t>
            </w:r>
          </w:p>
        </w:tc>
        <w:tc>
          <w:tcPr>
            <w:tcW w:w="14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466.1</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532.0</w:t>
            </w:r>
          </w:p>
        </w:tc>
      </w:tr>
      <w:tr>
        <w:trPr>
          <w:trHeight w:val="196"/>
        </w:trPr>
        <w:tc>
          <w:tcPr>
            <w:tcW w:w="5500" w:type="dxa"/>
            <w:vAlign w:val="bottom"/>
            <w:tcBorders>
              <w:top w:val="single" w:sz="8" w:color="auto"/>
            </w:tcBorders>
          </w:tcPr>
          <w:p>
            <w:pPr>
              <w:spacing w:after="0"/>
              <w:rPr>
                <w:sz w:val="17"/>
                <w:szCs w:val="17"/>
                <w:color w:val="auto"/>
              </w:rPr>
            </w:pPr>
          </w:p>
        </w:tc>
        <w:tc>
          <w:tcPr>
            <w:tcW w:w="24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r>
      <w:tr>
        <w:trPr>
          <w:trHeight w:val="250"/>
        </w:trPr>
        <w:tc>
          <w:tcPr>
            <w:tcW w:w="5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ALLETE Clean Energy</w:t>
            </w:r>
          </w:p>
        </w:tc>
        <w:tc>
          <w:tcPr>
            <w:tcW w:w="2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20"/>
              <w:spacing w:after="0"/>
              <w:rPr>
                <w:sz w:val="20"/>
                <w:szCs w:val="20"/>
                <w:color w:val="auto"/>
              </w:rPr>
            </w:pPr>
            <w:r>
              <w:rPr>
                <w:rFonts w:ascii="Arial" w:cs="Arial" w:eastAsia="Arial" w:hAnsi="Arial"/>
                <w:sz w:val="18"/>
                <w:szCs w:val="18"/>
                <w:color w:val="auto"/>
              </w:rPr>
              <w:t>Long-term PSA</w:t>
            </w:r>
          </w:p>
        </w:tc>
        <w:tc>
          <w:tcPr>
            <w:tcW w:w="2480" w:type="dxa"/>
            <w:vAlign w:val="bottom"/>
          </w:tcPr>
          <w:p>
            <w:pPr>
              <w:jc w:val="right"/>
              <w:ind w:right="130"/>
              <w:spacing w:after="0"/>
              <w:rPr>
                <w:sz w:val="20"/>
                <w:szCs w:val="20"/>
                <w:color w:val="auto"/>
              </w:rPr>
            </w:pPr>
            <w:r>
              <w:rPr>
                <w:rFonts w:ascii="Arial" w:cs="Arial" w:eastAsia="Arial" w:hAnsi="Arial"/>
                <w:sz w:val="18"/>
                <w:szCs w:val="18"/>
                <w:color w:val="auto"/>
              </w:rPr>
              <w:t>14.8</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12.5</w:t>
            </w:r>
          </w:p>
        </w:tc>
        <w:tc>
          <w:tcPr>
            <w:tcW w:w="1440" w:type="dxa"/>
            <w:vAlign w:val="bottom"/>
          </w:tcPr>
          <w:p>
            <w:pPr>
              <w:jc w:val="right"/>
              <w:ind w:right="410"/>
              <w:spacing w:after="0"/>
              <w:rPr>
                <w:sz w:val="20"/>
                <w:szCs w:val="20"/>
                <w:color w:val="auto"/>
              </w:rPr>
            </w:pPr>
            <w:r>
              <w:rPr>
                <w:rFonts w:ascii="Arial" w:cs="Arial" w:eastAsia="Arial" w:hAnsi="Arial"/>
                <w:sz w:val="18"/>
                <w:szCs w:val="18"/>
                <w:color w:val="auto"/>
              </w:rPr>
              <w:t>32.1</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27.1</w:t>
            </w:r>
          </w:p>
        </w:tc>
      </w:tr>
      <w:tr>
        <w:trPr>
          <w:trHeight w:val="27"/>
        </w:trPr>
        <w:tc>
          <w:tcPr>
            <w:tcW w:w="5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5"/>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10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2.9</w:t>
            </w:r>
          </w:p>
        </w:tc>
        <w:tc>
          <w:tcPr>
            <w:tcW w:w="14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5.6</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w:t>
            </w:r>
          </w:p>
        </w:tc>
      </w:tr>
      <w:tr>
        <w:trPr>
          <w:trHeight w:val="237"/>
        </w:trPr>
        <w:tc>
          <w:tcPr>
            <w:tcW w:w="550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Total ALLETE Clean Energy</w:t>
            </w:r>
          </w:p>
        </w:tc>
        <w:tc>
          <w:tcPr>
            <w:tcW w:w="24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17.6</w:t>
            </w:r>
          </w:p>
        </w:tc>
        <w:tc>
          <w:tcPr>
            <w:tcW w:w="10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15.4</w:t>
            </w:r>
          </w:p>
        </w:tc>
        <w:tc>
          <w:tcPr>
            <w:tcW w:w="14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37.7</w:t>
            </w:r>
          </w:p>
        </w:tc>
        <w:tc>
          <w:tcPr>
            <w:tcW w:w="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32.9</w:t>
            </w:r>
          </w:p>
        </w:tc>
      </w:tr>
      <w:tr>
        <w:trPr>
          <w:trHeight w:val="27"/>
        </w:trPr>
        <w:tc>
          <w:tcPr>
            <w:tcW w:w="55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6"/>
        </w:trPr>
        <w:tc>
          <w:tcPr>
            <w:tcW w:w="55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 xml:space="preserve">U.S. Water Services </w:t>
            </w:r>
            <w:r>
              <w:rPr>
                <w:rFonts w:ascii="Arial" w:cs="Arial" w:eastAsia="Arial" w:hAnsi="Arial"/>
                <w:sz w:val="16"/>
                <w:szCs w:val="16"/>
                <w:i w:val="1"/>
                <w:iCs w:val="1"/>
                <w:color w:val="auto"/>
              </w:rPr>
              <w:t>(a)</w:t>
            </w:r>
          </w:p>
        </w:tc>
        <w:tc>
          <w:tcPr>
            <w:tcW w:w="2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0"/>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Point-in-Time</w:t>
            </w:r>
          </w:p>
        </w:tc>
        <w:tc>
          <w:tcPr>
            <w:tcW w:w="2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19.0</w:t>
            </w:r>
          </w:p>
        </w:tc>
      </w:tr>
      <w:tr>
        <w:trPr>
          <w:trHeight w:val="243"/>
        </w:trPr>
        <w:tc>
          <w:tcPr>
            <w:tcW w:w="5500" w:type="dxa"/>
            <w:vAlign w:val="bottom"/>
          </w:tcPr>
          <w:p>
            <w:pPr>
              <w:ind w:left="220"/>
              <w:spacing w:after="0"/>
              <w:rPr>
                <w:sz w:val="20"/>
                <w:szCs w:val="20"/>
                <w:color w:val="auto"/>
              </w:rPr>
            </w:pPr>
            <w:r>
              <w:rPr>
                <w:rFonts w:ascii="Arial" w:cs="Arial" w:eastAsia="Arial" w:hAnsi="Arial"/>
                <w:sz w:val="18"/>
                <w:szCs w:val="18"/>
                <w:color w:val="auto"/>
              </w:rPr>
              <w:t>Contract</w:t>
            </w:r>
          </w:p>
        </w:tc>
        <w:tc>
          <w:tcPr>
            <w:tcW w:w="2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9.2</w:t>
            </w:r>
          </w:p>
        </w:tc>
      </w:tr>
      <w:tr>
        <w:trPr>
          <w:trHeight w:val="27"/>
        </w:trPr>
        <w:tc>
          <w:tcPr>
            <w:tcW w:w="5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5"/>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Capital Project</w:t>
            </w:r>
          </w:p>
        </w:tc>
        <w:tc>
          <w:tcPr>
            <w:tcW w:w="2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w:t>
            </w:r>
          </w:p>
        </w:tc>
      </w:tr>
      <w:tr>
        <w:trPr>
          <w:trHeight w:val="237"/>
        </w:trPr>
        <w:tc>
          <w:tcPr>
            <w:tcW w:w="550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Total U.S. Water Services</w:t>
            </w:r>
          </w:p>
        </w:tc>
        <w:tc>
          <w:tcPr>
            <w:tcW w:w="24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33.4</w:t>
            </w:r>
          </w:p>
        </w:tc>
      </w:tr>
      <w:tr>
        <w:trPr>
          <w:trHeight w:val="27"/>
        </w:trPr>
        <w:tc>
          <w:tcPr>
            <w:tcW w:w="55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6"/>
        </w:trPr>
        <w:tc>
          <w:tcPr>
            <w:tcW w:w="55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43"/>
        </w:trPr>
        <w:tc>
          <w:tcPr>
            <w:tcW w:w="5500" w:type="dxa"/>
            <w:vAlign w:val="bottom"/>
          </w:tcPr>
          <w:p>
            <w:pPr>
              <w:ind w:left="120"/>
              <w:spacing w:after="0"/>
              <w:rPr>
                <w:sz w:val="20"/>
                <w:szCs w:val="20"/>
                <w:color w:val="auto"/>
              </w:rPr>
            </w:pPr>
            <w:r>
              <w:rPr>
                <w:rFonts w:ascii="Arial" w:cs="Arial" w:eastAsia="Arial" w:hAnsi="Arial"/>
                <w:sz w:val="18"/>
                <w:szCs w:val="18"/>
                <w:color w:val="auto"/>
              </w:rPr>
              <w:t>Corporate and Other</w:t>
            </w:r>
          </w:p>
        </w:tc>
        <w:tc>
          <w:tcPr>
            <w:tcW w:w="2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Long-term Contract</w:t>
            </w:r>
          </w:p>
        </w:tc>
        <w:tc>
          <w:tcPr>
            <w:tcW w:w="2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22.5</w:t>
            </w:r>
          </w:p>
        </w:tc>
        <w:tc>
          <w:tcPr>
            <w:tcW w:w="10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21.2</w:t>
            </w:r>
          </w:p>
        </w:tc>
        <w:tc>
          <w:tcPr>
            <w:tcW w:w="14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44.9</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41.4</w:t>
            </w:r>
          </w:p>
        </w:tc>
      </w:tr>
      <w:tr>
        <w:trPr>
          <w:trHeight w:val="243"/>
        </w:trPr>
        <w:tc>
          <w:tcPr>
            <w:tcW w:w="5500" w:type="dxa"/>
            <w:vAlign w:val="bottom"/>
          </w:tcPr>
          <w:p>
            <w:pPr>
              <w:ind w:left="220"/>
              <w:spacing w:after="0"/>
              <w:rPr>
                <w:sz w:val="20"/>
                <w:szCs w:val="20"/>
                <w:color w:val="auto"/>
              </w:rPr>
            </w:pPr>
            <w:r>
              <w:rPr>
                <w:rFonts w:ascii="Arial" w:cs="Arial" w:eastAsia="Arial" w:hAnsi="Arial"/>
                <w:sz w:val="18"/>
                <w:szCs w:val="18"/>
                <w:color w:val="auto"/>
              </w:rPr>
              <w:t>Other</w:t>
            </w:r>
          </w:p>
        </w:tc>
        <w:tc>
          <w:tcPr>
            <w:tcW w:w="2480" w:type="dxa"/>
            <w:vAlign w:val="bottom"/>
          </w:tcPr>
          <w:p>
            <w:pPr>
              <w:jc w:val="right"/>
              <w:ind w:right="130"/>
              <w:spacing w:after="0"/>
              <w:rPr>
                <w:sz w:val="20"/>
                <w:szCs w:val="20"/>
                <w:color w:val="auto"/>
              </w:rPr>
            </w:pPr>
            <w:r>
              <w:rPr>
                <w:rFonts w:ascii="Arial" w:cs="Arial" w:eastAsia="Arial" w:hAnsi="Arial"/>
                <w:sz w:val="18"/>
                <w:szCs w:val="18"/>
                <w:color w:val="auto"/>
              </w:rPr>
              <w:t>2.3</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4.0</w:t>
            </w:r>
          </w:p>
        </w:tc>
        <w:tc>
          <w:tcPr>
            <w:tcW w:w="1440" w:type="dxa"/>
            <w:vAlign w:val="bottom"/>
          </w:tcPr>
          <w:p>
            <w:pPr>
              <w:jc w:val="right"/>
              <w:ind w:right="410"/>
              <w:spacing w:after="0"/>
              <w:rPr>
                <w:sz w:val="20"/>
                <w:szCs w:val="20"/>
                <w:color w:val="auto"/>
              </w:rPr>
            </w:pPr>
            <w:r>
              <w:rPr>
                <w:rFonts w:ascii="Arial" w:cs="Arial" w:eastAsia="Arial" w:hAnsi="Arial"/>
                <w:sz w:val="18"/>
                <w:szCs w:val="18"/>
                <w:color w:val="auto"/>
              </w:rPr>
              <w:t>6.1</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7.9</w:t>
            </w:r>
          </w:p>
        </w:tc>
      </w:tr>
      <w:tr>
        <w:trPr>
          <w:trHeight w:val="27"/>
        </w:trPr>
        <w:tc>
          <w:tcPr>
            <w:tcW w:w="55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8"/>
        </w:trPr>
        <w:tc>
          <w:tcPr>
            <w:tcW w:w="5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Corporate and Other</w:t>
            </w:r>
          </w:p>
        </w:tc>
        <w:tc>
          <w:tcPr>
            <w:tcW w:w="2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24.8</w:t>
            </w:r>
          </w:p>
        </w:tc>
        <w:tc>
          <w:tcPr>
            <w:tcW w:w="10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25.2</w:t>
            </w:r>
          </w:p>
        </w:tc>
        <w:tc>
          <w:tcPr>
            <w:tcW w:w="14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51.0</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49.3</w:t>
            </w:r>
          </w:p>
        </w:tc>
      </w:tr>
      <w:tr>
        <w:trPr>
          <w:trHeight w:val="237"/>
        </w:trPr>
        <w:tc>
          <w:tcPr>
            <w:tcW w:w="5500" w:type="dxa"/>
            <w:vAlign w:val="bottom"/>
            <w:tcBorders>
              <w:top w:val="single" w:sz="8" w:color="auto"/>
            </w:tcBorders>
          </w:tcPr>
          <w:p>
            <w:pPr>
              <w:ind w:left="660"/>
              <w:spacing w:after="0"/>
              <w:rPr>
                <w:sz w:val="20"/>
                <w:szCs w:val="20"/>
                <w:color w:val="auto"/>
              </w:rPr>
            </w:pPr>
            <w:r>
              <w:rPr>
                <w:rFonts w:ascii="Arial" w:cs="Arial" w:eastAsia="Arial" w:hAnsi="Arial"/>
                <w:sz w:val="18"/>
                <w:szCs w:val="18"/>
                <w:b w:val="1"/>
                <w:bCs w:val="1"/>
                <w:color w:val="auto"/>
              </w:rPr>
              <w:t>Total Operating Revenue</w:t>
            </w:r>
          </w:p>
        </w:tc>
        <w:tc>
          <w:tcPr>
            <w:tcW w:w="24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$243.2</w:t>
            </w:r>
          </w:p>
        </w:tc>
        <w:tc>
          <w:tcPr>
            <w:tcW w:w="10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$290.4</w:t>
            </w:r>
          </w:p>
        </w:tc>
        <w:tc>
          <w:tcPr>
            <w:tcW w:w="14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$554.8</w:t>
            </w:r>
          </w:p>
        </w:tc>
        <w:tc>
          <w:tcPr>
            <w:tcW w:w="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$647.6</w:t>
            </w:r>
          </w:p>
        </w:tc>
      </w:tr>
      <w:tr>
        <w:trPr>
          <w:trHeight w:val="27"/>
        </w:trPr>
        <w:tc>
          <w:tcPr>
            <w:tcW w:w="55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ALLETE</w:t>
            </w:r>
          </w:p>
        </w:tc>
        <w:tc>
          <w:tcPr>
            <w:tcW w:w="2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20"/>
              <w:spacing w:after="0"/>
              <w:rPr>
                <w:sz w:val="20"/>
                <w:szCs w:val="20"/>
                <w:color w:val="auto"/>
              </w:rPr>
            </w:pPr>
            <w:r>
              <w:rPr>
                <w:rFonts w:ascii="Arial" w:cs="Arial" w:eastAsia="Arial" w:hAnsi="Arial"/>
                <w:sz w:val="18"/>
                <w:szCs w:val="18"/>
                <w:color w:val="auto"/>
              </w:rPr>
              <w:t>Regulated Operations</w:t>
            </w:r>
          </w:p>
        </w:tc>
        <w:tc>
          <w:tcPr>
            <w:tcW w:w="2480" w:type="dxa"/>
            <w:vAlign w:val="bottom"/>
          </w:tcPr>
          <w:p>
            <w:pPr>
              <w:jc w:val="right"/>
              <w:ind w:right="130"/>
              <w:spacing w:after="0"/>
              <w:rPr>
                <w:sz w:val="20"/>
                <w:szCs w:val="20"/>
                <w:color w:val="auto"/>
              </w:rPr>
            </w:pPr>
            <w:r>
              <w:rPr>
                <w:rFonts w:ascii="Arial" w:cs="Arial" w:eastAsia="Arial" w:hAnsi="Arial"/>
                <w:sz w:val="18"/>
                <w:szCs w:val="18"/>
                <w:color w:val="auto"/>
              </w:rPr>
              <w:t>$11.1</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$30.3</w:t>
            </w:r>
          </w:p>
        </w:tc>
        <w:tc>
          <w:tcPr>
            <w:tcW w:w="1440" w:type="dxa"/>
            <w:vAlign w:val="bottom"/>
          </w:tcPr>
          <w:p>
            <w:pPr>
              <w:jc w:val="right"/>
              <w:ind w:right="410"/>
              <w:spacing w:after="0"/>
              <w:rPr>
                <w:sz w:val="20"/>
                <w:szCs w:val="20"/>
                <w:color w:val="auto"/>
              </w:rPr>
            </w:pPr>
            <w:r>
              <w:rPr>
                <w:rFonts w:ascii="Arial" w:cs="Arial" w:eastAsia="Arial" w:hAnsi="Arial"/>
                <w:sz w:val="18"/>
                <w:szCs w:val="18"/>
                <w:color w:val="auto"/>
              </w:rPr>
              <w:t>$68.6</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$81.8</w:t>
            </w:r>
          </w:p>
        </w:tc>
      </w:tr>
      <w:tr>
        <w:trPr>
          <w:trHeight w:val="27"/>
        </w:trPr>
        <w:tc>
          <w:tcPr>
            <w:tcW w:w="5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16"/>
        </w:trPr>
        <w:tc>
          <w:tcPr>
            <w:tcW w:w="55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43"/>
        </w:trPr>
        <w:tc>
          <w:tcPr>
            <w:tcW w:w="5500" w:type="dxa"/>
            <w:vAlign w:val="bottom"/>
          </w:tcPr>
          <w:p>
            <w:pPr>
              <w:ind w:left="220"/>
              <w:spacing w:after="0"/>
              <w:rPr>
                <w:sz w:val="20"/>
                <w:szCs w:val="20"/>
                <w:color w:val="auto"/>
              </w:rPr>
            </w:pPr>
            <w:r>
              <w:rPr>
                <w:rFonts w:ascii="Arial" w:cs="Arial" w:eastAsia="Arial" w:hAnsi="Arial"/>
                <w:sz w:val="18"/>
                <w:szCs w:val="18"/>
                <w:color w:val="auto"/>
              </w:rPr>
              <w:t>ALLETE Clean Energy</w:t>
            </w:r>
          </w:p>
        </w:tc>
        <w:tc>
          <w:tcPr>
            <w:tcW w:w="2480" w:type="dxa"/>
            <w:vAlign w:val="bottom"/>
          </w:tcPr>
          <w:p>
            <w:pPr>
              <w:jc w:val="right"/>
              <w:ind w:right="130"/>
              <w:spacing w:after="0"/>
              <w:rPr>
                <w:sz w:val="20"/>
                <w:szCs w:val="20"/>
                <w:color w:val="auto"/>
              </w:rPr>
            </w:pPr>
            <w:r>
              <w:rPr>
                <w:rFonts w:ascii="Arial" w:cs="Arial" w:eastAsia="Arial" w:hAnsi="Arial"/>
                <w:sz w:val="18"/>
                <w:szCs w:val="18"/>
                <w:color w:val="auto"/>
              </w:rPr>
              <w:t>4.0</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1.9</w:t>
            </w:r>
          </w:p>
        </w:tc>
        <w:tc>
          <w:tcPr>
            <w:tcW w:w="1440" w:type="dxa"/>
            <w:vAlign w:val="bottom"/>
          </w:tcPr>
          <w:p>
            <w:pPr>
              <w:jc w:val="right"/>
              <w:ind w:right="410"/>
              <w:spacing w:after="0"/>
              <w:rPr>
                <w:sz w:val="20"/>
                <w:szCs w:val="20"/>
                <w:color w:val="auto"/>
              </w:rPr>
            </w:pPr>
            <w:r>
              <w:rPr>
                <w:rFonts w:ascii="Arial" w:cs="Arial" w:eastAsia="Arial" w:hAnsi="Arial"/>
                <w:sz w:val="18"/>
                <w:szCs w:val="18"/>
                <w:color w:val="auto"/>
              </w:rPr>
              <w:t>15.7</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7.7</w:t>
            </w:r>
          </w:p>
        </w:tc>
      </w:tr>
      <w:tr>
        <w:trPr>
          <w:trHeight w:val="27"/>
        </w:trPr>
        <w:tc>
          <w:tcPr>
            <w:tcW w:w="5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16"/>
        </w:trPr>
        <w:tc>
          <w:tcPr>
            <w:tcW w:w="55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43"/>
        </w:trPr>
        <w:tc>
          <w:tcPr>
            <w:tcW w:w="5500" w:type="dxa"/>
            <w:vAlign w:val="bottom"/>
          </w:tcPr>
          <w:p>
            <w:pPr>
              <w:ind w:left="220"/>
              <w:spacing w:after="0"/>
              <w:rPr>
                <w:sz w:val="20"/>
                <w:szCs w:val="20"/>
                <w:color w:val="auto"/>
              </w:rPr>
            </w:pPr>
            <w:r>
              <w:rPr>
                <w:rFonts w:ascii="Arial" w:cs="Arial" w:eastAsia="Arial" w:hAnsi="Arial"/>
                <w:sz w:val="18"/>
                <w:szCs w:val="18"/>
                <w:color w:val="auto"/>
              </w:rPr>
              <w:t xml:space="preserve">U.S. Water Services </w:t>
            </w:r>
            <w:r>
              <w:rPr>
                <w:rFonts w:ascii="Arial" w:cs="Arial" w:eastAsia="Arial" w:hAnsi="Arial"/>
                <w:sz w:val="16"/>
                <w:szCs w:val="16"/>
                <w:i w:val="1"/>
                <w:iCs w:val="1"/>
                <w:color w:val="auto"/>
              </w:rPr>
              <w:t>(a)</w:t>
            </w:r>
          </w:p>
        </w:tc>
        <w:tc>
          <w:tcPr>
            <w:tcW w:w="2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5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16"/>
        </w:trPr>
        <w:tc>
          <w:tcPr>
            <w:tcW w:w="55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43"/>
        </w:trPr>
        <w:tc>
          <w:tcPr>
            <w:tcW w:w="5500" w:type="dxa"/>
            <w:vAlign w:val="bottom"/>
          </w:tcPr>
          <w:p>
            <w:pPr>
              <w:ind w:left="2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(a)</w:t>
            </w:r>
          </w:p>
        </w:tc>
        <w:tc>
          <w:tcPr>
            <w:tcW w:w="2480" w:type="dxa"/>
            <w:vAlign w:val="bottom"/>
          </w:tcPr>
          <w:p>
            <w:pPr>
              <w:jc w:val="right"/>
              <w:ind w:right="130"/>
              <w:spacing w:after="0"/>
              <w:rPr>
                <w:sz w:val="20"/>
                <w:szCs w:val="20"/>
                <w:color w:val="auto"/>
              </w:rPr>
            </w:pPr>
            <w:r>
              <w:rPr>
                <w:rFonts w:ascii="Arial" w:cs="Arial" w:eastAsia="Arial" w:hAnsi="Arial"/>
                <w:sz w:val="18"/>
                <w:szCs w:val="18"/>
                <w:color w:val="auto"/>
              </w:rPr>
              <w:t>5.0</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2.0</w:t>
            </w:r>
          </w:p>
        </w:tc>
        <w:tc>
          <w:tcPr>
            <w:tcW w:w="1440" w:type="dxa"/>
            <w:vAlign w:val="bottom"/>
          </w:tcPr>
          <w:p>
            <w:pPr>
              <w:jc w:val="right"/>
              <w:ind w:right="410"/>
              <w:spacing w:after="0"/>
              <w:rPr>
                <w:sz w:val="20"/>
                <w:szCs w:val="20"/>
                <w:color w:val="auto"/>
              </w:rPr>
            </w:pPr>
            <w:r>
              <w:rPr>
                <w:rFonts w:ascii="Arial" w:cs="Arial" w:eastAsia="Arial" w:hAnsi="Arial"/>
                <w:sz w:val="18"/>
                <w:szCs w:val="18"/>
                <w:color w:val="auto"/>
              </w:rPr>
              <w:t>2.1</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16.3</w:t>
            </w:r>
          </w:p>
        </w:tc>
      </w:tr>
      <w:tr>
        <w:trPr>
          <w:trHeight w:val="27"/>
        </w:trPr>
        <w:tc>
          <w:tcPr>
            <w:tcW w:w="55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Net Income Attributable to ALLETE</w:t>
            </w:r>
          </w:p>
        </w:tc>
        <w:tc>
          <w:tcPr>
            <w:tcW w:w="2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$20.1</w:t>
            </w:r>
          </w:p>
        </w:tc>
        <w:tc>
          <w:tcPr>
            <w:tcW w:w="10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$34.2</w:t>
            </w:r>
          </w:p>
        </w:tc>
        <w:tc>
          <w:tcPr>
            <w:tcW w:w="14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$86.4</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$104.7</w:t>
            </w:r>
          </w:p>
        </w:tc>
      </w:tr>
      <w:tr>
        <w:trPr>
          <w:trHeight w:val="20"/>
        </w:trPr>
        <w:tc>
          <w:tcPr>
            <w:tcW w:w="550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85" w:lineRule="exact"/>
        <w:rPr>
          <w:sz w:val="20"/>
          <w:szCs w:val="20"/>
          <w:color w:val="auto"/>
        </w:rPr>
      </w:pPr>
    </w:p>
    <w:p>
      <w:pPr>
        <w:ind w:left="340" w:hanging="332"/>
        <w:spacing w:after="0" w:line="275" w:lineRule="auto"/>
        <w:tabs>
          <w:tab w:leader="none" w:pos="305"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 March 2019, ALLETE sold U.S. Water Services. The Company recognized a gain on the sale of $11.1 million after-tax during the six months ended June 30, 2019, which is reflected in Corporate and Other.</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4500" w:type="dxa"/>
            <w:vAlign w:val="bottom"/>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440" w:type="dxa"/>
            <w:vAlign w:val="bottom"/>
          </w:tcPr>
          <w:p>
            <w:pPr>
              <w:spacing w:after="0"/>
              <w:rPr>
                <w:sz w:val="20"/>
                <w:szCs w:val="20"/>
                <w:color w:val="auto"/>
              </w:rPr>
            </w:pPr>
          </w:p>
        </w:tc>
        <w:tc>
          <w:tcPr>
            <w:tcW w:w="450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r>
      <w:tr>
        <w:trPr>
          <w:trHeight w:val="27"/>
        </w:trPr>
        <w:tc>
          <w:tcPr>
            <w:tcW w:w="544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6"/>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5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5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220"/>
              <w:spacing w:after="0"/>
              <w:rPr>
                <w:sz w:val="20"/>
                <w:szCs w:val="20"/>
                <w:color w:val="auto"/>
              </w:rPr>
            </w:pPr>
            <w:r>
              <w:rPr>
                <w:rFonts w:ascii="Arial" w:cs="Arial" w:eastAsia="Arial" w:hAnsi="Arial"/>
                <w:sz w:val="18"/>
                <w:szCs w:val="18"/>
                <w:color w:val="auto"/>
              </w:rPr>
              <w:t>Regulated Operations</w:t>
            </w:r>
          </w:p>
        </w:tc>
        <w:tc>
          <w:tcPr>
            <w:tcW w:w="4500" w:type="dxa"/>
            <w:vAlign w:val="bottom"/>
          </w:tcPr>
          <w:p>
            <w:pPr>
              <w:jc w:val="right"/>
              <w:ind w:right="250"/>
              <w:spacing w:after="0"/>
              <w:rPr>
                <w:sz w:val="20"/>
                <w:szCs w:val="20"/>
                <w:color w:val="auto"/>
              </w:rPr>
            </w:pPr>
            <w:r>
              <w:rPr>
                <w:rFonts w:ascii="Arial" w:cs="Arial" w:eastAsia="Arial" w:hAnsi="Arial"/>
                <w:sz w:val="18"/>
                <w:szCs w:val="18"/>
                <w:color w:val="auto"/>
              </w:rPr>
              <w:t>$4,139.8</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$4,130.8</w:t>
            </w:r>
          </w:p>
        </w:tc>
      </w:tr>
      <w:tr>
        <w:trPr>
          <w:trHeight w:val="27"/>
        </w:trPr>
        <w:tc>
          <w:tcPr>
            <w:tcW w:w="54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54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5440" w:type="dxa"/>
            <w:vAlign w:val="bottom"/>
          </w:tcPr>
          <w:p>
            <w:pPr>
              <w:ind w:left="220"/>
              <w:spacing w:after="0"/>
              <w:rPr>
                <w:sz w:val="20"/>
                <w:szCs w:val="20"/>
                <w:color w:val="auto"/>
              </w:rPr>
            </w:pPr>
            <w:r>
              <w:rPr>
                <w:rFonts w:ascii="Arial" w:cs="Arial" w:eastAsia="Arial" w:hAnsi="Arial"/>
                <w:sz w:val="18"/>
                <w:szCs w:val="18"/>
                <w:color w:val="auto"/>
              </w:rPr>
              <w:t>ALLETE Clean Energy</w:t>
            </w:r>
          </w:p>
        </w:tc>
        <w:tc>
          <w:tcPr>
            <w:tcW w:w="4500" w:type="dxa"/>
            <w:vAlign w:val="bottom"/>
          </w:tcPr>
          <w:p>
            <w:pPr>
              <w:jc w:val="right"/>
              <w:ind w:right="250"/>
              <w:spacing w:after="0"/>
              <w:rPr>
                <w:sz w:val="20"/>
                <w:szCs w:val="20"/>
                <w:color w:val="auto"/>
              </w:rPr>
            </w:pPr>
            <w:r>
              <w:rPr>
                <w:rFonts w:ascii="Arial" w:cs="Arial" w:eastAsia="Arial" w:hAnsi="Arial"/>
                <w:sz w:val="18"/>
                <w:szCs w:val="18"/>
                <w:color w:val="auto"/>
              </w:rPr>
              <w:t>1,250.2</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1,001.5</w:t>
            </w:r>
          </w:p>
        </w:tc>
      </w:tr>
      <w:tr>
        <w:trPr>
          <w:trHeight w:val="27"/>
        </w:trPr>
        <w:tc>
          <w:tcPr>
            <w:tcW w:w="54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54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5440" w:type="dxa"/>
            <w:vAlign w:val="bottom"/>
          </w:tcPr>
          <w:p>
            <w:pPr>
              <w:ind w:left="220"/>
              <w:spacing w:after="0"/>
              <w:rPr>
                <w:sz w:val="20"/>
                <w:szCs w:val="20"/>
                <w:color w:val="auto"/>
              </w:rPr>
            </w:pPr>
            <w:r>
              <w:rPr>
                <w:rFonts w:ascii="Arial" w:cs="Arial" w:eastAsia="Arial" w:hAnsi="Arial"/>
                <w:sz w:val="18"/>
                <w:szCs w:val="18"/>
                <w:color w:val="auto"/>
              </w:rPr>
              <w:t>Corporate and Other</w:t>
            </w:r>
          </w:p>
        </w:tc>
        <w:tc>
          <w:tcPr>
            <w:tcW w:w="4500" w:type="dxa"/>
            <w:vAlign w:val="bottom"/>
          </w:tcPr>
          <w:p>
            <w:pPr>
              <w:jc w:val="right"/>
              <w:ind w:right="250"/>
              <w:spacing w:after="0"/>
              <w:rPr>
                <w:sz w:val="20"/>
                <w:szCs w:val="20"/>
                <w:color w:val="auto"/>
              </w:rPr>
            </w:pPr>
            <w:r>
              <w:rPr>
                <w:rFonts w:ascii="Arial" w:cs="Arial" w:eastAsia="Arial" w:hAnsi="Arial"/>
                <w:sz w:val="18"/>
                <w:szCs w:val="18"/>
                <w:color w:val="auto"/>
              </w:rPr>
              <w:t>370.4</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350.5</w:t>
            </w:r>
          </w:p>
        </w:tc>
      </w:tr>
      <w:tr>
        <w:trPr>
          <w:trHeight w:val="27"/>
        </w:trPr>
        <w:tc>
          <w:tcPr>
            <w:tcW w:w="544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Assets</w:t>
            </w:r>
          </w:p>
        </w:tc>
        <w:tc>
          <w:tcPr>
            <w:tcW w:w="4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$5,760.4</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$5,482.8</w:t>
            </w:r>
          </w:p>
        </w:tc>
      </w:tr>
      <w:tr>
        <w:trPr>
          <w:trHeight w:val="20"/>
        </w:trPr>
        <w:tc>
          <w:tcPr>
            <w:tcW w:w="5440" w:type="dxa"/>
            <w:vAlign w:val="bottom"/>
            <w:shd w:val="clear" w:color="auto" w:fill="000000"/>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ectPr>
          <w:pgSz w:w="11900" w:h="16838" w:orient="portrait"/>
          <w:cols w:equalWidth="0" w:num="1">
            <w:col w:w="11240"/>
          </w:cols>
          <w:pgMar w:left="320" w:top="891" w:right="339" w:bottom="532"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532"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discussion should be read in conjunction with our Consolidated Financial Statements and notes to those statements, Management’s Discussion and Analysis of Financial Condition and Results of Operations from our 2019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including Part II, Item 1A Risk Factors, and our 2019 Form 10-K under the headings: “Forward-Looking Statements” located on page 6 and “Risk Factors” located in Part I, Item 1A, beginning on page 21 of our 2019 Form 10-K. The risks and uncertainties described in this Form 10-Q and our 2019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trends and results for the quarter and six months of 2020 may not be indicative of results that may be expected for the year ended December 31, 2020 due to uncertainty regarding the extent and duration of the COVID-19 pandemic. This pandemic has resulted in widespread impacts on the global economy and on our employees, customers, contractors, and suppliers. There is considerable uncertainty regarding the extent to which COVID-19 will spread and the extent and duration of measures to try to contain the virus, such as travel bans and restrictions, quarantines, shelter-in-place orders (including those in effect in areas our businesses operate), and business and government shutdowns. Additional disclosures in this Form 10-Q regarding the impacts of the ongoing COVID-19 pandemic are located in Outlook – Regulated Operations – Industrial Customers and Prospective Additional Load, Liquidity and Capital Resources – Liquidity Position and Part II, Item 1A. Risk Factors.</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that owns and maintains electric transmission assets in portions of Wisconsin, Michigan, Minnesota and Illinois. Minnesota Power provides regulated utility electric service in northeastern Minnesota to approximately 145,000 retail customers. Minnesota Power also has 15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r>
        <w:rPr>
          <w:rFonts w:ascii="Arial" w:cs="Arial" w:eastAsia="Arial" w:hAnsi="Arial"/>
          <w:sz w:val="18"/>
          <w:szCs w:val="18"/>
          <w:color w:val="auto"/>
        </w:rPr>
        <w:t xml:space="preserve"> (See Note 2. Regulatory Matters.)</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focuses on developing, acquiring, and operating clean and renewable energy projects. ALLETE Clean Energy currently owns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in six states, approximately 740 MW of nameplate capacity wind energy generation that is contracted under PSAs of various durations. In addition, ALLETE Clean Energy currently has approximately 600 MW of wind energy facilities under construction or development that it will own and operate with long-term PSAs in place. ALLETE Clean Energy also engages in the development of wind energy facilities to operate under long-term PSAs or for sale to others upon completion.</w:t>
      </w:r>
    </w:p>
    <w:p>
      <w:pPr>
        <w:spacing w:after="0" w:line="21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U.S. Water Services </w:t>
      </w:r>
      <w:r>
        <w:rPr>
          <w:rFonts w:ascii="Arial" w:cs="Arial" w:eastAsia="Arial" w:hAnsi="Arial"/>
          <w:sz w:val="17"/>
          <w:szCs w:val="17"/>
          <w:color w:val="auto"/>
        </w:rPr>
        <w:t>provided integrated water management for industry by combining chemical, equipment, engineering and service for customized</w:t>
      </w:r>
      <w:r>
        <w:rPr>
          <w:rFonts w:ascii="Arial" w:cs="Arial" w:eastAsia="Arial" w:hAnsi="Arial"/>
          <w:sz w:val="17"/>
          <w:szCs w:val="17"/>
          <w:b w:val="1"/>
          <w:bCs w:val="1"/>
          <w:color w:val="auto"/>
        </w:rPr>
        <w:t xml:space="preserve"> </w:t>
      </w:r>
      <w:r>
        <w:rPr>
          <w:rFonts w:ascii="Arial" w:cs="Arial" w:eastAsia="Arial" w:hAnsi="Arial"/>
          <w:sz w:val="17"/>
          <w:szCs w:val="17"/>
          <w:color w:val="auto"/>
        </w:rPr>
        <w:t>solutions to reduce water and energy usage, and improve efficiency. In March 2019, the Company sold U.S. Water Services to a subsidiary of Kurita Water Industries Ltd. pursuant to a stock purchase agreement for approximately $270 million in cash, net of transaction costs and cash retained.</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our investment in Nobles 2, a 49 percent equity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entity that will own and operate a 250 MW wind energy facility in southwestern Minnesota, ALLETE Properties, our legacy Florida real estate investment, other business development and corporate expenditures, unallocated interest expense, a small amount of non-rate base generation, approximately 4,000 acres of land in Minnesota, and earnings on cash and investments.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June 30, 2020, unless otherwise indicated. All subsidiaries are wholly-owned unless otherwise specifically indicated. References in this report to “we,” “us” and “our” are to ALLETE and its subsidiaries, collectively.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following net income discussion summarizes a comparison of the six months ended June 30, 2020, to the six months ended June 30, 2019. The trends and results for the first six months of 2020 may not be indicative of full year results for 2020 due to uncertainty regarding the extent and duration of the COVID-19 pandemic. (See </w:t>
      </w:r>
      <w:r>
        <w:rPr>
          <w:rFonts w:ascii="Arial" w:cs="Arial" w:eastAsia="Arial" w:hAnsi="Arial"/>
          <w:sz w:val="18"/>
          <w:szCs w:val="18"/>
          <w:i w:val="1"/>
          <w:iCs w:val="1"/>
          <w:color w:val="auto"/>
        </w:rPr>
        <w:t>Overview</w:t>
      </w:r>
      <w:r>
        <w:rPr>
          <w:rFonts w:ascii="Arial" w:cs="Arial" w:eastAsia="Arial" w:hAnsi="Arial"/>
          <w:sz w:val="18"/>
          <w:szCs w:val="18"/>
          <w:color w:val="auto"/>
        </w:rPr>
        <w:t>.)</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Net income attributable to ALLETE for the six months ended June 30, 2020, was $86.4 million, or $1.67 per diluted share, compared to $104.7 million, or $2.02 per diluted share, for the same period in 2019. Net income in 2020 included reserves for interim rates of $8.3 million after-tax, or $0.16 per share, for the refund of interim rates collected through April 30, 2020, resulting from the MPUC’s approval of the resolution of Minnesota Power’s 2020 general rate case. (See Note 2. Regulatory Matters.) Net income in 2019 included a gain on the sale of U.S. Water Services of $11.1 million after-tax, or $0.21 per share, and U.S. Water Services results of operations amounted to a loss of $1.1 million after-tax, or $0.02 per share, in 2019.</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attributable to ALLETE was $68.6 million for the six months ended June 30, 2020, compared to $81.8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in 2019. Net income at Minnesota Power was lower than 2019 primarily due to: reserves for interim rates of $8.3 million after-tax for the refund of interim rates collected through April 30, 2020; lower kWh sales to retail and municipal customers; lower revenue from Other Power Suppliers resulting from the expiration of a PSA; and the timing of fuel adjustment clause recoveries in 2019 with the adoption of a new fuel adjustment clause methodology for Minnesota utilities beginning in 2020. Net income at SWL&amp;P was similar to 2019. Our after-tax equity earnings in ATC were higher compared to 2019 primarily due to period over period changes in ATC’s estimate of a refund liability related to the FERC decision on MISO return on equity complaints.</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net income attributable to ALLETE was $15.7 million for the six months ended June 30, 2020, compared to $7.7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in 2019. Net income in 2020 included $3.8 million of additional production tax credits generated compared to 2019 and earnings from the Glen Ullin and South Peak wind energy facilities which commenced operations in December 2019 and April 2020, respectively. These increases were partially offset by higher depreciation expense.</w:t>
      </w:r>
    </w:p>
    <w:p>
      <w:pPr>
        <w:spacing w:after="0" w:line="21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net loss attributable to ALLETE was $1.1 million for six months ended June 30, 2019. ALLETE completed the sale of U.S. Water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in the first quarter of 2019.</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net income attributable to ALLETE was $2.1 million for the six months ended June 30, 2020, compared to net income of</w:t>
      </w:r>
      <w:r>
        <w:rPr>
          <w:rFonts w:ascii="Arial" w:cs="Arial" w:eastAsia="Arial" w:hAnsi="Arial"/>
          <w:sz w:val="18"/>
          <w:szCs w:val="18"/>
          <w:b w:val="1"/>
          <w:bCs w:val="1"/>
          <w:color w:val="auto"/>
        </w:rPr>
        <w:t xml:space="preserve"> </w:t>
      </w:r>
      <w:r>
        <w:rPr>
          <w:rFonts w:ascii="Arial" w:cs="Arial" w:eastAsia="Arial" w:hAnsi="Arial"/>
          <w:sz w:val="18"/>
          <w:szCs w:val="18"/>
          <w:color w:val="auto"/>
        </w:rPr>
        <w:t>$16.3 million for the same period in 2019. Net income in 2019 included a gain on the sale of U.S. Water Services of $11.1 million after-tax. Net income in 2020 included lower earnings from marketable equity securities held in benefit trusts and additional income tax expense recorded in 2020 as GAAP requires the recognition of income taxes at the estimated annual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QUARTERS ENDED JUNE 30, 2020 AND 2019</w:t>
            </w:r>
          </w:p>
        </w:tc>
        <w:tc>
          <w:tcPr>
            <w:tcW w:w="27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9"/>
        </w:trPr>
        <w:tc>
          <w:tcPr>
            <w:tcW w:w="7600" w:type="dxa"/>
            <w:vAlign w:val="bottom"/>
            <w:gridSpan w:val="2"/>
          </w:tcPr>
          <w:p>
            <w:pPr>
              <w:spacing w:after="0"/>
              <w:rPr>
                <w:sz w:val="20"/>
                <w:szCs w:val="20"/>
                <w:color w:val="auto"/>
              </w:rPr>
            </w:pPr>
            <w:r>
              <w:rPr>
                <w:rFonts w:ascii="Arial" w:cs="Arial" w:eastAsia="Arial" w:hAnsi="Arial"/>
                <w:sz w:val="18"/>
                <w:szCs w:val="18"/>
                <w:color w:val="auto"/>
              </w:rPr>
              <w:t>(See Note 10. Business Segments for financial results by segment.)</w:t>
            </w:r>
          </w:p>
        </w:tc>
        <w:tc>
          <w:tcPr>
            <w:tcW w:w="27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59"/>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7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8"/>
        </w:trPr>
        <w:tc>
          <w:tcPr>
            <w:tcW w:w="440" w:type="dxa"/>
            <w:vAlign w:val="bottom"/>
          </w:tcPr>
          <w:p>
            <w:pPr>
              <w:spacing w:after="0"/>
              <w:rPr>
                <w:sz w:val="24"/>
                <w:szCs w:val="24"/>
                <w:color w:val="auto"/>
              </w:rPr>
            </w:pPr>
          </w:p>
        </w:tc>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276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r>
      <w:tr>
        <w:trPr>
          <w:trHeight w:val="27"/>
        </w:trPr>
        <w:tc>
          <w:tcPr>
            <w:tcW w:w="440" w:type="dxa"/>
            <w:vAlign w:val="bottom"/>
          </w:tcPr>
          <w:p>
            <w:pPr>
              <w:spacing w:after="0"/>
              <w:rPr>
                <w:sz w:val="2"/>
                <w:szCs w:val="2"/>
                <w:color w:val="auto"/>
              </w:rPr>
            </w:pPr>
          </w:p>
        </w:tc>
        <w:tc>
          <w:tcPr>
            <w:tcW w:w="71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7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7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$200.8</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$249.8</w:t>
            </w:r>
          </w:p>
        </w:tc>
      </w:tr>
      <w:tr>
        <w:trPr>
          <w:trHeight w:val="243"/>
        </w:trPr>
        <w:tc>
          <w:tcPr>
            <w:tcW w:w="440" w:type="dxa"/>
            <w:vAlign w:val="bottom"/>
          </w:tcPr>
          <w:p>
            <w:pPr>
              <w:spacing w:after="0"/>
              <w:rPr>
                <w:sz w:val="21"/>
                <w:szCs w:val="21"/>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760" w:type="dxa"/>
            <w:vAlign w:val="bottom"/>
          </w:tcPr>
          <w:p>
            <w:pPr>
              <w:jc w:val="right"/>
              <w:ind w:right="270"/>
              <w:spacing w:after="0"/>
              <w:rPr>
                <w:sz w:val="20"/>
                <w:szCs w:val="20"/>
                <w:color w:val="auto"/>
              </w:rPr>
            </w:pPr>
            <w:r>
              <w:rPr>
                <w:rFonts w:ascii="Arial" w:cs="Arial" w:eastAsia="Arial" w:hAnsi="Arial"/>
                <w:sz w:val="18"/>
                <w:szCs w:val="18"/>
                <w:color w:val="auto"/>
              </w:rPr>
              <w:t>69.3</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87.9</w:t>
            </w:r>
          </w:p>
        </w:tc>
      </w:tr>
      <w:tr>
        <w:trPr>
          <w:trHeight w:val="27"/>
        </w:trPr>
        <w:tc>
          <w:tcPr>
            <w:tcW w:w="4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7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16.4</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19.2</w:t>
            </w:r>
          </w:p>
        </w:tc>
      </w:tr>
      <w:tr>
        <w:trPr>
          <w:trHeight w:val="243"/>
        </w:trPr>
        <w:tc>
          <w:tcPr>
            <w:tcW w:w="440" w:type="dxa"/>
            <w:vAlign w:val="bottom"/>
          </w:tcPr>
          <w:p>
            <w:pPr>
              <w:spacing w:after="0"/>
              <w:rPr>
                <w:sz w:val="21"/>
                <w:szCs w:val="21"/>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760" w:type="dxa"/>
            <w:vAlign w:val="bottom"/>
          </w:tcPr>
          <w:p>
            <w:pPr>
              <w:jc w:val="right"/>
              <w:ind w:right="270"/>
              <w:spacing w:after="0"/>
              <w:rPr>
                <w:sz w:val="20"/>
                <w:szCs w:val="20"/>
                <w:color w:val="auto"/>
              </w:rPr>
            </w:pPr>
            <w:r>
              <w:rPr>
                <w:rFonts w:ascii="Arial" w:cs="Arial" w:eastAsia="Arial" w:hAnsi="Arial"/>
                <w:sz w:val="18"/>
                <w:szCs w:val="18"/>
                <w:color w:val="auto"/>
              </w:rPr>
              <w:t>48.0</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54.2</w:t>
            </w:r>
          </w:p>
        </w:tc>
      </w:tr>
      <w:tr>
        <w:trPr>
          <w:trHeight w:val="27"/>
        </w:trPr>
        <w:tc>
          <w:tcPr>
            <w:tcW w:w="4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7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41.9</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40.2</w:t>
            </w:r>
          </w:p>
        </w:tc>
      </w:tr>
      <w:tr>
        <w:trPr>
          <w:trHeight w:val="243"/>
        </w:trPr>
        <w:tc>
          <w:tcPr>
            <w:tcW w:w="440" w:type="dxa"/>
            <w:vAlign w:val="bottom"/>
          </w:tcPr>
          <w:p>
            <w:pPr>
              <w:spacing w:after="0"/>
              <w:rPr>
                <w:sz w:val="21"/>
                <w:szCs w:val="21"/>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Taxes Other than Income Taxes</w:t>
            </w:r>
          </w:p>
        </w:tc>
        <w:tc>
          <w:tcPr>
            <w:tcW w:w="2760" w:type="dxa"/>
            <w:vAlign w:val="bottom"/>
          </w:tcPr>
          <w:p>
            <w:pPr>
              <w:jc w:val="right"/>
              <w:ind w:right="270"/>
              <w:spacing w:after="0"/>
              <w:rPr>
                <w:sz w:val="20"/>
                <w:szCs w:val="20"/>
                <w:color w:val="auto"/>
              </w:rPr>
            </w:pPr>
            <w:r>
              <w:rPr>
                <w:rFonts w:ascii="Arial" w:cs="Arial" w:eastAsia="Arial" w:hAnsi="Arial"/>
                <w:sz w:val="18"/>
                <w:szCs w:val="18"/>
                <w:color w:val="auto"/>
              </w:rPr>
              <w:t>13.3</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12.5</w:t>
            </w:r>
          </w:p>
        </w:tc>
      </w:tr>
      <w:tr>
        <w:trPr>
          <w:trHeight w:val="27"/>
        </w:trPr>
        <w:tc>
          <w:tcPr>
            <w:tcW w:w="440" w:type="dxa"/>
            <w:vAlign w:val="bottom"/>
          </w:tcPr>
          <w:p>
            <w:pPr>
              <w:spacing w:after="0"/>
              <w:rPr>
                <w:sz w:val="2"/>
                <w:szCs w:val="2"/>
                <w:color w:val="auto"/>
              </w:rPr>
            </w:pPr>
          </w:p>
        </w:tc>
        <w:tc>
          <w:tcPr>
            <w:tcW w:w="71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0" w:type="dxa"/>
            <w:vAlign w:val="bottom"/>
          </w:tcPr>
          <w:p>
            <w:pPr>
              <w:spacing w:after="0"/>
              <w:rPr>
                <w:sz w:val="21"/>
                <w:szCs w:val="21"/>
                <w:color w:val="auto"/>
              </w:rPr>
            </w:pPr>
          </w:p>
        </w:tc>
        <w:tc>
          <w:tcPr>
            <w:tcW w:w="7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27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11.9</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35.8</w:t>
            </w:r>
          </w:p>
        </w:tc>
      </w:tr>
      <w:tr>
        <w:trPr>
          <w:trHeight w:val="243"/>
        </w:trPr>
        <w:tc>
          <w:tcPr>
            <w:tcW w:w="440" w:type="dxa"/>
            <w:vAlign w:val="bottom"/>
          </w:tcPr>
          <w:p>
            <w:pPr>
              <w:spacing w:after="0"/>
              <w:rPr>
                <w:sz w:val="21"/>
                <w:szCs w:val="21"/>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760" w:type="dxa"/>
            <w:vAlign w:val="bottom"/>
          </w:tcPr>
          <w:p>
            <w:pPr>
              <w:jc w:val="right"/>
              <w:ind w:right="210"/>
              <w:spacing w:after="0"/>
              <w:rPr>
                <w:sz w:val="20"/>
                <w:szCs w:val="20"/>
                <w:color w:val="auto"/>
              </w:rPr>
            </w:pPr>
            <w:r>
              <w:rPr>
                <w:rFonts w:ascii="Arial" w:cs="Arial" w:eastAsia="Arial" w:hAnsi="Arial"/>
                <w:sz w:val="18"/>
                <w:szCs w:val="18"/>
                <w:color w:val="auto"/>
              </w:rPr>
              <w:t>(14.7)</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(14.4)</w:t>
            </w:r>
          </w:p>
        </w:tc>
      </w:tr>
      <w:tr>
        <w:trPr>
          <w:trHeight w:val="27"/>
        </w:trPr>
        <w:tc>
          <w:tcPr>
            <w:tcW w:w="4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w:t>
            </w:r>
          </w:p>
        </w:tc>
        <w:tc>
          <w:tcPr>
            <w:tcW w:w="27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6.4</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w:t>
            </w:r>
          </w:p>
        </w:tc>
      </w:tr>
      <w:tr>
        <w:trPr>
          <w:trHeight w:val="243"/>
        </w:trPr>
        <w:tc>
          <w:tcPr>
            <w:tcW w:w="440" w:type="dxa"/>
            <w:vAlign w:val="bottom"/>
          </w:tcPr>
          <w:p>
            <w:pPr>
              <w:spacing w:after="0"/>
              <w:rPr>
                <w:sz w:val="21"/>
                <w:szCs w:val="21"/>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760" w:type="dxa"/>
            <w:vAlign w:val="bottom"/>
          </w:tcPr>
          <w:p>
            <w:pPr>
              <w:jc w:val="right"/>
              <w:ind w:right="270"/>
              <w:spacing w:after="0"/>
              <w:rPr>
                <w:sz w:val="20"/>
                <w:szCs w:val="20"/>
                <w:color w:val="auto"/>
              </w:rPr>
            </w:pPr>
            <w:r>
              <w:rPr>
                <w:rFonts w:ascii="Arial" w:cs="Arial" w:eastAsia="Arial" w:hAnsi="Arial"/>
                <w:sz w:val="18"/>
                <w:szCs w:val="18"/>
                <w:color w:val="auto"/>
              </w:rPr>
              <w:t>3.3</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2.8</w:t>
            </w:r>
          </w:p>
        </w:tc>
      </w:tr>
      <w:tr>
        <w:trPr>
          <w:trHeight w:val="27"/>
        </w:trPr>
        <w:tc>
          <w:tcPr>
            <w:tcW w:w="440" w:type="dxa"/>
            <w:vAlign w:val="bottom"/>
          </w:tcPr>
          <w:p>
            <w:pPr>
              <w:spacing w:after="0"/>
              <w:rPr>
                <w:sz w:val="2"/>
                <w:szCs w:val="2"/>
                <w:color w:val="auto"/>
              </w:rPr>
            </w:pPr>
          </w:p>
        </w:tc>
        <w:tc>
          <w:tcPr>
            <w:tcW w:w="71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40" w:type="dxa"/>
            <w:vAlign w:val="bottom"/>
          </w:tcPr>
          <w:p>
            <w:pPr>
              <w:spacing w:after="0"/>
              <w:rPr>
                <w:sz w:val="21"/>
                <w:szCs w:val="21"/>
                <w:color w:val="auto"/>
              </w:rPr>
            </w:pPr>
          </w:p>
        </w:tc>
        <w:tc>
          <w:tcPr>
            <w:tcW w:w="7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27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6.9</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29.0</w:t>
            </w:r>
          </w:p>
        </w:tc>
      </w:tr>
      <w:tr>
        <w:trPr>
          <w:trHeight w:val="243"/>
        </w:trPr>
        <w:tc>
          <w:tcPr>
            <w:tcW w:w="440" w:type="dxa"/>
            <w:vAlign w:val="bottom"/>
          </w:tcPr>
          <w:p>
            <w:pPr>
              <w:spacing w:after="0"/>
              <w:rPr>
                <w:sz w:val="21"/>
                <w:szCs w:val="21"/>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760" w:type="dxa"/>
            <w:vAlign w:val="bottom"/>
          </w:tcPr>
          <w:p>
            <w:pPr>
              <w:jc w:val="right"/>
              <w:ind w:right="210"/>
              <w:spacing w:after="0"/>
              <w:rPr>
                <w:sz w:val="20"/>
                <w:szCs w:val="20"/>
                <w:color w:val="auto"/>
              </w:rPr>
            </w:pPr>
            <w:r>
              <w:rPr>
                <w:rFonts w:ascii="Arial" w:cs="Arial" w:eastAsia="Arial" w:hAnsi="Arial"/>
                <w:sz w:val="18"/>
                <w:szCs w:val="18"/>
                <w:color w:val="auto"/>
              </w:rPr>
              <w:t>(4.2)</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27"/>
        </w:trPr>
        <w:tc>
          <w:tcPr>
            <w:tcW w:w="440" w:type="dxa"/>
            <w:vAlign w:val="bottom"/>
          </w:tcPr>
          <w:p>
            <w:pPr>
              <w:spacing w:after="0"/>
              <w:rPr>
                <w:sz w:val="2"/>
                <w:szCs w:val="2"/>
                <w:color w:val="auto"/>
              </w:rPr>
            </w:pPr>
          </w:p>
        </w:tc>
        <w:tc>
          <w:tcPr>
            <w:tcW w:w="71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40" w:type="dxa"/>
            <w:vAlign w:val="bottom"/>
          </w:tcPr>
          <w:p>
            <w:pPr>
              <w:spacing w:after="0"/>
              <w:rPr>
                <w:sz w:val="21"/>
                <w:szCs w:val="21"/>
                <w:color w:val="auto"/>
              </w:rPr>
            </w:pPr>
          </w:p>
        </w:tc>
        <w:tc>
          <w:tcPr>
            <w:tcW w:w="7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27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$11.1</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$30.3</w:t>
            </w:r>
          </w:p>
        </w:tc>
      </w:tr>
      <w:tr>
        <w:trPr>
          <w:trHeight w:val="20"/>
        </w:trPr>
        <w:tc>
          <w:tcPr>
            <w:tcW w:w="440" w:type="dxa"/>
            <w:vAlign w:val="bottom"/>
          </w:tcPr>
          <w:p>
            <w:pPr>
              <w:spacing w:after="0" w:line="20" w:lineRule="exact"/>
              <w:rPr>
                <w:sz w:val="1"/>
                <w:szCs w:val="1"/>
                <w:color w:val="auto"/>
              </w:rPr>
            </w:pPr>
          </w:p>
        </w:tc>
        <w:tc>
          <w:tcPr>
            <w:tcW w:w="7160" w:type="dxa"/>
            <w:vAlign w:val="bottom"/>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333"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Utility </w:t>
      </w:r>
      <w:r>
        <w:rPr>
          <w:rFonts w:ascii="Arial" w:cs="Arial" w:eastAsia="Arial" w:hAnsi="Arial"/>
          <w:sz w:val="18"/>
          <w:szCs w:val="18"/>
          <w:color w:val="auto"/>
        </w:rPr>
        <w:t>decreased $49.0 million, or 20 percent, from 2019 primarily due to lower revenue from kWh sales, fuel adjustment clause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recoveries, and cost recovery rider revenue as well as the regulatory outcome related to the resolution of Minnesota Power’s 2020 general rate case. (See Note 2. Regulatory Matters.)</w:t>
      </w:r>
    </w:p>
    <w:p>
      <w:pPr>
        <w:spacing w:after="0" w:line="20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Revenue from kWh sales decreased $27.0 million from 2019 reflecting lower sales to commercial, industrial and municipal customers as well as the expiration of a 100 MW PSA in April 2020, partially offset by higher sales to residential customers. Sales to commercial and industrial customers decreased primarily due to the adverse impact of the COVID-19 pandemic on customer operations. Many commercial and industrial customers operated at reduced levels or were temporarily closed or idled during the second quarter of 2020 as a result of the COVID-19 pandemic and related governmental responses. In addition, USS Corporation indefinitely idled its Keetac plant and Verso Corporation indefinitely idled its paper mill in Duluth, Minnesota. (See Outlook – Regulated Operations – Industrial Customers and Prospective Additional Load.) Sales to municipal customers decreased from 2019 as a result of the expiration of a contract with a municipal customer in June 2019. Sales to residential customers increased from 2019 primarily due to warmer weather in 2020.</w:t>
      </w:r>
    </w:p>
    <w:p>
      <w:pPr>
        <w:spacing w:after="0" w:line="26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Variance</w:t>
            </w:r>
          </w:p>
        </w:tc>
        <w:tc>
          <w:tcPr>
            <w:tcW w:w="660" w:type="dxa"/>
            <w:vAlign w:val="bottom"/>
          </w:tcPr>
          <w:p>
            <w:pPr>
              <w:spacing w:after="0"/>
              <w:rPr>
                <w:sz w:val="20"/>
                <w:szCs w:val="20"/>
                <w:color w:val="auto"/>
              </w:rPr>
            </w:pPr>
          </w:p>
        </w:tc>
      </w:tr>
      <w:tr>
        <w:trPr>
          <w:trHeight w:val="27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254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Quantity</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27"/>
        </w:trPr>
        <w:tc>
          <w:tcPr>
            <w:tcW w:w="49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00"/>
              <w:spacing w:after="0"/>
              <w:rPr>
                <w:sz w:val="20"/>
                <w:szCs w:val="20"/>
                <w:color w:val="auto"/>
              </w:rPr>
            </w:pPr>
            <w:r>
              <w:rPr>
                <w:rFonts w:ascii="Arial" w:cs="Arial" w:eastAsia="Arial" w:hAnsi="Arial"/>
                <w:sz w:val="18"/>
                <w:szCs w:val="18"/>
                <w:color w:val="auto"/>
              </w:rPr>
              <w:t>Retail and Municipal</w:t>
            </w:r>
          </w:p>
        </w:tc>
        <w:tc>
          <w:tcPr>
            <w:tcW w:w="2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Residential</w:t>
            </w:r>
          </w:p>
        </w:tc>
        <w:tc>
          <w:tcPr>
            <w:tcW w:w="2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246</w:t>
            </w:r>
          </w:p>
        </w:tc>
        <w:tc>
          <w:tcPr>
            <w:tcW w:w="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232</w:t>
            </w:r>
          </w:p>
        </w:tc>
        <w:tc>
          <w:tcPr>
            <w:tcW w:w="14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14</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43"/>
        </w:trPr>
        <w:tc>
          <w:tcPr>
            <w:tcW w:w="4960" w:type="dxa"/>
            <w:vAlign w:val="bottom"/>
          </w:tcPr>
          <w:p>
            <w:pPr>
              <w:ind w:left="440"/>
              <w:spacing w:after="0"/>
              <w:rPr>
                <w:sz w:val="20"/>
                <w:szCs w:val="20"/>
                <w:color w:val="auto"/>
              </w:rPr>
            </w:pPr>
            <w:r>
              <w:rPr>
                <w:rFonts w:ascii="Arial" w:cs="Arial" w:eastAsia="Arial" w:hAnsi="Arial"/>
                <w:sz w:val="18"/>
                <w:szCs w:val="18"/>
                <w:color w:val="auto"/>
              </w:rPr>
              <w:t>Commercial</w:t>
            </w:r>
          </w:p>
        </w:tc>
        <w:tc>
          <w:tcPr>
            <w:tcW w:w="2540" w:type="dxa"/>
            <w:vAlign w:val="bottom"/>
          </w:tcPr>
          <w:p>
            <w:pPr>
              <w:jc w:val="right"/>
              <w:ind w:right="290"/>
              <w:spacing w:after="0"/>
              <w:rPr>
                <w:sz w:val="20"/>
                <w:szCs w:val="20"/>
                <w:color w:val="auto"/>
              </w:rPr>
            </w:pPr>
            <w:r>
              <w:rPr>
                <w:rFonts w:ascii="Arial" w:cs="Arial" w:eastAsia="Arial" w:hAnsi="Arial"/>
                <w:sz w:val="18"/>
                <w:szCs w:val="18"/>
                <w:color w:val="auto"/>
              </w:rPr>
              <w:t>286</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317</w:t>
            </w:r>
          </w:p>
        </w:tc>
        <w:tc>
          <w:tcPr>
            <w:tcW w:w="1400" w:type="dxa"/>
            <w:vAlign w:val="bottom"/>
          </w:tcPr>
          <w:p>
            <w:pPr>
              <w:jc w:val="right"/>
              <w:ind w:right="470"/>
              <w:spacing w:after="0"/>
              <w:rPr>
                <w:sz w:val="20"/>
                <w:szCs w:val="20"/>
                <w:color w:val="auto"/>
              </w:rPr>
            </w:pPr>
            <w:r>
              <w:rPr>
                <w:rFonts w:ascii="Arial" w:cs="Arial" w:eastAsia="Arial" w:hAnsi="Arial"/>
                <w:sz w:val="18"/>
                <w:szCs w:val="18"/>
                <w:color w:val="auto"/>
              </w:rPr>
              <w:t>(31)</w:t>
            </w: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49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Industrial</w:t>
            </w:r>
          </w:p>
        </w:tc>
        <w:tc>
          <w:tcPr>
            <w:tcW w:w="2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1,235</w:t>
            </w:r>
          </w:p>
        </w:tc>
        <w:tc>
          <w:tcPr>
            <w:tcW w:w="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1,773</w:t>
            </w:r>
          </w:p>
        </w:tc>
        <w:tc>
          <w:tcPr>
            <w:tcW w:w="14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(538)</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(30.3)%</w:t>
            </w:r>
          </w:p>
        </w:tc>
      </w:tr>
      <w:tr>
        <w:trPr>
          <w:trHeight w:val="243"/>
        </w:trPr>
        <w:tc>
          <w:tcPr>
            <w:tcW w:w="4960" w:type="dxa"/>
            <w:vAlign w:val="bottom"/>
          </w:tcPr>
          <w:p>
            <w:pPr>
              <w:ind w:left="440"/>
              <w:spacing w:after="0"/>
              <w:rPr>
                <w:sz w:val="20"/>
                <w:szCs w:val="20"/>
                <w:color w:val="auto"/>
              </w:rPr>
            </w:pPr>
            <w:r>
              <w:rPr>
                <w:rFonts w:ascii="Arial" w:cs="Arial" w:eastAsia="Arial" w:hAnsi="Arial"/>
                <w:sz w:val="18"/>
                <w:szCs w:val="18"/>
                <w:color w:val="auto"/>
              </w:rPr>
              <w:t>Municipal</w:t>
            </w:r>
          </w:p>
        </w:tc>
        <w:tc>
          <w:tcPr>
            <w:tcW w:w="2540" w:type="dxa"/>
            <w:vAlign w:val="bottom"/>
          </w:tcPr>
          <w:p>
            <w:pPr>
              <w:jc w:val="right"/>
              <w:ind w:right="290"/>
              <w:spacing w:after="0"/>
              <w:rPr>
                <w:sz w:val="20"/>
                <w:szCs w:val="20"/>
                <w:color w:val="auto"/>
              </w:rPr>
            </w:pPr>
            <w:r>
              <w:rPr>
                <w:rFonts w:ascii="Arial" w:cs="Arial" w:eastAsia="Arial" w:hAnsi="Arial"/>
                <w:sz w:val="18"/>
                <w:szCs w:val="18"/>
                <w:color w:val="auto"/>
              </w:rPr>
              <w:t>131</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170</w:t>
            </w:r>
          </w:p>
        </w:tc>
        <w:tc>
          <w:tcPr>
            <w:tcW w:w="1400" w:type="dxa"/>
            <w:vAlign w:val="bottom"/>
          </w:tcPr>
          <w:p>
            <w:pPr>
              <w:jc w:val="right"/>
              <w:ind w:right="470"/>
              <w:spacing w:after="0"/>
              <w:rPr>
                <w:sz w:val="20"/>
                <w:szCs w:val="20"/>
                <w:color w:val="auto"/>
              </w:rPr>
            </w:pPr>
            <w:r>
              <w:rPr>
                <w:rFonts w:ascii="Arial" w:cs="Arial" w:eastAsia="Arial" w:hAnsi="Arial"/>
                <w:sz w:val="18"/>
                <w:szCs w:val="18"/>
                <w:color w:val="auto"/>
              </w:rPr>
              <w:t>(39)</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(22.9)%</w:t>
            </w:r>
          </w:p>
        </w:tc>
      </w:tr>
      <w:tr>
        <w:trPr>
          <w:trHeight w:val="27"/>
        </w:trPr>
        <w:tc>
          <w:tcPr>
            <w:tcW w:w="49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Retail and Municipal</w:t>
            </w:r>
          </w:p>
        </w:tc>
        <w:tc>
          <w:tcPr>
            <w:tcW w:w="2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1,898</w:t>
            </w:r>
          </w:p>
        </w:tc>
        <w:tc>
          <w:tcPr>
            <w:tcW w:w="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2,492</w:t>
            </w:r>
          </w:p>
        </w:tc>
        <w:tc>
          <w:tcPr>
            <w:tcW w:w="14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(594)</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(23.8)%</w:t>
            </w:r>
          </w:p>
        </w:tc>
      </w:tr>
      <w:tr>
        <w:trPr>
          <w:trHeight w:val="243"/>
        </w:trPr>
        <w:tc>
          <w:tcPr>
            <w:tcW w:w="4960" w:type="dxa"/>
            <w:vAlign w:val="bottom"/>
          </w:tcPr>
          <w:p>
            <w:pPr>
              <w:ind w:left="200"/>
              <w:spacing w:after="0"/>
              <w:rPr>
                <w:sz w:val="20"/>
                <w:szCs w:val="20"/>
                <w:color w:val="auto"/>
              </w:rPr>
            </w:pPr>
            <w:r>
              <w:rPr>
                <w:rFonts w:ascii="Arial" w:cs="Arial" w:eastAsia="Arial" w:hAnsi="Arial"/>
                <w:sz w:val="18"/>
                <w:szCs w:val="18"/>
                <w:color w:val="auto"/>
              </w:rPr>
              <w:t>Other Power Suppliers</w:t>
            </w:r>
          </w:p>
        </w:tc>
        <w:tc>
          <w:tcPr>
            <w:tcW w:w="2540" w:type="dxa"/>
            <w:vAlign w:val="bottom"/>
          </w:tcPr>
          <w:p>
            <w:pPr>
              <w:jc w:val="right"/>
              <w:ind w:right="290"/>
              <w:spacing w:after="0"/>
              <w:rPr>
                <w:sz w:val="20"/>
                <w:szCs w:val="20"/>
                <w:color w:val="auto"/>
              </w:rPr>
            </w:pPr>
            <w:r>
              <w:rPr>
                <w:rFonts w:ascii="Arial" w:cs="Arial" w:eastAsia="Arial" w:hAnsi="Arial"/>
                <w:sz w:val="18"/>
                <w:szCs w:val="18"/>
                <w:color w:val="auto"/>
              </w:rPr>
              <w:t>706</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714</w:t>
            </w:r>
          </w:p>
        </w:tc>
        <w:tc>
          <w:tcPr>
            <w:tcW w:w="1400" w:type="dxa"/>
            <w:vAlign w:val="bottom"/>
          </w:tcPr>
          <w:p>
            <w:pPr>
              <w:jc w:val="right"/>
              <w:ind w:right="470"/>
              <w:spacing w:after="0"/>
              <w:rPr>
                <w:sz w:val="20"/>
                <w:szCs w:val="20"/>
                <w:color w:val="auto"/>
              </w:rPr>
            </w:pPr>
            <w:r>
              <w:rPr>
                <w:rFonts w:ascii="Arial" w:cs="Arial" w:eastAsia="Arial" w:hAnsi="Arial"/>
                <w:sz w:val="18"/>
                <w:szCs w:val="18"/>
                <w:color w:val="auto"/>
              </w:rPr>
              <w:t>(8)</w:t>
            </w: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9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2,604</w:t>
            </w:r>
          </w:p>
        </w:tc>
        <w:tc>
          <w:tcPr>
            <w:tcW w:w="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3,206</w:t>
            </w:r>
          </w:p>
        </w:tc>
        <w:tc>
          <w:tcPr>
            <w:tcW w:w="14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(602)</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(18.8)%</w:t>
            </w:r>
          </w:p>
        </w:tc>
      </w:tr>
      <w:tr>
        <w:trPr>
          <w:trHeight w:val="20"/>
        </w:trPr>
        <w:tc>
          <w:tcPr>
            <w:tcW w:w="4960" w:type="dxa"/>
            <w:vAlign w:val="bottom"/>
            <w:shd w:val="clear" w:color="auto" w:fill="000000"/>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bl>
    <w:p>
      <w:pPr>
        <w:spacing w:after="0" w:line="33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customers accounted for 22 percent of consolidated operating revenue in 2020 (27 percent in 2019). Revenue from electric sales to paper, pulp and secondary wood product customers accounted for 5 percent of consolidated operating revenue in 2020 (6 percent in 2019). Revenue from electric sales to pipelines and other industrial customers accounted for 7 percent of consolidated operating revenue in 2020 (8 percent in 2019).</w:t>
      </w:r>
    </w:p>
    <w:p>
      <w:pPr>
        <w:spacing w:after="0" w:line="21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Fuel adjustment clause revenue decreased $10.7 million due to lower fuel and purchased power costs attributable to retail and municipal customers, partially offset by the timing of fuel adjustment clause recoveries in 2019. Beginning in 2020, Minnesota utilities adopted a new fuel adjustment clause methodology. (See Note 2. Regulatory Matters.)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ectPr>
          <w:pgSz w:w="11900" w:h="16838" w:orient="portrait"/>
          <w:cols w:equalWidth="0" w:num="1">
            <w:col w:w="11240"/>
          </w:cols>
          <w:pgMar w:left="320" w:top="891" w:right="339" w:bottom="640"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6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COMPARISON OF THE QUARTERS ENDED JUNE 30, 2020 AND 2019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Revenue decreased $5.5 million primarily due to reserves for interim rates of $11.7 million recorded for interim rates collected from January 2020 through April 2020 as a result of the regulatory outcome related to the resolution of Minnesota Power’s 2020 general rate case. This decrease was partially offset by higher rates resulting from Minnesota Power’s rate case. (See Note 2. Regulatory Matters.)</w:t>
      </w:r>
    </w:p>
    <w:p>
      <w:pPr>
        <w:spacing w:after="0" w:line="21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Cost recovery rider revenue decreased $4.6 million primarily due to additional production tax credits recognized by Minnesota Power. If production tax credits are recognized at a level above those assumed in Minnesota Power’s base rates, a decrease in cost recovery rider revenue is recognized to offset the impact of higher production tax credits on income tax expense.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$25.1 million, or 12 percent, from 2019.</w:t>
      </w:r>
    </w:p>
    <w:p>
      <w:pPr>
        <w:spacing w:after="0" w:line="25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decreased $18.6 million, or 21 percent, from 2019 primarily due to lower kWh sales. Fuel and</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power expense related to our retail and municipal customers is recovered through the fuel adjustment clause.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Transmission Services – Utility </w:t>
      </w:r>
      <w:r>
        <w:rPr>
          <w:rFonts w:ascii="Arial" w:cs="Arial" w:eastAsia="Arial" w:hAnsi="Arial"/>
          <w:sz w:val="18"/>
          <w:szCs w:val="18"/>
          <w:color w:val="auto"/>
        </w:rPr>
        <w:t>expense decreased $2.8 million, or 15 percent, from 2019 primarily due to lower MISO-related expense.</w:t>
      </w:r>
    </w:p>
    <w:p>
      <w:pPr>
        <w:spacing w:after="0" w:line="252" w:lineRule="exact"/>
        <w:rPr>
          <w:sz w:val="20"/>
          <w:szCs w:val="20"/>
          <w:color w:val="auto"/>
        </w:rPr>
      </w:pPr>
    </w:p>
    <w:p>
      <w:pPr>
        <w:jc w:val="both"/>
        <w:ind w:left="340" w:right="20"/>
        <w:spacing w:after="0" w:line="263"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decreased $6.2 million, or 11 percent, from 2019 primarily due to lower expenses for planned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outages at our generation facilities, benefit expenses and employee expenses as well as a decrease in conservation improvement program expenses. These decreases were partially offset by rate case-related expenses and higher bad debt expense.</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$1.7 million, or 4 percent, from 2019 primarily due to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w:t>
      </w:r>
    </w:p>
    <w:p>
      <w:pPr>
        <w:spacing w:after="0" w:line="197"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b w:val="1"/>
          <w:bCs w:val="1"/>
          <w:i w:val="1"/>
          <w:iCs w:val="1"/>
          <w:color w:val="auto"/>
        </w:rPr>
        <w:t xml:space="preserve">Equity Earnings </w:t>
      </w:r>
      <w:r>
        <w:rPr>
          <w:rFonts w:ascii="Arial" w:cs="Arial" w:eastAsia="Arial" w:hAnsi="Arial"/>
          <w:sz w:val="16"/>
          <w:szCs w:val="16"/>
          <w:color w:val="auto"/>
        </w:rPr>
        <w:t>increased $1.6 million, or 33 percent, from 2019 primarily due to period over period changes in ATC’s estimate of a refund liability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the FERC decision on MISO return on equity complaints. (See Outlook – Regulated Operations – Transmission – Investment in ATC.)</w:t>
      </w:r>
    </w:p>
    <w:p>
      <w:pPr>
        <w:spacing w:after="0" w:line="15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increased $2.9 million from 2019 primarily due to lower pre-tax income. We expect our annual effective tax rate in 2020 to be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income tax benefit than in 2019 primarily due to lower pre-tax income.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36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8"/>
        </w:trPr>
        <w:tc>
          <w:tcPr>
            <w:tcW w:w="440" w:type="dxa"/>
            <w:vAlign w:val="bottom"/>
          </w:tcPr>
          <w:p>
            <w:pPr>
              <w:spacing w:after="0"/>
              <w:rPr>
                <w:sz w:val="24"/>
                <w:szCs w:val="24"/>
                <w:color w:val="auto"/>
              </w:rPr>
            </w:pPr>
          </w:p>
        </w:tc>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36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r>
      <w:tr>
        <w:trPr>
          <w:trHeight w:val="27"/>
        </w:trPr>
        <w:tc>
          <w:tcPr>
            <w:tcW w:w="440" w:type="dxa"/>
            <w:vAlign w:val="bottom"/>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6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6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Contracts with Customers – Non-utility</w:t>
            </w:r>
          </w:p>
        </w:tc>
        <w:tc>
          <w:tcPr>
            <w:tcW w:w="3600" w:type="dxa"/>
            <w:vAlign w:val="bottom"/>
          </w:tcPr>
          <w:p>
            <w:pPr>
              <w:jc w:val="right"/>
              <w:ind w:right="230"/>
              <w:spacing w:after="0"/>
              <w:rPr>
                <w:sz w:val="20"/>
                <w:szCs w:val="20"/>
                <w:color w:val="auto"/>
              </w:rPr>
            </w:pPr>
            <w:r>
              <w:rPr>
                <w:rFonts w:ascii="Arial" w:cs="Arial" w:eastAsia="Arial" w:hAnsi="Arial"/>
                <w:sz w:val="18"/>
                <w:szCs w:val="18"/>
                <w:color w:val="auto"/>
              </w:rPr>
              <w:t>$14.8</w:t>
            </w: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4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 xml:space="preserve">Other – Non-utility </w:t>
            </w:r>
            <w:r>
              <w:rPr>
                <w:rFonts w:ascii="Arial" w:cs="Arial" w:eastAsia="Arial" w:hAnsi="Arial"/>
                <w:sz w:val="16"/>
                <w:szCs w:val="16"/>
                <w:i w:val="1"/>
                <w:iCs w:val="1"/>
                <w:color w:val="auto"/>
              </w:rPr>
              <w:t>(a)</w:t>
            </w:r>
          </w:p>
        </w:tc>
        <w:tc>
          <w:tcPr>
            <w:tcW w:w="36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2.8</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r>
      <w:tr>
        <w:trPr>
          <w:trHeight w:val="243"/>
        </w:trPr>
        <w:tc>
          <w:tcPr>
            <w:tcW w:w="440" w:type="dxa"/>
            <w:vAlign w:val="bottom"/>
          </w:tcPr>
          <w:p>
            <w:pPr>
              <w:spacing w:after="0"/>
              <w:rPr>
                <w:sz w:val="21"/>
                <w:szCs w:val="21"/>
                <w:color w:val="auto"/>
              </w:rPr>
            </w:pPr>
          </w:p>
        </w:tc>
        <w:tc>
          <w:tcPr>
            <w:tcW w:w="642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3600" w:type="dxa"/>
            <w:vAlign w:val="bottom"/>
          </w:tcPr>
          <w:p>
            <w:pPr>
              <w:jc w:val="right"/>
              <w:ind w:right="370"/>
              <w:spacing w:after="0"/>
              <w:rPr>
                <w:sz w:val="20"/>
                <w:szCs w:val="20"/>
                <w:color w:val="auto"/>
              </w:rPr>
            </w:pPr>
            <w:r>
              <w:rPr>
                <w:rFonts w:ascii="Arial" w:cs="Arial" w:eastAsia="Arial" w:hAnsi="Arial"/>
                <w:sz w:val="18"/>
                <w:szCs w:val="18"/>
                <w:color w:val="auto"/>
              </w:rPr>
              <w:t>7.8</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8.2</w:t>
            </w:r>
          </w:p>
        </w:tc>
      </w:tr>
      <w:tr>
        <w:trPr>
          <w:trHeight w:val="27"/>
        </w:trPr>
        <w:tc>
          <w:tcPr>
            <w:tcW w:w="4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8.9</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w:t>
            </w:r>
          </w:p>
        </w:tc>
      </w:tr>
      <w:tr>
        <w:trPr>
          <w:trHeight w:val="243"/>
        </w:trPr>
        <w:tc>
          <w:tcPr>
            <w:tcW w:w="440" w:type="dxa"/>
            <w:vAlign w:val="bottom"/>
          </w:tcPr>
          <w:p>
            <w:pPr>
              <w:spacing w:after="0"/>
              <w:rPr>
                <w:sz w:val="21"/>
                <w:szCs w:val="21"/>
                <w:color w:val="auto"/>
              </w:rPr>
            </w:pPr>
          </w:p>
        </w:tc>
        <w:tc>
          <w:tcPr>
            <w:tcW w:w="6420" w:type="dxa"/>
            <w:vAlign w:val="bottom"/>
          </w:tcPr>
          <w:p>
            <w:pPr>
              <w:ind w:left="20"/>
              <w:spacing w:after="0"/>
              <w:rPr>
                <w:sz w:val="20"/>
                <w:szCs w:val="20"/>
                <w:color w:val="auto"/>
              </w:rPr>
            </w:pPr>
            <w:r>
              <w:rPr>
                <w:rFonts w:ascii="Arial" w:cs="Arial" w:eastAsia="Arial" w:hAnsi="Arial"/>
                <w:sz w:val="18"/>
                <w:szCs w:val="18"/>
                <w:color w:val="auto"/>
              </w:rPr>
              <w:t>Taxes and Other</w:t>
            </w:r>
          </w:p>
        </w:tc>
        <w:tc>
          <w:tcPr>
            <w:tcW w:w="3600" w:type="dxa"/>
            <w:vAlign w:val="bottom"/>
          </w:tcPr>
          <w:p>
            <w:pPr>
              <w:jc w:val="right"/>
              <w:ind w:right="370"/>
              <w:spacing w:after="0"/>
              <w:rPr>
                <w:sz w:val="20"/>
                <w:szCs w:val="20"/>
                <w:color w:val="auto"/>
              </w:rPr>
            </w:pPr>
            <w:r>
              <w:rPr>
                <w:rFonts w:ascii="Arial" w:cs="Arial" w:eastAsia="Arial" w:hAnsi="Arial"/>
                <w:sz w:val="18"/>
                <w:szCs w:val="18"/>
                <w:color w:val="auto"/>
              </w:rPr>
              <w:t>0.9</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0.5</w:t>
            </w:r>
          </w:p>
        </w:tc>
      </w:tr>
      <w:tr>
        <w:trPr>
          <w:trHeight w:val="27"/>
        </w:trPr>
        <w:tc>
          <w:tcPr>
            <w:tcW w:w="440" w:type="dxa"/>
            <w:vAlign w:val="bottom"/>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440" w:type="dxa"/>
            <w:vAlign w:val="bottom"/>
          </w:tcPr>
          <w:p>
            <w:pPr>
              <w:spacing w:after="0"/>
              <w:rPr>
                <w:sz w:val="21"/>
                <w:szCs w:val="21"/>
                <w:color w:val="auto"/>
              </w:rPr>
            </w:pPr>
          </w:p>
        </w:tc>
        <w:tc>
          <w:tcPr>
            <w:tcW w:w="6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36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r>
      <w:tr>
        <w:trPr>
          <w:trHeight w:val="243"/>
        </w:trPr>
        <w:tc>
          <w:tcPr>
            <w:tcW w:w="440" w:type="dxa"/>
            <w:vAlign w:val="bottom"/>
          </w:tcPr>
          <w:p>
            <w:pPr>
              <w:spacing w:after="0"/>
              <w:rPr>
                <w:sz w:val="21"/>
                <w:szCs w:val="21"/>
                <w:color w:val="auto"/>
              </w:rPr>
            </w:pPr>
          </w:p>
        </w:tc>
        <w:tc>
          <w:tcPr>
            <w:tcW w:w="64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0" w:type="dxa"/>
            <w:vAlign w:val="bottom"/>
          </w:tcPr>
          <w:p>
            <w:pPr>
              <w:jc w:val="right"/>
              <w:ind w:right="310"/>
              <w:spacing w:after="0"/>
              <w:rPr>
                <w:sz w:val="20"/>
                <w:szCs w:val="20"/>
                <w:color w:val="auto"/>
              </w:rPr>
            </w:pPr>
            <w:r>
              <w:rPr>
                <w:rFonts w:ascii="Arial" w:cs="Arial" w:eastAsia="Arial" w:hAnsi="Arial"/>
                <w:sz w:val="18"/>
                <w:szCs w:val="18"/>
                <w:color w:val="auto"/>
              </w:rPr>
              <w:t>(0.5)</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(0.8)</w:t>
            </w:r>
          </w:p>
        </w:tc>
      </w:tr>
      <w:tr>
        <w:trPr>
          <w:trHeight w:val="27"/>
        </w:trPr>
        <w:tc>
          <w:tcPr>
            <w:tcW w:w="4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440" w:type="dxa"/>
            <w:vAlign w:val="bottom"/>
          </w:tcPr>
          <w:p>
            <w:pPr>
              <w:spacing w:after="0"/>
              <w:rPr>
                <w:sz w:val="23"/>
                <w:szCs w:val="23"/>
                <w:color w:val="auto"/>
              </w:rPr>
            </w:pPr>
          </w:p>
        </w:tc>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6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440" w:type="dxa"/>
            <w:vAlign w:val="bottom"/>
          </w:tcPr>
          <w:p>
            <w:pPr>
              <w:spacing w:after="0"/>
              <w:rPr>
                <w:sz w:val="20"/>
                <w:szCs w:val="20"/>
                <w:color w:val="auto"/>
              </w:rPr>
            </w:pPr>
          </w:p>
        </w:tc>
        <w:tc>
          <w:tcPr>
            <w:tcW w:w="642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Loss Before Income Taxes</w:t>
            </w:r>
          </w:p>
        </w:tc>
        <w:tc>
          <w:tcPr>
            <w:tcW w:w="36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(0.5)</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(0.7)</w:t>
            </w:r>
          </w:p>
        </w:tc>
      </w:tr>
      <w:tr>
        <w:trPr>
          <w:trHeight w:val="27"/>
        </w:trPr>
        <w:tc>
          <w:tcPr>
            <w:tcW w:w="4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440" w:type="dxa"/>
            <w:vAlign w:val="bottom"/>
          </w:tcPr>
          <w:p>
            <w:pPr>
              <w:spacing w:after="0"/>
              <w:rPr>
                <w:sz w:val="23"/>
                <w:szCs w:val="23"/>
                <w:color w:val="auto"/>
              </w:rPr>
            </w:pPr>
          </w:p>
        </w:tc>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r>
      <w:tr>
        <w:trPr>
          <w:trHeight w:val="236"/>
        </w:trPr>
        <w:tc>
          <w:tcPr>
            <w:tcW w:w="440" w:type="dxa"/>
            <w:vAlign w:val="bottom"/>
          </w:tcPr>
          <w:p>
            <w:pPr>
              <w:spacing w:after="0"/>
              <w:rPr>
                <w:sz w:val="20"/>
                <w:szCs w:val="20"/>
                <w:color w:val="auto"/>
              </w:rPr>
            </w:pPr>
          </w:p>
        </w:tc>
        <w:tc>
          <w:tcPr>
            <w:tcW w:w="642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Net Income</w:t>
            </w:r>
          </w:p>
        </w:tc>
        <w:tc>
          <w:tcPr>
            <w:tcW w:w="36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0.8</w:t>
            </w:r>
          </w:p>
        </w:tc>
        <w:tc>
          <w:tcPr>
            <w:tcW w:w="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w:t>
            </w:r>
          </w:p>
        </w:tc>
      </w:tr>
      <w:tr>
        <w:trPr>
          <w:trHeight w:val="27"/>
        </w:trPr>
        <w:tc>
          <w:tcPr>
            <w:tcW w:w="440" w:type="dxa"/>
            <w:vAlign w:val="bottom"/>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440" w:type="dxa"/>
            <w:vAlign w:val="bottom"/>
          </w:tcPr>
          <w:p>
            <w:pPr>
              <w:spacing w:after="0"/>
              <w:rPr>
                <w:sz w:val="22"/>
                <w:szCs w:val="22"/>
                <w:color w:val="auto"/>
              </w:rPr>
            </w:pPr>
          </w:p>
        </w:tc>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3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(3.2)</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6"/>
        </w:trPr>
        <w:tc>
          <w:tcPr>
            <w:tcW w:w="440" w:type="dxa"/>
            <w:vAlign w:val="bottom"/>
          </w:tcPr>
          <w:p>
            <w:pPr>
              <w:spacing w:after="0"/>
              <w:rPr>
                <w:sz w:val="20"/>
                <w:szCs w:val="20"/>
                <w:color w:val="auto"/>
              </w:rPr>
            </w:pPr>
          </w:p>
        </w:tc>
        <w:tc>
          <w:tcPr>
            <w:tcW w:w="642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Net Income Attributable to ALLETE</w:t>
            </w:r>
          </w:p>
        </w:tc>
        <w:tc>
          <w:tcPr>
            <w:tcW w:w="36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$4.0</w:t>
            </w:r>
          </w:p>
        </w:tc>
        <w:tc>
          <w:tcPr>
            <w:tcW w:w="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w:t>
            </w:r>
          </w:p>
        </w:tc>
      </w:tr>
      <w:tr>
        <w:trPr>
          <w:trHeight w:val="27"/>
        </w:trPr>
        <w:tc>
          <w:tcPr>
            <w:tcW w:w="440" w:type="dxa"/>
            <w:vAlign w:val="bottom"/>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9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Represents non-cash amortization of differences between contract prices and estimated market prices on assumed PSAs.</w:t>
      </w:r>
    </w:p>
    <w:p>
      <w:pPr>
        <w:spacing w:after="0" w:line="244"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$2.2 million, or 14 percent, from 2019 primarily due to revenue from the Glen Ullin and South Peak wind energy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which commenced operations in December 2019 and April 2020, respectively.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ectPr>
          <w:pgSz w:w="11900" w:h="16838" w:orient="portrait"/>
          <w:cols w:equalWidth="0" w:num="1">
            <w:col w:w="11240"/>
          </w:cols>
          <w:pgMar w:left="320" w:top="891" w:right="339" w:bottom="1440"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COMPARISON OF THE QUARTERS ENDED JUNE 30, 2020 AND 2019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4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54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w w:val="94"/>
              </w:rPr>
              <w:t>Quarter Ended June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1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0" w:type="dxa"/>
            <w:vAlign w:val="bottom"/>
            <w:vMerge w:val="continue"/>
          </w:tcPr>
          <w:p>
            <w:pPr>
              <w:spacing w:after="0"/>
              <w:rPr>
                <w:sz w:val="20"/>
                <w:szCs w:val="20"/>
                <w:color w:val="auto"/>
              </w:rPr>
            </w:pPr>
          </w:p>
        </w:tc>
        <w:tc>
          <w:tcPr>
            <w:tcW w:w="1540" w:type="dxa"/>
            <w:vAlign w:val="bottom"/>
          </w:tcPr>
          <w:p>
            <w:pPr>
              <w:jc w:val="right"/>
              <w:ind w:right="610"/>
              <w:spacing w:after="0"/>
              <w:rPr>
                <w:sz w:val="20"/>
                <w:szCs w:val="20"/>
                <w:color w:val="auto"/>
              </w:rPr>
            </w:pPr>
            <w:r>
              <w:rPr>
                <w:rFonts w:ascii="Arial" w:cs="Arial" w:eastAsia="Arial" w:hAnsi="Arial"/>
                <w:sz w:val="18"/>
                <w:szCs w:val="18"/>
                <w:b w:val="1"/>
                <w:bCs w:val="1"/>
                <w:color w:val="auto"/>
              </w:rPr>
              <w:t>kWh</w:t>
            </w: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w w:val="93"/>
              </w:rPr>
              <w:t>Revenue</w:t>
            </w: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kWh</w:t>
            </w: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Revenue</w:t>
            </w:r>
          </w:p>
        </w:tc>
        <w:tc>
          <w:tcPr>
            <w:tcW w:w="0" w:type="dxa"/>
            <w:vAlign w:val="bottom"/>
          </w:tcPr>
          <w:p>
            <w:pPr>
              <w:spacing w:after="0"/>
              <w:rPr>
                <w:sz w:val="1"/>
                <w:szCs w:val="1"/>
                <w:color w:val="auto"/>
              </w:rPr>
            </w:pPr>
          </w:p>
        </w:tc>
      </w:tr>
      <w:tr>
        <w:trPr>
          <w:trHeight w:val="27"/>
        </w:trPr>
        <w:tc>
          <w:tcPr>
            <w:tcW w:w="5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Wind Energy Regions</w:t>
            </w:r>
          </w:p>
        </w:tc>
        <w:tc>
          <w:tcPr>
            <w:tcW w:w="1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120"/>
              <w:spacing w:after="0"/>
              <w:rPr>
                <w:sz w:val="20"/>
                <w:szCs w:val="20"/>
                <w:color w:val="auto"/>
              </w:rPr>
            </w:pPr>
            <w:r>
              <w:rPr>
                <w:rFonts w:ascii="Arial" w:cs="Arial" w:eastAsia="Arial" w:hAnsi="Arial"/>
                <w:sz w:val="18"/>
                <w:szCs w:val="18"/>
                <w:color w:val="auto"/>
              </w:rPr>
              <w:t>East</w:t>
            </w:r>
          </w:p>
        </w:tc>
        <w:tc>
          <w:tcPr>
            <w:tcW w:w="1540" w:type="dxa"/>
            <w:vAlign w:val="bottom"/>
          </w:tcPr>
          <w:p>
            <w:pPr>
              <w:jc w:val="right"/>
              <w:ind w:right="310"/>
              <w:spacing w:after="0"/>
              <w:rPr>
                <w:sz w:val="20"/>
                <w:szCs w:val="20"/>
                <w:color w:val="auto"/>
              </w:rPr>
            </w:pPr>
            <w:r>
              <w:rPr>
                <w:rFonts w:ascii="Arial" w:cs="Arial" w:eastAsia="Arial" w:hAnsi="Arial"/>
                <w:sz w:val="18"/>
                <w:szCs w:val="18"/>
                <w:color w:val="auto"/>
              </w:rPr>
              <w:t>57.1</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$5.1</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64.0</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Midwest</w:t>
            </w:r>
          </w:p>
        </w:tc>
        <w:tc>
          <w:tcPr>
            <w:tcW w:w="1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207.4</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7.7</w:t>
            </w:r>
          </w:p>
        </w:tc>
        <w:tc>
          <w:tcPr>
            <w:tcW w:w="1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191.5</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5400" w:type="dxa"/>
            <w:vAlign w:val="bottom"/>
          </w:tcPr>
          <w:p>
            <w:pPr>
              <w:ind w:left="120"/>
              <w:spacing w:after="0"/>
              <w:rPr>
                <w:sz w:val="20"/>
                <w:szCs w:val="20"/>
                <w:color w:val="auto"/>
              </w:rPr>
            </w:pPr>
            <w:r>
              <w:rPr>
                <w:rFonts w:ascii="Arial" w:cs="Arial" w:eastAsia="Arial" w:hAnsi="Arial"/>
                <w:sz w:val="18"/>
                <w:szCs w:val="18"/>
                <w:color w:val="auto"/>
              </w:rPr>
              <w:t>West</w:t>
            </w:r>
          </w:p>
        </w:tc>
        <w:tc>
          <w:tcPr>
            <w:tcW w:w="1540" w:type="dxa"/>
            <w:vAlign w:val="bottom"/>
          </w:tcPr>
          <w:p>
            <w:pPr>
              <w:jc w:val="right"/>
              <w:ind w:right="310"/>
              <w:spacing w:after="0"/>
              <w:rPr>
                <w:sz w:val="20"/>
                <w:szCs w:val="20"/>
                <w:color w:val="auto"/>
              </w:rPr>
            </w:pPr>
            <w:r>
              <w:rPr>
                <w:rFonts w:ascii="Arial" w:cs="Arial" w:eastAsia="Arial" w:hAnsi="Arial"/>
                <w:sz w:val="18"/>
                <w:szCs w:val="18"/>
                <w:color w:val="auto"/>
              </w:rPr>
              <w:t>202.5</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4.8</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22.7</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Production and Operating Revenue</w:t>
            </w:r>
          </w:p>
        </w:tc>
        <w:tc>
          <w:tcPr>
            <w:tcW w:w="1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467.0</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$17.6</w:t>
            </w:r>
          </w:p>
        </w:tc>
        <w:tc>
          <w:tcPr>
            <w:tcW w:w="1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278.2</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54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expense increased $2.3 million, or 35 percent, from 2019 primarily due to additional property, plant and equipment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related to the Glen Ullin and South Peak wind energy facilities.</w:t>
      </w:r>
    </w:p>
    <w:p>
      <w:pPr>
        <w:spacing w:after="0" w:line="19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decreased $1.3 million from 2019 primarily due to additional taxable income from the Glen Ullin and South Peak wind energy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and additional income tax expense recorded in 2020 as GAAP requires the recognition of income taxes at the estimated annual effective tax rate. These decreases were partially offset by additional production tax credits generated in 2020. The income tax benefit in 2020 reflected production tax credits generated of $3.8 million compared to $2.2 million in 2019.</w:t>
      </w:r>
    </w:p>
    <w:p>
      <w:pPr>
        <w:spacing w:after="0" w:line="21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Net Loss Attributable to Non-Controlling Interest </w:t>
      </w:r>
      <w:r>
        <w:rPr>
          <w:rFonts w:ascii="Arial" w:cs="Arial" w:eastAsia="Arial" w:hAnsi="Arial"/>
          <w:sz w:val="18"/>
          <w:szCs w:val="18"/>
          <w:color w:val="auto"/>
        </w:rPr>
        <w:t>increased $3.2 million from 2019 reflecting net losses attributable to non-controlling interest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Glen Ullin and South Peak wind energy facilities.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6"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decreased $0.4 million, or 2 percent, from 2019 primarily due to the timing of land sales at ALLETE Properties, partially offset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higher revenue at BNI Energy, which operates under cost-plus fixed fee contracts, as a result of higher expenses in 2020 compared to 2019.</w:t>
      </w:r>
    </w:p>
    <w:p>
      <w:pPr>
        <w:spacing w:after="0" w:line="15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increased $3.0 million from 2019 primarily due to higher earnings from marketable equity securities held in benefit trusts in 2020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income tax benefit as GAAP requires the recognition of income tax expense at the estimated annual effective tax rate. These increases were partially offset by additional gain on the sale of U.S. Water Services in 2019 resulting from the finalization of working capital. Net income at BNI Energy was $2.5 million in 2020 compared to $1.7 million in 2019 reflecting higher earnings from marketable equity securities held in benefit trusts in 2020. The net loss at ALLETE Properties was $0.5 million in 2020 and in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56"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color w:val="auto"/>
        </w:rPr>
        <w:t>For the quarter ended June 30, 2020, the effective tax rate was a benefit of 102.4 percent (benefit of 16.3 percent for the quarter ended June 30, 2019). The 2020 increase in tax benefit was primarily due to lower pre-tax income. The estimated annual effective tax rate can differ from what a quarterly effective tax rate would otherwise be on a standalone basis, and this may cause quarter to quarter differences in the timing of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SIX MONTHS ENDED JUNE 30, 2020 AND 2019</w:t>
            </w:r>
          </w:p>
        </w:tc>
        <w:tc>
          <w:tcPr>
            <w:tcW w:w="26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9"/>
        </w:trPr>
        <w:tc>
          <w:tcPr>
            <w:tcW w:w="7680" w:type="dxa"/>
            <w:vAlign w:val="bottom"/>
            <w:gridSpan w:val="2"/>
          </w:tcPr>
          <w:p>
            <w:pPr>
              <w:spacing w:after="0"/>
              <w:rPr>
                <w:sz w:val="20"/>
                <w:szCs w:val="20"/>
                <w:color w:val="auto"/>
              </w:rPr>
            </w:pPr>
            <w:r>
              <w:rPr>
                <w:rFonts w:ascii="Arial" w:cs="Arial" w:eastAsia="Arial" w:hAnsi="Arial"/>
                <w:sz w:val="18"/>
                <w:szCs w:val="18"/>
                <w:color w:val="auto"/>
              </w:rPr>
              <w:t>(See Note 10. Business Segments for financial results by segment.)</w:t>
            </w:r>
          </w:p>
        </w:tc>
        <w:tc>
          <w:tcPr>
            <w:tcW w:w="26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59"/>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6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65"/>
        </w:trPr>
        <w:tc>
          <w:tcPr>
            <w:tcW w:w="440" w:type="dxa"/>
            <w:vAlign w:val="bottom"/>
          </w:tcPr>
          <w:p>
            <w:pPr>
              <w:spacing w:after="0"/>
              <w:rPr>
                <w:sz w:val="24"/>
                <w:szCs w:val="24"/>
                <w:color w:val="auto"/>
              </w:rPr>
            </w:pPr>
          </w:p>
        </w:tc>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268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r>
      <w:tr>
        <w:trPr>
          <w:trHeight w:val="27"/>
        </w:trPr>
        <w:tc>
          <w:tcPr>
            <w:tcW w:w="440" w:type="dxa"/>
            <w:vAlign w:val="bottom"/>
          </w:tcPr>
          <w:p>
            <w:pPr>
              <w:spacing w:after="0"/>
              <w:rPr>
                <w:sz w:val="2"/>
                <w:szCs w:val="2"/>
                <w:color w:val="auto"/>
              </w:rPr>
            </w:pPr>
          </w:p>
        </w:tc>
        <w:tc>
          <w:tcPr>
            <w:tcW w:w="72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6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72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$466.1</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$532.0</w:t>
            </w:r>
          </w:p>
        </w:tc>
      </w:tr>
      <w:tr>
        <w:trPr>
          <w:trHeight w:val="243"/>
        </w:trPr>
        <w:tc>
          <w:tcPr>
            <w:tcW w:w="440" w:type="dxa"/>
            <w:vAlign w:val="bottom"/>
          </w:tcPr>
          <w:p>
            <w:pPr>
              <w:spacing w:after="0"/>
              <w:rPr>
                <w:sz w:val="21"/>
                <w:szCs w:val="21"/>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680" w:type="dxa"/>
            <w:vAlign w:val="bottom"/>
          </w:tcPr>
          <w:p>
            <w:pPr>
              <w:jc w:val="right"/>
              <w:ind w:right="270"/>
              <w:spacing w:after="0"/>
              <w:rPr>
                <w:sz w:val="20"/>
                <w:szCs w:val="20"/>
                <w:color w:val="auto"/>
              </w:rPr>
            </w:pPr>
            <w:r>
              <w:rPr>
                <w:rFonts w:ascii="Arial" w:cs="Arial" w:eastAsia="Arial" w:hAnsi="Arial"/>
                <w:sz w:val="18"/>
                <w:szCs w:val="18"/>
                <w:color w:val="auto"/>
              </w:rPr>
              <w:t>158.3</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197.7</w:t>
            </w:r>
          </w:p>
        </w:tc>
      </w:tr>
      <w:tr>
        <w:trPr>
          <w:trHeight w:val="27"/>
        </w:trPr>
        <w:tc>
          <w:tcPr>
            <w:tcW w:w="440" w:type="dxa"/>
            <w:vAlign w:val="bottom"/>
          </w:tcPr>
          <w:p>
            <w:pPr>
              <w:spacing w:after="0"/>
              <w:rPr>
                <w:sz w:val="2"/>
                <w:szCs w:val="2"/>
                <w:color w:val="auto"/>
              </w:rPr>
            </w:pPr>
          </w:p>
        </w:tc>
        <w:tc>
          <w:tcPr>
            <w:tcW w:w="72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34.9</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37.5</w:t>
            </w:r>
          </w:p>
        </w:tc>
      </w:tr>
      <w:tr>
        <w:trPr>
          <w:trHeight w:val="243"/>
        </w:trPr>
        <w:tc>
          <w:tcPr>
            <w:tcW w:w="440" w:type="dxa"/>
            <w:vAlign w:val="bottom"/>
          </w:tcPr>
          <w:p>
            <w:pPr>
              <w:spacing w:after="0"/>
              <w:rPr>
                <w:sz w:val="21"/>
                <w:szCs w:val="21"/>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680" w:type="dxa"/>
            <w:vAlign w:val="bottom"/>
          </w:tcPr>
          <w:p>
            <w:pPr>
              <w:jc w:val="right"/>
              <w:ind w:right="270"/>
              <w:spacing w:after="0"/>
              <w:rPr>
                <w:sz w:val="20"/>
                <w:szCs w:val="20"/>
                <w:color w:val="auto"/>
              </w:rPr>
            </w:pPr>
            <w:r>
              <w:rPr>
                <w:rFonts w:ascii="Arial" w:cs="Arial" w:eastAsia="Arial" w:hAnsi="Arial"/>
                <w:sz w:val="18"/>
                <w:szCs w:val="18"/>
                <w:color w:val="auto"/>
              </w:rPr>
              <w:t>97.3</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101.9</w:t>
            </w:r>
          </w:p>
        </w:tc>
      </w:tr>
      <w:tr>
        <w:trPr>
          <w:trHeight w:val="27"/>
        </w:trPr>
        <w:tc>
          <w:tcPr>
            <w:tcW w:w="440" w:type="dxa"/>
            <w:vAlign w:val="bottom"/>
          </w:tcPr>
          <w:p>
            <w:pPr>
              <w:spacing w:after="0"/>
              <w:rPr>
                <w:sz w:val="2"/>
                <w:szCs w:val="2"/>
                <w:color w:val="auto"/>
              </w:rPr>
            </w:pPr>
          </w:p>
        </w:tc>
        <w:tc>
          <w:tcPr>
            <w:tcW w:w="72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83.6</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80.0</w:t>
            </w:r>
          </w:p>
        </w:tc>
      </w:tr>
      <w:tr>
        <w:trPr>
          <w:trHeight w:val="243"/>
        </w:trPr>
        <w:tc>
          <w:tcPr>
            <w:tcW w:w="440" w:type="dxa"/>
            <w:vAlign w:val="bottom"/>
          </w:tcPr>
          <w:p>
            <w:pPr>
              <w:spacing w:after="0"/>
              <w:rPr>
                <w:sz w:val="21"/>
                <w:szCs w:val="21"/>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Taxes Other than Income Taxes</w:t>
            </w:r>
          </w:p>
        </w:tc>
        <w:tc>
          <w:tcPr>
            <w:tcW w:w="2680" w:type="dxa"/>
            <w:vAlign w:val="bottom"/>
          </w:tcPr>
          <w:p>
            <w:pPr>
              <w:jc w:val="right"/>
              <w:ind w:right="270"/>
              <w:spacing w:after="0"/>
              <w:rPr>
                <w:sz w:val="20"/>
                <w:szCs w:val="20"/>
                <w:color w:val="auto"/>
              </w:rPr>
            </w:pPr>
            <w:r>
              <w:rPr>
                <w:rFonts w:ascii="Arial" w:cs="Arial" w:eastAsia="Arial" w:hAnsi="Arial"/>
                <w:sz w:val="18"/>
                <w:szCs w:val="18"/>
                <w:color w:val="auto"/>
              </w:rPr>
              <w:t>24.6</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24.8</w:t>
            </w:r>
          </w:p>
        </w:tc>
      </w:tr>
      <w:tr>
        <w:trPr>
          <w:trHeight w:val="27"/>
        </w:trPr>
        <w:tc>
          <w:tcPr>
            <w:tcW w:w="440" w:type="dxa"/>
            <w:vAlign w:val="bottom"/>
          </w:tcPr>
          <w:p>
            <w:pPr>
              <w:spacing w:after="0"/>
              <w:rPr>
                <w:sz w:val="2"/>
                <w:szCs w:val="2"/>
                <w:color w:val="auto"/>
              </w:rPr>
            </w:pPr>
          </w:p>
        </w:tc>
        <w:tc>
          <w:tcPr>
            <w:tcW w:w="72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40" w:type="dxa"/>
            <w:vAlign w:val="bottom"/>
          </w:tcPr>
          <w:p>
            <w:pPr>
              <w:spacing w:after="0"/>
              <w:rPr>
                <w:sz w:val="21"/>
                <w:szCs w:val="21"/>
                <w:color w:val="auto"/>
              </w:rPr>
            </w:pPr>
          </w:p>
        </w:tc>
        <w:tc>
          <w:tcPr>
            <w:tcW w:w="7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2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67.4</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90.1</w:t>
            </w:r>
          </w:p>
        </w:tc>
      </w:tr>
      <w:tr>
        <w:trPr>
          <w:trHeight w:val="243"/>
        </w:trPr>
        <w:tc>
          <w:tcPr>
            <w:tcW w:w="440" w:type="dxa"/>
            <w:vAlign w:val="bottom"/>
          </w:tcPr>
          <w:p>
            <w:pPr>
              <w:spacing w:after="0"/>
              <w:rPr>
                <w:sz w:val="21"/>
                <w:szCs w:val="21"/>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(29.3)</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(29.9)</w:t>
            </w:r>
          </w:p>
        </w:tc>
      </w:tr>
      <w:tr>
        <w:trPr>
          <w:trHeight w:val="27"/>
        </w:trPr>
        <w:tc>
          <w:tcPr>
            <w:tcW w:w="440" w:type="dxa"/>
            <w:vAlign w:val="bottom"/>
          </w:tcPr>
          <w:p>
            <w:pPr>
              <w:spacing w:after="0"/>
              <w:rPr>
                <w:sz w:val="2"/>
                <w:szCs w:val="2"/>
                <w:color w:val="auto"/>
              </w:rPr>
            </w:pPr>
          </w:p>
        </w:tc>
        <w:tc>
          <w:tcPr>
            <w:tcW w:w="72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w:t>
            </w:r>
          </w:p>
        </w:tc>
        <w:tc>
          <w:tcPr>
            <w:tcW w:w="2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11.6</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w:t>
            </w:r>
          </w:p>
        </w:tc>
      </w:tr>
      <w:tr>
        <w:trPr>
          <w:trHeight w:val="243"/>
        </w:trPr>
        <w:tc>
          <w:tcPr>
            <w:tcW w:w="440" w:type="dxa"/>
            <w:vAlign w:val="bottom"/>
          </w:tcPr>
          <w:p>
            <w:pPr>
              <w:spacing w:after="0"/>
              <w:rPr>
                <w:sz w:val="21"/>
                <w:szCs w:val="21"/>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680" w:type="dxa"/>
            <w:vAlign w:val="bottom"/>
          </w:tcPr>
          <w:p>
            <w:pPr>
              <w:jc w:val="right"/>
              <w:ind w:right="270"/>
              <w:spacing w:after="0"/>
              <w:rPr>
                <w:sz w:val="20"/>
                <w:szCs w:val="20"/>
                <w:color w:val="auto"/>
              </w:rPr>
            </w:pPr>
            <w:r>
              <w:rPr>
                <w:rFonts w:ascii="Arial" w:cs="Arial" w:eastAsia="Arial" w:hAnsi="Arial"/>
                <w:sz w:val="18"/>
                <w:szCs w:val="18"/>
                <w:color w:val="auto"/>
              </w:rPr>
              <w:t>6.7</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7.1</w:t>
            </w:r>
          </w:p>
        </w:tc>
      </w:tr>
      <w:tr>
        <w:trPr>
          <w:trHeight w:val="27"/>
        </w:trPr>
        <w:tc>
          <w:tcPr>
            <w:tcW w:w="440" w:type="dxa"/>
            <w:vAlign w:val="bottom"/>
          </w:tcPr>
          <w:p>
            <w:pPr>
              <w:spacing w:after="0"/>
              <w:rPr>
                <w:sz w:val="2"/>
                <w:szCs w:val="2"/>
                <w:color w:val="auto"/>
              </w:rPr>
            </w:pPr>
          </w:p>
        </w:tc>
        <w:tc>
          <w:tcPr>
            <w:tcW w:w="72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40" w:type="dxa"/>
            <w:vAlign w:val="bottom"/>
          </w:tcPr>
          <w:p>
            <w:pPr>
              <w:spacing w:after="0"/>
              <w:rPr>
                <w:sz w:val="21"/>
                <w:szCs w:val="21"/>
                <w:color w:val="auto"/>
              </w:rPr>
            </w:pPr>
          </w:p>
        </w:tc>
        <w:tc>
          <w:tcPr>
            <w:tcW w:w="7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2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56.4</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77.7</w:t>
            </w:r>
          </w:p>
        </w:tc>
      </w:tr>
      <w:tr>
        <w:trPr>
          <w:trHeight w:val="243"/>
        </w:trPr>
        <w:tc>
          <w:tcPr>
            <w:tcW w:w="440" w:type="dxa"/>
            <w:vAlign w:val="bottom"/>
          </w:tcPr>
          <w:p>
            <w:pPr>
              <w:spacing w:after="0"/>
              <w:rPr>
                <w:sz w:val="21"/>
                <w:szCs w:val="21"/>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680" w:type="dxa"/>
            <w:vAlign w:val="bottom"/>
          </w:tcPr>
          <w:p>
            <w:pPr>
              <w:jc w:val="right"/>
              <w:ind w:right="210"/>
              <w:spacing w:after="0"/>
              <w:rPr>
                <w:sz w:val="20"/>
                <w:szCs w:val="20"/>
                <w:color w:val="auto"/>
              </w:rPr>
            </w:pPr>
            <w:r>
              <w:rPr>
                <w:rFonts w:ascii="Arial" w:cs="Arial" w:eastAsia="Arial" w:hAnsi="Arial"/>
                <w:sz w:val="18"/>
                <w:szCs w:val="18"/>
                <w:color w:val="auto"/>
              </w:rPr>
              <w:t>(12.2)</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(4.1)</w:t>
            </w:r>
          </w:p>
        </w:tc>
      </w:tr>
      <w:tr>
        <w:trPr>
          <w:trHeight w:val="27"/>
        </w:trPr>
        <w:tc>
          <w:tcPr>
            <w:tcW w:w="440" w:type="dxa"/>
            <w:vAlign w:val="bottom"/>
          </w:tcPr>
          <w:p>
            <w:pPr>
              <w:spacing w:after="0"/>
              <w:rPr>
                <w:sz w:val="2"/>
                <w:szCs w:val="2"/>
                <w:color w:val="auto"/>
              </w:rPr>
            </w:pPr>
          </w:p>
        </w:tc>
        <w:tc>
          <w:tcPr>
            <w:tcW w:w="72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40" w:type="dxa"/>
            <w:vAlign w:val="bottom"/>
          </w:tcPr>
          <w:p>
            <w:pPr>
              <w:spacing w:after="0"/>
              <w:rPr>
                <w:sz w:val="21"/>
                <w:szCs w:val="21"/>
                <w:color w:val="auto"/>
              </w:rPr>
            </w:pPr>
          </w:p>
        </w:tc>
        <w:tc>
          <w:tcPr>
            <w:tcW w:w="7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Attributable to ALLETE</w:t>
            </w:r>
          </w:p>
        </w:tc>
        <w:tc>
          <w:tcPr>
            <w:tcW w:w="2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$68.6</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$81.8</w:t>
            </w:r>
          </w:p>
        </w:tc>
      </w:tr>
      <w:tr>
        <w:trPr>
          <w:trHeight w:val="20"/>
        </w:trPr>
        <w:tc>
          <w:tcPr>
            <w:tcW w:w="440" w:type="dxa"/>
            <w:vAlign w:val="bottom"/>
          </w:tcPr>
          <w:p>
            <w:pPr>
              <w:spacing w:after="0" w:line="20" w:lineRule="exact"/>
              <w:rPr>
                <w:sz w:val="1"/>
                <w:szCs w:val="1"/>
                <w:color w:val="auto"/>
              </w:rPr>
            </w:pPr>
          </w:p>
        </w:tc>
        <w:tc>
          <w:tcPr>
            <w:tcW w:w="724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333" w:lineRule="exact"/>
        <w:rPr>
          <w:sz w:val="20"/>
          <w:szCs w:val="20"/>
          <w:color w:val="auto"/>
        </w:rPr>
      </w:pPr>
    </w:p>
    <w:p>
      <w:pPr>
        <w:jc w:val="both"/>
        <w:ind w:left="340"/>
        <w:spacing w:after="0" w:line="312"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Utility </w:t>
      </w:r>
      <w:r>
        <w:rPr>
          <w:rFonts w:ascii="Arial" w:cs="Arial" w:eastAsia="Arial" w:hAnsi="Arial"/>
          <w:sz w:val="17"/>
          <w:szCs w:val="17"/>
          <w:color w:val="auto"/>
        </w:rPr>
        <w:t>decreased $65.9 million from 2019 primarily due to lower revenue from kWh sales, fuel adjustment clause recoveries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conservation improvement program recoveries, partially offset by higher rates resulting from Minnesota Power’s rate case.</w:t>
      </w:r>
    </w:p>
    <w:p>
      <w:pPr>
        <w:spacing w:after="0" w:line="17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Revenue from kWh sales decreased $35.7 million from 2019 reflecting lower sales to residential commercial, industrial and municipal customers as well as the expiration of a 100 MW PSA in April 2020. Sales to residential customers decreased from 2019 primarily due to warmer weather in the first quarter of 2020. Sales to commercial and industrial customers decreased primarily due to the adverse impact of the COVID-19 pandemic on customer operations. Many commercial and industrial customers operated at reduced levels or were temporarily closed or idled during the second quarter of 2020 as a result of the COVID-19 pandemic and related governmental responses. In addition, USS Corporation indefinitely idled its Keetac plant and Verso Corporation indefinitely idled its paper mill in Duluth, Minnesota. (See Outlook – Regulated Operations – Industrial Customers and Prospective Additional Load.) Sales to municipal customers decreased from 2019 as a result of the expiration of a contract with a municipal customer in June 2019.</w:t>
      </w:r>
    </w:p>
    <w:p>
      <w:pPr>
        <w:spacing w:after="0" w:line="1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Variance</w:t>
            </w:r>
          </w:p>
        </w:tc>
        <w:tc>
          <w:tcPr>
            <w:tcW w:w="660" w:type="dxa"/>
            <w:vAlign w:val="bottom"/>
          </w:tcPr>
          <w:p>
            <w:pPr>
              <w:spacing w:after="0"/>
              <w:rPr>
                <w:sz w:val="20"/>
                <w:szCs w:val="20"/>
                <w:color w:val="auto"/>
              </w:rPr>
            </w:pPr>
          </w:p>
        </w:tc>
      </w:tr>
      <w:tr>
        <w:trPr>
          <w:trHeight w:val="27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254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Quantity</w:t>
            </w:r>
          </w:p>
        </w:tc>
        <w:tc>
          <w:tcPr>
            <w:tcW w:w="66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27"/>
        </w:trPr>
        <w:tc>
          <w:tcPr>
            <w:tcW w:w="49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00"/>
              <w:spacing w:after="0"/>
              <w:rPr>
                <w:sz w:val="20"/>
                <w:szCs w:val="20"/>
                <w:color w:val="auto"/>
              </w:rPr>
            </w:pPr>
            <w:r>
              <w:rPr>
                <w:rFonts w:ascii="Arial" w:cs="Arial" w:eastAsia="Arial" w:hAnsi="Arial"/>
                <w:sz w:val="18"/>
                <w:szCs w:val="18"/>
                <w:color w:val="auto"/>
              </w:rPr>
              <w:t>Retail and Municipal</w:t>
            </w:r>
          </w:p>
        </w:tc>
        <w:tc>
          <w:tcPr>
            <w:tcW w:w="2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Residential</w:t>
            </w:r>
          </w:p>
        </w:tc>
        <w:tc>
          <w:tcPr>
            <w:tcW w:w="2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567</w:t>
            </w:r>
          </w:p>
        </w:tc>
        <w:tc>
          <w:tcPr>
            <w:tcW w:w="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581</w:t>
            </w:r>
          </w:p>
        </w:tc>
        <w:tc>
          <w:tcPr>
            <w:tcW w:w="14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(14)</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4960" w:type="dxa"/>
            <w:vAlign w:val="bottom"/>
          </w:tcPr>
          <w:p>
            <w:pPr>
              <w:ind w:left="440"/>
              <w:spacing w:after="0"/>
              <w:rPr>
                <w:sz w:val="20"/>
                <w:szCs w:val="20"/>
                <w:color w:val="auto"/>
              </w:rPr>
            </w:pPr>
            <w:r>
              <w:rPr>
                <w:rFonts w:ascii="Arial" w:cs="Arial" w:eastAsia="Arial" w:hAnsi="Arial"/>
                <w:sz w:val="18"/>
                <w:szCs w:val="18"/>
                <w:color w:val="auto"/>
              </w:rPr>
              <w:t>Commercial</w:t>
            </w:r>
          </w:p>
        </w:tc>
        <w:tc>
          <w:tcPr>
            <w:tcW w:w="2540" w:type="dxa"/>
            <w:vAlign w:val="bottom"/>
          </w:tcPr>
          <w:p>
            <w:pPr>
              <w:jc w:val="right"/>
              <w:ind w:right="290"/>
              <w:spacing w:after="0"/>
              <w:rPr>
                <w:sz w:val="20"/>
                <w:szCs w:val="20"/>
                <w:color w:val="auto"/>
              </w:rPr>
            </w:pPr>
            <w:r>
              <w:rPr>
                <w:rFonts w:ascii="Arial" w:cs="Arial" w:eastAsia="Arial" w:hAnsi="Arial"/>
                <w:sz w:val="18"/>
                <w:szCs w:val="18"/>
                <w:color w:val="auto"/>
              </w:rPr>
              <w:t>638</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683</w:t>
            </w:r>
          </w:p>
        </w:tc>
        <w:tc>
          <w:tcPr>
            <w:tcW w:w="1400" w:type="dxa"/>
            <w:vAlign w:val="bottom"/>
          </w:tcPr>
          <w:p>
            <w:pPr>
              <w:jc w:val="right"/>
              <w:ind w:right="470"/>
              <w:spacing w:after="0"/>
              <w:rPr>
                <w:sz w:val="20"/>
                <w:szCs w:val="20"/>
                <w:color w:val="auto"/>
              </w:rPr>
            </w:pPr>
            <w:r>
              <w:rPr>
                <w:rFonts w:ascii="Arial" w:cs="Arial" w:eastAsia="Arial" w:hAnsi="Arial"/>
                <w:sz w:val="18"/>
                <w:szCs w:val="18"/>
                <w:color w:val="auto"/>
              </w:rPr>
              <w:t>(45)</w:t>
            </w: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49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Industrial</w:t>
            </w:r>
          </w:p>
        </w:tc>
        <w:tc>
          <w:tcPr>
            <w:tcW w:w="2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3,137</w:t>
            </w:r>
          </w:p>
        </w:tc>
        <w:tc>
          <w:tcPr>
            <w:tcW w:w="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3,587</w:t>
            </w:r>
          </w:p>
        </w:tc>
        <w:tc>
          <w:tcPr>
            <w:tcW w:w="14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(450)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(12.5)%</w:t>
            </w:r>
          </w:p>
        </w:tc>
      </w:tr>
      <w:tr>
        <w:trPr>
          <w:trHeight w:val="243"/>
        </w:trPr>
        <w:tc>
          <w:tcPr>
            <w:tcW w:w="4960" w:type="dxa"/>
            <w:vAlign w:val="bottom"/>
          </w:tcPr>
          <w:p>
            <w:pPr>
              <w:ind w:left="440"/>
              <w:spacing w:after="0"/>
              <w:rPr>
                <w:sz w:val="20"/>
                <w:szCs w:val="20"/>
                <w:color w:val="auto"/>
              </w:rPr>
            </w:pPr>
            <w:r>
              <w:rPr>
                <w:rFonts w:ascii="Arial" w:cs="Arial" w:eastAsia="Arial" w:hAnsi="Arial"/>
                <w:sz w:val="18"/>
                <w:szCs w:val="18"/>
                <w:color w:val="auto"/>
              </w:rPr>
              <w:t>Municipal</w:t>
            </w:r>
          </w:p>
        </w:tc>
        <w:tc>
          <w:tcPr>
            <w:tcW w:w="2540" w:type="dxa"/>
            <w:vAlign w:val="bottom"/>
          </w:tcPr>
          <w:p>
            <w:pPr>
              <w:jc w:val="right"/>
              <w:ind w:right="290"/>
              <w:spacing w:after="0"/>
              <w:rPr>
                <w:sz w:val="20"/>
                <w:szCs w:val="20"/>
                <w:color w:val="auto"/>
              </w:rPr>
            </w:pPr>
            <w:r>
              <w:rPr>
                <w:rFonts w:ascii="Arial" w:cs="Arial" w:eastAsia="Arial" w:hAnsi="Arial"/>
                <w:sz w:val="18"/>
                <w:szCs w:val="18"/>
                <w:color w:val="auto"/>
              </w:rPr>
              <w:t>287</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373</w:t>
            </w:r>
          </w:p>
        </w:tc>
        <w:tc>
          <w:tcPr>
            <w:tcW w:w="1400" w:type="dxa"/>
            <w:vAlign w:val="bottom"/>
          </w:tcPr>
          <w:p>
            <w:pPr>
              <w:jc w:val="right"/>
              <w:ind w:right="470"/>
              <w:spacing w:after="0"/>
              <w:rPr>
                <w:sz w:val="20"/>
                <w:szCs w:val="20"/>
                <w:color w:val="auto"/>
              </w:rPr>
            </w:pPr>
            <w:r>
              <w:rPr>
                <w:rFonts w:ascii="Arial" w:cs="Arial" w:eastAsia="Arial" w:hAnsi="Arial"/>
                <w:sz w:val="18"/>
                <w:szCs w:val="18"/>
                <w:color w:val="auto"/>
              </w:rPr>
              <w:t>(86)</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(23.1)%</w:t>
            </w:r>
          </w:p>
        </w:tc>
      </w:tr>
      <w:tr>
        <w:trPr>
          <w:trHeight w:val="27"/>
        </w:trPr>
        <w:tc>
          <w:tcPr>
            <w:tcW w:w="49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Retail and Municipal</w:t>
            </w:r>
          </w:p>
        </w:tc>
        <w:tc>
          <w:tcPr>
            <w:tcW w:w="2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4,629</w:t>
            </w:r>
          </w:p>
        </w:tc>
        <w:tc>
          <w:tcPr>
            <w:tcW w:w="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5,224</w:t>
            </w:r>
          </w:p>
        </w:tc>
        <w:tc>
          <w:tcPr>
            <w:tcW w:w="14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(595)</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(11.4)%</w:t>
            </w:r>
          </w:p>
        </w:tc>
      </w:tr>
      <w:tr>
        <w:trPr>
          <w:trHeight w:val="243"/>
        </w:trPr>
        <w:tc>
          <w:tcPr>
            <w:tcW w:w="4960" w:type="dxa"/>
            <w:vAlign w:val="bottom"/>
          </w:tcPr>
          <w:p>
            <w:pPr>
              <w:ind w:left="200"/>
              <w:spacing w:after="0"/>
              <w:rPr>
                <w:sz w:val="20"/>
                <w:szCs w:val="20"/>
                <w:color w:val="auto"/>
              </w:rPr>
            </w:pPr>
            <w:r>
              <w:rPr>
                <w:rFonts w:ascii="Arial" w:cs="Arial" w:eastAsia="Arial" w:hAnsi="Arial"/>
                <w:sz w:val="18"/>
                <w:szCs w:val="18"/>
                <w:color w:val="auto"/>
              </w:rPr>
              <w:t>Other Power Suppliers</w:t>
            </w:r>
          </w:p>
        </w:tc>
        <w:tc>
          <w:tcPr>
            <w:tcW w:w="2540" w:type="dxa"/>
            <w:vAlign w:val="bottom"/>
          </w:tcPr>
          <w:p>
            <w:pPr>
              <w:jc w:val="right"/>
              <w:ind w:right="290"/>
              <w:spacing w:after="0"/>
              <w:rPr>
                <w:sz w:val="20"/>
                <w:szCs w:val="20"/>
                <w:color w:val="auto"/>
              </w:rPr>
            </w:pPr>
            <w:r>
              <w:rPr>
                <w:rFonts w:ascii="Arial" w:cs="Arial" w:eastAsia="Arial" w:hAnsi="Arial"/>
                <w:sz w:val="18"/>
                <w:szCs w:val="18"/>
                <w:color w:val="auto"/>
              </w:rPr>
              <w:t>1,528</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1,536</w:t>
            </w:r>
          </w:p>
        </w:tc>
        <w:tc>
          <w:tcPr>
            <w:tcW w:w="1400" w:type="dxa"/>
            <w:vAlign w:val="bottom"/>
          </w:tcPr>
          <w:p>
            <w:pPr>
              <w:jc w:val="right"/>
              <w:ind w:right="470"/>
              <w:spacing w:after="0"/>
              <w:rPr>
                <w:sz w:val="20"/>
                <w:szCs w:val="20"/>
                <w:color w:val="auto"/>
              </w:rPr>
            </w:pPr>
            <w:r>
              <w:rPr>
                <w:rFonts w:ascii="Arial" w:cs="Arial" w:eastAsia="Arial" w:hAnsi="Arial"/>
                <w:sz w:val="18"/>
                <w:szCs w:val="18"/>
                <w:color w:val="auto"/>
              </w:rPr>
              <w:t>(8)</w:t>
            </w:r>
          </w:p>
        </w:tc>
        <w:tc>
          <w:tcPr>
            <w:tcW w:w="6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49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6,157</w:t>
            </w:r>
          </w:p>
        </w:tc>
        <w:tc>
          <w:tcPr>
            <w:tcW w:w="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6,760</w:t>
            </w:r>
          </w:p>
        </w:tc>
        <w:tc>
          <w:tcPr>
            <w:tcW w:w="14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(603)</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4960" w:type="dxa"/>
            <w:vAlign w:val="bottom"/>
            <w:shd w:val="clear" w:color="auto" w:fill="000000"/>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bl>
    <w:p>
      <w:pPr>
        <w:spacing w:after="0" w:line="33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customers accounted for 24 percent of consolidated operating revenue in 2020 (24 percent in 2019). Revenue from electric sales to paper, pulp and secondary wood product customers accounted for 5 percent of consolidated operating revenue in 2020 (5 percent in 2019). Revenue from electric sales to pipelines and other industrial customers accounted for 7 percent of consolidated operating revenue in 2020 (8 percent in 2019).</w:t>
      </w:r>
    </w:p>
    <w:p>
      <w:pPr>
        <w:spacing w:after="0" w:line="21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Fuel adjustment clause revenue decreased $22.9 million due to lower fuel and purchased power costs attributable to retail and municipal customers, partially offset by the timing of fuel adjustment clause recoveries in 2019. Beginning in 2020, Minnesota utilities adopted a new fuel adjustment clause methodology. (See Note 2. Regulatory Matters.)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ectPr>
          <w:pgSz w:w="11900" w:h="16838" w:orient="portrait"/>
          <w:cols w:equalWidth="0" w:num="1">
            <w:col w:w="11240"/>
          </w:cols>
          <w:pgMar w:left="320" w:top="891" w:right="339" w:bottom="748"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748"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COMPARISON OF THE SIX MONTHS ENDED JUNE 30, 2020 AND 2019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Conservation improvement program recoveries decreased $3.7 million from 2019 primarily due to a decrease in related expenditures.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w:t>
      </w:r>
      <w:r>
        <w:rPr>
          <w:rFonts w:ascii="Arial" w:cs="Arial" w:eastAsia="Arial" w:hAnsi="Arial"/>
          <w:sz w:val="18"/>
          <w:szCs w:val="18"/>
          <w:color w:val="auto"/>
        </w:rPr>
        <w:t>.)</w:t>
      </w:r>
    </w:p>
    <w:p>
      <w:pPr>
        <w:spacing w:after="0" w:line="19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Revenue increased $3.5 million due to higher rates in May 2020 and June 2020 resulting from the resolution of Minnesota Power’s 2020 general rate case. As part of the resolution, interim rates collected from January 2020 through April 2020 were offset with reserves for interim rates which are expected to be refunded in the third quarter of 2020. (See Note 2. Regulatory Matters.)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$43.2 million, or 10 percent, from 2019.</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decreased $39.4 million, or 20 percent, from 2019 primarily due to lower kWh sales,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power prices and fuel costs. Fuel and purchased power expense related to our retail and municipal customers is recovered through the fuel adjustment clause.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Transmission Services – Utility </w:t>
      </w:r>
      <w:r>
        <w:rPr>
          <w:rFonts w:ascii="Arial" w:cs="Arial" w:eastAsia="Arial" w:hAnsi="Arial"/>
          <w:sz w:val="18"/>
          <w:szCs w:val="18"/>
          <w:color w:val="auto"/>
        </w:rPr>
        <w:t>expense decreased $2.6 million, or 7 percent, from 2019 primarily due to lower MISO-related expense.</w:t>
      </w:r>
    </w:p>
    <w:p>
      <w:pPr>
        <w:spacing w:after="0" w:line="252"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Operating and Maintenance </w:t>
      </w:r>
      <w:r>
        <w:rPr>
          <w:rFonts w:ascii="Arial" w:cs="Arial" w:eastAsia="Arial" w:hAnsi="Arial"/>
          <w:sz w:val="17"/>
          <w:szCs w:val="17"/>
          <w:color w:val="auto"/>
        </w:rPr>
        <w:t>expense decreased $4.6 million, or 5 percent, from 2019 primarily due to a decrease in conservation improvement</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expenses, lower expenses for planned maintenance outages at our generation facilities and lower salary, benefit and other employee-related expenses. These decreases were partially offset by rate case-related expenses and higher bad debt expense.</w:t>
      </w:r>
    </w:p>
    <w:p>
      <w:pPr>
        <w:spacing w:after="0" w:line="19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$3.6 million, or 5 percent, from 2019 primarily due to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w:t>
      </w:r>
    </w:p>
    <w:p>
      <w:pPr>
        <w:spacing w:after="0" w:line="197"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b w:val="1"/>
          <w:bCs w:val="1"/>
          <w:i w:val="1"/>
          <w:iCs w:val="1"/>
          <w:color w:val="auto"/>
        </w:rPr>
        <w:t xml:space="preserve">Equity Earnings </w:t>
      </w:r>
      <w:r>
        <w:rPr>
          <w:rFonts w:ascii="Arial" w:cs="Arial" w:eastAsia="Arial" w:hAnsi="Arial"/>
          <w:sz w:val="16"/>
          <w:szCs w:val="16"/>
          <w:color w:val="auto"/>
        </w:rPr>
        <w:t>increased $1.2 million, or 12 percent, from 2019 primarily due to period over period changes in ATC’s estimate of a refund liability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the FERC decision on MISO return on equity complaints. (See Outlook – Regulated Operations – Transmission – Investment in ATC.)</w:t>
      </w:r>
    </w:p>
    <w:p>
      <w:pPr>
        <w:spacing w:after="0" w:line="15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increased $8.1 million from 2019 primarily due to lower pre-tax income. We expect our annual effective tax rate in 2020 to be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income tax benefit than in 2019 primarily due to lower pre-tax income.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34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65"/>
        </w:trPr>
        <w:tc>
          <w:tcPr>
            <w:tcW w:w="760" w:type="dxa"/>
            <w:vAlign w:val="bottom"/>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Six Months Ended June 30,</w:t>
            </w:r>
          </w:p>
        </w:tc>
        <w:tc>
          <w:tcPr>
            <w:tcW w:w="348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r>
      <w:tr>
        <w:trPr>
          <w:trHeight w:val="27"/>
        </w:trPr>
        <w:tc>
          <w:tcPr>
            <w:tcW w:w="760" w:type="dxa"/>
            <w:vAlign w:val="bottom"/>
          </w:tcPr>
          <w:p>
            <w:pPr>
              <w:spacing w:after="0"/>
              <w:rPr>
                <w:sz w:val="2"/>
                <w:szCs w:val="2"/>
                <w:color w:val="auto"/>
              </w:rPr>
            </w:pPr>
          </w:p>
        </w:tc>
        <w:tc>
          <w:tcPr>
            <w:tcW w:w="624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34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7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60" w:type="dxa"/>
            <w:vAlign w:val="bottom"/>
          </w:tcPr>
          <w:p>
            <w:pPr>
              <w:spacing w:after="0"/>
              <w:rPr>
                <w:sz w:val="21"/>
                <w:szCs w:val="21"/>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3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60" w:type="dxa"/>
            <w:vAlign w:val="bottom"/>
          </w:tcPr>
          <w:p>
            <w:pPr>
              <w:spacing w:after="0"/>
              <w:rPr>
                <w:sz w:val="21"/>
                <w:szCs w:val="21"/>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Contracts with Customers – Non-utility</w:t>
            </w:r>
          </w:p>
        </w:tc>
        <w:tc>
          <w:tcPr>
            <w:tcW w:w="3480" w:type="dxa"/>
            <w:vAlign w:val="bottom"/>
          </w:tcPr>
          <w:p>
            <w:pPr>
              <w:jc w:val="right"/>
              <w:ind w:right="210"/>
              <w:spacing w:after="0"/>
              <w:rPr>
                <w:sz w:val="20"/>
                <w:szCs w:val="20"/>
                <w:color w:val="auto"/>
              </w:rPr>
            </w:pPr>
            <w:r>
              <w:rPr>
                <w:rFonts w:ascii="Arial" w:cs="Arial" w:eastAsia="Arial" w:hAnsi="Arial"/>
                <w:sz w:val="18"/>
                <w:szCs w:val="18"/>
                <w:color w:val="auto"/>
              </w:rPr>
              <w:t>$32.1</w:t>
            </w:r>
          </w:p>
        </w:tc>
        <w:tc>
          <w:tcPr>
            <w:tcW w:w="76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7"/>
        </w:trPr>
        <w:tc>
          <w:tcPr>
            <w:tcW w:w="7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60" w:type="dxa"/>
            <w:vAlign w:val="bottom"/>
          </w:tcPr>
          <w:p>
            <w:pPr>
              <w:spacing w:after="0"/>
              <w:rPr>
                <w:sz w:val="21"/>
                <w:szCs w:val="21"/>
                <w:color w:val="auto"/>
              </w:rPr>
            </w:pPr>
          </w:p>
        </w:tc>
        <w:tc>
          <w:tcPr>
            <w:tcW w:w="6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 xml:space="preserve">Other – Non-utility </w:t>
            </w:r>
            <w:r>
              <w:rPr>
                <w:rFonts w:ascii="Arial" w:cs="Arial" w:eastAsia="Arial" w:hAnsi="Arial"/>
                <w:sz w:val="16"/>
                <w:szCs w:val="16"/>
                <w:i w:val="1"/>
                <w:iCs w:val="1"/>
                <w:color w:val="auto"/>
              </w:rPr>
              <w:t>(a)</w:t>
            </w:r>
          </w:p>
        </w:tc>
        <w:tc>
          <w:tcPr>
            <w:tcW w:w="34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5.6</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w:t>
            </w:r>
          </w:p>
        </w:tc>
      </w:tr>
      <w:tr>
        <w:trPr>
          <w:trHeight w:val="243"/>
        </w:trPr>
        <w:tc>
          <w:tcPr>
            <w:tcW w:w="760" w:type="dxa"/>
            <w:vAlign w:val="bottom"/>
          </w:tcPr>
          <w:p>
            <w:pPr>
              <w:spacing w:after="0"/>
              <w:rPr>
                <w:sz w:val="21"/>
                <w:szCs w:val="21"/>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Operating and Maintenance</w:t>
            </w:r>
          </w:p>
        </w:tc>
        <w:tc>
          <w:tcPr>
            <w:tcW w:w="3480" w:type="dxa"/>
            <w:vAlign w:val="bottom"/>
          </w:tcPr>
          <w:p>
            <w:pPr>
              <w:jc w:val="right"/>
              <w:ind w:right="330"/>
              <w:spacing w:after="0"/>
              <w:rPr>
                <w:sz w:val="20"/>
                <w:szCs w:val="20"/>
                <w:color w:val="auto"/>
              </w:rPr>
            </w:pPr>
            <w:r>
              <w:rPr>
                <w:rFonts w:ascii="Arial" w:cs="Arial" w:eastAsia="Arial" w:hAnsi="Arial"/>
                <w:sz w:val="18"/>
                <w:szCs w:val="18"/>
                <w:color w:val="auto"/>
              </w:rPr>
              <w:t>16.0</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15.4</w:t>
            </w:r>
          </w:p>
        </w:tc>
      </w:tr>
      <w:tr>
        <w:trPr>
          <w:trHeight w:val="27"/>
        </w:trPr>
        <w:tc>
          <w:tcPr>
            <w:tcW w:w="7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60" w:type="dxa"/>
            <w:vAlign w:val="bottom"/>
          </w:tcPr>
          <w:p>
            <w:pPr>
              <w:spacing w:after="0"/>
              <w:rPr>
                <w:sz w:val="21"/>
                <w:szCs w:val="21"/>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4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17.1</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13.1</w:t>
            </w:r>
          </w:p>
        </w:tc>
      </w:tr>
      <w:tr>
        <w:trPr>
          <w:trHeight w:val="243"/>
        </w:trPr>
        <w:tc>
          <w:tcPr>
            <w:tcW w:w="760" w:type="dxa"/>
            <w:vAlign w:val="bottom"/>
          </w:tcPr>
          <w:p>
            <w:pPr>
              <w:spacing w:after="0"/>
              <w:rPr>
                <w:sz w:val="21"/>
                <w:szCs w:val="21"/>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Taxes and Other</w:t>
            </w:r>
          </w:p>
        </w:tc>
        <w:tc>
          <w:tcPr>
            <w:tcW w:w="3480" w:type="dxa"/>
            <w:vAlign w:val="bottom"/>
          </w:tcPr>
          <w:p>
            <w:pPr>
              <w:jc w:val="right"/>
              <w:ind w:right="330"/>
              <w:spacing w:after="0"/>
              <w:rPr>
                <w:sz w:val="20"/>
                <w:szCs w:val="20"/>
                <w:color w:val="auto"/>
              </w:rPr>
            </w:pPr>
            <w:r>
              <w:rPr>
                <w:rFonts w:ascii="Arial" w:cs="Arial" w:eastAsia="Arial" w:hAnsi="Arial"/>
                <w:sz w:val="18"/>
                <w:szCs w:val="18"/>
                <w:color w:val="auto"/>
              </w:rPr>
              <w:t>1.6</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1.1</w:t>
            </w:r>
          </w:p>
        </w:tc>
      </w:tr>
      <w:tr>
        <w:trPr>
          <w:trHeight w:val="27"/>
        </w:trPr>
        <w:tc>
          <w:tcPr>
            <w:tcW w:w="760" w:type="dxa"/>
            <w:vAlign w:val="bottom"/>
          </w:tcPr>
          <w:p>
            <w:pPr>
              <w:spacing w:after="0"/>
              <w:rPr>
                <w:sz w:val="2"/>
                <w:szCs w:val="2"/>
                <w:color w:val="auto"/>
              </w:rPr>
            </w:pPr>
          </w:p>
        </w:tc>
        <w:tc>
          <w:tcPr>
            <w:tcW w:w="624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760" w:type="dxa"/>
            <w:vAlign w:val="bottom"/>
          </w:tcPr>
          <w:p>
            <w:pPr>
              <w:spacing w:after="0"/>
              <w:rPr>
                <w:sz w:val="21"/>
                <w:szCs w:val="21"/>
                <w:color w:val="auto"/>
              </w:rPr>
            </w:pPr>
          </w:p>
        </w:tc>
        <w:tc>
          <w:tcPr>
            <w:tcW w:w="6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34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3.0</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r>
      <w:tr>
        <w:trPr>
          <w:trHeight w:val="243"/>
        </w:trPr>
        <w:tc>
          <w:tcPr>
            <w:tcW w:w="760" w:type="dxa"/>
            <w:vAlign w:val="bottom"/>
          </w:tcPr>
          <w:p>
            <w:pPr>
              <w:spacing w:after="0"/>
              <w:rPr>
                <w:sz w:val="21"/>
                <w:szCs w:val="21"/>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Interest Expense</w:t>
            </w:r>
          </w:p>
        </w:tc>
        <w:tc>
          <w:tcPr>
            <w:tcW w:w="3480" w:type="dxa"/>
            <w:vAlign w:val="bottom"/>
          </w:tcPr>
          <w:p>
            <w:pPr>
              <w:jc w:val="right"/>
              <w:ind w:right="290"/>
              <w:spacing w:after="0"/>
              <w:rPr>
                <w:sz w:val="20"/>
                <w:szCs w:val="20"/>
                <w:color w:val="auto"/>
              </w:rPr>
            </w:pPr>
            <w:r>
              <w:rPr>
                <w:rFonts w:ascii="Arial" w:cs="Arial" w:eastAsia="Arial" w:hAnsi="Arial"/>
                <w:sz w:val="18"/>
                <w:szCs w:val="18"/>
                <w:color w:val="auto"/>
              </w:rPr>
              <w:t>(1.0)</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7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760" w:type="dxa"/>
            <w:vAlign w:val="bottom"/>
          </w:tcPr>
          <w:p>
            <w:pPr>
              <w:spacing w:after="0"/>
              <w:rPr>
                <w:sz w:val="23"/>
                <w:szCs w:val="23"/>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34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0.2</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r>
      <w:tr>
        <w:trPr>
          <w:trHeight w:val="237"/>
        </w:trPr>
        <w:tc>
          <w:tcPr>
            <w:tcW w:w="760" w:type="dxa"/>
            <w:vAlign w:val="bottom"/>
          </w:tcPr>
          <w:p>
            <w:pPr>
              <w:spacing w:after="0"/>
              <w:rPr>
                <w:sz w:val="20"/>
                <w:szCs w:val="20"/>
                <w:color w:val="auto"/>
              </w:rPr>
            </w:pPr>
          </w:p>
        </w:tc>
        <w:tc>
          <w:tcPr>
            <w:tcW w:w="62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Income Before Income Taxes</w:t>
            </w:r>
          </w:p>
        </w:tc>
        <w:tc>
          <w:tcPr>
            <w:tcW w:w="34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2.2</w:t>
            </w:r>
          </w:p>
        </w:tc>
        <w:tc>
          <w:tcPr>
            <w:tcW w:w="7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3.5</w:t>
            </w:r>
          </w:p>
        </w:tc>
      </w:tr>
      <w:tr>
        <w:trPr>
          <w:trHeight w:val="27"/>
        </w:trPr>
        <w:tc>
          <w:tcPr>
            <w:tcW w:w="7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760" w:type="dxa"/>
            <w:vAlign w:val="bottom"/>
          </w:tcPr>
          <w:p>
            <w:pPr>
              <w:spacing w:after="0"/>
              <w:rPr>
                <w:sz w:val="23"/>
                <w:szCs w:val="23"/>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(8.5)</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36"/>
        </w:trPr>
        <w:tc>
          <w:tcPr>
            <w:tcW w:w="760" w:type="dxa"/>
            <w:vAlign w:val="bottom"/>
          </w:tcPr>
          <w:p>
            <w:pPr>
              <w:spacing w:after="0"/>
              <w:rPr>
                <w:sz w:val="20"/>
                <w:szCs w:val="20"/>
                <w:color w:val="auto"/>
              </w:rPr>
            </w:pPr>
          </w:p>
        </w:tc>
        <w:tc>
          <w:tcPr>
            <w:tcW w:w="62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Net Income</w:t>
            </w:r>
          </w:p>
        </w:tc>
        <w:tc>
          <w:tcPr>
            <w:tcW w:w="34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10.7</w:t>
            </w:r>
          </w:p>
        </w:tc>
        <w:tc>
          <w:tcPr>
            <w:tcW w:w="7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7.7</w:t>
            </w:r>
          </w:p>
        </w:tc>
      </w:tr>
      <w:tr>
        <w:trPr>
          <w:trHeight w:val="27"/>
        </w:trPr>
        <w:tc>
          <w:tcPr>
            <w:tcW w:w="760" w:type="dxa"/>
            <w:vAlign w:val="bottom"/>
          </w:tcPr>
          <w:p>
            <w:pPr>
              <w:spacing w:after="0"/>
              <w:rPr>
                <w:sz w:val="2"/>
                <w:szCs w:val="2"/>
                <w:color w:val="auto"/>
              </w:rPr>
            </w:pPr>
          </w:p>
        </w:tc>
        <w:tc>
          <w:tcPr>
            <w:tcW w:w="624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760" w:type="dxa"/>
            <w:vAlign w:val="bottom"/>
          </w:tcPr>
          <w:p>
            <w:pPr>
              <w:spacing w:after="0"/>
              <w:rPr>
                <w:sz w:val="22"/>
                <w:szCs w:val="22"/>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3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(5.0)</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6"/>
        </w:trPr>
        <w:tc>
          <w:tcPr>
            <w:tcW w:w="760" w:type="dxa"/>
            <w:vAlign w:val="bottom"/>
          </w:tcPr>
          <w:p>
            <w:pPr>
              <w:spacing w:after="0"/>
              <w:rPr>
                <w:sz w:val="20"/>
                <w:szCs w:val="20"/>
                <w:color w:val="auto"/>
              </w:rPr>
            </w:pPr>
          </w:p>
        </w:tc>
        <w:tc>
          <w:tcPr>
            <w:tcW w:w="62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Net Income Attributable to ALLETE</w:t>
            </w:r>
          </w:p>
        </w:tc>
        <w:tc>
          <w:tcPr>
            <w:tcW w:w="34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$15.7</w:t>
            </w:r>
          </w:p>
        </w:tc>
        <w:tc>
          <w:tcPr>
            <w:tcW w:w="7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$7.7</w:t>
            </w:r>
          </w:p>
        </w:tc>
      </w:tr>
      <w:tr>
        <w:trPr>
          <w:trHeight w:val="27"/>
        </w:trPr>
        <w:tc>
          <w:tcPr>
            <w:tcW w:w="760" w:type="dxa"/>
            <w:vAlign w:val="bottom"/>
          </w:tcPr>
          <w:p>
            <w:pPr>
              <w:spacing w:after="0"/>
              <w:rPr>
                <w:sz w:val="2"/>
                <w:szCs w:val="2"/>
                <w:color w:val="auto"/>
              </w:rPr>
            </w:pPr>
          </w:p>
        </w:tc>
        <w:tc>
          <w:tcPr>
            <w:tcW w:w="624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9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Represents non-cash amortization of differences between contract prices and estimated market prices on assumed PSAs.</w:t>
      </w:r>
    </w:p>
    <w:p>
      <w:pPr>
        <w:spacing w:after="0" w:line="244"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$4.8 million, or 15 percent, from 2019 primarily due to revenue from the Glen Ullin and South Peak wind energy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which commenced operations in December 2019 and April 2020, respectively.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ectPr>
          <w:pgSz w:w="11900" w:h="16838" w:orient="portrait"/>
          <w:cols w:equalWidth="0" w:num="1">
            <w:col w:w="11240"/>
          </w:cols>
          <w:pgMar w:left="320" w:top="891" w:right="339" w:bottom="1440"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COMPARISON OF THE SIX MONTHS ENDED JUNE 30, 2020 AND 2019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0"/>
              </w:rPr>
              <w:t>Six Months Ended June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1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0" w:type="dxa"/>
            <w:vAlign w:val="bottom"/>
            <w:vMerge w:val="continue"/>
          </w:tcPr>
          <w:p>
            <w:pPr>
              <w:spacing w:after="0"/>
              <w:rPr>
                <w:sz w:val="20"/>
                <w:szCs w:val="20"/>
                <w:color w:val="auto"/>
              </w:rPr>
            </w:pPr>
          </w:p>
        </w:tc>
        <w:tc>
          <w:tcPr>
            <w:tcW w:w="1480" w:type="dxa"/>
            <w:vAlign w:val="bottom"/>
          </w:tcPr>
          <w:p>
            <w:pPr>
              <w:jc w:val="right"/>
              <w:ind w:right="550"/>
              <w:spacing w:after="0"/>
              <w:rPr>
                <w:sz w:val="20"/>
                <w:szCs w:val="20"/>
                <w:color w:val="auto"/>
              </w:rPr>
            </w:pPr>
            <w:r>
              <w:rPr>
                <w:rFonts w:ascii="Arial" w:cs="Arial" w:eastAsia="Arial" w:hAnsi="Arial"/>
                <w:sz w:val="18"/>
                <w:szCs w:val="18"/>
                <w:b w:val="1"/>
                <w:bCs w:val="1"/>
                <w:color w:val="auto"/>
              </w:rPr>
              <w:t>kWh</w:t>
            </w: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Revenue</w:t>
            </w: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kWh</w:t>
            </w: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Revenue</w:t>
            </w:r>
          </w:p>
        </w:tc>
        <w:tc>
          <w:tcPr>
            <w:tcW w:w="0" w:type="dxa"/>
            <w:vAlign w:val="bottom"/>
          </w:tcPr>
          <w:p>
            <w:pPr>
              <w:spacing w:after="0"/>
              <w:rPr>
                <w:sz w:val="1"/>
                <w:szCs w:val="1"/>
                <w:color w:val="auto"/>
              </w:rPr>
            </w:pPr>
          </w:p>
        </w:tc>
      </w:tr>
      <w:tr>
        <w:trPr>
          <w:trHeight w:val="27"/>
        </w:trPr>
        <w:tc>
          <w:tcPr>
            <w:tcW w:w="5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Wind Energy Regions</w:t>
            </w:r>
          </w:p>
        </w:tc>
        <w:tc>
          <w:tcPr>
            <w:tcW w:w="1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120"/>
              <w:spacing w:after="0"/>
              <w:rPr>
                <w:sz w:val="20"/>
                <w:szCs w:val="20"/>
                <w:color w:val="auto"/>
              </w:rPr>
            </w:pPr>
            <w:r>
              <w:rPr>
                <w:rFonts w:ascii="Arial" w:cs="Arial" w:eastAsia="Arial" w:hAnsi="Arial"/>
                <w:sz w:val="18"/>
                <w:szCs w:val="18"/>
                <w:color w:val="auto"/>
              </w:rPr>
              <w:t>East</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135.7</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$12.2</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144.4</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Midwest</w:t>
            </w:r>
          </w:p>
        </w:tc>
        <w:tc>
          <w:tcPr>
            <w:tcW w:w="1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451.8</w:t>
            </w:r>
          </w:p>
        </w:tc>
        <w:tc>
          <w:tcPr>
            <w:tcW w:w="12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16.2</w:t>
            </w:r>
          </w:p>
        </w:tc>
        <w:tc>
          <w:tcPr>
            <w:tcW w:w="1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404.4</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5400" w:type="dxa"/>
            <w:vAlign w:val="bottom"/>
          </w:tcPr>
          <w:p>
            <w:pPr>
              <w:ind w:left="120"/>
              <w:spacing w:after="0"/>
              <w:rPr>
                <w:sz w:val="20"/>
                <w:szCs w:val="20"/>
                <w:color w:val="auto"/>
              </w:rPr>
            </w:pPr>
            <w:r>
              <w:rPr>
                <w:rFonts w:ascii="Arial" w:cs="Arial" w:eastAsia="Arial" w:hAnsi="Arial"/>
                <w:sz w:val="18"/>
                <w:szCs w:val="18"/>
                <w:color w:val="auto"/>
              </w:rPr>
              <w:t>West</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344.3</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9.3</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36.1</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Production and Operating Revenue</w:t>
            </w:r>
          </w:p>
        </w:tc>
        <w:tc>
          <w:tcPr>
            <w:tcW w:w="1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931.8</w:t>
            </w:r>
          </w:p>
        </w:tc>
        <w:tc>
          <w:tcPr>
            <w:tcW w:w="12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$37.7</w:t>
            </w:r>
          </w:p>
        </w:tc>
        <w:tc>
          <w:tcPr>
            <w:tcW w:w="1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584.9</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
        </w:trPr>
        <w:tc>
          <w:tcPr>
            <w:tcW w:w="54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expense increased $4.0 million, or 31 percent, from 2019 primarily due to additional property, plant and equipment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related to the Glen Ullin and South Peak wind energy facilities.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decreased $1.6 million from 2019 reflecting various individually immaterial items.</w:t>
      </w:r>
    </w:p>
    <w:p>
      <w:pPr>
        <w:spacing w:after="0" w:line="25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increased $4.3 million from 2019 primarily due to additional production tax credits generated in 2020 compared to 2019.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 benefit in 2020 reflected production tax credits generated of $8.0 million compared to $4.2 million in 2019.</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Net Loss Attributable to Non-Controlling Interest </w:t>
      </w:r>
      <w:r>
        <w:rPr>
          <w:rFonts w:ascii="Arial" w:cs="Arial" w:eastAsia="Arial" w:hAnsi="Arial"/>
          <w:sz w:val="18"/>
          <w:szCs w:val="18"/>
          <w:color w:val="auto"/>
        </w:rPr>
        <w:t>increased $5.0 million from 2019 reflecting net losses attributable to non-controlling interest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Glen Ullin and South Peak wind energy facilities.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U.S. Water Services</w:t>
            </w:r>
          </w:p>
        </w:tc>
        <w:tc>
          <w:tcPr>
            <w:tcW w:w="38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51"/>
        </w:trPr>
        <w:tc>
          <w:tcPr>
            <w:tcW w:w="76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Six Months Ended June 30,</w:t>
            </w:r>
          </w:p>
        </w:tc>
        <w:tc>
          <w:tcPr>
            <w:tcW w:w="3800" w:type="dxa"/>
            <w:vAlign w:val="bottom"/>
          </w:tcPr>
          <w:p>
            <w:pPr>
              <w:jc w:val="center"/>
              <w:ind w:left="2830"/>
              <w:spacing w:after="0"/>
              <w:rPr>
                <w:sz w:val="20"/>
                <w:szCs w:val="20"/>
                <w:color w:val="auto"/>
              </w:rPr>
            </w:pPr>
            <w:r>
              <w:rPr>
                <w:rFonts w:ascii="Arial" w:cs="Arial" w:eastAsia="Arial" w:hAnsi="Arial"/>
                <w:sz w:val="18"/>
                <w:szCs w:val="18"/>
                <w:b w:val="1"/>
                <w:bCs w:val="1"/>
                <w:color w:val="auto"/>
                <w:w w:val="89"/>
              </w:rPr>
              <w:t>2020</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7"/>
        </w:trPr>
        <w:tc>
          <w:tcPr>
            <w:tcW w:w="76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38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3800" w:type="dxa"/>
            <w:vAlign w:val="bottom"/>
            <w:tcBorders>
              <w:bottom w:val="single" w:sz="8" w:color="CCEEFF"/>
            </w:tcBorders>
            <w:shd w:val="clear" w:color="auto" w:fill="CCEEFF"/>
          </w:tcPr>
          <w:p>
            <w:pPr>
              <w:jc w:val="center"/>
              <w:ind w:left="28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$33.4</w:t>
            </w:r>
          </w:p>
        </w:tc>
      </w:tr>
      <w:tr>
        <w:trPr>
          <w:trHeight w:val="243"/>
        </w:trPr>
        <w:tc>
          <w:tcPr>
            <w:tcW w:w="760" w:type="dxa"/>
            <w:vAlign w:val="bottom"/>
          </w:tcPr>
          <w:p>
            <w:pPr>
              <w:spacing w:after="0"/>
              <w:rPr>
                <w:sz w:val="21"/>
                <w:szCs w:val="21"/>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Loss Attributable to ALLETE</w:t>
            </w:r>
          </w:p>
        </w:tc>
        <w:tc>
          <w:tcPr>
            <w:tcW w:w="3800" w:type="dxa"/>
            <w:vAlign w:val="bottom"/>
          </w:tcPr>
          <w:p>
            <w:pPr>
              <w:jc w:val="center"/>
              <w:ind w:left="281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280"/>
              <w:spacing w:after="0"/>
              <w:rPr>
                <w:sz w:val="20"/>
                <w:szCs w:val="20"/>
                <w:color w:val="auto"/>
              </w:rPr>
            </w:pPr>
            <w:r>
              <w:rPr>
                <w:rFonts w:ascii="Arial" w:cs="Arial" w:eastAsia="Arial" w:hAnsi="Arial"/>
                <w:sz w:val="18"/>
                <w:szCs w:val="18"/>
                <w:color w:val="auto"/>
              </w:rPr>
              <w:t>$(1.1)</w:t>
            </w:r>
          </w:p>
        </w:tc>
      </w:tr>
      <w:tr>
        <w:trPr>
          <w:trHeight w:val="27"/>
        </w:trPr>
        <w:tc>
          <w:tcPr>
            <w:tcW w:w="76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was $33.4 million for the six months ended June 30, 2019. ALLETE completed the sale of U.S. Water Services in the first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2019.</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Net Loss Attributable to ALLETE </w:t>
      </w:r>
      <w:r>
        <w:rPr>
          <w:rFonts w:ascii="Arial" w:cs="Arial" w:eastAsia="Arial" w:hAnsi="Arial"/>
          <w:sz w:val="18"/>
          <w:szCs w:val="18"/>
          <w:color w:val="auto"/>
        </w:rPr>
        <w:t>was $1.1 million for the six months ended June 30, 2019. ALLETE completed the sale of U.S. Water Services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first quarter of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6"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increased $1.7 million, or 3 percent, from 2019 primarily due to higher revenue at BNI Energy, which operates under cost-plus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fixed fee contracts, as a result of higher expenses in 2020 compared to 2019, partially offset by the timing of land sales at ALLETE Properties.</w:t>
      </w:r>
    </w:p>
    <w:p>
      <w:pPr>
        <w:spacing w:after="0" w:line="151"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b w:val="1"/>
          <w:bCs w:val="1"/>
          <w:i w:val="1"/>
          <w:iCs w:val="1"/>
          <w:color w:val="auto"/>
        </w:rPr>
        <w:t xml:space="preserve">Net Income Attributable to ALLETE </w:t>
      </w:r>
      <w:r>
        <w:rPr>
          <w:rFonts w:ascii="Arial" w:cs="Arial" w:eastAsia="Arial" w:hAnsi="Arial"/>
          <w:sz w:val="16"/>
          <w:szCs w:val="16"/>
          <w:color w:val="auto"/>
        </w:rPr>
        <w:t>was $2.1 million in 2020 compared to net income of $16.3 million in 2019. Net income in 2019 included a gain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 sale of U.S. Water Services of $11.1 million after-tax. Net income in 2020 included lower earnings from marketable equity securities held in benefit trusts and additional income tax expense recorded in 2020 as GAAP requires the recognition of income taxes at the estimated annual effective tax rate. Net income at BNI Energy was $3.2 million in 2020 compared to $3.6 million in 2019, reflecting lower earnings from marketable equity securities held in benefit trusts in 2020. The net loss at ALLETE Properties was $1.0 million in 2020 compared to a net loss of $1.1 million in 2019.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COMPARISON OF THE SIX MONTHS ENDED JUNE 30, 2020 AND 2019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5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For the six months ended June 30, 2020, the effective tax rate was a benefit of 37.8 percent (benefit of 1.8 percent for the six months ended June 30, 2019). The effective tax rate for 2020 was a higher benefit primarily due to 2019 including a higher tax rate on and higher pre-tax income resulting from the gain on the sale of U.S. Water Services in 2019.</w:t>
      </w:r>
    </w:p>
    <w:p>
      <w:pPr>
        <w:spacing w:after="0" w:line="21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We expect our annual effective tax rate in 2020 to be a higher benefit as compared to 2019 primarily due to higher production tax credits generated by ALLETE Clean Energy in 2020 and lower pre-tax income. The effective rate deviated from the combined statutory rate of approximately 28 percent primarily due to production tax credits. (See Note 8. Income Tax Expense.)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and taxation. These policies are reviewed with the Audit Committee of our Board of Directors on a regular basis and summarized in Part II, Item 7. Management’s Discussion and Analysis of Financial Condition and Results of Operations of our 2019 Form 10-K.</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2019 Form 10-K.</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ALLETE is an energy company committed to earning a financial return that rewards our shareholders, allows for reinvestment in our businesses and sustains growth. The Company has long-term objectives of achieving average annual earnings per share growth of 5 percent to 7 percent, and providing a dividend payout competitive with our industry. Regulated Operations is projected to have average annual earnings growth of 4 percent to 5 percent over the long-term. ALLETE Clean Energy and our Corporate and Other businesses are projected to have average annual earnings growth of at least 15 percent over the long-term. Our annual earnings per share is expected to be negatively impacted in the short-term by the ongoing COVID-19 pandemic and related disruptions; however, the Company expects it will be able to maintain its stated financial objectives for average annual earnings per share growth over the long-term (next five years). (See Part II, Item 1A. Risk Factors.)</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ALLETE is predominately a regulated utility through Minnesota Power, SWL&amp;P and an investment in ATC. ALLETE’s strategy is to remain predominately a regulated utility while investing in ALLETE Clean Energy and our Corporate and Other businesses to complement its regulated businesses, balance exposure to the utility’s industrial customers and provide potential long-term earnings growth. ALLETE expects net income from Regulated Operations to be approximately 80 percent of total consolidated net income in 2020. Over the next several years, the contribution of ALLETE Clean Energy and our Corporate and Other businesses to net income is expected to increase as ALLETE grows these operations. ALLETE expects its businesses to provide regulated, contracted or recurring revenues, and to support sustained growth in net income and cash flow.</w:t>
      </w:r>
    </w:p>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Minnesota Power’s long-term strategy is to be the leading electric energy provider in northeastern Minnesota by providing safe,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(See </w:t>
      </w:r>
      <w:r>
        <w:rPr>
          <w:rFonts w:ascii="Arial" w:cs="Arial" w:eastAsia="Arial" w:hAnsi="Arial"/>
          <w:sz w:val="17"/>
          <w:szCs w:val="17"/>
          <w:i w:val="1"/>
          <w:iCs w:val="1"/>
          <w:color w:val="auto"/>
        </w:rPr>
        <w:t>EnergyForward.</w:t>
      </w:r>
      <w:r>
        <w:rPr>
          <w:rFonts w:ascii="Arial" w:cs="Arial" w:eastAsia="Arial" w:hAnsi="Arial"/>
          <w:sz w:val="17"/>
          <w:szCs w:val="17"/>
          <w:color w:val="auto"/>
        </w:rPr>
        <w:t>)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OUTLOOK (Continued)</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Regulatory Matters. </w:t>
      </w:r>
      <w:r>
        <w:rPr>
          <w:rFonts w:ascii="Arial" w:cs="Arial" w:eastAsia="Arial" w:hAnsi="Arial"/>
          <w:sz w:val="16"/>
          <w:szCs w:val="16"/>
          <w:color w:val="auto"/>
        </w:rPr>
        <w:t>Entities within our Regulated Operations segment are under the jurisdiction of the MPUC, FERC, PSCW and NDPSC. See Note 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Regulatory Matters for discussion of regulatory matters within these jurisdictions.</w:t>
      </w:r>
    </w:p>
    <w:p>
      <w:pPr>
        <w:spacing w:after="0" w:line="2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2020 Minnesota General Rate Case. </w:t>
      </w:r>
      <w:r>
        <w:rPr>
          <w:rFonts w:ascii="Arial" w:cs="Arial" w:eastAsia="Arial" w:hAnsi="Arial"/>
          <w:sz w:val="16"/>
          <w:szCs w:val="16"/>
          <w:color w:val="auto"/>
        </w:rPr>
        <w:t>In November 2019, Minnesota Power filed a retail rate increase request with the MPUC seeking an average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approximately 10.6 percent for retail customers. The rate filing sought a return on equity of 10.05 percent and a 53.81 percent equity ratio. On an annualized basis, the requested final rate increase would have generated approximately $66 million in additional revenue. In orders dated December 23, 2019, the MPUC accepted the filing as complete and authorized an annual interim rate increase of $36.1 million that began January 1, 2020.</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April 23, 2020, Minnesota Power filed a request with the MPUC that proposed a resolution of Minnesota Power’s 2020 general rate case. Key components of our proposal included removing the power marketing margin credit in base rates and reflecting actual power marketing margins in the fuel adjustment clause effective May 1, 2020; refunding to customers interim rates collected through April 2020; increasing customer rates 4.1 percent compared to the 5.8 percent increase reflected in interim rates; and a provision that Minnesota Power would not file another rate case until at least November 1, 2021, unless certain events occur. In an order dated June 30, 2020, the MPUC approved Minnesota Power’s petition and proposal to resolve and withdraw the general rate case. Effective May 1, 2020, customer rates were set at an increase of 4.1 percent with the removal of the power marketing margin credit from base rates. Actual power marketing margins will be reflected in the fuel adjustment clause on an ongoing basis. As of June 30, 2020, reserves for interim rates of $11.7 million were recorded, which are expected to be refunded to customers in the third quarter of 2020.</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2018 Wisconsin General Rate Case. </w:t>
      </w:r>
      <w:r>
        <w:rPr>
          <w:rFonts w:ascii="Arial" w:cs="Arial" w:eastAsia="Arial" w:hAnsi="Arial"/>
          <w:sz w:val="18"/>
          <w:szCs w:val="18"/>
          <w:color w:val="auto"/>
        </w:rPr>
        <w:t>SWL&amp;P’s current retail rates are based on a December 2018 PSCW order that allows for a return on equity of 10.4</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and a 55.0 percent equity ratio. The PSCW has directed SWL&amp;P to file a general rate case in 2020; however, on July 24, 2020, SWL&amp;P filed a waiver and extension request with the PSCW to delay filing its next general rate case on or before December 20, 2022, primarily due to impacts of the COVID-19 pandemic.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Industrial Customers. </w:t>
      </w:r>
      <w:r>
        <w:rPr>
          <w:rFonts w:ascii="Arial" w:cs="Arial" w:eastAsia="Arial" w:hAnsi="Arial"/>
          <w:sz w:val="18"/>
          <w:szCs w:val="18"/>
          <w:color w:val="auto"/>
        </w:rPr>
        <w:t>Electric power is one of several key inputs in the taconite mining, paper, pulp and secondary wood products, pipeline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Approximately 51 percent of our regulated utility kWh sales in the six months ended June 30, 2020, were made to our industrial customers (53 percent in the six months ended June 30, 2019). These customers and their markets have been impacted by the ongoing COVID-19 pandemic. (See Part II, Item 1A. Risk Factors.)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ongoing COVID-19 pandemic and related governmental responses has led to a disruption of economic activity, and could result in an extended disruption of economic activity. This disruption has resulted in reduced sales and revenue from industrial customers as many industrial customers operated at reduced levels or were temporarily closed or idled during the second quarter of 2020. In addition, USS Corporation indefinitely idled its Keetac plant and Verso Corporation indefinitely idled its paper mill in Duluth, Minnesota. (See </w:t>
      </w:r>
      <w:r>
        <w:rPr>
          <w:rFonts w:ascii="Arial" w:cs="Arial" w:eastAsia="Arial" w:hAnsi="Arial"/>
          <w:sz w:val="17"/>
          <w:szCs w:val="17"/>
          <w:i w:val="1"/>
          <w:iCs w:val="1"/>
          <w:color w:val="auto"/>
        </w:rPr>
        <w:t>USS Corporation and Verso Corporation</w:t>
      </w:r>
      <w:r>
        <w:rPr>
          <w:rFonts w:ascii="Arial" w:cs="Arial" w:eastAsia="Arial" w:hAnsi="Arial"/>
          <w:sz w:val="17"/>
          <w:szCs w:val="17"/>
          <w:color w:val="auto"/>
        </w:rPr>
        <w:t>.) The current disruption of economic activity or an extended disruption of economic activity may lead to additional adverse impacts on our taconite and paper, pulp and secondary wood products, pipeline and other industrial customers’ operations including further reduced production or the temporary idling or indefinite shutdown of other facilities, which would result in lower sales and revenue from these customers.</w:t>
      </w:r>
    </w:p>
    <w:p>
      <w:pPr>
        <w:spacing w:after="0" w:line="2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u w:val="single" w:color="auto"/>
          <w:color w:val="auto"/>
        </w:rPr>
        <w:t>Taconite</w:t>
      </w:r>
      <w:r>
        <w:rPr>
          <w:rFonts w:ascii="Arial" w:cs="Arial" w:eastAsia="Arial" w:hAnsi="Arial"/>
          <w:sz w:val="16"/>
          <w:szCs w:val="16"/>
          <w:color w:val="auto"/>
        </w:rPr>
        <w:t>. Minnesota Power’s taconite customers are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10 percent of Minnesota taconite production has been exported outside of North America.</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67 percent of capacity during the first six months of 2020 compared to 81 percent in the first six months of 2019; however, the American Iron and Steel Institute also reported that U.S. raw steel production in the last week of July 2020 was approximately 60 percent of capacity. The World Steel Association, an association of steel producers, national and regional steel industry associations, and steel research institutes representing approximately 85 percent of world steel production, projected in June 2020 that U.S. steel consumption in 2020 will decrease by approximately 23 percent compared to 2019.</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$0.04,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(See Note 6. Commitments, Guarantees and Contingencies.) Long-term reductions in taconite production or a permanent shut down of a taconite customer may lead Minnesota Power to file a general rate case to recover lost revenue.</w:t>
      </w:r>
    </w:p>
    <w:p>
      <w:pPr>
        <w:spacing w:after="0" w:line="2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u w:val="single" w:color="auto"/>
          <w:color w:val="auto"/>
        </w:rPr>
        <w:t>Northshore Mining</w:t>
      </w:r>
      <w:r>
        <w:rPr>
          <w:rFonts w:ascii="Arial" w:cs="Arial" w:eastAsia="Arial" w:hAnsi="Arial"/>
          <w:sz w:val="17"/>
          <w:szCs w:val="17"/>
          <w:i w:val="1"/>
          <w:iCs w:val="1"/>
          <w:color w:val="auto"/>
        </w:rPr>
        <w:t xml:space="preserve">. </w:t>
      </w:r>
      <w:r>
        <w:rPr>
          <w:rFonts w:ascii="Arial" w:cs="Arial" w:eastAsia="Arial" w:hAnsi="Arial"/>
          <w:sz w:val="17"/>
          <w:szCs w:val="17"/>
          <w:color w:val="auto"/>
        </w:rPr>
        <w:t>Cliffs is currently constructing a hot briquetted iron production plant in Toledo, Ohio, and had begun shipping direct reduced-grade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pellets form Northshore Mining to the Toledo plant in anticipation of the planned start of operations in 2020. In March 2020, following guidelines from the office of the Governor of Ohio regarding the COVID-19 pandemic, Cliffs temporarily shut down construction activities at its hot briquetted iron project site. In April 2020, Cliffs announced that, based on market conditions, it would be temporarily idling production at two of its iron ore mining operations, Northshore Mining in Minnesota and Tilden Mine in Michigan. Cliffs idled production at Northshore Mining in April 2020 and is expected to restart the facility and be at full production in August 2020. In June 2020, Cliffs announced that it was resuming construction of its hot briquetted iron project in Toledo, Ohio, with construction expected to be completed in the fourth quarter of 2020. Northshore Mining has the capability to produce approximately 6 million tons annually. Minnesota Power has a PSA through 2031 with Silver Bay Power, which provides the majority of the electric service requirements for Northshore Mining. (See </w:t>
      </w:r>
      <w:r>
        <w:rPr>
          <w:rFonts w:ascii="Arial" w:cs="Arial" w:eastAsia="Arial" w:hAnsi="Arial"/>
          <w:sz w:val="17"/>
          <w:szCs w:val="17"/>
          <w:i w:val="1"/>
          <w:iCs w:val="1"/>
          <w:color w:val="auto"/>
        </w:rPr>
        <w:t>Silver Bay Power</w:t>
      </w:r>
      <w:r>
        <w:rPr>
          <w:rFonts w:ascii="Arial" w:cs="Arial" w:eastAsia="Arial" w:hAnsi="Arial"/>
          <w:sz w:val="17"/>
          <w:szCs w:val="17"/>
          <w:color w:val="auto"/>
        </w:rPr>
        <w:t>.)</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u w:val="single" w:color="auto"/>
          <w:color w:val="auto"/>
        </w:rPr>
        <w:t>Silver Bay Power</w:t>
      </w:r>
      <w:r>
        <w:rPr>
          <w:rFonts w:ascii="Arial" w:cs="Arial" w:eastAsia="Arial" w:hAnsi="Arial"/>
          <w:sz w:val="17"/>
          <w:szCs w:val="17"/>
          <w:i w:val="1"/>
          <w:iCs w:val="1"/>
          <w:color w:val="auto"/>
        </w:rPr>
        <w:t xml:space="preserve">. </w:t>
      </w:r>
      <w:r>
        <w:rPr>
          <w:rFonts w:ascii="Arial" w:cs="Arial" w:eastAsia="Arial" w:hAnsi="Arial"/>
          <w:sz w:val="17"/>
          <w:szCs w:val="17"/>
          <w:color w:val="auto"/>
        </w:rPr>
        <w:t>In 2016, Minnesota Power and Silver Bay Power entered into a PSA through 2031. Silver Bay Power supplies approximately 90 MW of</w:t>
      </w:r>
      <w:r>
        <w:rPr>
          <w:rFonts w:ascii="Arial" w:cs="Arial" w:eastAsia="Arial" w:hAnsi="Arial"/>
          <w:sz w:val="17"/>
          <w:szCs w:val="17"/>
          <w:i w:val="1"/>
          <w:iCs w:val="1"/>
          <w:color w:val="auto"/>
        </w:rPr>
        <w:t xml:space="preserve"> </w:t>
      </w:r>
      <w:r>
        <w:rPr>
          <w:rFonts w:ascii="Arial" w:cs="Arial" w:eastAsia="Arial" w:hAnsi="Arial"/>
          <w:sz w:val="17"/>
          <w:szCs w:val="17"/>
          <w:color w:val="auto"/>
        </w:rPr>
        <w:t>load to Northshore Mining, an affiliate of Silver Bay Power, which had previously been served predominately through self-generation by Silver Bay Power. Starting in 2016, Minnesota Power supplied Silver Bay Power with at least 50 MW of energy and Silver Bay Power had the option to purchase additional energy from Minnesota Power as it transitioned away from self-generation. In the third quarter of 2019, Silver Bay Power ceased self-generation and Minnesota Power began supplying the full energy requirements for Silver Bay Power.</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USS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April 2020, USS Corporation stated it would indefinitely idle its Keetac facility in Keewatin, Minnesota, in response to the sudden</w:t>
      </w:r>
      <w:r>
        <w:rPr>
          <w:rFonts w:ascii="Arial" w:cs="Arial" w:eastAsia="Arial" w:hAnsi="Arial"/>
          <w:sz w:val="18"/>
          <w:szCs w:val="18"/>
          <w:i w:val="1"/>
          <w:iCs w:val="1"/>
          <w:color w:val="auto"/>
        </w:rPr>
        <w:t xml:space="preserve"> </w:t>
      </w:r>
      <w:r>
        <w:rPr>
          <w:rFonts w:ascii="Arial" w:cs="Arial" w:eastAsia="Arial" w:hAnsi="Arial"/>
          <w:sz w:val="18"/>
          <w:szCs w:val="18"/>
          <w:color w:val="auto"/>
        </w:rPr>
        <w:t>and dramatic decline in business conditions resulting from the COVID-19 pandemic. In addition, in May 2020, USS Corporation announced that production was expected to be temporarily reduced at its Minntac Plant in Mountain Iron, Minnesota. USS Corporation increased production at its Minntac Plant beginning in late July 2020. No update was provided regarding its Keetac facility. USS Corporation has the capability to produce approximately 20 million tons annually at its Minntac and Keetac plants.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Hibbing Taconite</w:t>
      </w:r>
      <w:r>
        <w:rPr>
          <w:rFonts w:ascii="Arial" w:cs="Arial" w:eastAsia="Arial" w:hAnsi="Arial"/>
          <w:sz w:val="18"/>
          <w:szCs w:val="18"/>
          <w:color w:val="auto"/>
        </w:rPr>
        <w:t>. In April 2020, ArcelorMittal announced that Hibbing Taconite in Hibbing, Minnesota, would idle production due to the COVID-19</w:t>
      </w:r>
      <w:r>
        <w:rPr>
          <w:rFonts w:ascii="Arial" w:cs="Arial" w:eastAsia="Arial" w:hAnsi="Arial"/>
          <w:sz w:val="18"/>
          <w:szCs w:val="18"/>
          <w:i w:val="1"/>
          <w:iCs w:val="1"/>
          <w:color w:val="auto"/>
        </w:rPr>
        <w:t xml:space="preserve"> </w:t>
      </w:r>
      <w:r>
        <w:rPr>
          <w:rFonts w:ascii="Arial" w:cs="Arial" w:eastAsia="Arial" w:hAnsi="Arial"/>
          <w:sz w:val="18"/>
          <w:szCs w:val="18"/>
          <w:color w:val="auto"/>
        </w:rPr>
        <w:t>pandemic. Hibbing Taconite is expected to resume production in August 2020. Hibbing Taconite has the capability to produce approximately 8 million tons annually.</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Paper, Pulp and Secondary Wood Products</w:t>
      </w:r>
      <w:r>
        <w:rPr>
          <w:rFonts w:ascii="Arial" w:cs="Arial" w:eastAsia="Arial" w:hAnsi="Arial"/>
          <w:sz w:val="16"/>
          <w:szCs w:val="16"/>
          <w:color w:val="auto"/>
        </w:rPr>
        <w:t xml:space="preserve">. The North American paper and pulp industry faces declining demand due to the impact of electronic substitution for print and changing customer needs. As a result, certain paper and pulp customers have reduced their existing operations in recent years and have pursued or are pursuing product changes in response to the declining demand. In addition, the ongoing COVID-19 pandemic and related federal and state government responses have adversely impacted these customers’ operations and resulted in lower operating levels than expected as well as the indefinite shutdown of Verso Corporations’ paper mill in Duluth, Minnesota. (See </w:t>
      </w:r>
      <w:r>
        <w:rPr>
          <w:rFonts w:ascii="Arial" w:cs="Arial" w:eastAsia="Arial" w:hAnsi="Arial"/>
          <w:sz w:val="16"/>
          <w:szCs w:val="16"/>
          <w:i w:val="1"/>
          <w:iCs w:val="1"/>
          <w:color w:val="auto"/>
        </w:rPr>
        <w:t>Verso Corporation</w:t>
      </w:r>
      <w:r>
        <w:rPr>
          <w:rFonts w:ascii="Arial" w:cs="Arial" w:eastAsia="Arial" w:hAnsi="Arial"/>
          <w:sz w:val="16"/>
          <w:szCs w:val="16"/>
          <w:color w:val="auto"/>
        </w:rPr>
        <w:t>.) These customers could continue to be adversely impacted by the COVID-19 pandemic resulting in lower operating levels than expected or the temporary idling or indefinite shutdown of other facilities.</w:t>
      </w:r>
    </w:p>
    <w:p>
      <w:pPr>
        <w:spacing w:after="0" w:line="19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u w:val="single" w:color="auto"/>
          <w:color w:val="auto"/>
        </w:rPr>
        <w:t>Boise</w:t>
      </w:r>
      <w:r>
        <w:rPr>
          <w:rFonts w:ascii="Arial" w:cs="Arial" w:eastAsia="Arial" w:hAnsi="Arial"/>
          <w:sz w:val="16"/>
          <w:szCs w:val="16"/>
          <w:i w:val="1"/>
          <w:iCs w:val="1"/>
          <w:color w:val="auto"/>
        </w:rPr>
        <w:t xml:space="preserve">. </w:t>
      </w:r>
      <w:r>
        <w:rPr>
          <w:rFonts w:ascii="Arial" w:cs="Arial" w:eastAsia="Arial" w:hAnsi="Arial"/>
          <w:sz w:val="16"/>
          <w:szCs w:val="16"/>
          <w:color w:val="auto"/>
        </w:rPr>
        <w:t>On April 1, 2020, Packaging Corporation of America announced an idling of both paper machines and the sheet-converting operation at its Jackson</w:t>
      </w:r>
      <w:r>
        <w:rPr>
          <w:rFonts w:ascii="Arial" w:cs="Arial" w:eastAsia="Arial" w:hAnsi="Arial"/>
          <w:sz w:val="16"/>
          <w:szCs w:val="16"/>
          <w:i w:val="1"/>
          <w:iCs w:val="1"/>
          <w:color w:val="auto"/>
        </w:rPr>
        <w:t xml:space="preserve"> </w:t>
      </w:r>
      <w:r>
        <w:rPr>
          <w:rFonts w:ascii="Arial" w:cs="Arial" w:eastAsia="Arial" w:hAnsi="Arial"/>
          <w:sz w:val="16"/>
          <w:szCs w:val="16"/>
          <w:color w:val="auto"/>
        </w:rPr>
        <w:t>Mill in Alabama for the months of May and June 2020. As part of that announcement, Packaging Corporation of America also stated that the company's Boise paper mill in International Falls, Minnesota, which is a customer of Minnesota Power, would continue to operate at capacity during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Verso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June 2020, Verso Corporation indefinitely idled its paper mill in Duluth, Minnesota. Verso Corporation stated the decision was due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accelerated decline in graphic paper demand resulting from the COVID-19 pandemic and that it will explore alternatives for the mill including restarting if market conditions improve, marketing for sale or closing permanently.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Pipeline and Other Industries</w:t>
      </w:r>
      <w:r>
        <w:rPr>
          <w:rFonts w:ascii="Arial" w:cs="Arial" w:eastAsia="Arial" w:hAnsi="Arial"/>
          <w:sz w:val="18"/>
          <w:szCs w:val="18"/>
          <w:color w:val="auto"/>
        </w:rPr>
        <w: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Husky Energy</w:t>
      </w:r>
      <w:r>
        <w:rPr>
          <w:rFonts w:ascii="Arial" w:cs="Arial" w:eastAsia="Arial" w:hAnsi="Arial"/>
          <w:sz w:val="18"/>
          <w:szCs w:val="18"/>
          <w:color w:val="auto"/>
        </w:rPr>
        <w:t>. In April 2018, a fire at Husky Energy’s refinery in Superior, Wisconsin, disrupted operations at the facility. Under normal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SWL&amp;P provides approximately 14 MW of average monthly demand to Husky Energy in addition to water service. In September 2019, Husky Energy announced that it had received the required permit approvals to begin reconstruction. In June 2020, Husky Energy announced that rebuild construction at the refinery had resumed following a suspension in March 2020 due to the COVID-19 pandemic. The facility remains at minimal operations, and the refinery is not expected to resume normal operations until 2022.</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in northeastern Minnesota continue to progress in the development of natural resource-based projects that represent long-term growth potential and load diversity for Minnesota Power. We cannot predict the outcome of these projects.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PolyMet</w:t>
      </w:r>
      <w:r>
        <w:rPr>
          <w:rFonts w:ascii="Arial" w:cs="Arial" w:eastAsia="Arial" w:hAnsi="Arial"/>
          <w:sz w:val="18"/>
          <w:szCs w:val="18"/>
          <w:color w:val="auto"/>
        </w:rPr>
        <w:t>. PolyMet is planning to start a new copper-nickel and precious metal (non-ferrous) mining operation in northeastern Minnesota. In 2015, PolyMet</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announced the completion of the final EIS by state and federal agencies, which was subsequently published in the Federal Register and Minnesota Environmental Quality Board Monitor. The Minnesota Department of Natural Resources (DNR) and the U.S. Army Corps of Engineers have both issued final Records of Decision, finding the final EIS adequate.</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2016, PolyMet submitted applications for water-related permits with the DNR and MPCA, an air quality permit with the MPCA, and a state permit to mine application with the DNR detailing its operational plans for the mine. In June 2018, the U.S. Forest Service and PolyMet closed on a land exchange, which resulted in PolyMet obtaining surface rights to land needed to develop its mining operation. In November 2018, the DNR issued PolyMet’s permit to mine and certain water-related permits. In December 2018, the MPCA issued PolyMet’s final state water and air quality permits. On March 21, 2019, the U.S. Army Corps of Engineers issued PolyMet’s final federal permit. PolyMet was issued all necessary permits to construct and operate its new mining operation; however, on January 13, 2020, the Minnesota Court of Appeals reversed the DNR’s decisions granting PolyMet’s permit to mine and dam-safety permits, and remanded them back to the DNR to hold a contested-case hearing. On February 11, 2020, PolyMet announced it had filed a petition for further review with the Minnesota Supreme Court seeking to overturn the Minnesota Court of Appeals decision, which was accepted for review by the Minnesota Supreme Court on March 25, 2020. Minnesota Power could supply between 45 MW and 50 MW of load under a 10-year power supply contract with PolyMet that would begin upon start-up of operations.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EnergyForward. </w:t>
      </w:r>
      <w:r>
        <w:rPr>
          <w:rFonts w:ascii="Arial" w:cs="Arial" w:eastAsia="Arial" w:hAnsi="Arial"/>
          <w:sz w:val="17"/>
          <w:szCs w:val="17"/>
          <w:color w:val="auto"/>
        </w:rPr>
        <w:t>Minnesota Power is executing</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EnergyForward</w:t>
      </w:r>
      <w:r>
        <w:rPr>
          <w:rFonts w:ascii="Arial" w:cs="Arial" w:eastAsia="Arial" w:hAnsi="Arial"/>
          <w:sz w:val="17"/>
          <w:szCs w:val="17"/>
          <w:color w:val="auto"/>
        </w:rPr>
        <w:t>, a strategic plan for assuring reliability, protecting affordability and further improving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environmental performance. The plan includes completed and planned investments in wind, solar, natural gas and hydroelectric power, construction of additional transmission capacity, the installation of emissions control technology and the idling of certain coal-fired generating facilities.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Integrated Resource Plan. </w:t>
      </w:r>
      <w:r>
        <w:rPr>
          <w:rFonts w:ascii="Arial" w:cs="Arial" w:eastAsia="Arial" w:hAnsi="Arial"/>
          <w:sz w:val="17"/>
          <w:szCs w:val="17"/>
          <w:color w:val="auto"/>
        </w:rPr>
        <w:t>In a 2016 order, the MPUC approved Minnesota Power’s 2015 IRP with modifications. The order accepted Minnesota Power’s</w:t>
      </w:r>
      <w:r>
        <w:rPr>
          <w:rFonts w:ascii="Arial" w:cs="Arial" w:eastAsia="Arial" w:hAnsi="Arial"/>
          <w:sz w:val="17"/>
          <w:szCs w:val="17"/>
          <w:i w:val="1"/>
          <w:iCs w:val="1"/>
          <w:color w:val="auto"/>
        </w:rPr>
        <w:t xml:space="preserve"> </w:t>
      </w:r>
      <w:r>
        <w:rPr>
          <w:rFonts w:ascii="Arial" w:cs="Arial" w:eastAsia="Arial" w:hAnsi="Arial"/>
          <w:sz w:val="17"/>
          <w:szCs w:val="17"/>
          <w:color w:val="auto"/>
        </w:rPr>
        <w:t>plans for the economic idling of Taconite Harbor Units 1 and 2 and the ceasing of coal-fired operations at Taconite Harbor in 2020, directed Minnesota Power to retire Boswell Units 1 and 2 no later than 2022, required an analysis of generation and demand response alternatives to be filed with a natural gas resource proposal, and required Minnesota Power to conduct requests for proposal for additional wind, solar and demand response resource additions. Minnesota Power retired Boswell Units 1 and 2 in the fourth quarter of 2018. The MPUC also has required a baseload retirement evaluation in Minnesota Power’s next IRP filing analyzing its existing fleet, including potential early retirement scenarios of Boswell Units 3 and 4, as well as a securitization plan. Minnesota Power’s next IRP filing w due October 1, 2020; however, on May 29, 2020, Minnesota Power filed a request to extend the deadline for submitting its next IRP filing citing the COVID-19 pandemic. On July 30, 2020, the MPUC granted an extension of the deadline for submission until February 1, 2021, with interim reports due in the fourth quarter of 2020.</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Nemadji Trail Energy Center</w:t>
      </w:r>
      <w:r>
        <w:rPr>
          <w:rFonts w:ascii="Arial" w:cs="Arial" w:eastAsia="Arial" w:hAnsi="Arial"/>
          <w:sz w:val="16"/>
          <w:szCs w:val="16"/>
          <w:color w:val="auto"/>
        </w:rPr>
        <w:t>. In 2017, Minnesota Power submitted a resource package to the MPUC which included requesting approval of a 250 MW</w:t>
      </w:r>
      <w:r>
        <w:rPr>
          <w:rFonts w:ascii="Arial" w:cs="Arial" w:eastAsia="Arial" w:hAnsi="Arial"/>
          <w:sz w:val="16"/>
          <w:szCs w:val="16"/>
          <w:i w:val="1"/>
          <w:iCs w:val="1"/>
          <w:color w:val="auto"/>
        </w:rPr>
        <w:t xml:space="preserve"> </w:t>
      </w:r>
      <w:r>
        <w:rPr>
          <w:rFonts w:ascii="Arial" w:cs="Arial" w:eastAsia="Arial" w:hAnsi="Arial"/>
          <w:sz w:val="16"/>
          <w:szCs w:val="16"/>
          <w:color w:val="auto"/>
        </w:rPr>
        <w:t>natural gas capacity dedication agreement. The natural gas capacity dedication agreement was subject to MPUC approval of the construction of NTEC, a 525 MW to 550 MW combined-cycle natural gas-fired generating facility which will be jointly owned by Dairyland Power Cooperative and a subsidiary of ALLETE. Minnesota Power would purchase approximately 50 percent of the facility's output starting in 2025. In an order dated January 24, 2019, the MPUC approved Minnesota Power’s request for approval of the NTEC natural gas capacity dedication agreement. On December 23, 2019, the Minnesota Court of Appeals reversed and remanded the MPUC’s decision to approve certain affiliated-interest agreements. The MPUC was ordered to determine whether NTEC may have the potential for significant environmental effects and, if so, to prepare an environmental assessment worksheet before reassessing the agreements. On January 22, 2020, Minnesota Power filed a petition for further review with the Minnesota Supreme Court requesting that it review and overturn the Minnesota Court of Appeals decision, which petition was accepted for review by the Minnesota Supreme Court on March 18, 2020. On January 8, 2019, an application for a certificate of public convenience and necessity for NTEC was submitted to the PSCW, which was approved by the PSCW at a hearing on January 16, 2020. Construction of NTEC is subject to obtaining additional permits from local, state and federal authorities. The total project cost is estimated to be approximately $700 million, of which ALLETE’s portion is expected to be approximately $350 million. ALLETE’s portion of NTEC project costs incurred through June 30, 2020, is approximately $14 million.</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Renewable Energy. </w:t>
      </w:r>
      <w:r>
        <w:rPr>
          <w:rFonts w:ascii="Arial" w:cs="Arial" w:eastAsia="Arial" w:hAnsi="Arial"/>
          <w:sz w:val="18"/>
          <w:szCs w:val="18"/>
          <w:color w:val="auto"/>
        </w:rPr>
        <w:t>Minnesota Power’s 2015 IRP includes an update on its plans and progress in meeting the Minnesota renewable energy milestones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2025. Minnesota Power continues to execute its renewable energy strategy and expects approximately 50 percent of its energy will be supplied by renewable energy sources by 2021.</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Solar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solar energy supply consists of Camp Ripley, a 10 MW solar energy facility at the Camp Ripley Minnesota Army</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Guard base and training facility near Little Falls, Minnesota, and a community solar garden project in northeastern Minnesota, which is comprised of a 1 MW solar array owned and operated by a third party with the output purchased by Minnesota Power and a 40 kW solar array that is owned and operated by Minnesota Power.</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17, 2020, Minnesota Power filed a proposal with the MPUC to accelerate its plans for solar energy with an estimated $40 million investment in approximately 20 MW of solar energy projects in Minnesota. (See Note 2. Regulatory Matters.)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Minnesota Power has approval for current cost recovery of investments and expenditures related to compliance with the Minnesota Solar Energy Standard. On June 30, 2020, Minnesota Power filed a petition seeking MPUC approval of a customer billing rate for solar costs related to investments and expenditures for meeting the state of Minnesota’s solar energy standard.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Wind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wind energy facilities consist of Bison (497 MW) located in North Dakota, and Taconite Ridge (25 MW)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Minnesota Power also has two long-term wind energy PPAs with an affiliate of NextEra Energy, Inc. to purchase the output from Oliver Wind I (50 MW) and Oliver Wind II (48 MW) located in North Dakota.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uses the 465-mile, 250-kV DC transmission line that runs from Center, North Dakota, to Duluth, Minnesota, to transport wind energy from North Dakota while gradually phasing out coal-based electricity delivered to its system over this transmission line from Square Butte’s lignite coal-fired generating unit. Minnesota Power is currently pursuing a modernization and capacity upgrade of its DC transmission system to continue providing reliable operations and additional system capabilities.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Minnesota Power has an approved cost recovery rider for certain renewable investments and expenditures. The cost recovery rider allows Minnesota Power to charge retail customers on a current basis for the costs of certain renewable investments plus a return on the capital invested. Updated customer billing rates for the renewable cost recovery rider were provisionally approved by the MPUC in a November 2018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Nobles 2 PPA</w:t>
      </w:r>
      <w:r>
        <w:rPr>
          <w:rFonts w:ascii="Arial" w:cs="Arial" w:eastAsia="Arial" w:hAnsi="Arial"/>
          <w:sz w:val="17"/>
          <w:szCs w:val="17"/>
          <w:i w:val="1"/>
          <w:iCs w:val="1"/>
          <w:color w:val="auto"/>
        </w:rPr>
        <w:t xml:space="preserve">. </w:t>
      </w:r>
      <w:r>
        <w:rPr>
          <w:rFonts w:ascii="Arial" w:cs="Arial" w:eastAsia="Arial" w:hAnsi="Arial"/>
          <w:sz w:val="17"/>
          <w:szCs w:val="17"/>
          <w:color w:val="auto"/>
        </w:rPr>
        <w:t>In the third quarter of 2018, Minnesota Power and Nobles 2 signed an amended long-term PPA that provides for Minnesota Power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the energy and associated capacity from a 250 MW wind energy facility in southwestern Minnesota for a 20-year period beginning in 2020. The agreement provides for the purchase of output from the facility at fixed energy prices. There are no fixed capacity charges, and Minnesota Power will only pay for energy as it is delivered. This agreement is subject to construction of the wind energy facility. (See Note 3. Equity Investments.)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Manitoba Hydro</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has three long-term PPAs with Manitoba Hydro. Under the first PPA, Minnesota Power is purchasing surplus energy</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second PPA provides for Minnesota Power to purchase 250 MW of capacity and energy from Manitoba Hydro through May 2035. The energy price is based on a formula that includes an annual fixed price component adjusted for the change in a governmental inflationary index and a natural gas index, as well as market prices.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third PPA provides for Minnesota Power to purchase up to 133 MW of energy from Manitoba Hydro through June 2040. The pricing under this PPA is based on forward market prices.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Great Northern Transmission Line. </w:t>
      </w:r>
      <w:r>
        <w:rPr>
          <w:rFonts w:ascii="Arial" w:cs="Arial" w:eastAsia="Arial" w:hAnsi="Arial"/>
          <w:sz w:val="16"/>
          <w:szCs w:val="16"/>
          <w:color w:val="auto"/>
        </w:rPr>
        <w:t>As a condition of the 250-MW long-term PPA entered into with Manitoba Hydro, construction of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transmission capacity was required. As a result, Minnesota Power constructed the GNTL, an approximately 220-mile 500-kV transmission line between Manitoba and Minnesota’s Iron Range that was proposed by Minnesota Power and Manitoba Hydro in order to strengthen the electric grid, enhance regional reliability and promote a greater exchange of sustainable energy. On June 1, 2020, Minnesota Power placed the GNTL into service with project costs of $307.1 million incurred by Minnesota Power through June 30, 2020. Total project costs, including those costs contributed by a subsidiary of Manitoba Hydro, incurred through June 30, 2020 totaled $657.0 million. Also on June 1, 2020, Manitoba Hydro placed the MMTP into service.</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Investment in ATC. </w:t>
      </w:r>
      <w:r>
        <w:rPr>
          <w:rFonts w:ascii="Arial" w:cs="Arial" w:eastAsia="Arial" w:hAnsi="Arial"/>
          <w:sz w:val="18"/>
          <w:szCs w:val="18"/>
          <w:color w:val="auto"/>
        </w:rPr>
        <w:t>Our wholly-owned subsidiary, ALLETE Transmission Holdings, owns approximately 8 percent of ATC, a Wisconsin-based utility that</w:t>
      </w:r>
      <w:r>
        <w:rPr>
          <w:rFonts w:ascii="Arial" w:cs="Arial" w:eastAsia="Arial" w:hAnsi="Arial"/>
          <w:sz w:val="18"/>
          <w:szCs w:val="18"/>
          <w:i w:val="1"/>
          <w:iCs w:val="1"/>
          <w:color w:val="auto"/>
        </w:rPr>
        <w:t xml:space="preserve"> </w:t>
      </w:r>
      <w:r>
        <w:rPr>
          <w:rFonts w:ascii="Arial" w:cs="Arial" w:eastAsia="Arial" w:hAnsi="Arial"/>
          <w:sz w:val="18"/>
          <w:szCs w:val="18"/>
          <w:color w:val="auto"/>
        </w:rPr>
        <w:t>owns and maintains electric transmission assets in portions of Wisconsin, Michigan, Minnesota and Illinois. We account for our investment in ATC under the equity method of accounting. As of June 30, 2020, our equity investment in ATC was $145.6 million ($141.6 million as of December 31, 2019). In the six months ended June 30, 2020, we invested $1.1 million in ATC, and on July 31, 2020, we invested an additional $0.8 million. We expect to make additional investments of $0.8 million in 2020.</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ATC’s authorized return on equity is 10.02 percent, or 10.52 percent including an incentive adder for participation in a regional transmission organization, based on a May 21, 2020, FERC order that granted rehearing of a November 2019 FERC order, which had reduced the base return on equity for regional transmission organizations to 9.88 percent, or 10.38 percent including an incentive adder.</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ATC’s 10-year transmission assessment, which covers the years 2019 through 2028, identifies a need for between $2.9 billion and $3.6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OUTLOOK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ALLETE Clean Energy focuses on developing, acquiring, and operating clean and renewable energy projects. ALLETE Clean Energy currently owns and operates, in six states, approximately 740 MW of nameplate capacity wind energy generation that is contracted under PSAs of various durations. In addition, ALLETE Clean Energy currently has approximately 600 MW of wind energy facilities under construction or development that it will own and operate with long-term PSAs in place. ALLETE Clean Energy also engages in the development of wind energy facilities to operate under long-term PSAs or for sale to others upon completion.</w:t>
      </w: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ALLETE Clean Energy believes the market for renewable energy in North America is robust, driven by several factors including environmental regulation, tax incentives, societal expectations and continual technology advances. State renewable portfolio standards and state or federal regulations to limit GHG emissions are examples of environmental regulation or public policy that we believe will drive renewable energy development.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Energy’s strategy includes the safe, reliable, optimal and profitable operation of its existing facilities. This includes a strong safety culture, the continuous pursuit of operational efficiencies at existing facilities and cost controls. ALLETE Clean Energy generally acquires facilities in liquid power markets and its strategy includes the exploration of PSA extensions upon expiration of existing contracts and production tax credit requalification of existing facilities.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ALLETE Clean Energy will pursue growth through acquisitions or project development. ALLETE Clean Energy is targeting acquisitions of existing facilities up to 200 MW each, which have long-term PSAs in place for the facilities’ output. At this time, ALLETE Clean Energy expects acquisitions or development of new facilities will be primarily wind or solar facilities in North America. ALLETE Clean Energy is also targeting the development of new facilities up to 200 MW each, which will have long-term PSAs in place for the output or may be sold upon completion.</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Federal production tax credit qualification is important to the economics of project development, and ALLETE Clean Energy has invested in equipment to meet production tax credit safe harbor provisions which provides an opportunity to seek development of up to approximately 1,000 MW of production tax credit qualified wind projects through 2022. ALLETE Clean Energy will also invest approximately $80 million through 2020 for production tax credit requalification of up to approximately 500 WTGs at its Storm Lake I, Storm Lake II, Lake Benton and Condon wind energy facilities. We anticipate annual production tax credits relating to these projects of approximately $17 million in 2020, $17 million to $22 million annually in 2021 through 2027 and decreasing thereafter through 2030. Disruptions in our supply chains or a lack of available financing resulting from the ongoing COVID-19 pandemic, if they occur, could jeopardize our ability to complete certain capital projects in time to qualify them for production tax credits. To date we have not experienced disruptions in our supply chains. (See Part II, Item 1A. Risk Factors.)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2018, ALLETE Clean Energy announced that it will build, own and operate the South Peak wind project, an 80 MW wind energy facility in Montana, pursuant to a 15-year PSA with NorthWestern Corporation; construction was completed and tax equity funding of $67.8 million in cash, net of issuance costs, was received in the second quarter of 2020.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2019, ALLETE Clean Energy acquired the Diamond Spring wind project in Oklahoma from Apex Clean Energy. ALLETE Clean Energy will build, own and operate the approximately 300 MW wind energy facility. The Diamond Spring wind project is fully contracted to sell wind power under long-term power sales agreements. Construction is expected to be completed in late 2020.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10, 2020, ALLETE Clean Energy acquired the rights to the approximately 300 MW Caddo wind project in Oklahoma from Apex Clean Energy for approximately $8 million with additional payments required to be made at defined milestones. The full development of this wind project will involve the sale of energy to corporate customers under long-term PSAs.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manages risk by having a diverse portfolio of assets, which includes PSA expiration, technology and geographic diversity. The current operating portfolio of approximately 740 MW is subject to typical variations in seasonal wind with higher wind resources typically available in the winter months. The majority of its planned maintenance leverages this seasonality and is performed during lower wind periods. The current mix of PSA expiration and geographic location for existing facilities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Wind Energy Facility</w:t>
            </w:r>
          </w:p>
        </w:tc>
        <w:tc>
          <w:tcPr>
            <w:tcW w:w="2780" w:type="dxa"/>
            <w:vAlign w:val="bottom"/>
          </w:tcPr>
          <w:p>
            <w:pPr>
              <w:jc w:val="center"/>
              <w:ind w:left="1250"/>
              <w:spacing w:after="0"/>
              <w:rPr>
                <w:sz w:val="20"/>
                <w:szCs w:val="20"/>
                <w:color w:val="auto"/>
              </w:rPr>
            </w:pPr>
            <w:r>
              <w:rPr>
                <w:rFonts w:ascii="Arial" w:cs="Arial" w:eastAsia="Arial" w:hAnsi="Arial"/>
                <w:sz w:val="18"/>
                <w:szCs w:val="18"/>
                <w:b w:val="1"/>
                <w:bCs w:val="1"/>
                <w:color w:val="auto"/>
                <w:w w:val="90"/>
              </w:rPr>
              <w:t>Location</w:t>
            </w:r>
          </w:p>
        </w:tc>
        <w:tc>
          <w:tcPr>
            <w:tcW w:w="1820" w:type="dxa"/>
            <w:vAlign w:val="bottom"/>
          </w:tcPr>
          <w:p>
            <w:pPr>
              <w:ind w:left="380"/>
              <w:spacing w:after="0"/>
              <w:rPr>
                <w:sz w:val="20"/>
                <w:szCs w:val="20"/>
                <w:color w:val="auto"/>
              </w:rPr>
            </w:pPr>
            <w:r>
              <w:rPr>
                <w:rFonts w:ascii="Arial" w:cs="Arial" w:eastAsia="Arial" w:hAnsi="Arial"/>
                <w:sz w:val="18"/>
                <w:szCs w:val="18"/>
                <w:b w:val="1"/>
                <w:bCs w:val="1"/>
                <w:color w:val="auto"/>
              </w:rPr>
              <w:t>Capacity MW</w:t>
            </w:r>
          </w:p>
        </w:tc>
        <w:tc>
          <w:tcPr>
            <w:tcW w:w="1420" w:type="dxa"/>
            <w:vAlign w:val="bottom"/>
          </w:tcPr>
          <w:p>
            <w:pPr>
              <w:ind w:left="360"/>
              <w:spacing w:after="0"/>
              <w:rPr>
                <w:sz w:val="20"/>
                <w:szCs w:val="20"/>
                <w:color w:val="auto"/>
              </w:rPr>
            </w:pPr>
            <w:r>
              <w:rPr>
                <w:rFonts w:ascii="Arial" w:cs="Arial" w:eastAsia="Arial" w:hAnsi="Arial"/>
                <w:sz w:val="18"/>
                <w:szCs w:val="18"/>
                <w:b w:val="1"/>
                <w:bCs w:val="1"/>
                <w:color w:val="auto"/>
              </w:rPr>
              <w:t>PSA MW</w:t>
            </w:r>
          </w:p>
        </w:tc>
        <w:tc>
          <w:tcPr>
            <w:tcW w:w="178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PSA Expiration</w:t>
            </w:r>
          </w:p>
        </w:tc>
      </w:tr>
      <w:tr>
        <w:trPr>
          <w:trHeight w:val="27"/>
        </w:trPr>
        <w:tc>
          <w:tcPr>
            <w:tcW w:w="34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8"/>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Armenia Mountain</w:t>
            </w:r>
          </w:p>
        </w:tc>
        <w:tc>
          <w:tcPr>
            <w:tcW w:w="278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88"/>
              </w:rPr>
              <w:t>East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101</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7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2024</w:t>
            </w:r>
          </w:p>
        </w:tc>
      </w:tr>
      <w:tr>
        <w:trPr>
          <w:trHeight w:val="237"/>
        </w:trPr>
        <w:tc>
          <w:tcPr>
            <w:tcW w:w="3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Chanarambie/Viking</w:t>
            </w:r>
          </w:p>
        </w:tc>
        <w:tc>
          <w:tcPr>
            <w:tcW w:w="2780" w:type="dxa"/>
            <w:vAlign w:val="bottom"/>
            <w:tcBorders>
              <w:top w:val="single" w:sz="8" w:color="auto"/>
            </w:tcBorders>
          </w:tcPr>
          <w:p>
            <w:pPr>
              <w:jc w:val="center"/>
              <w:ind w:left="1250"/>
              <w:spacing w:after="0"/>
              <w:rPr>
                <w:sz w:val="20"/>
                <w:szCs w:val="20"/>
                <w:color w:val="auto"/>
              </w:rPr>
            </w:pPr>
            <w:r>
              <w:rPr>
                <w:rFonts w:ascii="Arial" w:cs="Arial" w:eastAsia="Arial" w:hAnsi="Arial"/>
                <w:sz w:val="18"/>
                <w:szCs w:val="18"/>
                <w:color w:val="auto"/>
                <w:w w:val="96"/>
              </w:rPr>
              <w:t>Midwest</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98</w:t>
            </w:r>
          </w:p>
        </w:tc>
        <w:tc>
          <w:tcPr>
            <w:tcW w:w="142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r>
      <w:tr>
        <w:trPr>
          <w:trHeight w:val="27"/>
        </w:trPr>
        <w:tc>
          <w:tcPr>
            <w:tcW w:w="34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PSA 1 </w:t>
            </w:r>
            <w:r>
              <w:rPr>
                <w:rFonts w:ascii="Arial" w:cs="Arial" w:eastAsia="Arial" w:hAnsi="Arial"/>
                <w:sz w:val="16"/>
                <w:szCs w:val="16"/>
                <w:i w:val="1"/>
                <w:iCs w:val="1"/>
                <w:color w:val="auto"/>
              </w:rPr>
              <w:t>(a)</w:t>
            </w:r>
          </w:p>
        </w:tc>
        <w:tc>
          <w:tcPr>
            <w:tcW w:w="278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2023</w:t>
            </w:r>
          </w:p>
        </w:tc>
      </w:tr>
      <w:tr>
        <w:trPr>
          <w:trHeight w:val="243"/>
        </w:trPr>
        <w:tc>
          <w:tcPr>
            <w:tcW w:w="3420" w:type="dxa"/>
            <w:vAlign w:val="bottom"/>
          </w:tcPr>
          <w:p>
            <w:pPr>
              <w:ind w:left="220"/>
              <w:spacing w:after="0"/>
              <w:rPr>
                <w:sz w:val="20"/>
                <w:szCs w:val="20"/>
                <w:color w:val="auto"/>
              </w:rPr>
            </w:pPr>
            <w:r>
              <w:rPr>
                <w:rFonts w:ascii="Arial" w:cs="Arial" w:eastAsia="Arial" w:hAnsi="Arial"/>
                <w:sz w:val="18"/>
                <w:szCs w:val="18"/>
                <w:color w:val="auto"/>
              </w:rPr>
              <w:t>PSA 2</w:t>
            </w:r>
          </w:p>
        </w:tc>
        <w:tc>
          <w:tcPr>
            <w:tcW w:w="27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88%</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9"/>
              </w:rPr>
              <w:t>2023</w:t>
            </w:r>
          </w:p>
        </w:tc>
      </w:tr>
      <w:tr>
        <w:trPr>
          <w:trHeight w:val="27"/>
        </w:trPr>
        <w:tc>
          <w:tcPr>
            <w:tcW w:w="34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8"/>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Condon</w:t>
            </w:r>
          </w:p>
        </w:tc>
        <w:tc>
          <w:tcPr>
            <w:tcW w:w="278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87"/>
              </w:rPr>
              <w:t>West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7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2022</w:t>
            </w:r>
          </w:p>
        </w:tc>
      </w:tr>
      <w:tr>
        <w:trPr>
          <w:trHeight w:val="237"/>
        </w:trPr>
        <w:tc>
          <w:tcPr>
            <w:tcW w:w="3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Glen Ullin</w:t>
            </w:r>
          </w:p>
        </w:tc>
        <w:tc>
          <w:tcPr>
            <w:tcW w:w="2780" w:type="dxa"/>
            <w:vAlign w:val="bottom"/>
            <w:tcBorders>
              <w:top w:val="single" w:sz="8" w:color="auto"/>
            </w:tcBorders>
          </w:tcPr>
          <w:p>
            <w:pPr>
              <w:jc w:val="center"/>
              <w:ind w:left="1250"/>
              <w:spacing w:after="0"/>
              <w:rPr>
                <w:sz w:val="20"/>
                <w:szCs w:val="20"/>
                <w:color w:val="auto"/>
              </w:rPr>
            </w:pPr>
            <w:r>
              <w:rPr>
                <w:rFonts w:ascii="Arial" w:cs="Arial" w:eastAsia="Arial" w:hAnsi="Arial"/>
                <w:sz w:val="18"/>
                <w:szCs w:val="18"/>
                <w:color w:val="auto"/>
                <w:w w:val="87"/>
              </w:rPr>
              <w:t>West</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106</w:t>
            </w: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78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89"/>
              </w:rPr>
              <w:t>2039</w:t>
            </w:r>
          </w:p>
        </w:tc>
      </w:tr>
      <w:tr>
        <w:trPr>
          <w:trHeight w:val="27"/>
        </w:trPr>
        <w:tc>
          <w:tcPr>
            <w:tcW w:w="34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8"/>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Lake Benton</w:t>
            </w:r>
          </w:p>
        </w:tc>
        <w:tc>
          <w:tcPr>
            <w:tcW w:w="278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6"/>
              </w:rPr>
              <w:t>Midwest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104</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7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2028</w:t>
            </w:r>
          </w:p>
        </w:tc>
      </w:tr>
      <w:tr>
        <w:trPr>
          <w:trHeight w:val="237"/>
        </w:trPr>
        <w:tc>
          <w:tcPr>
            <w:tcW w:w="3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South Peak</w:t>
            </w:r>
          </w:p>
        </w:tc>
        <w:tc>
          <w:tcPr>
            <w:tcW w:w="2780" w:type="dxa"/>
            <w:vAlign w:val="bottom"/>
            <w:tcBorders>
              <w:top w:val="single" w:sz="8" w:color="auto"/>
            </w:tcBorders>
          </w:tcPr>
          <w:p>
            <w:pPr>
              <w:jc w:val="center"/>
              <w:ind w:left="1250"/>
              <w:spacing w:after="0"/>
              <w:rPr>
                <w:sz w:val="20"/>
                <w:szCs w:val="20"/>
                <w:color w:val="auto"/>
              </w:rPr>
            </w:pPr>
            <w:r>
              <w:rPr>
                <w:rFonts w:ascii="Arial" w:cs="Arial" w:eastAsia="Arial" w:hAnsi="Arial"/>
                <w:sz w:val="18"/>
                <w:szCs w:val="18"/>
                <w:color w:val="auto"/>
                <w:w w:val="87"/>
              </w:rPr>
              <w:t>West</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80</w:t>
            </w: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78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89"/>
              </w:rPr>
              <w:t>2035</w:t>
            </w:r>
          </w:p>
        </w:tc>
      </w:tr>
      <w:tr>
        <w:trPr>
          <w:trHeight w:val="27"/>
        </w:trPr>
        <w:tc>
          <w:tcPr>
            <w:tcW w:w="34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8"/>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Storm Lake I</w:t>
            </w:r>
          </w:p>
        </w:tc>
        <w:tc>
          <w:tcPr>
            <w:tcW w:w="278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6"/>
              </w:rPr>
              <w:t>Midwest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108</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7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2027</w:t>
            </w:r>
          </w:p>
        </w:tc>
      </w:tr>
      <w:tr>
        <w:trPr>
          <w:trHeight w:val="237"/>
        </w:trPr>
        <w:tc>
          <w:tcPr>
            <w:tcW w:w="3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Storm Lake II</w:t>
            </w:r>
          </w:p>
        </w:tc>
        <w:tc>
          <w:tcPr>
            <w:tcW w:w="2780" w:type="dxa"/>
            <w:vAlign w:val="bottom"/>
            <w:tcBorders>
              <w:top w:val="single" w:sz="8" w:color="auto"/>
            </w:tcBorders>
          </w:tcPr>
          <w:p>
            <w:pPr>
              <w:jc w:val="center"/>
              <w:ind w:left="1250"/>
              <w:spacing w:after="0"/>
              <w:rPr>
                <w:sz w:val="20"/>
                <w:szCs w:val="20"/>
                <w:color w:val="auto"/>
              </w:rPr>
            </w:pPr>
            <w:r>
              <w:rPr>
                <w:rFonts w:ascii="Arial" w:cs="Arial" w:eastAsia="Arial" w:hAnsi="Arial"/>
                <w:sz w:val="18"/>
                <w:szCs w:val="18"/>
                <w:color w:val="auto"/>
                <w:w w:val="96"/>
              </w:rPr>
              <w:t>Midwest</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77</w:t>
            </w:r>
          </w:p>
        </w:tc>
        <w:tc>
          <w:tcPr>
            <w:tcW w:w="142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r>
      <w:tr>
        <w:trPr>
          <w:trHeight w:val="27"/>
        </w:trPr>
        <w:tc>
          <w:tcPr>
            <w:tcW w:w="34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PSA 1</w:t>
            </w:r>
          </w:p>
        </w:tc>
        <w:tc>
          <w:tcPr>
            <w:tcW w:w="27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17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2022</w:t>
            </w:r>
          </w:p>
        </w:tc>
      </w:tr>
      <w:tr>
        <w:trPr>
          <w:trHeight w:val="243"/>
        </w:trPr>
        <w:tc>
          <w:tcPr>
            <w:tcW w:w="3420" w:type="dxa"/>
            <w:vAlign w:val="bottom"/>
          </w:tcPr>
          <w:p>
            <w:pPr>
              <w:ind w:left="220"/>
              <w:spacing w:after="0"/>
              <w:rPr>
                <w:sz w:val="20"/>
                <w:szCs w:val="20"/>
                <w:color w:val="auto"/>
              </w:rPr>
            </w:pPr>
            <w:r>
              <w:rPr>
                <w:rFonts w:ascii="Arial" w:cs="Arial" w:eastAsia="Arial" w:hAnsi="Arial"/>
                <w:sz w:val="18"/>
                <w:szCs w:val="18"/>
                <w:color w:val="auto"/>
              </w:rPr>
              <w:t>PSA 2</w:t>
            </w:r>
          </w:p>
        </w:tc>
        <w:tc>
          <w:tcPr>
            <w:tcW w:w="27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9"/>
              </w:rPr>
              <w:t>2032</w:t>
            </w:r>
          </w:p>
        </w:tc>
      </w:tr>
      <w:tr>
        <w:trPr>
          <w:trHeight w:val="27"/>
        </w:trPr>
        <w:tc>
          <w:tcPr>
            <w:tcW w:w="34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780" w:type="dxa"/>
            <w:vAlign w:val="bottom"/>
            <w:tcBorders>
              <w:bottom w:val="single" w:sz="8" w:color="CCEEFF"/>
            </w:tcBorders>
            <w:shd w:val="clear" w:color="auto" w:fill="CCEEFF"/>
          </w:tcPr>
          <w:p>
            <w:pPr>
              <w:jc w:val="center"/>
              <w:ind w:left="1250"/>
              <w:spacing w:after="0"/>
              <w:rPr>
                <w:sz w:val="20"/>
                <w:szCs w:val="20"/>
                <w:color w:val="auto"/>
              </w:rPr>
            </w:pPr>
            <w:r>
              <w:rPr>
                <w:rFonts w:ascii="Arial" w:cs="Arial" w:eastAsia="Arial" w:hAnsi="Arial"/>
                <w:sz w:val="18"/>
                <w:szCs w:val="18"/>
                <w:color w:val="auto"/>
                <w:w w:val="96"/>
              </w:rPr>
              <w:t>Midwest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7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2028</w:t>
            </w:r>
          </w:p>
        </w:tc>
      </w:tr>
      <w:tr>
        <w:trPr>
          <w:trHeight w:val="20"/>
        </w:trPr>
        <w:tc>
          <w:tcPr>
            <w:tcW w:w="342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PSA expiration assumes the exercise of all renewal options that ALLETE Clean Energy has the sole right to exercise.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BNI Energy. </w:t>
      </w:r>
      <w:r>
        <w:rPr>
          <w:rFonts w:ascii="Arial" w:cs="Arial" w:eastAsia="Arial" w:hAnsi="Arial"/>
          <w:sz w:val="18"/>
          <w:szCs w:val="18"/>
          <w:color w:val="auto"/>
        </w:rPr>
        <w:t>BNI Energy anticipates selling 4.4 million tons of lignite coal in 2020 (4.1 million tons were sold in 2019) and has sold 2.1 million tons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2020 (2.2 million tons were sold for the six months ended June 30, 2019). BNI Energy operates under cost-plus fixed fee agreements extending through December 31, 2037.</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Investment in Nobles 2</w:t>
      </w:r>
      <w:r>
        <w:rPr>
          <w:rFonts w:ascii="Arial" w:cs="Arial" w:eastAsia="Arial" w:hAnsi="Arial"/>
          <w:sz w:val="17"/>
          <w:szCs w:val="17"/>
          <w:color w:val="auto"/>
        </w:rPr>
        <w:t>. Our wholly-owned subsidiary, ALLETE South Wind, owns 49 percent of Nobles 2, the entity that will own and operate a 250 MW</w:t>
      </w:r>
      <w:r>
        <w:rPr>
          <w:rFonts w:ascii="Arial" w:cs="Arial" w:eastAsia="Arial" w:hAnsi="Arial"/>
          <w:sz w:val="17"/>
          <w:szCs w:val="17"/>
          <w:i w:val="1"/>
          <w:iCs w:val="1"/>
          <w:color w:val="auto"/>
        </w:rPr>
        <w:t xml:space="preserve"> </w:t>
      </w:r>
      <w:r>
        <w:rPr>
          <w:rFonts w:ascii="Arial" w:cs="Arial" w:eastAsia="Arial" w:hAnsi="Arial"/>
          <w:sz w:val="17"/>
          <w:szCs w:val="17"/>
          <w:color w:val="auto"/>
        </w:rPr>
        <w:t>wind energy facility in southwestern Minnesota pursuant to a 20-year PPA with Minnesota Power. The wind energy facility will be built in Nobles County, Minnesota, and is expected to be completed in late 2020, with an estimated total project cost of approximately $350 million to $400 million. In the fourth quarter of 2019, we entered into a tax equity funding agreement to finance approximately $116 million of the project costs. We account for our investment in Nobles 2 under the equity method of accounting. As of June 30, 2020, our equity investment in Nobles 2 was $121.5 million ($56.0 million at December 31, 2019). In the six months ended June 30, 2020, we invested $65.5 million in Nobles 2, and in July 2020 we invested an additional $15.0 million. We expect to make approximately $35 million in additional investments in 2020.</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ALLETE Properties. </w:t>
      </w:r>
      <w:r>
        <w:rPr>
          <w:rFonts w:ascii="Arial" w:cs="Arial" w:eastAsia="Arial" w:hAnsi="Arial"/>
          <w:sz w:val="18"/>
          <w:szCs w:val="18"/>
          <w:color w:val="auto"/>
        </w:rPr>
        <w:t>ALLETE Properties represents our legacy Florida real estate investment. ALLETE Properties’ major project in Florida is Town Center</w:t>
      </w:r>
      <w:r>
        <w:rPr>
          <w:rFonts w:ascii="Arial" w:cs="Arial" w:eastAsia="Arial" w:hAnsi="Arial"/>
          <w:sz w:val="18"/>
          <w:szCs w:val="18"/>
          <w:i w:val="1"/>
          <w:iCs w:val="1"/>
          <w:color w:val="auto"/>
        </w:rPr>
        <w:t xml:space="preserve"> </w:t>
      </w:r>
      <w:r>
        <w:rPr>
          <w:rFonts w:ascii="Arial" w:cs="Arial" w:eastAsia="Arial" w:hAnsi="Arial"/>
          <w:sz w:val="18"/>
          <w:szCs w:val="18"/>
          <w:color w:val="auto"/>
        </w:rPr>
        <w:t>at Palm Coast, with approximately 800 acres of land available for sale. In addition to this project, ALLETE Properties has approximately 600 acres of other land available for sale. Market conditions can impact land sales and could result in our inability to cover our cost basis and operating expenses including fixed carrying costs such as community development district assessments and property taxes.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strategy incorporates the possibility of a bulk sale of the entire ALLETE Properties portfolio. Proceeds from a bulk sale would be strategically deployed to support growth initiatives at our Regulated Operations and ALLETE Clean Energy. ALLETE Properties also continues to pursue sales of individual parcels over time and will continue to maintain key entitlements and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OUTLOOK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ALLETE’s aggregate federal and multi-state statutory tax rate is approximately 28 percent for 2020. ALLETE also has tax credits and other tax adjustments that reduce the combined statutory rate to the effective tax rate. These tax credits and adjustments historically have included items such as investment tax credits, production tax credits, AFUDC-Equity, depletion, as well as other items. The annual effective rate can also be impacted by such items as changes in income before income taxes, state and federal tax law changes that become effective during the year, business combinations, tax planning initiatives and resolution of prior years’ tax matters. We expect our effective tax rate to be a benefit of approximately 35 percent to 40 percent for 2020 primarily due to federal production tax credits as a result of wind energy generation. We also expect that our effective tax rate will be lower than the combined statutory rate over the next 10 years due to production tax credits attributable to our wind energy generation.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Liquidity Position. </w:t>
      </w:r>
      <w:r>
        <w:rPr>
          <w:rFonts w:ascii="Arial" w:cs="Arial" w:eastAsia="Arial" w:hAnsi="Arial"/>
          <w:sz w:val="16"/>
          <w:szCs w:val="16"/>
          <w:color w:val="auto"/>
        </w:rPr>
        <w:t>ALLETE is well-positioned to meet the Company’s liquidity needs; however, the Company is monitoring capital markets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financing sources in light of the ongoing COVID-19 pandemic. (See Part II, Item 1A. Risk Factors.) A disruption in capital markets could lead to increased borrowing costs or adversely impact our ability to access capital markets or other financing sources. If we are not able to access capital on acceptable terms in sufficient amounts and when needed, or at all, the ability to maintain our businesses or to implement our business plans would be adversely affected.</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of June 30, 2020, we had cash and cash equivalents of $25.7 million, $383.5 million in available consolidated lines of credit, 2.9 million original issue shares of common stock available for issuance through a distribution agreement with Lampert Capital Markets and a debt-to-capital ratio of 44 percent. (See </w:t>
      </w:r>
      <w:r>
        <w:rPr>
          <w:rFonts w:ascii="Arial" w:cs="Arial" w:eastAsia="Arial" w:hAnsi="Arial"/>
          <w:sz w:val="18"/>
          <w:szCs w:val="18"/>
          <w:i w:val="1"/>
          <w:iCs w:val="1"/>
          <w:color w:val="auto"/>
        </w:rPr>
        <w:t>Working Capital</w:t>
      </w:r>
      <w:r>
        <w:rPr>
          <w:rFonts w:ascii="Arial" w:cs="Arial" w:eastAsia="Arial" w:hAnsi="Arial"/>
          <w:sz w:val="18"/>
          <w:szCs w:val="18"/>
          <w:color w:val="auto"/>
        </w:rPr>
        <w: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ALLETE issued $140 million of the Company's first mortgage bonds on August 3, 2020, and in April 2020, we received $67.8 million in cash, net of issuance costs, from a third-party investor as part of a tax equity financing for ALLETE Clean Energy’s South Peak wind energy facility. The Company also has approximately $116 million in commitments from tax equity partners for our investment in Nobles 2, and the Company is actively seeking tax equity funding for ALLETE Clean Energy’s Diamond Spring and Caddo wind projects.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5900" w:type="dxa"/>
            <w:vAlign w:val="bottom"/>
          </w:tcPr>
          <w:p>
            <w:pPr>
              <w:spacing w:after="0"/>
              <w:rPr>
                <w:sz w:val="24"/>
                <w:szCs w:val="24"/>
                <w:color w:val="auto"/>
              </w:rPr>
            </w:pPr>
          </w:p>
        </w:tc>
        <w:tc>
          <w:tcPr>
            <w:tcW w:w="2040" w:type="dxa"/>
            <w:vAlign w:val="bottom"/>
          </w:tcPr>
          <w:p>
            <w:pPr>
              <w:jc w:val="right"/>
              <w:ind w:right="170"/>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24"/>
                <w:szCs w:val="24"/>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5900" w:type="dxa"/>
            <w:vAlign w:val="bottom"/>
          </w:tcPr>
          <w:p>
            <w:pPr>
              <w:spacing w:after="0"/>
              <w:rPr>
                <w:sz w:val="20"/>
                <w:szCs w:val="20"/>
                <w:color w:val="auto"/>
              </w:rPr>
            </w:pPr>
          </w:p>
        </w:tc>
        <w:tc>
          <w:tcPr>
            <w:tcW w:w="204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r>
      <w:tr>
        <w:trPr>
          <w:trHeight w:val="27"/>
        </w:trPr>
        <w:tc>
          <w:tcPr>
            <w:tcW w:w="59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ALLETE Equity</w:t>
            </w:r>
          </w:p>
        </w:tc>
        <w:tc>
          <w:tcPr>
            <w:tcW w:w="20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$2,265.7</w:t>
            </w: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52</w:t>
            </w:r>
          </w:p>
        </w:tc>
        <w:tc>
          <w:tcPr>
            <w:tcW w:w="1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$2,231.9</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1"/>
                <w:szCs w:val="2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Non-Controlling Interest in Subsidiaries</w:t>
            </w:r>
          </w:p>
        </w:tc>
        <w:tc>
          <w:tcPr>
            <w:tcW w:w="2040" w:type="dxa"/>
            <w:vAlign w:val="bottom"/>
          </w:tcPr>
          <w:p>
            <w:pPr>
              <w:jc w:val="right"/>
              <w:ind w:right="290"/>
              <w:spacing w:after="0"/>
              <w:rPr>
                <w:sz w:val="20"/>
                <w:szCs w:val="20"/>
                <w:color w:val="auto"/>
              </w:rPr>
            </w:pPr>
            <w:r>
              <w:rPr>
                <w:rFonts w:ascii="Arial" w:cs="Arial" w:eastAsia="Arial" w:hAnsi="Arial"/>
                <w:sz w:val="18"/>
                <w:szCs w:val="18"/>
                <w:color w:val="auto"/>
              </w:rPr>
              <w:t>166.5</w:t>
            </w: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103.7</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and Long-Term Debt</w:t>
            </w:r>
          </w:p>
        </w:tc>
        <w:tc>
          <w:tcPr>
            <w:tcW w:w="20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1,899.0</w:t>
            </w: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44</w:t>
            </w:r>
          </w:p>
        </w:tc>
        <w:tc>
          <w:tcPr>
            <w:tcW w:w="1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1,622.6</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3"/>
                <w:szCs w:val="23"/>
                <w:color w:val="auto"/>
              </w:rPr>
            </w:pPr>
          </w:p>
        </w:tc>
      </w:tr>
      <w:tr>
        <w:trPr>
          <w:trHeight w:val="237"/>
        </w:trPr>
        <w:tc>
          <w:tcPr>
            <w:tcW w:w="590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$4,331.2</w:t>
            </w: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100</w:t>
            </w:r>
          </w:p>
        </w:tc>
        <w:tc>
          <w:tcPr>
            <w:tcW w:w="15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$3,958.2</w:t>
            </w: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0"/>
                <w:szCs w:val="20"/>
                <w:color w:val="auto"/>
              </w:rPr>
            </w:pPr>
          </w:p>
        </w:tc>
      </w:tr>
      <w:tr>
        <w:trPr>
          <w:trHeight w:val="27"/>
        </w:trPr>
        <w:tc>
          <w:tcPr>
            <w:tcW w:w="79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561"/>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the Consolidated Statement of Cash Flows is as follows:</w:t>
            </w:r>
          </w:p>
        </w:tc>
        <w:tc>
          <w:tcPr>
            <w:tcW w:w="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For the Six Months Ended June 30,</w:t>
            </w:r>
          </w:p>
        </w:tc>
        <w:tc>
          <w:tcPr>
            <w:tcW w:w="2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4"/>
                <w:szCs w:val="24"/>
                <w:color w:val="auto"/>
              </w:rPr>
            </w:pPr>
          </w:p>
        </w:tc>
      </w:tr>
      <w:tr>
        <w:trPr>
          <w:trHeight w:val="27"/>
        </w:trPr>
        <w:tc>
          <w:tcPr>
            <w:tcW w:w="59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0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$92.5</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Cash Flows from (used for)</w:t>
            </w:r>
          </w:p>
        </w:tc>
        <w:tc>
          <w:tcPr>
            <w:tcW w:w="2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20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144.5</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2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40" w:type="dxa"/>
            <w:vAlign w:val="bottom"/>
          </w:tcPr>
          <w:p>
            <w:pPr>
              <w:jc w:val="right"/>
              <w:ind w:right="630"/>
              <w:spacing w:after="0"/>
              <w:rPr>
                <w:sz w:val="20"/>
                <w:szCs w:val="20"/>
                <w:color w:val="auto"/>
              </w:rPr>
            </w:pPr>
            <w:r>
              <w:rPr>
                <w:rFonts w:ascii="Arial" w:cs="Arial" w:eastAsia="Arial" w:hAnsi="Arial"/>
                <w:sz w:val="18"/>
                <w:szCs w:val="18"/>
                <w:color w:val="auto"/>
              </w:rPr>
              <w:t>(487.4)</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46.0</w:t>
            </w:r>
          </w:p>
        </w:tc>
        <w:tc>
          <w:tcPr>
            <w:tcW w:w="2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Financing Activities</w:t>
            </w:r>
          </w:p>
        </w:tc>
        <w:tc>
          <w:tcPr>
            <w:tcW w:w="20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287.8</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6"/>
        </w:trPr>
        <w:tc>
          <w:tcPr>
            <w:tcW w:w="590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Change in Cash, Cash Equivalents and Restricted Cash</w:t>
            </w:r>
          </w:p>
        </w:tc>
        <w:tc>
          <w:tcPr>
            <w:tcW w:w="20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(55.1)</w:t>
            </w: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127.6</w:t>
            </w:r>
          </w:p>
        </w:tc>
        <w:tc>
          <w:tcPr>
            <w:tcW w:w="20" w:type="dxa"/>
            <w:vAlign w:val="bottom"/>
            <w:tcBorders>
              <w:top w:val="single" w:sz="8" w:color="auto"/>
            </w:tcBorders>
          </w:tcPr>
          <w:p>
            <w:pPr>
              <w:spacing w:after="0"/>
              <w:rPr>
                <w:sz w:val="20"/>
                <w:szCs w:val="20"/>
                <w:color w:val="auto"/>
              </w:rPr>
            </w:pPr>
          </w:p>
        </w:tc>
      </w:tr>
      <w:tr>
        <w:trPr>
          <w:trHeight w:val="27"/>
        </w:trPr>
        <w:tc>
          <w:tcPr>
            <w:tcW w:w="59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0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$37.4</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$206.6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
        </w:trPr>
        <w:tc>
          <w:tcPr>
            <w:tcW w:w="590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ectPr>
          <w:pgSz w:w="11900" w:h="16838" w:orient="portrait"/>
          <w:cols w:equalWidth="0" w:num="1">
            <w:col w:w="11240"/>
          </w:cols>
          <w:pgMar w:left="320" w:top="891" w:right="339" w:bottom="1440"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(Continued)</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Cash from operating activities was higher in 2020 compared to 2019. Cash from operating activities in 2019 included the refund of</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Power’s provisions for interim rates and tax reform, and the impact of U.S. Water Services prior to its sale. Cash from operating activities in 2020 reflected lower collections of accounts receivable due to timing and lower cash collected from current cost recovery riders.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was higher in 2020 compared to 2019. Cash from investing activities in 2019 included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from the sale of U.S. Water Services. Cash used for investing activities in 2020 included higher additions to property, plant and equipment and additional payments for equity method investments compared to 2019.</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from financing activities was higher in 2020 compared to 2019 primarily due to higher proceeds from the issuance of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debt, proceeds from a tax equity financing (non-controlling interest in subsidiaries) and lower repayments of long-term debt.</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Working Capital. </w:t>
      </w:r>
      <w:r>
        <w:rPr>
          <w:rFonts w:ascii="Arial" w:cs="Arial" w:eastAsia="Arial" w:hAnsi="Arial"/>
          <w:sz w:val="17"/>
          <w:szCs w:val="17"/>
          <w:color w:val="auto"/>
        </w:rPr>
        <w:t>Additional working capital, if and when needed, generally is provided by consolidated bank lines of credit and the issuance of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long-term debt, common stock and commercial paper. As of June 30, 2020, we had consolidated bank lines of credit aggregating $407.0 million ($407.0 million as of December 31, 2019), the majority of which expire in January 2024. We had $23.5 million outstanding in standby letters of credit and no outstanding draws under our lines of credit as of June 30, 2020 ($62.0 million in standby letters of credit and no outstanding draws as of December 31, 2019). In addition, as of June 30, 2020, we had 3.5 million original issue shares of our common stock available for issuance through Invest Direct, our direct stock purchase and dividend reinvestment plan, and 2.9 million original issue shares of common stock available for issuance through a distribution agreement with Lampert Capital Markets, as amended most recently in May 2020. The amount and timing of future sales of our securities will depend upon market conditions and our specific needs. In July 2019, we filed Registration Statement No. 333-232905, pursuant to which the remaining shares under this agreement will continue to be offered for sale, from time to time.</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During the six months ended June 30, 2020, we issued 0.2 million shares of common stock through Invest Direct, the Employee Stock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 the Retirement Savings and Stock Ownership Plan, resulting in net proceeds of $7.9 million (0.2 million shares were issued for the six months ended June 30, 2019, resulting in net proceeds of $1.5 million). These shares of common stock were registered under Registration Statement Nos. 333-231030, 333-183051 and 333-162890.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5. Short-Term and Long-Term Debt for information regarding our financial covenants.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color w:val="auto"/>
        </w:rPr>
        <w:t>Management considers various factors when making funding decisions, such as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actuarially determined minimum contribution requirements and contributions required to avoid benefit restrictions for the defined benefit pension plans. (See Note 9. Pension and Other Postretirement Benefit Plans.)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Off-Balance Sheet Arrangements. </w:t>
      </w:r>
      <w:r>
        <w:rPr>
          <w:rFonts w:ascii="Arial" w:cs="Arial" w:eastAsia="Arial" w:hAnsi="Arial"/>
          <w:sz w:val="17"/>
          <w:szCs w:val="17"/>
          <w:color w:val="auto"/>
        </w:rPr>
        <w:t>Off-balance sheet arrangements are summarized in our 2019 Form 10-K, with additional disclosure in Note 6.</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Commitments, Guarantees and Contingencies.</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Credit Ratings</w:t>
      </w:r>
      <w:r>
        <w:rPr>
          <w:rFonts w:ascii="Arial" w:cs="Arial" w:eastAsia="Arial" w:hAnsi="Arial"/>
          <w:sz w:val="18"/>
          <w:szCs w:val="18"/>
          <w:color w:val="auto"/>
        </w:rPr>
        <w:t>. Access to reasonably priced capital markets is dependent in part on credit and ratings. Our securities have been rated by S&amp;P Global</w:t>
      </w:r>
      <w:r>
        <w:rPr>
          <w:rFonts w:ascii="Arial" w:cs="Arial" w:eastAsia="Arial" w:hAnsi="Arial"/>
          <w:sz w:val="18"/>
          <w:szCs w:val="18"/>
          <w:b w:val="1"/>
          <w:bCs w:val="1"/>
          <w:color w:val="auto"/>
        </w:rPr>
        <w:t xml:space="preserve"> </w:t>
      </w:r>
      <w:r>
        <w:rPr>
          <w:rFonts w:ascii="Arial" w:cs="Arial" w:eastAsia="Arial" w:hAnsi="Arial"/>
          <w:sz w:val="18"/>
          <w:szCs w:val="18"/>
          <w:color w:val="auto"/>
        </w:rPr>
        <w:t>Ratings 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4360" w:type="dxa"/>
            <w:vAlign w:val="bottom"/>
          </w:tcPr>
          <w:p>
            <w:pPr>
              <w:jc w:val="center"/>
              <w:ind w:left="2832"/>
              <w:spacing w:after="0"/>
              <w:rPr>
                <w:sz w:val="20"/>
                <w:szCs w:val="20"/>
                <w:color w:val="auto"/>
              </w:rPr>
            </w:pPr>
            <w:r>
              <w:rPr>
                <w:rFonts w:ascii="Arial" w:cs="Arial" w:eastAsia="Arial" w:hAnsi="Arial"/>
                <w:sz w:val="18"/>
                <w:szCs w:val="18"/>
                <w:b w:val="1"/>
                <w:bCs w:val="1"/>
                <w:color w:val="auto"/>
                <w:w w:val="93"/>
              </w:rPr>
              <w:t>S&amp;P Global</w:t>
            </w:r>
          </w:p>
        </w:tc>
        <w:tc>
          <w:tcPr>
            <w:tcW w:w="1240" w:type="dxa"/>
            <w:vAlign w:val="bottom"/>
          </w:tcPr>
          <w:p>
            <w:pPr>
              <w:spacing w:after="0"/>
              <w:rPr>
                <w:sz w:val="18"/>
                <w:szCs w:val="18"/>
                <w:color w:val="auto"/>
              </w:rPr>
            </w:pPr>
          </w:p>
        </w:tc>
      </w:tr>
      <w:tr>
        <w:trPr>
          <w:trHeight w:val="234"/>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Credit Ratings</w:t>
            </w:r>
          </w:p>
        </w:tc>
        <w:tc>
          <w:tcPr>
            <w:tcW w:w="4360" w:type="dxa"/>
            <w:vAlign w:val="bottom"/>
          </w:tcPr>
          <w:p>
            <w:pPr>
              <w:jc w:val="center"/>
              <w:ind w:left="2832"/>
              <w:spacing w:after="0"/>
              <w:rPr>
                <w:sz w:val="20"/>
                <w:szCs w:val="20"/>
                <w:color w:val="auto"/>
              </w:rPr>
            </w:pPr>
            <w:r>
              <w:rPr>
                <w:rFonts w:ascii="Arial" w:cs="Arial" w:eastAsia="Arial" w:hAnsi="Arial"/>
                <w:sz w:val="18"/>
                <w:szCs w:val="18"/>
                <w:b w:val="1"/>
                <w:bCs w:val="1"/>
                <w:color w:val="auto"/>
                <w:w w:val="90"/>
              </w:rPr>
              <w:t>Ratings</w:t>
            </w: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Moody’s</w:t>
            </w:r>
          </w:p>
        </w:tc>
      </w:tr>
      <w:tr>
        <w:trPr>
          <w:trHeight w:val="27"/>
        </w:trPr>
        <w:tc>
          <w:tcPr>
            <w:tcW w:w="562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Issuer Credit Rating</w:t>
            </w:r>
          </w:p>
        </w:tc>
        <w:tc>
          <w:tcPr>
            <w:tcW w:w="4360" w:type="dxa"/>
            <w:vAlign w:val="bottom"/>
            <w:tcBorders>
              <w:bottom w:val="single" w:sz="8" w:color="CCEEFF"/>
            </w:tcBorders>
            <w:shd w:val="clear" w:color="auto" w:fill="CCEEFF"/>
          </w:tcPr>
          <w:p>
            <w:pPr>
              <w:jc w:val="center"/>
              <w:ind w:left="2832"/>
              <w:spacing w:after="0"/>
              <w:rPr>
                <w:sz w:val="20"/>
                <w:szCs w:val="20"/>
                <w:color w:val="auto"/>
              </w:rPr>
            </w:pPr>
            <w:r>
              <w:rPr>
                <w:rFonts w:ascii="Arial" w:cs="Arial" w:eastAsia="Arial" w:hAnsi="Arial"/>
                <w:sz w:val="18"/>
                <w:szCs w:val="18"/>
                <w:color w:val="auto"/>
                <w:w w:val="99"/>
              </w:rPr>
              <w:t>BBB</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Baa1</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360" w:type="dxa"/>
            <w:vAlign w:val="bottom"/>
          </w:tcPr>
          <w:p>
            <w:pPr>
              <w:jc w:val="center"/>
              <w:ind w:left="2832"/>
              <w:spacing w:after="0"/>
              <w:rPr>
                <w:sz w:val="20"/>
                <w:szCs w:val="20"/>
                <w:color w:val="auto"/>
              </w:rPr>
            </w:pPr>
            <w:r>
              <w:rPr>
                <w:rFonts w:ascii="Arial" w:cs="Arial" w:eastAsia="Arial" w:hAnsi="Arial"/>
                <w:sz w:val="18"/>
                <w:szCs w:val="18"/>
                <w:color w:val="auto"/>
                <w:w w:val="99"/>
              </w:rPr>
              <w:t>A-2</w:t>
            </w:r>
          </w:p>
        </w:tc>
        <w:tc>
          <w:tcPr>
            <w:tcW w:w="1240" w:type="dxa"/>
            <w:vAlign w:val="bottom"/>
          </w:tcPr>
          <w:p>
            <w:pPr>
              <w:jc w:val="center"/>
              <w:spacing w:after="0"/>
              <w:rPr>
                <w:sz w:val="20"/>
                <w:szCs w:val="20"/>
                <w:color w:val="auto"/>
              </w:rPr>
            </w:pPr>
            <w:r>
              <w:rPr>
                <w:rFonts w:ascii="Arial" w:cs="Arial" w:eastAsia="Arial" w:hAnsi="Arial"/>
                <w:sz w:val="18"/>
                <w:szCs w:val="18"/>
                <w:color w:val="auto"/>
                <w:w w:val="85"/>
              </w:rPr>
              <w:t>P-2</w:t>
            </w:r>
          </w:p>
        </w:tc>
      </w:tr>
      <w:tr>
        <w:trPr>
          <w:trHeight w:val="27"/>
        </w:trPr>
        <w:tc>
          <w:tcPr>
            <w:tcW w:w="56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4360" w:type="dxa"/>
            <w:vAlign w:val="bottom"/>
            <w:tcBorders>
              <w:bottom w:val="single" w:sz="8" w:color="CCEEFF"/>
            </w:tcBorders>
            <w:shd w:val="clear" w:color="auto" w:fill="CCEEFF"/>
          </w:tcPr>
          <w:p>
            <w:pPr>
              <w:jc w:val="center"/>
              <w:ind w:left="2812"/>
              <w:spacing w:after="0"/>
              <w:rPr>
                <w:sz w:val="20"/>
                <w:szCs w:val="20"/>
                <w:color w:val="auto"/>
              </w:rPr>
            </w:pPr>
            <w:r>
              <w:rPr>
                <w:rFonts w:ascii="Arial" w:cs="Arial" w:eastAsia="Arial" w:hAnsi="Arial"/>
                <w:sz w:val="16"/>
                <w:szCs w:val="16"/>
                <w:i w:val="1"/>
                <w:iCs w:val="1"/>
                <w:color w:val="auto"/>
                <w:w w:val="91"/>
              </w:rPr>
              <w:t>(a)</w:t>
            </w:r>
          </w:p>
        </w:tc>
        <w:tc>
          <w:tcPr>
            <w:tcW w:w="12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A2</w:t>
            </w:r>
          </w:p>
        </w:tc>
      </w:tr>
      <w:tr>
        <w:trPr>
          <w:trHeight w:val="298"/>
        </w:trPr>
        <w:tc>
          <w:tcPr>
            <w:tcW w:w="562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Not rated by S&amp;P Global Ratings.</w:t>
            </w:r>
          </w:p>
        </w:tc>
        <w:tc>
          <w:tcPr>
            <w:tcW w:w="43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 (Continued)</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22, 2020, S&amp;P Global Ratings downgraded ALLETE’s long-term issuer credit rating to BBB stable from BBB+ outlook negative and affirmed its short-term rating at A-2. S&amp;P Global Ratings noted the impacts of debt coverage ratios going forward along with the lack of a revenue decoupling mechanism at Minnesota Power combined with the large commercial and industrial presence in its service territory as its rationale for the downgrade.</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Capital Requirements. </w:t>
      </w:r>
      <w:r>
        <w:rPr>
          <w:rFonts w:ascii="Arial" w:cs="Arial" w:eastAsia="Arial" w:hAnsi="Arial"/>
          <w:sz w:val="18"/>
          <w:szCs w:val="18"/>
          <w:color w:val="auto"/>
        </w:rPr>
        <w:t>Our capital expenditures for 2020 are now expected to be approximately $635 million. The increase from the 2020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projected in our 2019 Form 10-K is primarily due to the Caddo wind project. (See Outlook – ALLETE Clean Energy.) The Company is also evaluating its planned capital expenditures and may make adjustments to mitigate impacts of the ongoing COVID-19 pandemic, if appropriate. For the six months ended June 30, 2020, capital expenditures totaled $356.1 million ($249.3 million for the six months ended June 30, 2019). The expenditures were primarily made in the Regulated Operations and ALLETE Clean Energy segments.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6. Commitments, Guarantees and Contingencies.)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ALLETE had 1,355 employees, of which 1,332 were full-time.</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Minnesota Power and SWL&amp;P have an aggregate of 471 employees who are members of International Brotherhood of Electrical Workers (IBEW) Local 31. The current labor agreements with IBEW Local 31 expire on April 30, 2023, for Minnesota Power and February 1, 2021, for SWL&amp;P.</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BNI Energy has 183 employees, of which 136 are subject to a labor agreement with IBEW Local 1593. The current labor agreement with IBEW Local 1593 expires on March 31,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pronouncements are discussed in Note 1. Operations and Significant Accounting Policies.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As of June 30, 2020, our available-for-sale securities portfolio consisted primarily of securities held in other postretirement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plans to fund employee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3. QUANTITATIVE AND QUALITATIVE DISCLOSURES ABOUT MARKET RISK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as of June 30, 2020, an increase of 100 basis points in interest rates would impact the amount of pre-tax interest expense by $4.3 million. This amount was determined by considering the impact of a hypothetical 100 basis point increase to the average variable interest rate on the variable rate debt outstanding as of June 30, 2020.</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June 30, 2020, evaluations were performed, under the supervision and with the participation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information regarding material legal and regulatory proceedings, see Note 4. Regulatory Matters and Note 9. Commitments, Guarantees and Contingencies to the Consolidated Financial Statements in our 2019 Form 10-K and Note 2. Regulatory Matters and Note 6. Commitments, Guarantees and Contingencies herein. Such information is incorporated herein by reference.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2019 Form 10-K includes a detailed discussion of our risk factors. The information presented below updates, and should be read in conjunction with, the risk factors disclosed in Part I, Item 1A. Risk Factors of our 2019 Form 10-K.</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could be materially adversely affected by the ongoing COVID-19 pandemic for which we are unable to predict the ultimate impact as the extent and duration of the COVID-19 pandemic is uncertain.</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ongoing COVID-19 pandemic has resulted in widespread impacts on the global economy and on our employees, customers, contractors, and suppliers. There is considerable uncertainty regarding the extent to which COVID-19 will spread and the extent and duration of measures to try to contain the virus, such as travel bans and restrictions, quarantines, shelter-in-place orders (including those in effect in areas our businesses operate), and business and government shutdowns. We are responding to the COVID-19 pandemic by taking steps to mitigate the potential risks to us posed by its spread and have implemented our company-wide business continuity plans in response to the pandemic. These plans guide our emergency response, business continuity, and the precautionary measures we are taking on behalf of employees and the public. We have taken additional precautions for our employees who work in the field and for employees who continue to work in our facilities, and we have implemented work from home policies where appropriate. We continue to implement physical and cyber-security measures to ensure that our systems remain functional in order to both serve our operational needs with a remote workforce and keep them running to ensure uninterrupted service to our customers.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ongoing COVID-19 pandemic and related federal and state government responses has led to a disruption of economic activity, and could result in an extended disruption of economic activity. The governors of Minnesota and Wisconsin issued executive orders in March 2020 in response to the COVID-19 pandemic which restricted economic activity in these states. The state of Minnesota continues to have restrictions that remain in effect through at least August 12, 2020, while the state of Wisconsin’s order was overturned in May 2020 and has not been replaced. This disruption has resulted and is expected to continue to result in reduced sales and revenue from commercial, municipal and industrial customers as well as an increase in uncollectible accounts from residential and commercial customers. Many commercial and industrial customers were operating at reduced levels or were temporarily closed or idled during the second quarter of 2020. In addition, USS Corporation indefinitely idled its Keetac plant and Verso Corporation indefinitely idled its paper mill in Duluth, Minnesota. (See Outlook – Regulated Operations – Industrial Customers and Prospective Additional Load.) The current disruption of economic activity or an extended disruption of economic activity may lead to additional adverse impacts on our taconite mining, paper, pulp and secondary wood products, and pipeline customers’ operations including further reduced production or the temporary idling or indefinite shutdown of other facilities, which would result in lower sales and revenue from these customers. In Minnesota Power’s service territory, we have also voluntarily and as requested by state regulators extended Minnesota’s cold weather rule as well as temporarily suspended disconnections for non-payment and waived late payment charges for residential and small business customers. In SWL&amp;P’s service territory, we have implemented state regulator requested customer service actions to further limit service disconnections and late payment charges for residential, commercial and industrial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We could be materially adversely affected by the ongoing COVID-19 pandemic for which we are unable to predict the ultimate impact as the extent and duration of the COVID-19 pandemic is uncertain (Continued)</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is monitoring the capital markets and has access to liquidity to enable us to operate our businesses and fund capital projects; however, a disruption in capital markets could lead to increased borrowing costs or adversely impact our ability to access capital markets or other financing sources. If we are not able to access capital on acceptable terms in sufficient amounts and when needed, or at all, the ability to maintain our businesses or to implement our business plans would be adversely affected. In addition, the performance of capital markets impacts the values of the assets that are held in trust to satisfy future obligations under our pension and other postretirement benefit plans. A decline in the market value of these assets would increase the funding requirements under our benefit plans and future costs recognized for the benefit plans if the asset market values do not recover. The Company is also monitoring supply chains for key materials, supplies and services for our operations and large capital projects. We have received notices of force majeure from certain suppliers and the pandemic could result in a disruption to our supply chains which could adversely impact our operations and capital projects; however, there has been limited impact on our supply chains as to the availability of materials, supplies and services to date. In addition, disruptions in our supply chains or a lack of available financing could jeopardize our ability to complete certain capital projects in time to qualify them for production tax credits.</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will continue to monitor developments affecting our workforce, operations and customers, and we will take additional precautions that we determine are necessary in order to mitigate the impacts of the COVID-19 pandemic. Despite our efforts to manage these impacts to the Company, their ultimate impact also depends on factors beyond our control, including the duration and severity of this pandemic as well as governmental and third-party actions taken to contain its spread and mitigate its public health effects. As a result, we cannot predict the ultimate impact of the COVID-19 pandemic and whether it will have a material impact on our liquidity, financial position, results of operations and cash flows.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7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00" w:type="dxa"/>
            <w:vAlign w:val="bottom"/>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270"/>
        </w:trPr>
        <w:tc>
          <w:tcPr>
            <w:tcW w:w="20" w:type="dxa"/>
            <w:vAlign w:val="bottom"/>
          </w:tcPr>
          <w:p>
            <w:pPr>
              <w:spacing w:after="0"/>
              <w:rPr>
                <w:sz w:val="23"/>
                <w:szCs w:val="23"/>
                <w:color w:val="auto"/>
              </w:rPr>
            </w:pPr>
          </w:p>
        </w:tc>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900" w:type="dxa"/>
            <w:vAlign w:val="bottom"/>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w w:val="99"/>
              </w:rPr>
              <w:t>Number</w:t>
            </w:r>
          </w:p>
        </w:tc>
        <w:tc>
          <w:tcPr>
            <w:tcW w:w="9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shd w:val="clear" w:color="auto" w:fill="CCEEFF"/>
          </w:tcPr>
          <w:p>
            <w:pPr>
              <w:ind w:left="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31(a)</w:t>
              </w:r>
            </w:hyperlink>
          </w:p>
        </w:tc>
        <w:tc>
          <w:tcPr>
            <w:tcW w:w="2280" w:type="dxa"/>
            <w:vAlign w:val="bottom"/>
            <w:shd w:val="clear" w:color="auto" w:fill="CCEEFF"/>
          </w:tcPr>
          <w:p>
            <w:pPr>
              <w:ind w:left="400"/>
              <w:spacing w:after="0"/>
              <w:rPr>
                <w:rFonts w:ascii="Arial" w:cs="Arial" w:eastAsia="Arial" w:hAnsi="Arial"/>
                <w:sz w:val="18"/>
                <w:szCs w:val="18"/>
                <w:u w:val="single" w:color="auto"/>
                <w:color w:val="0000FF"/>
                <w:w w:val="91"/>
              </w:rPr>
            </w:pPr>
            <w:hyperlink w:anchor="page53">
              <w:r>
                <w:rPr>
                  <w:rFonts w:ascii="Arial" w:cs="Arial" w:eastAsia="Arial" w:hAnsi="Arial"/>
                  <w:sz w:val="18"/>
                  <w:szCs w:val="18"/>
                  <w:u w:val="single" w:color="auto"/>
                  <w:color w:val="0000FF"/>
                  <w:w w:val="91"/>
                </w:rPr>
                <w:t>Rule 13a-14(a)/15d-14(a)</w:t>
              </w:r>
            </w:hyperlink>
          </w:p>
        </w:tc>
        <w:tc>
          <w:tcPr>
            <w:tcW w:w="8120" w:type="dxa"/>
            <w:vAlign w:val="bottom"/>
            <w:shd w:val="clear" w:color="auto" w:fill="CCEEFF"/>
          </w:tcPr>
          <w:p>
            <w:pPr>
              <w:ind w:left="20"/>
              <w:spacing w:after="0"/>
              <w:rPr>
                <w:rFonts w:ascii="Arial" w:cs="Arial" w:eastAsia="Arial" w:hAnsi="Arial"/>
                <w:sz w:val="18"/>
                <w:szCs w:val="18"/>
                <w:u w:val="single" w:color="auto"/>
                <w:color w:val="0000FF"/>
                <w:w w:val="98"/>
              </w:rPr>
            </w:pPr>
            <w:hyperlink w:anchor="page53">
              <w:r>
                <w:rPr>
                  <w:rFonts w:ascii="Arial" w:cs="Arial" w:eastAsia="Arial" w:hAnsi="Arial"/>
                  <w:sz w:val="18"/>
                  <w:szCs w:val="18"/>
                  <w:u w:val="single" w:color="auto"/>
                  <w:color w:val="0000FF"/>
                  <w:w w:val="98"/>
                </w:rPr>
                <w:t>Certification by the Chief Executive Officer Pursuant to Section 302 of the Sarbanes-Oxley Act of 2002.</w:t>
              </w:r>
            </w:hyperlink>
          </w:p>
        </w:tc>
      </w:tr>
      <w:tr>
        <w:trPr>
          <w:trHeight w:val="230"/>
        </w:trPr>
        <w:tc>
          <w:tcPr>
            <w:tcW w:w="820" w:type="dxa"/>
            <w:vAlign w:val="bottom"/>
          </w:tcPr>
          <w:p>
            <w:pPr>
              <w:ind w:left="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31(b)</w:t>
              </w:r>
            </w:hyperlink>
          </w:p>
        </w:tc>
        <w:tc>
          <w:tcPr>
            <w:tcW w:w="2280" w:type="dxa"/>
            <w:vAlign w:val="bottom"/>
          </w:tcPr>
          <w:p>
            <w:pPr>
              <w:ind w:left="400"/>
              <w:spacing w:after="0"/>
              <w:rPr>
                <w:rFonts w:ascii="Arial" w:cs="Arial" w:eastAsia="Arial" w:hAnsi="Arial"/>
                <w:sz w:val="18"/>
                <w:szCs w:val="18"/>
                <w:u w:val="single" w:color="auto"/>
                <w:color w:val="0000FF"/>
                <w:w w:val="91"/>
              </w:rPr>
            </w:pPr>
            <w:hyperlink w:anchor="page54">
              <w:r>
                <w:rPr>
                  <w:rFonts w:ascii="Arial" w:cs="Arial" w:eastAsia="Arial" w:hAnsi="Arial"/>
                  <w:sz w:val="18"/>
                  <w:szCs w:val="18"/>
                  <w:u w:val="single" w:color="auto"/>
                  <w:color w:val="0000FF"/>
                  <w:w w:val="91"/>
                </w:rPr>
                <w:t>Rule 13a-14(a)/15d-14(a)</w:t>
              </w:r>
            </w:hyperlink>
          </w:p>
        </w:tc>
        <w:tc>
          <w:tcPr>
            <w:tcW w:w="8120" w:type="dxa"/>
            <w:vAlign w:val="bottom"/>
          </w:tcPr>
          <w:p>
            <w:pPr>
              <w:ind w:left="20"/>
              <w:spacing w:after="0"/>
              <w:rPr>
                <w:rFonts w:ascii="Arial" w:cs="Arial" w:eastAsia="Arial" w:hAnsi="Arial"/>
                <w:sz w:val="18"/>
                <w:szCs w:val="18"/>
                <w:color w:val="0000FF"/>
                <w:w w:val="99"/>
              </w:rPr>
            </w:pPr>
            <w:hyperlink w:anchor="page54">
              <w:r>
                <w:rPr>
                  <w:rFonts w:ascii="Arial" w:cs="Arial" w:eastAsia="Arial" w:hAnsi="Arial"/>
                  <w:sz w:val="18"/>
                  <w:szCs w:val="18"/>
                  <w:u w:val="single" w:color="auto"/>
                  <w:color w:val="0000FF"/>
                  <w:w w:val="99"/>
                </w:rPr>
                <w:t>Certification by the Chief Financial Officer Pursuant to Section 302 of the Sarbanes-Oxley Act of 2002</w:t>
              </w:r>
              <w:r>
                <w:rPr>
                  <w:rFonts w:ascii="Arial" w:cs="Arial" w:eastAsia="Arial" w:hAnsi="Arial"/>
                  <w:sz w:val="18"/>
                  <w:szCs w:val="18"/>
                  <w:color w:val="0000FF"/>
                  <w:w w:val="99"/>
                </w:rPr>
                <w:t>.</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257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ind w:left="1220" w:right="40" w:hanging="1194"/>
        <w:spacing w:after="0" w:line="234" w:lineRule="auto"/>
        <w:tabs>
          <w:tab w:leader="none" w:pos="1220" w:val="left"/>
        </w:tabs>
        <w:numPr>
          <w:ilvl w:val="0"/>
          <w:numId w:val="13"/>
        </w:numPr>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Section 1350 Certification of Periodic Report by the Chief Executive Officer and the Chief Financial Officer Pursuant to Section 906 of</w:t>
        </w:r>
      </w:hyperlink>
      <w:r>
        <w:rPr>
          <w:rFonts w:ascii="Arial" w:cs="Arial" w:eastAsia="Arial" w:hAnsi="Arial"/>
          <w:sz w:val="18"/>
          <w:szCs w:val="18"/>
          <w:u w:val="single" w:color="auto"/>
          <w:color w:val="0000FF"/>
        </w:rPr>
        <w:t xml:space="preserve"> </w:t>
      </w:r>
      <w:hyperlink w:anchor="page55">
        <w:r>
          <w:rPr>
            <w:rFonts w:ascii="Arial" w:cs="Arial" w:eastAsia="Arial" w:hAnsi="Arial"/>
            <w:sz w:val="18"/>
            <w:szCs w:val="18"/>
            <w:u w:val="single" w:color="auto"/>
            <w:color w:val="0000FF"/>
          </w:rPr>
          <w:t>the Sarbanes-Oxley Act of 2002.</w:t>
        </w:r>
      </w:hyperlink>
    </w:p>
    <w:p>
      <w:pPr>
        <w:spacing w:after="0" w:line="1" w:lineRule="exact"/>
        <w:rPr>
          <w:rFonts w:ascii="Arial" w:cs="Arial" w:eastAsia="Arial" w:hAnsi="Arial"/>
          <w:sz w:val="18"/>
          <w:szCs w:val="18"/>
          <w:u w:val="single" w:color="auto"/>
          <w:color w:val="0000FF"/>
        </w:rPr>
      </w:pPr>
    </w:p>
    <w:p>
      <w:pPr>
        <w:ind w:left="20"/>
        <w:spacing w:after="0"/>
        <w:tabs>
          <w:tab w:leader="none" w:pos="120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95</w:t>
      </w:r>
      <w:r>
        <w:rPr>
          <w:sz w:val="20"/>
          <w:szCs w:val="20"/>
          <w:color w:val="auto"/>
        </w:rPr>
        <w:tab/>
      </w:r>
      <w:hyperlink w:anchor="page56">
        <w:r>
          <w:rPr>
            <w:rFonts w:ascii="Arial" w:cs="Arial" w:eastAsia="Arial" w:hAnsi="Arial"/>
            <w:sz w:val="18"/>
            <w:szCs w:val="18"/>
            <w:u w:val="single" w:color="auto"/>
            <w:color w:val="0000FF"/>
          </w:rPr>
          <w:t>Mine Safety.</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4800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480060"/>
                    </a:xfrm>
                    <a:prstGeom prst="rect">
                      <a:avLst/>
                    </a:prstGeom>
                    <a:noFill/>
                  </pic:spPr>
                </pic:pic>
              </a:graphicData>
            </a:graphic>
          </wp:anchor>
        </w:drawing>
      </w:r>
    </w:p>
    <w:p>
      <w:pPr>
        <w:spacing w:after="0" w:line="3" w:lineRule="exact"/>
        <w:rPr>
          <w:rFonts w:ascii="Arial" w:cs="Arial" w:eastAsia="Arial" w:hAnsi="Arial"/>
          <w:sz w:val="18"/>
          <w:szCs w:val="18"/>
          <w:u w:val="single" w:color="auto"/>
          <w:color w:val="0000FF"/>
        </w:rPr>
      </w:pPr>
    </w:p>
    <w:p>
      <w:pPr>
        <w:jc w:val="both"/>
        <w:ind w:left="1220" w:right="40" w:hanging="1194"/>
        <w:spacing w:after="0" w:line="219" w:lineRule="auto"/>
        <w:tabs>
          <w:tab w:leader="none" w:pos="1220" w:val="left"/>
        </w:tabs>
        <w:numPr>
          <w:ilvl w:val="0"/>
          <w:numId w:val="14"/>
        </w:numPr>
        <w:rPr>
          <w:rFonts w:ascii="Arial" w:cs="Arial" w:eastAsia="Arial" w:hAnsi="Arial"/>
          <w:sz w:val="18"/>
          <w:szCs w:val="18"/>
          <w:b w:val="1"/>
          <w:bCs w:val="1"/>
          <w:u w:val="single" w:color="auto"/>
          <w:color w:val="0000FF"/>
        </w:rPr>
      </w:pPr>
      <w:hyperlink w:anchor="page57">
        <w:r>
          <w:rPr>
            <w:rFonts w:ascii="Arial" w:cs="Arial" w:eastAsia="Arial" w:hAnsi="Arial"/>
            <w:sz w:val="18"/>
            <w:szCs w:val="18"/>
            <w:b w:val="1"/>
            <w:bCs w:val="1"/>
            <w:u w:val="single" w:color="auto"/>
            <w:color w:val="0000FF"/>
          </w:rPr>
          <w:t>ALLETE News Release dated August 5, 2020, announcing 2020 second quarter earnings. (This exhibit has been furnished and</w:t>
        </w:r>
      </w:hyperlink>
      <w:r>
        <w:rPr>
          <w:rFonts w:ascii="Arial" w:cs="Arial" w:eastAsia="Arial" w:hAnsi="Arial"/>
          <w:sz w:val="18"/>
          <w:szCs w:val="18"/>
          <w:b w:val="1"/>
          <w:bCs w:val="1"/>
          <w:u w:val="single" w:color="auto"/>
          <w:color w:val="0000FF"/>
        </w:rPr>
        <w:t xml:space="preserve"> </w:t>
      </w:r>
      <w:hyperlink w:anchor="page57">
        <w:r>
          <w:rPr>
            <w:rFonts w:ascii="Arial" w:cs="Arial" w:eastAsia="Arial" w:hAnsi="Arial"/>
            <w:sz w:val="18"/>
            <w:szCs w:val="18"/>
            <w:b w:val="1"/>
            <w:bCs w:val="1"/>
            <w:u w:val="single" w:color="auto"/>
            <w:color w:val="0000FF"/>
          </w:rPr>
          <w:t>shall not be deemed “filed” for purposes of Section 18 of the Securities Exchange Act of 1934, nor shall it be deemed incorporated</w:t>
        </w:r>
      </w:hyperlink>
      <w:r>
        <w:rPr>
          <w:rFonts w:ascii="Arial" w:cs="Arial" w:eastAsia="Arial" w:hAnsi="Arial"/>
          <w:sz w:val="18"/>
          <w:szCs w:val="18"/>
          <w:b w:val="1"/>
          <w:bCs w:val="1"/>
          <w:u w:val="single" w:color="auto"/>
          <w:color w:val="0000FF"/>
        </w:rPr>
        <w:t xml:space="preserve"> </w:t>
      </w:r>
      <w:hyperlink w:anchor="page57">
        <w:r>
          <w:rPr>
            <w:rFonts w:ascii="Arial" w:cs="Arial" w:eastAsia="Arial" w:hAnsi="Arial"/>
            <w:sz w:val="18"/>
            <w:szCs w:val="18"/>
            <w:b w:val="1"/>
            <w:bCs w:val="1"/>
            <w:u w:val="single" w:color="auto"/>
            <w:color w:val="0000FF"/>
          </w:rPr>
          <w:t>by reference in any filing under the Securities Act of 1933, except as shall be expressly set forth by specific reference in such</w:t>
        </w:r>
      </w:hyperlink>
      <w:r>
        <w:rPr>
          <w:rFonts w:ascii="Arial" w:cs="Arial" w:eastAsia="Arial" w:hAnsi="Arial"/>
          <w:sz w:val="18"/>
          <w:szCs w:val="18"/>
          <w:b w:val="1"/>
          <w:bCs w:val="1"/>
          <w:u w:val="single" w:color="auto"/>
          <w:color w:val="0000FF"/>
        </w:rPr>
        <w:t xml:space="preserve"> </w:t>
      </w:r>
      <w:hyperlink w:anchor="page57">
        <w:r>
          <w:rPr>
            <w:rFonts w:ascii="Arial" w:cs="Arial" w:eastAsia="Arial" w:hAnsi="Arial"/>
            <w:sz w:val="18"/>
            <w:szCs w:val="18"/>
            <w:b w:val="1"/>
            <w:bCs w:val="1"/>
            <w:u w:val="single" w:color="auto"/>
            <w:color w:val="0000FF"/>
          </w:rPr>
          <w:t>filing.)</w:t>
        </w:r>
      </w:hyperlink>
    </w:p>
    <w:p>
      <w:pPr>
        <w:spacing w:after="0" w:line="13" w:lineRule="exact"/>
        <w:rPr>
          <w:rFonts w:ascii="Arial" w:cs="Arial" w:eastAsia="Arial" w:hAnsi="Arial"/>
          <w:sz w:val="18"/>
          <w:szCs w:val="18"/>
          <w:b w:val="1"/>
          <w:bCs w:val="1"/>
          <w:u w:val="single" w:color="auto"/>
          <w:color w:val="0000FF"/>
        </w:rPr>
      </w:pPr>
    </w:p>
    <w:tbl>
      <w:tblPr>
        <w:tblLayout w:type="fixed"/>
        <w:tblInd w:w="0" w:type="dxa"/>
        <w:tblCellMar>
          <w:top w:w="0" w:type="dxa"/>
          <w:left w:w="0" w:type="dxa"/>
          <w:bottom w:w="0" w:type="dxa"/>
          <w:right w:w="0" w:type="dxa"/>
        </w:tblCellMar>
      </w:tblPr>
      <w:tr>
        <w:trPr>
          <w:trHeight w:val="216"/>
        </w:trPr>
        <w:tc>
          <w:tcPr>
            <w:tcW w:w="960" w:type="dxa"/>
            <w:vAlign w:val="bottom"/>
          </w:tcPr>
          <w:p>
            <w:pPr>
              <w:ind w:left="20"/>
              <w:spacing w:after="0"/>
              <w:rPr>
                <w:sz w:val="20"/>
                <w:szCs w:val="20"/>
                <w:color w:val="auto"/>
              </w:rPr>
            </w:pPr>
            <w:r>
              <w:rPr>
                <w:rFonts w:ascii="Arial" w:cs="Arial" w:eastAsia="Arial" w:hAnsi="Arial"/>
                <w:sz w:val="18"/>
                <w:szCs w:val="18"/>
                <w:color w:val="auto"/>
              </w:rPr>
              <w:t>101.INS</w:t>
            </w:r>
          </w:p>
        </w:tc>
        <w:tc>
          <w:tcPr>
            <w:tcW w:w="10260" w:type="dxa"/>
            <w:vAlign w:val="bottom"/>
          </w:tcPr>
          <w:p>
            <w:pPr>
              <w:ind w:left="260"/>
              <w:spacing w:after="0"/>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r>
      <w:tr>
        <w:trPr>
          <w:trHeight w:val="230"/>
        </w:trPr>
        <w:tc>
          <w:tcPr>
            <w:tcW w:w="960" w:type="dxa"/>
            <w:vAlign w:val="bottom"/>
          </w:tcPr>
          <w:p>
            <w:pPr>
              <w:spacing w:after="0"/>
              <w:rPr>
                <w:sz w:val="20"/>
                <w:szCs w:val="20"/>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rPr>
              <w:t>within the Inline XBRL document.</w:t>
            </w:r>
          </w:p>
        </w:tc>
      </w:tr>
      <w:tr>
        <w:trPr>
          <w:trHeight w:val="27"/>
        </w:trPr>
        <w:tc>
          <w:tcPr>
            <w:tcW w:w="96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250"/>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XBRL Schema</w:t>
            </w:r>
          </w:p>
        </w:tc>
      </w:tr>
      <w:tr>
        <w:trPr>
          <w:trHeight w:val="243"/>
        </w:trPr>
        <w:tc>
          <w:tcPr>
            <w:tcW w:w="960" w:type="dxa"/>
            <w:vAlign w:val="bottom"/>
          </w:tcPr>
          <w:p>
            <w:pPr>
              <w:ind w:left="20"/>
              <w:spacing w:after="0"/>
              <w:rPr>
                <w:sz w:val="20"/>
                <w:szCs w:val="20"/>
                <w:color w:val="auto"/>
              </w:rPr>
            </w:pPr>
            <w:r>
              <w:rPr>
                <w:rFonts w:ascii="Arial" w:cs="Arial" w:eastAsia="Arial" w:hAnsi="Arial"/>
                <w:sz w:val="18"/>
                <w:szCs w:val="18"/>
                <w:color w:val="auto"/>
              </w:rPr>
              <w:t>101.CAL</w:t>
            </w:r>
          </w:p>
        </w:tc>
        <w:tc>
          <w:tcPr>
            <w:tcW w:w="10260" w:type="dxa"/>
            <w:vAlign w:val="bottom"/>
          </w:tcPr>
          <w:p>
            <w:pPr>
              <w:ind w:left="260"/>
              <w:spacing w:after="0"/>
              <w:rPr>
                <w:sz w:val="20"/>
                <w:szCs w:val="20"/>
                <w:color w:val="auto"/>
              </w:rPr>
            </w:pPr>
            <w:r>
              <w:rPr>
                <w:rFonts w:ascii="Arial" w:cs="Arial" w:eastAsia="Arial" w:hAnsi="Arial"/>
                <w:sz w:val="18"/>
                <w:szCs w:val="18"/>
                <w:color w:val="auto"/>
              </w:rPr>
              <w:t>XBRL Calculation</w:t>
            </w:r>
          </w:p>
        </w:tc>
      </w:tr>
      <w:tr>
        <w:trPr>
          <w:trHeight w:val="27"/>
        </w:trPr>
        <w:tc>
          <w:tcPr>
            <w:tcW w:w="96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250"/>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0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XBRL Definition</w:t>
            </w:r>
          </w:p>
        </w:tc>
      </w:tr>
      <w:tr>
        <w:trPr>
          <w:trHeight w:val="243"/>
        </w:trPr>
        <w:tc>
          <w:tcPr>
            <w:tcW w:w="960" w:type="dxa"/>
            <w:vAlign w:val="bottom"/>
          </w:tcPr>
          <w:p>
            <w:pPr>
              <w:ind w:left="20"/>
              <w:spacing w:after="0"/>
              <w:rPr>
                <w:sz w:val="20"/>
                <w:szCs w:val="20"/>
                <w:color w:val="auto"/>
              </w:rPr>
            </w:pPr>
            <w:r>
              <w:rPr>
                <w:rFonts w:ascii="Arial" w:cs="Arial" w:eastAsia="Arial" w:hAnsi="Arial"/>
                <w:sz w:val="18"/>
                <w:szCs w:val="18"/>
                <w:color w:val="auto"/>
              </w:rPr>
              <w:t>101.LAB</w:t>
            </w:r>
          </w:p>
        </w:tc>
        <w:tc>
          <w:tcPr>
            <w:tcW w:w="10260" w:type="dxa"/>
            <w:vAlign w:val="bottom"/>
          </w:tcPr>
          <w:p>
            <w:pPr>
              <w:ind w:left="260"/>
              <w:spacing w:after="0"/>
              <w:rPr>
                <w:sz w:val="20"/>
                <w:szCs w:val="20"/>
                <w:color w:val="auto"/>
              </w:rPr>
            </w:pPr>
            <w:r>
              <w:rPr>
                <w:rFonts w:ascii="Arial" w:cs="Arial" w:eastAsia="Arial" w:hAnsi="Arial"/>
                <w:sz w:val="18"/>
                <w:szCs w:val="18"/>
                <w:color w:val="auto"/>
              </w:rPr>
              <w:t>XBRL Label</w:t>
            </w:r>
          </w:p>
        </w:tc>
      </w:tr>
      <w:tr>
        <w:trPr>
          <w:trHeight w:val="27"/>
        </w:trPr>
        <w:tc>
          <w:tcPr>
            <w:tcW w:w="96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250"/>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0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XBRL Presentation</w:t>
            </w:r>
          </w:p>
        </w:tc>
      </w:tr>
      <w:tr>
        <w:trPr>
          <w:trHeight w:val="243"/>
        </w:trPr>
        <w:tc>
          <w:tcPr>
            <w:tcW w:w="960" w:type="dxa"/>
            <w:vAlign w:val="bottom"/>
          </w:tcPr>
          <w:p>
            <w:pPr>
              <w:ind w:left="20"/>
              <w:spacing w:after="0"/>
              <w:rPr>
                <w:sz w:val="20"/>
                <w:szCs w:val="20"/>
                <w:color w:val="auto"/>
              </w:rPr>
            </w:pPr>
            <w:r>
              <w:rPr>
                <w:rFonts w:ascii="Arial" w:cs="Arial" w:eastAsia="Arial" w:hAnsi="Arial"/>
                <w:sz w:val="18"/>
                <w:szCs w:val="18"/>
                <w:color w:val="auto"/>
              </w:rPr>
              <w:t>104</w:t>
            </w:r>
          </w:p>
        </w:tc>
        <w:tc>
          <w:tcPr>
            <w:tcW w:w="10260" w:type="dxa"/>
            <w:vAlign w:val="bottom"/>
          </w:tcPr>
          <w:p>
            <w:pPr>
              <w:ind w:left="26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21" w:lineRule="exact"/>
        <w:rPr>
          <w:rFonts w:ascii="Arial" w:cs="Arial" w:eastAsia="Arial" w:hAnsi="Arial"/>
          <w:sz w:val="18"/>
          <w:szCs w:val="18"/>
          <w:b w:val="1"/>
          <w:bCs w:val="1"/>
          <w:u w:val="single" w:color="auto"/>
          <w:color w:val="0000FF"/>
        </w:rPr>
      </w:pPr>
    </w:p>
    <w:p>
      <w:pPr>
        <w:jc w:val="both"/>
        <w:spacing w:after="0" w:line="277" w:lineRule="auto"/>
        <w:rPr>
          <w:sz w:val="20"/>
          <w:szCs w:val="20"/>
          <w:color w:val="auto"/>
        </w:rPr>
      </w:pPr>
      <w:r>
        <w:rPr>
          <w:rFonts w:ascii="Arial" w:cs="Arial" w:eastAsia="Arial" w:hAnsi="Arial"/>
          <w:sz w:val="18"/>
          <w:szCs w:val="18"/>
          <w:color w:val="auto"/>
        </w:rPr>
        <w:t>ALLETE agrees to furnish to the SEC upon request any instrument with respect to long-term debt that ALLETE has not filed as an exhibit pursuant to the exemption provided by Item 601(b)(4)(iii)(A) of Regulation S-K.</w:t>
      </w:r>
    </w:p>
    <w:p>
      <w:pPr>
        <w:spacing w:after="0" w:line="395" w:lineRule="exact"/>
        <w:rPr>
          <w:rFonts w:ascii="Arial" w:cs="Arial" w:eastAsia="Arial" w:hAnsi="Arial"/>
          <w:sz w:val="18"/>
          <w:szCs w:val="18"/>
          <w:b w:val="1"/>
          <w:bCs w:val="1"/>
          <w:u w:val="single" w:color="auto"/>
          <w:color w:val="0000FF"/>
        </w:rPr>
      </w:pPr>
    </w:p>
    <w:p>
      <w:pPr>
        <w:jc w:val="center"/>
        <w:spacing w:after="0"/>
        <w:rPr>
          <w:sz w:val="20"/>
          <w:szCs w:val="20"/>
          <w:color w:val="auto"/>
        </w:rPr>
      </w:pPr>
      <w:r>
        <w:rPr>
          <w:rFonts w:ascii="Arial" w:cs="Arial" w:eastAsia="Arial" w:hAnsi="Arial"/>
          <w:sz w:val="14"/>
          <w:szCs w:val="14"/>
          <w:color w:val="auto"/>
        </w:rPr>
        <w:t>ALLETE, Inc. Second Quarter 2020 Form 10-Q</w:t>
      </w:r>
    </w:p>
    <w:p>
      <w:pPr>
        <w:spacing w:after="0" w:line="13" w:lineRule="exact"/>
        <w:rPr>
          <w:rFonts w:ascii="Arial" w:cs="Arial" w:eastAsia="Arial" w:hAnsi="Arial"/>
          <w:sz w:val="18"/>
          <w:szCs w:val="18"/>
          <w:b w:val="1"/>
          <w:bCs w:val="1"/>
          <w:u w:val="single" w:color="auto"/>
          <w:color w:val="0000FF"/>
        </w:rPr>
      </w:pPr>
    </w:p>
    <w:p>
      <w:pPr>
        <w:jc w:val="right"/>
        <w:spacing w:after="0"/>
        <w:rPr>
          <w:sz w:val="20"/>
          <w:szCs w:val="20"/>
          <w:color w:val="auto"/>
        </w:rPr>
      </w:pPr>
      <w:r>
        <w:rPr>
          <w:rFonts w:ascii="Arial" w:cs="Arial" w:eastAsia="Arial" w:hAnsi="Arial"/>
          <w:sz w:val="14"/>
          <w:szCs w:val="14"/>
          <w:color w:val="auto"/>
        </w:rPr>
        <w:t>51</w:t>
      </w:r>
    </w:p>
    <w:p>
      <w:pPr>
        <w:spacing w:after="0" w:line="20" w:lineRule="exact"/>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7"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August 5, 2020</w:t>
            </w:r>
          </w:p>
        </w:tc>
        <w:tc>
          <w:tcPr>
            <w:tcW w:w="5700" w:type="dxa"/>
            <w:vAlign w:val="bottom"/>
          </w:tcPr>
          <w:p>
            <w:pPr>
              <w:jc w:val="center"/>
              <w:spacing w:after="0"/>
              <w:rPr>
                <w:sz w:val="20"/>
                <w:szCs w:val="20"/>
                <w:color w:val="auto"/>
              </w:rPr>
            </w:pPr>
            <w:r>
              <w:rPr>
                <w:rFonts w:ascii="Arial" w:cs="Arial" w:eastAsia="Arial" w:hAnsi="Arial"/>
                <w:sz w:val="18"/>
                <w:szCs w:val="18"/>
                <w:color w:val="auto"/>
                <w:w w:val="89"/>
              </w:rPr>
              <w:t>/s/ Robert J. Adams</w:t>
            </w:r>
          </w:p>
        </w:tc>
      </w:tr>
      <w:tr>
        <w:trPr>
          <w:trHeight w:val="27"/>
        </w:trPr>
        <w:tc>
          <w:tcPr>
            <w:tcW w:w="55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0"/>
              </w:rPr>
              <w:t>Robert J. Adams</w:t>
            </w:r>
          </w:p>
        </w:tc>
      </w:tr>
      <w:tr>
        <w:trPr>
          <w:trHeight w:val="270"/>
        </w:trPr>
        <w:tc>
          <w:tcPr>
            <w:tcW w:w="5500" w:type="dxa"/>
            <w:vAlign w:val="bottom"/>
          </w:tcPr>
          <w:p>
            <w:pPr>
              <w:spacing w:after="0"/>
              <w:rPr>
                <w:sz w:val="23"/>
                <w:szCs w:val="23"/>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70"/>
        </w:trPr>
        <w:tc>
          <w:tcPr>
            <w:tcW w:w="5500" w:type="dxa"/>
            <w:vAlign w:val="bottom"/>
          </w:tcPr>
          <w:p>
            <w:pPr>
              <w:spacing w:after="0"/>
              <w:rPr>
                <w:sz w:val="23"/>
                <w:szCs w:val="23"/>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August 5, 2020</w:t>
            </w:r>
          </w:p>
        </w:tc>
        <w:tc>
          <w:tcPr>
            <w:tcW w:w="284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2"/>
              </w:rPr>
              <w:t>/s/ Steven W. Morris</w:t>
            </w:r>
          </w:p>
        </w:tc>
      </w:tr>
      <w:tr>
        <w:trPr>
          <w:trHeight w:val="27"/>
        </w:trPr>
        <w:tc>
          <w:tcPr>
            <w:tcW w:w="26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26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Steven W. Morris</w:t>
            </w:r>
          </w:p>
        </w:tc>
      </w:tr>
      <w:tr>
        <w:trPr>
          <w:trHeight w:val="270"/>
        </w:trPr>
        <w:tc>
          <w:tcPr>
            <w:tcW w:w="266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2"/>
              </w:rPr>
              <w:t>Vice President, Controller and Chief Accounting Officer</w:t>
            </w:r>
          </w:p>
        </w:tc>
      </w:tr>
      <w:tr>
        <w:trPr>
          <w:trHeight w:val="270"/>
        </w:trPr>
        <w:tc>
          <w:tcPr>
            <w:tcW w:w="266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736"/>
        </w:trPr>
        <w:tc>
          <w:tcPr>
            <w:tcW w:w="2660" w:type="dxa"/>
            <w:vAlign w:val="bottom"/>
          </w:tcPr>
          <w:p>
            <w:pPr>
              <w:spacing w:after="0"/>
              <w:rPr>
                <w:sz w:val="24"/>
                <w:szCs w:val="24"/>
                <w:color w:val="auto"/>
              </w:rPr>
            </w:pPr>
          </w:p>
        </w:tc>
        <w:tc>
          <w:tcPr>
            <w:tcW w:w="8540" w:type="dxa"/>
            <w:vAlign w:val="bottom"/>
            <w:gridSpan w:val="2"/>
          </w:tcPr>
          <w:p>
            <w:pPr>
              <w:ind w:left="1560"/>
              <w:spacing w:after="0"/>
              <w:rPr>
                <w:sz w:val="20"/>
                <w:szCs w:val="20"/>
                <w:color w:val="auto"/>
              </w:rPr>
            </w:pPr>
            <w:r>
              <w:rPr>
                <w:rFonts w:ascii="Arial" w:cs="Arial" w:eastAsia="Arial" w:hAnsi="Arial"/>
                <w:sz w:val="14"/>
                <w:szCs w:val="14"/>
                <w:color w:val="auto"/>
              </w:rPr>
              <w:t>ALLETE, Inc. Second Quarter 2020 Form 10-Q</w:t>
            </w:r>
          </w:p>
        </w:tc>
      </w:tr>
    </w:tbl>
    <w:p>
      <w:pPr>
        <w:jc w:val="right"/>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Bethany M. Owen, of ALLETE, Inc. (ALLETE), certify that:</w:t>
      </w:r>
    </w:p>
    <w:p>
      <w:pPr>
        <w:spacing w:after="0" w:line="25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2020, of ALLETE;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20"/>
        <w:spacing w:after="0"/>
        <w:tabs>
          <w:tab w:leader="none" w:pos="444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6"/>
          <w:szCs w:val="16"/>
          <w:color w:val="auto"/>
        </w:rPr>
        <w:t>/s/ Bethany M. 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31750</wp:posOffset>
            </wp:positionV>
            <wp:extent cx="42862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5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Bethany M. Owen</w:t>
      </w:r>
    </w:p>
    <w:p>
      <w:pPr>
        <w:spacing w:after="0" w:line="6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Robert J. Adams, of ALLETE, Inc. (ALLETE), certify that:</w:t>
      </w:r>
    </w:p>
    <w:p>
      <w:pPr>
        <w:spacing w:after="0" w:line="25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2020, of ALLETE;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20"/>
        <w:spacing w:after="0"/>
        <w:tabs>
          <w:tab w:leader="none" w:pos="406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6"/>
          <w:szCs w:val="16"/>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31750</wp:posOffset>
            </wp:positionV>
            <wp:extent cx="45345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34535" cy="8890"/>
                    </a:xfrm>
                    <a:prstGeom prst="rect">
                      <a:avLst/>
                    </a:prstGeom>
                    <a:noFill/>
                  </pic:spPr>
                </pic:pic>
              </a:graphicData>
            </a:graphic>
          </wp:anchor>
        </w:drawing>
      </w:r>
    </w:p>
    <w:p>
      <w:pPr>
        <w:spacing w:after="0" w:line="5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9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97" w:lineRule="exact"/>
        <w:rPr>
          <w:sz w:val="20"/>
          <w:szCs w:val="20"/>
          <w:color w:val="auto"/>
        </w:rPr>
      </w:pPr>
    </w:p>
    <w:p>
      <w:pPr>
        <w:ind w:left="660" w:right="2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June 30, 2020,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5, 2020</w:t>
      </w:r>
    </w:p>
    <w:p>
      <w:pPr>
        <w:spacing w:after="0" w:line="6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 Bethany M. 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31750</wp:posOffset>
            </wp:positionV>
            <wp:extent cx="37287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5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Bethany M. Owen</w:t>
      </w:r>
    </w:p>
    <w:p>
      <w:pPr>
        <w:spacing w:after="0" w:line="6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5, 2020</w:t>
      </w:r>
    </w:p>
    <w:p>
      <w:pPr>
        <w:spacing w:after="0" w:line="6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31750</wp:posOffset>
            </wp:positionV>
            <wp:extent cx="37287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5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55" w:name="page56"/>
    <w:bookmarkEnd w:id="55"/>
    <w:tbl>
      <w:tblPr>
        <w:tblLayout w:type="fixed"/>
        <w:tblInd w:w="3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ind w:left="40"/>
              <w:spacing w:after="0"/>
              <w:rPr>
                <w:sz w:val="20"/>
                <w:szCs w:val="20"/>
                <w:color w:val="auto"/>
              </w:rPr>
            </w:pPr>
            <w:r>
              <w:rPr>
                <w:rFonts w:ascii="Arial" w:cs="Arial" w:eastAsia="Arial" w:hAnsi="Arial"/>
                <w:sz w:val="18"/>
                <w:szCs w:val="18"/>
                <w:b w:val="1"/>
                <w:bCs w:val="1"/>
                <w:color w:val="auto"/>
                <w:w w:val="89"/>
              </w:rPr>
              <w:t>Exhibit 95</w:t>
            </w:r>
          </w:p>
        </w:tc>
      </w:tr>
      <w:tr>
        <w:trPr>
          <w:trHeight w:val="459"/>
        </w:trPr>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b w:val="1"/>
                <w:bCs w:val="1"/>
                <w:color w:val="auto"/>
              </w:rPr>
              <w:t>Mine Safety Disclosure</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
        </w:trPr>
        <w:tc>
          <w:tcPr>
            <w:tcW w:w="1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50"/>
        </w:trPr>
        <w:tc>
          <w:tcPr>
            <w:tcW w:w="1300" w:type="dxa"/>
            <w:vAlign w:val="bottom"/>
            <w:tcBorders>
              <w:left w:val="single" w:sz="8" w:color="auto"/>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Received</w:t>
            </w:r>
          </w:p>
        </w:tc>
        <w:tc>
          <w:tcPr>
            <w:tcW w:w="8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48"/>
        </w:trPr>
        <w:tc>
          <w:tcPr>
            <w:tcW w:w="1300" w:type="dxa"/>
            <w:vAlign w:val="bottom"/>
            <w:tcBorders>
              <w:left w:val="single" w:sz="8" w:color="auto"/>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Pattern of</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r>
      <w:tr>
        <w:trPr>
          <w:trHeight w:val="149"/>
        </w:trPr>
        <w:tc>
          <w:tcPr>
            <w:tcW w:w="1300" w:type="dxa"/>
            <w:vAlign w:val="bottom"/>
            <w:tcBorders>
              <w:left w:val="single" w:sz="8" w:color="auto"/>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8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r>
      <w:tr>
        <w:trPr>
          <w:trHeight w:val="148"/>
        </w:trPr>
        <w:tc>
          <w:tcPr>
            <w:tcW w:w="130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Mine or Operating</w:t>
            </w:r>
          </w:p>
        </w:tc>
        <w:tc>
          <w:tcPr>
            <w:tcW w:w="8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8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Under</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r>
      <w:tr>
        <w:trPr>
          <w:trHeight w:val="148"/>
        </w:trPr>
        <w:tc>
          <w:tcPr>
            <w:tcW w:w="130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Name/MSHA</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8"/>
        </w:trPr>
        <w:tc>
          <w:tcPr>
            <w:tcW w:w="130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Identification</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104(b)</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110(b)(2)</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107(a)</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During</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r>
      <w:tr>
        <w:trPr>
          <w:trHeight w:val="188"/>
        </w:trPr>
        <w:tc>
          <w:tcPr>
            <w:tcW w:w="1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Number</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Violations (#)</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76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of Period (#)</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r>
      <w:tr>
        <w:trPr>
          <w:trHeight w:val="156"/>
        </w:trPr>
        <w:tc>
          <w:tcPr>
            <w:tcW w:w="1300" w:type="dxa"/>
            <w:vAlign w:val="bottom"/>
            <w:tcBorders>
              <w:left w:val="single" w:sz="8" w:color="auto"/>
              <w:right w:val="single" w:sz="8" w:color="auto"/>
            </w:tcBorders>
          </w:tcPr>
          <w:p>
            <w:pPr>
              <w:jc w:val="center"/>
              <w:spacing w:after="0" w:line="156" w:lineRule="exact"/>
              <w:rPr>
                <w:sz w:val="20"/>
                <w:szCs w:val="20"/>
                <w:color w:val="auto"/>
              </w:rPr>
            </w:pPr>
            <w:r>
              <w:rPr>
                <w:rFonts w:ascii="Arial" w:cs="Arial" w:eastAsia="Arial" w:hAnsi="Arial"/>
                <w:sz w:val="14"/>
                <w:szCs w:val="14"/>
                <w:color w:val="auto"/>
                <w:w w:val="92"/>
              </w:rPr>
              <w:t>Center Mine /</w:t>
            </w:r>
          </w:p>
        </w:tc>
        <w:tc>
          <w:tcPr>
            <w:tcW w:w="8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r>
      <w:tr>
        <w:trPr>
          <w:trHeight w:val="188"/>
        </w:trPr>
        <w:tc>
          <w:tcPr>
            <w:tcW w:w="1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June 30, 2020, BNI Energy, owner of Center Mine, received five citations under Section 104(a) of the Mine Safety Act, none were significant and substantial (S&amp;S) citations. For the six months ended June 30, 2020, BNI Energy paid $934 in penalties for citations closed during the period. For the six months ended June 30, 2020, there were no citations, orders, violations or notices under Sections 104(b), 104(d), 107(a), 104(e) or 110(b)(2) of the Mine Safety Act and there were no fatalities.</w:t>
      </w:r>
    </w:p>
    <w:p>
      <w:pPr>
        <w:sectPr>
          <w:pgSz w:w="11900" w:h="16838" w:orient="portrait"/>
          <w:cols w:equalWidth="0" w:num="1">
            <w:col w:w="11240"/>
          </w:cols>
          <w:pgMar w:left="320" w:top="891" w:right="33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808990</wp:posOffset>
            </wp:positionV>
            <wp:extent cx="1328420" cy="6261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32842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81"/>
          <w:szCs w:val="81"/>
          <w:b w:val="1"/>
          <w:bCs w:val="1"/>
          <w:i w:val="1"/>
          <w:iCs w:val="1"/>
          <w:color w:val="auto"/>
        </w:rPr>
        <w:t>NEWS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Exhibit 99</w:t>
      </w:r>
    </w:p>
    <w:p>
      <w:pPr>
        <w:spacing w:after="0" w:line="6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For Release:</w:t>
      </w:r>
      <w:r>
        <w:rPr>
          <w:sz w:val="20"/>
          <w:szCs w:val="20"/>
          <w:color w:val="auto"/>
        </w:rPr>
        <w:tab/>
      </w:r>
      <w:r>
        <w:rPr>
          <w:rFonts w:ascii="Arial" w:cs="Arial" w:eastAsia="Arial" w:hAnsi="Arial"/>
          <w:sz w:val="16"/>
          <w:szCs w:val="16"/>
          <w:color w:val="auto"/>
        </w:rPr>
        <w:t>August 5, 2020</w:t>
      </w:r>
    </w:p>
    <w:p>
      <w:pPr>
        <w:spacing w:after="0" w:line="279"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Investor Contact:</w:t>
      </w:r>
      <w:r>
        <w:rPr>
          <w:sz w:val="20"/>
          <w:szCs w:val="20"/>
          <w:color w:val="auto"/>
        </w:rPr>
        <w:tab/>
      </w:r>
      <w:r>
        <w:rPr>
          <w:rFonts w:ascii="Arial" w:cs="Arial" w:eastAsia="Arial" w:hAnsi="Arial"/>
          <w:sz w:val="16"/>
          <w:szCs w:val="16"/>
          <w:color w:val="auto"/>
        </w:rPr>
        <w:t>Vince Meyer</w:t>
      </w:r>
    </w:p>
    <w:p>
      <w:pPr>
        <w:spacing w:after="0" w:line="6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218-723-3952</w:t>
      </w:r>
    </w:p>
    <w:p>
      <w:pPr>
        <w:spacing w:after="0" w:line="25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vmeyer@allete.com</w:t>
      </w:r>
    </w:p>
    <w:p>
      <w:pPr>
        <w:spacing w:after="0" w:line="686" w:lineRule="exact"/>
        <w:rPr>
          <w:sz w:val="20"/>
          <w:szCs w:val="20"/>
          <w:color w:val="auto"/>
        </w:rPr>
      </w:pPr>
    </w:p>
    <w:p>
      <w:pPr>
        <w:sectPr>
          <w:pgSz w:w="11900" w:h="16838" w:orient="portrait"/>
          <w:cols w:equalWidth="0" w:num="2">
            <w:col w:w="6460" w:space="720"/>
            <w:col w:w="4020"/>
          </w:cols>
          <w:pgMar w:left="320" w:top="989" w:right="379" w:bottom="1440" w:gutter="0" w:footer="0" w:header="0"/>
        </w:sectPr>
      </w:pP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ALLETE, Inc. reports second quarter earnings</w:t>
      </w:r>
    </w:p>
    <w:p>
      <w:pPr>
        <w:ind w:left="660" w:right="60" w:hanging="328"/>
        <w:spacing w:after="0" w:line="224" w:lineRule="auto"/>
        <w:tabs>
          <w:tab w:leader="none" w:pos="654" w:val="left"/>
        </w:tabs>
        <w:numPr>
          <w:ilvl w:val="0"/>
          <w:numId w:val="18"/>
        </w:numPr>
        <w:rPr>
          <w:rFonts w:ascii="Arial" w:cs="Arial" w:eastAsia="Arial" w:hAnsi="Arial"/>
          <w:sz w:val="24"/>
          <w:szCs w:val="24"/>
          <w:color w:val="auto"/>
        </w:rPr>
      </w:pPr>
      <w:r>
        <w:rPr>
          <w:rFonts w:ascii="Arial" w:cs="Arial" w:eastAsia="Arial" w:hAnsi="Arial"/>
          <w:sz w:val="24"/>
          <w:szCs w:val="24"/>
          <w:b w:val="1"/>
          <w:bCs w:val="1"/>
          <w:color w:val="auto"/>
        </w:rPr>
        <w:t>Reinstates 2020 annual GAAP earnings guidance, with range of $3.09 - $3.29, in light of improved visibility of industrial customer production levels for the remainder of the year</w:t>
      </w:r>
    </w:p>
    <w:p>
      <w:pPr>
        <w:spacing w:after="0" w:line="1" w:lineRule="exact"/>
        <w:rPr>
          <w:rFonts w:ascii="Arial" w:cs="Arial" w:eastAsia="Arial" w:hAnsi="Arial"/>
          <w:sz w:val="24"/>
          <w:szCs w:val="24"/>
          <w:color w:val="auto"/>
        </w:rPr>
      </w:pPr>
    </w:p>
    <w:p>
      <w:pPr>
        <w:ind w:left="660" w:hanging="328"/>
        <w:spacing w:after="0" w:line="232" w:lineRule="auto"/>
        <w:tabs>
          <w:tab w:leader="none" w:pos="654" w:val="left"/>
        </w:tabs>
        <w:numPr>
          <w:ilvl w:val="0"/>
          <w:numId w:val="18"/>
        </w:numPr>
        <w:rPr>
          <w:rFonts w:ascii="Arial" w:cs="Arial" w:eastAsia="Arial" w:hAnsi="Arial"/>
          <w:sz w:val="25"/>
          <w:szCs w:val="25"/>
          <w:color w:val="auto"/>
        </w:rPr>
      </w:pPr>
      <w:r>
        <w:rPr>
          <w:rFonts w:ascii="Arial" w:cs="Arial" w:eastAsia="Arial" w:hAnsi="Arial"/>
          <w:sz w:val="25"/>
          <w:szCs w:val="25"/>
          <w:b w:val="1"/>
          <w:bCs w:val="1"/>
          <w:color w:val="auto"/>
        </w:rPr>
        <w:t>Announces 2020 annual adjusted earnings guidance range (Non-GAAP) of $3.25 - $3.45, excluding the Minnesota Power rate case settlement charge, net of tax</w:t>
      </w:r>
    </w:p>
    <w:p>
      <w:pPr>
        <w:spacing w:after="0" w:line="200" w:lineRule="exact"/>
        <w:rPr>
          <w:sz w:val="20"/>
          <w:szCs w:val="20"/>
          <w:color w:val="auto"/>
        </w:rPr>
      </w:pPr>
    </w:p>
    <w:p>
      <w:pPr>
        <w:spacing w:after="0" w:line="221" w:lineRule="exact"/>
        <w:rPr>
          <w:sz w:val="20"/>
          <w:szCs w:val="20"/>
          <w:color w:val="auto"/>
        </w:rPr>
      </w:pPr>
    </w:p>
    <w:p>
      <w:pPr>
        <w:ind w:right="140"/>
        <w:spacing w:after="0" w:line="223" w:lineRule="auto"/>
        <w:rPr>
          <w:sz w:val="20"/>
          <w:szCs w:val="20"/>
          <w:color w:val="auto"/>
        </w:rPr>
      </w:pPr>
      <w:r>
        <w:rPr>
          <w:rFonts w:ascii="Arial" w:cs="Arial" w:eastAsia="Arial" w:hAnsi="Arial"/>
          <w:sz w:val="20"/>
          <w:szCs w:val="20"/>
          <w:color w:val="auto"/>
        </w:rPr>
        <w:t>DULUTH, Minn. - ALLETE, Inc. (NYSE: ALE) today reported second quarter 2020 earnings of 39 cents per share on net income of $20.1 million. Last year’s results were 66 cents per share on net income of $34.2 million. Results in the second quarter of 2020 included a 16 cent per share charge for the recent Minnesota Power rate case resolution. Results in the second quarter of 2019 included 2 cents per share of a U.S. Water Services gain on sale adjustment.</w:t>
      </w:r>
    </w:p>
    <w:p>
      <w:pPr>
        <w:spacing w:after="0" w:line="198" w:lineRule="exact"/>
        <w:rPr>
          <w:sz w:val="20"/>
          <w:szCs w:val="20"/>
          <w:color w:val="auto"/>
        </w:rPr>
      </w:pPr>
    </w:p>
    <w:p>
      <w:pPr>
        <w:ind w:right="40"/>
        <w:spacing w:after="0" w:line="223" w:lineRule="auto"/>
        <w:rPr>
          <w:sz w:val="20"/>
          <w:szCs w:val="20"/>
          <w:color w:val="auto"/>
        </w:rPr>
      </w:pPr>
      <w:r>
        <w:rPr>
          <w:rFonts w:ascii="Arial" w:cs="Arial" w:eastAsia="Arial" w:hAnsi="Arial"/>
          <w:sz w:val="20"/>
          <w:szCs w:val="20"/>
          <w:color w:val="auto"/>
        </w:rPr>
        <w:t>“From many aspects, including cultural, operational and financial results, this quarter demonstrates the commitment and resilience of ALLETE’s talented employees,” said ALLETE President and CEO Bethany Owen. “We’re proud of the resourcefulness demonstrated in our ability to provide essential quality of life services while delivering a fair level of financial results even against the challenging backdrop of the COVID-19 pandemic.”</w:t>
      </w:r>
    </w:p>
    <w:p>
      <w:pPr>
        <w:spacing w:after="0" w:line="198"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color w:val="auto"/>
        </w:rPr>
        <w:t>ALLETE’s Regulated Operations segment, which includes Minnesota Power, Superior Water, Light and Power and the Company’s investment in the American Transmission Co., recorded net income of $11.1 million, compared to $30.3 million in the second quarter of 2019. Earnings reflect lower net income at Minnesota Power primarily due to the rate case settlement, lower kilowatt-hour sales to commercial and industrial customers due to COVID-19 impacts, lower sales to municipal customers and other power suppliers due to the expiration of related contracts, and timing impacts of fuel adjustment clause recoveries. These decreases were partially offset by lower operating and maintenance expense, higher sales to residential customers and higher equity earnings in the American Transmission Co.</w:t>
      </w:r>
    </w:p>
    <w:p>
      <w:pPr>
        <w:spacing w:after="0" w:line="166" w:lineRule="exact"/>
        <w:rPr>
          <w:sz w:val="20"/>
          <w:szCs w:val="20"/>
          <w:color w:val="auto"/>
        </w:rPr>
      </w:pPr>
    </w:p>
    <w:p>
      <w:pPr>
        <w:jc w:val="both"/>
        <w:ind w:right="400"/>
        <w:spacing w:after="0" w:line="227" w:lineRule="auto"/>
        <w:rPr>
          <w:sz w:val="20"/>
          <w:szCs w:val="20"/>
          <w:color w:val="auto"/>
        </w:rPr>
      </w:pPr>
      <w:r>
        <w:rPr>
          <w:rFonts w:ascii="Arial" w:cs="Arial" w:eastAsia="Arial" w:hAnsi="Arial"/>
          <w:sz w:val="20"/>
          <w:szCs w:val="20"/>
          <w:color w:val="auto"/>
        </w:rPr>
        <w:t>ALLETE Clean Energy recorded second quarter 2020 net income of $4.0 million compared to $1.9 million in 2019. Net income in 2020 reflects additional production tax credits and earnings from the new Glen Ullin and South Peak wind energy facilities, partially offset by higher depreciation expense.</w:t>
      </w:r>
    </w:p>
    <w:p>
      <w:pPr>
        <w:spacing w:after="0" w:line="198" w:lineRule="exact"/>
        <w:rPr>
          <w:sz w:val="20"/>
          <w:szCs w:val="20"/>
          <w:color w:val="auto"/>
        </w:rPr>
      </w:pPr>
    </w:p>
    <w:p>
      <w:pPr>
        <w:ind w:right="60"/>
        <w:spacing w:after="0" w:line="235" w:lineRule="auto"/>
        <w:rPr>
          <w:sz w:val="20"/>
          <w:szCs w:val="20"/>
          <w:color w:val="auto"/>
        </w:rPr>
      </w:pPr>
      <w:r>
        <w:rPr>
          <w:rFonts w:ascii="Arial" w:cs="Arial" w:eastAsia="Arial" w:hAnsi="Arial"/>
          <w:sz w:val="19"/>
          <w:szCs w:val="19"/>
          <w:color w:val="auto"/>
        </w:rPr>
        <w:t>Corporate and Other businesses, which include BNI Energy and ALLETE Properties, recorded net income of $5.0 million in 2020 compared to net income of $2.0 million in 2019. Net income in 2020 included higher earnings from marketable equity securities held in certain benefit trusts and additional income tax benefit which varies quarter to quarter based on an estimated annual effective tax rate. Net income in 2019 included a gain on the sale of U.S. Water Services adjustment of $1.2 million after-tax.</w:t>
      </w:r>
    </w:p>
    <w:p>
      <w:pPr>
        <w:spacing w:after="0" w:line="19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“Although results for the quarter reflect obvious negative economic impacts of the COVID-19 pandemic, on a year to date comparison, our financial results are similar to those in 2019, excluding the second quarter rate case resolution impact,” said ALLETE Senior Vice President and Chief Financial Officer Bob Adams. “With constructive indications of improving production from Minnesota Power’s industrial customers, ALLETE’s 2020 annual adjusted earnings guidance (Non-GAAP) is expected to be in the range of $3.25 to $3.45 per share, excluding the 16 cent per share charge related to the Minnesota Power rate case resolution, net of tax. This guidance reflects year to date results along with several expectations and assumptions into the end of the year. These primarily include, lower power demands related to taconite and paper customers that remain idled, and lower kilowatt-hour sales to commercial, industrial and municipal customers, both due to the impacts of the COVID-19 pandemic, offset by lower operating and maintenance expense.”</w:t>
      </w:r>
    </w:p>
    <w:p>
      <w:pPr>
        <w:sectPr>
          <w:pgSz w:w="11900" w:h="16838" w:orient="portrait"/>
          <w:cols w:equalWidth="0" w:num="1">
            <w:col w:w="11200"/>
          </w:cols>
          <w:pgMar w:left="320" w:top="989" w:right="37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20"/>
          <w:szCs w:val="20"/>
          <w:b w:val="1"/>
          <w:bCs w:val="1"/>
          <w:color w:val="auto"/>
        </w:rPr>
        <w:t>Live Webcast on August 5, 2020; updated 2020 guidance slides posted on company website</w:t>
      </w:r>
    </w:p>
    <w:p>
      <w:pPr>
        <w:spacing w:after="0" w:line="22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 xml:space="preserve">ALLETE’s earnings conference call will be at 10:00 a.m. (EST), August 5, 2020, at which time management will discuss the second quarter of 2020 financial results and 2020 earnings guidance. Interested parties may listen live by calling 877-303-5852, pass code 9239038, ten minutes prior to the start time, or may listen to the live audio-only webcast and view supporting slides, which will be available on ALLETE’s Investor Relations website </w:t>
      </w:r>
      <w:r>
        <w:rPr>
          <w:rFonts w:ascii="Arial" w:cs="Arial" w:eastAsia="Arial" w:hAnsi="Arial"/>
          <w:sz w:val="19"/>
          <w:szCs w:val="19"/>
          <w:u w:val="single" w:color="auto"/>
          <w:color w:val="0563C1"/>
        </w:rPr>
        <w:t>http://investor.allete.com/events-presentations</w:t>
      </w:r>
      <w:r>
        <w:rPr>
          <w:rFonts w:ascii="Arial" w:cs="Arial" w:eastAsia="Arial" w:hAnsi="Arial"/>
          <w:sz w:val="18"/>
          <w:szCs w:val="18"/>
          <w:color w:val="auto"/>
        </w:rPr>
        <w:t xml:space="preserve">. A replay of the call will be available through August 12, 2020 by calling (855) 859-2056, pass code 9239038. The webcast will be accessible for one year at </w:t>
      </w:r>
      <w:r>
        <w:rPr>
          <w:rFonts w:ascii="Arial" w:cs="Arial" w:eastAsia="Arial" w:hAnsi="Arial"/>
          <w:sz w:val="19"/>
          <w:szCs w:val="19"/>
          <w:u w:val="single" w:color="auto"/>
          <w:color w:val="0563C1"/>
        </w:rPr>
        <w:t>www.allete.com</w:t>
      </w:r>
      <w:r>
        <w:rPr>
          <w:rFonts w:ascii="Arial" w:cs="Arial" w:eastAsia="Arial" w:hAnsi="Arial"/>
          <w:sz w:val="18"/>
          <w:szCs w:val="18"/>
          <w:color w:val="auto"/>
        </w:rPr>
        <w:t>.</w:t>
      </w:r>
    </w:p>
    <w:p>
      <w:pPr>
        <w:spacing w:after="0" w:line="18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 xml:space="preserve">ALLETE is an energy company headquartered in Duluth, Minn. In addition to its electric utilities, Minnesota Power and Superior Water, Light and Power of Wisconsin, ALLETE owns ALLETE Clean Energy, based in Duluth, BNI Energy in Bismarck, N.D., and has an eight percent equity interest in the American Transmission Co. More information about ALLETE is available at www.allete.com. </w:t>
      </w:r>
      <w:r>
        <w:rPr>
          <w:rFonts w:ascii="Arial" w:cs="Arial" w:eastAsia="Arial" w:hAnsi="Arial"/>
          <w:sz w:val="19"/>
          <w:szCs w:val="19"/>
          <w:i w:val="1"/>
          <w:iCs w:val="1"/>
          <w:color w:val="auto"/>
        </w:rPr>
        <w:t>ALE-CORP</w:t>
      </w:r>
    </w:p>
    <w:p>
      <w:pPr>
        <w:spacing w:after="0" w:line="171" w:lineRule="exact"/>
        <w:rPr>
          <w:sz w:val="20"/>
          <w:szCs w:val="20"/>
          <w:color w:val="auto"/>
        </w:rPr>
      </w:pPr>
    </w:p>
    <w:p>
      <w:pPr>
        <w:ind w:right="140"/>
        <w:spacing w:after="0" w:line="223" w:lineRule="auto"/>
        <w:rPr>
          <w:sz w:val="20"/>
          <w:szCs w:val="20"/>
          <w:color w:val="auto"/>
        </w:rPr>
      </w:pPr>
      <w:r>
        <w:rPr>
          <w:rFonts w:ascii="Arial" w:cs="Arial" w:eastAsia="Arial" w:hAnsi="Arial"/>
          <w:sz w:val="20"/>
          <w:szCs w:val="20"/>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98" w:lineRule="exact"/>
        <w:rPr>
          <w:sz w:val="20"/>
          <w:szCs w:val="20"/>
          <w:color w:val="auto"/>
        </w:rPr>
      </w:pPr>
    </w:p>
    <w:p>
      <w:pPr>
        <w:jc w:val="both"/>
        <w:ind w:right="120"/>
        <w:spacing w:after="0" w:line="223" w:lineRule="auto"/>
        <w:rPr>
          <w:sz w:val="20"/>
          <w:szCs w:val="20"/>
          <w:color w:val="auto"/>
        </w:rPr>
      </w:pPr>
      <w:r>
        <w:rPr>
          <w:rFonts w:ascii="Arial" w:cs="Arial" w:eastAsia="Arial" w:hAnsi="Arial"/>
          <w:sz w:val="20"/>
          <w:szCs w:val="20"/>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98" w:lineRule="exact"/>
        <w:rPr>
          <w:sz w:val="20"/>
          <w:szCs w:val="20"/>
          <w:color w:val="auto"/>
        </w:rPr>
      </w:pPr>
    </w:p>
    <w:p>
      <w:pPr>
        <w:spacing w:after="0" w:line="218" w:lineRule="auto"/>
        <w:rPr>
          <w:sz w:val="20"/>
          <w:szCs w:val="20"/>
          <w:color w:val="auto"/>
        </w:rPr>
      </w:pPr>
      <w:r>
        <w:rPr>
          <w:rFonts w:ascii="Arial" w:cs="Arial" w:eastAsia="Arial" w:hAnsi="Arial"/>
          <w:sz w:val="20"/>
          <w:szCs w:val="20"/>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such as the charge for the recent Minnesota Power rate case resolution. Management believes that the presentation of non-GAAP financial measures is appropriate and enables investors and analysts to more accurately compare the company's ongoing financial performance over the periods presented. See page 4 in this release for a reconciliation of 2020 annual GAAP earnings guidance range to 2020 annual adjusted earnings guidance range (Non-GAAP).</w:t>
      </w:r>
    </w:p>
    <w:p>
      <w:pPr>
        <w:sectPr>
          <w:pgSz w:w="11900" w:h="16838" w:orient="portrait"/>
          <w:cols w:equalWidth="0" w:num="1">
            <w:col w:w="11240"/>
          </w:cols>
          <w:pgMar w:left="320" w:top="927"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360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Quarter Ended</w:t>
            </w:r>
          </w:p>
        </w:tc>
        <w:tc>
          <w:tcPr>
            <w:tcW w:w="19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700" w:type="dxa"/>
            <w:vAlign w:val="bottom"/>
          </w:tcPr>
          <w:p>
            <w:pPr>
              <w:spacing w:after="0"/>
              <w:rPr>
                <w:sz w:val="23"/>
                <w:szCs w:val="23"/>
                <w:color w:val="auto"/>
              </w:rPr>
            </w:pPr>
          </w:p>
        </w:tc>
        <w:tc>
          <w:tcPr>
            <w:tcW w:w="360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June 30,</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23"/>
                <w:szCs w:val="23"/>
                <w:color w:val="auto"/>
              </w:rPr>
            </w:pPr>
          </w:p>
        </w:tc>
      </w:tr>
      <w:tr>
        <w:trPr>
          <w:trHeight w:val="270"/>
        </w:trPr>
        <w:tc>
          <w:tcPr>
            <w:tcW w:w="5700" w:type="dxa"/>
            <w:vAlign w:val="bottom"/>
          </w:tcPr>
          <w:p>
            <w:pPr>
              <w:spacing w:after="0"/>
              <w:rPr>
                <w:sz w:val="23"/>
                <w:szCs w:val="23"/>
                <w:color w:val="auto"/>
              </w:rPr>
            </w:pPr>
          </w:p>
        </w:tc>
        <w:tc>
          <w:tcPr>
            <w:tcW w:w="25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57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Operating Revenue</w:t>
            </w:r>
          </w:p>
        </w:tc>
        <w:tc>
          <w:tcPr>
            <w:tcW w:w="2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Contracts with Customers – Utility</w:t>
            </w:r>
          </w:p>
        </w:tc>
        <w:tc>
          <w:tcPr>
            <w:tcW w:w="2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$200.8</w:t>
            </w:r>
          </w:p>
        </w:tc>
        <w:tc>
          <w:tcPr>
            <w:tcW w:w="1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$249.8</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$466.1</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$532.0</w:t>
            </w:r>
          </w:p>
        </w:tc>
      </w:tr>
      <w:tr>
        <w:trPr>
          <w:trHeight w:val="243"/>
        </w:trPr>
        <w:tc>
          <w:tcPr>
            <w:tcW w:w="5700" w:type="dxa"/>
            <w:vAlign w:val="bottom"/>
          </w:tcPr>
          <w:p>
            <w:pPr>
              <w:ind w:left="340"/>
              <w:spacing w:after="0"/>
              <w:rPr>
                <w:sz w:val="20"/>
                <w:szCs w:val="20"/>
                <w:color w:val="auto"/>
              </w:rPr>
            </w:pPr>
            <w:r>
              <w:rPr>
                <w:rFonts w:ascii="Arial" w:cs="Arial" w:eastAsia="Arial" w:hAnsi="Arial"/>
                <w:sz w:val="18"/>
                <w:szCs w:val="18"/>
                <w:color w:val="auto"/>
              </w:rPr>
              <w:t>Contracts with Customers – Non-utility</w:t>
            </w:r>
          </w:p>
        </w:tc>
        <w:tc>
          <w:tcPr>
            <w:tcW w:w="2540" w:type="dxa"/>
            <w:vAlign w:val="bottom"/>
          </w:tcPr>
          <w:p>
            <w:pPr>
              <w:jc w:val="right"/>
              <w:ind w:right="210"/>
              <w:spacing w:after="0"/>
              <w:rPr>
                <w:sz w:val="20"/>
                <w:szCs w:val="20"/>
                <w:color w:val="auto"/>
              </w:rPr>
            </w:pPr>
            <w:r>
              <w:rPr>
                <w:rFonts w:ascii="Arial" w:cs="Arial" w:eastAsia="Arial" w:hAnsi="Arial"/>
                <w:sz w:val="18"/>
                <w:szCs w:val="18"/>
                <w:color w:val="auto"/>
              </w:rPr>
              <w:t>39.6</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37.7</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83.1</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109.8</w:t>
            </w:r>
          </w:p>
        </w:tc>
      </w:tr>
      <w:tr>
        <w:trPr>
          <w:trHeight w:val="27"/>
        </w:trPr>
        <w:tc>
          <w:tcPr>
            <w:tcW w:w="57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 Non-utility</w:t>
            </w:r>
          </w:p>
        </w:tc>
        <w:tc>
          <w:tcPr>
            <w:tcW w:w="2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2.8</w:t>
            </w:r>
          </w:p>
        </w:tc>
        <w:tc>
          <w:tcPr>
            <w:tcW w:w="1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2.9</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5.6</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w:t>
            </w:r>
          </w:p>
        </w:tc>
      </w:tr>
      <w:tr>
        <w:trPr>
          <w:trHeight w:val="237"/>
        </w:trPr>
        <w:tc>
          <w:tcPr>
            <w:tcW w:w="570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Total Operating Revenue</w:t>
            </w:r>
          </w:p>
        </w:tc>
        <w:tc>
          <w:tcPr>
            <w:tcW w:w="25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243.2</w:t>
            </w:r>
          </w:p>
        </w:tc>
        <w:tc>
          <w:tcPr>
            <w:tcW w:w="10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290.4</w:t>
            </w:r>
          </w:p>
        </w:tc>
        <w:tc>
          <w:tcPr>
            <w:tcW w:w="12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554.8</w:t>
            </w:r>
          </w:p>
        </w:tc>
        <w:tc>
          <w:tcPr>
            <w:tcW w:w="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647.6</w:t>
            </w:r>
          </w:p>
        </w:tc>
      </w:tr>
      <w:tr>
        <w:trPr>
          <w:trHeight w:val="27"/>
        </w:trPr>
        <w:tc>
          <w:tcPr>
            <w:tcW w:w="57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340"/>
              <w:spacing w:after="0"/>
              <w:rPr>
                <w:sz w:val="20"/>
                <w:szCs w:val="20"/>
                <w:color w:val="auto"/>
              </w:rPr>
            </w:pPr>
            <w:r>
              <w:rPr>
                <w:rFonts w:ascii="Arial" w:cs="Arial" w:eastAsia="Arial" w:hAnsi="Arial"/>
                <w:sz w:val="18"/>
                <w:szCs w:val="18"/>
                <w:color w:val="auto"/>
              </w:rPr>
              <w:t>Fuel, Purchased Power and Gas – Utility</w:t>
            </w:r>
          </w:p>
        </w:tc>
        <w:tc>
          <w:tcPr>
            <w:tcW w:w="2540" w:type="dxa"/>
            <w:vAlign w:val="bottom"/>
          </w:tcPr>
          <w:p>
            <w:pPr>
              <w:jc w:val="right"/>
              <w:ind w:right="210"/>
              <w:spacing w:after="0"/>
              <w:rPr>
                <w:sz w:val="20"/>
                <w:szCs w:val="20"/>
                <w:color w:val="auto"/>
              </w:rPr>
            </w:pPr>
            <w:r>
              <w:rPr>
                <w:rFonts w:ascii="Arial" w:cs="Arial" w:eastAsia="Arial" w:hAnsi="Arial"/>
                <w:sz w:val="18"/>
                <w:szCs w:val="18"/>
                <w:color w:val="auto"/>
              </w:rPr>
              <w:t>69.3</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87.9</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158.3</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197.7</w:t>
            </w:r>
          </w:p>
        </w:tc>
      </w:tr>
      <w:tr>
        <w:trPr>
          <w:trHeight w:val="27"/>
        </w:trPr>
        <w:tc>
          <w:tcPr>
            <w:tcW w:w="57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Transmission Services – Utility</w:t>
            </w:r>
          </w:p>
        </w:tc>
        <w:tc>
          <w:tcPr>
            <w:tcW w:w="2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16.4</w:t>
            </w:r>
          </w:p>
        </w:tc>
        <w:tc>
          <w:tcPr>
            <w:tcW w:w="1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19.2</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34.9</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37.5</w:t>
            </w:r>
          </w:p>
        </w:tc>
      </w:tr>
      <w:tr>
        <w:trPr>
          <w:trHeight w:val="243"/>
        </w:trPr>
        <w:tc>
          <w:tcPr>
            <w:tcW w:w="5700" w:type="dxa"/>
            <w:vAlign w:val="bottom"/>
          </w:tcPr>
          <w:p>
            <w:pPr>
              <w:ind w:left="340"/>
              <w:spacing w:after="0"/>
              <w:rPr>
                <w:sz w:val="20"/>
                <w:szCs w:val="20"/>
                <w:color w:val="auto"/>
              </w:rPr>
            </w:pPr>
            <w:r>
              <w:rPr>
                <w:rFonts w:ascii="Arial" w:cs="Arial" w:eastAsia="Arial" w:hAnsi="Arial"/>
                <w:sz w:val="18"/>
                <w:szCs w:val="18"/>
                <w:color w:val="auto"/>
              </w:rPr>
              <w:t>Cost of Sales – Non-utility</w:t>
            </w:r>
          </w:p>
        </w:tc>
        <w:tc>
          <w:tcPr>
            <w:tcW w:w="2540" w:type="dxa"/>
            <w:vAlign w:val="bottom"/>
          </w:tcPr>
          <w:p>
            <w:pPr>
              <w:jc w:val="right"/>
              <w:ind w:right="210"/>
              <w:spacing w:after="0"/>
              <w:rPr>
                <w:sz w:val="20"/>
                <w:szCs w:val="20"/>
                <w:color w:val="auto"/>
              </w:rPr>
            </w:pPr>
            <w:r>
              <w:rPr>
                <w:rFonts w:ascii="Arial" w:cs="Arial" w:eastAsia="Arial" w:hAnsi="Arial"/>
                <w:sz w:val="18"/>
                <w:szCs w:val="18"/>
                <w:color w:val="auto"/>
              </w:rPr>
              <w:t>16.3</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16.5</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33.2</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47.1</w:t>
            </w:r>
          </w:p>
        </w:tc>
      </w:tr>
      <w:tr>
        <w:trPr>
          <w:trHeight w:val="27"/>
        </w:trPr>
        <w:tc>
          <w:tcPr>
            <w:tcW w:w="57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and Maintenance</w:t>
            </w:r>
          </w:p>
        </w:tc>
        <w:tc>
          <w:tcPr>
            <w:tcW w:w="2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59.0</w:t>
            </w:r>
          </w:p>
        </w:tc>
        <w:tc>
          <w:tcPr>
            <w:tcW w:w="1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66.7</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120.0</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142.9</w:t>
            </w:r>
          </w:p>
        </w:tc>
      </w:tr>
      <w:tr>
        <w:trPr>
          <w:trHeight w:val="243"/>
        </w:trPr>
        <w:tc>
          <w:tcPr>
            <w:tcW w:w="57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540" w:type="dxa"/>
            <w:vAlign w:val="bottom"/>
          </w:tcPr>
          <w:p>
            <w:pPr>
              <w:jc w:val="right"/>
              <w:ind w:right="210"/>
              <w:spacing w:after="0"/>
              <w:rPr>
                <w:sz w:val="20"/>
                <w:szCs w:val="20"/>
                <w:color w:val="auto"/>
              </w:rPr>
            </w:pPr>
            <w:r>
              <w:rPr>
                <w:rFonts w:ascii="Arial" w:cs="Arial" w:eastAsia="Arial" w:hAnsi="Arial"/>
                <w:sz w:val="18"/>
                <w:szCs w:val="18"/>
                <w:color w:val="auto"/>
              </w:rPr>
              <w:t>54.5</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50.2</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107.9</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102.1</w:t>
            </w:r>
          </w:p>
        </w:tc>
      </w:tr>
      <w:tr>
        <w:trPr>
          <w:trHeight w:val="27"/>
        </w:trPr>
        <w:tc>
          <w:tcPr>
            <w:tcW w:w="57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Taxes Other than Income Taxes</w:t>
            </w:r>
          </w:p>
        </w:tc>
        <w:tc>
          <w:tcPr>
            <w:tcW w:w="2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15.0</w:t>
            </w:r>
          </w:p>
        </w:tc>
        <w:tc>
          <w:tcPr>
            <w:tcW w:w="1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13.7</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27.6</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27.3</w:t>
            </w:r>
          </w:p>
        </w:tc>
      </w:tr>
      <w:tr>
        <w:trPr>
          <w:trHeight w:val="237"/>
        </w:trPr>
        <w:tc>
          <w:tcPr>
            <w:tcW w:w="570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Total Operating Expenses</w:t>
            </w:r>
          </w:p>
        </w:tc>
        <w:tc>
          <w:tcPr>
            <w:tcW w:w="25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230.5</w:t>
            </w:r>
          </w:p>
        </w:tc>
        <w:tc>
          <w:tcPr>
            <w:tcW w:w="10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254.2</w:t>
            </w:r>
          </w:p>
        </w:tc>
        <w:tc>
          <w:tcPr>
            <w:tcW w:w="12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481.9</w:t>
            </w:r>
          </w:p>
        </w:tc>
        <w:tc>
          <w:tcPr>
            <w:tcW w:w="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554.6</w:t>
            </w:r>
          </w:p>
        </w:tc>
      </w:tr>
      <w:tr>
        <w:trPr>
          <w:trHeight w:val="27"/>
        </w:trPr>
        <w:tc>
          <w:tcPr>
            <w:tcW w:w="57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12.7</w:t>
            </w:r>
          </w:p>
        </w:tc>
        <w:tc>
          <w:tcPr>
            <w:tcW w:w="1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36.2</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72.9</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93.0</w:t>
            </w:r>
          </w:p>
        </w:tc>
      </w:tr>
      <w:tr>
        <w:trPr>
          <w:trHeight w:val="237"/>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(15.9)</w:t>
            </w: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(16.3)</w:t>
            </w:r>
          </w:p>
        </w:tc>
        <w:tc>
          <w:tcPr>
            <w:tcW w:w="12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(31.6)</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r>
      <w:tr>
        <w:trPr>
          <w:trHeight w:val="243"/>
        </w:trPr>
        <w:tc>
          <w:tcPr>
            <w:tcW w:w="5700" w:type="dxa"/>
            <w:vAlign w:val="bottom"/>
          </w:tcPr>
          <w:p>
            <w:pPr>
              <w:ind w:left="340"/>
              <w:spacing w:after="0"/>
              <w:rPr>
                <w:sz w:val="20"/>
                <w:szCs w:val="20"/>
                <w:color w:val="auto"/>
              </w:rPr>
            </w:pPr>
            <w:r>
              <w:rPr>
                <w:rFonts w:ascii="Arial" w:cs="Arial" w:eastAsia="Arial" w:hAnsi="Arial"/>
                <w:sz w:val="18"/>
                <w:szCs w:val="18"/>
                <w:color w:val="auto"/>
              </w:rPr>
              <w:t>Equity Earnings</w:t>
            </w:r>
          </w:p>
        </w:tc>
        <w:tc>
          <w:tcPr>
            <w:tcW w:w="2540" w:type="dxa"/>
            <w:vAlign w:val="bottom"/>
          </w:tcPr>
          <w:p>
            <w:pPr>
              <w:jc w:val="right"/>
              <w:ind w:right="210"/>
              <w:spacing w:after="0"/>
              <w:rPr>
                <w:sz w:val="20"/>
                <w:szCs w:val="20"/>
                <w:color w:val="auto"/>
              </w:rPr>
            </w:pPr>
            <w:r>
              <w:rPr>
                <w:rFonts w:ascii="Arial" w:cs="Arial" w:eastAsia="Arial" w:hAnsi="Arial"/>
                <w:sz w:val="18"/>
                <w:szCs w:val="18"/>
                <w:color w:val="auto"/>
              </w:rPr>
              <w:t>6.4</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4.8</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11.6</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10.4</w:t>
            </w:r>
          </w:p>
        </w:tc>
      </w:tr>
      <w:tr>
        <w:trPr>
          <w:trHeight w:val="27"/>
        </w:trPr>
        <w:tc>
          <w:tcPr>
            <w:tcW w:w="57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Gain on Sale of U.S. Water Services</w:t>
            </w:r>
          </w:p>
        </w:tc>
        <w:tc>
          <w:tcPr>
            <w:tcW w:w="2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0.5</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20.6</w:t>
            </w:r>
          </w:p>
        </w:tc>
      </w:tr>
      <w:tr>
        <w:trPr>
          <w:trHeight w:val="243"/>
        </w:trPr>
        <w:tc>
          <w:tcPr>
            <w:tcW w:w="5700" w:type="dxa"/>
            <w:vAlign w:val="bottom"/>
          </w:tcPr>
          <w:p>
            <w:pPr>
              <w:ind w:left="340"/>
              <w:spacing w:after="0"/>
              <w:rPr>
                <w:sz w:val="20"/>
                <w:szCs w:val="20"/>
                <w:color w:val="auto"/>
              </w:rPr>
            </w:pPr>
            <w:r>
              <w:rPr>
                <w:rFonts w:ascii="Arial" w:cs="Arial" w:eastAsia="Arial" w:hAnsi="Arial"/>
                <w:sz w:val="18"/>
                <w:szCs w:val="18"/>
                <w:color w:val="auto"/>
              </w:rPr>
              <w:t>Other</w:t>
            </w:r>
          </w:p>
        </w:tc>
        <w:tc>
          <w:tcPr>
            <w:tcW w:w="2540" w:type="dxa"/>
            <w:vAlign w:val="bottom"/>
          </w:tcPr>
          <w:p>
            <w:pPr>
              <w:jc w:val="right"/>
              <w:ind w:right="210"/>
              <w:spacing w:after="0"/>
              <w:rPr>
                <w:sz w:val="20"/>
                <w:szCs w:val="20"/>
                <w:color w:val="auto"/>
              </w:rPr>
            </w:pPr>
            <w:r>
              <w:rPr>
                <w:rFonts w:ascii="Arial" w:cs="Arial" w:eastAsia="Arial" w:hAnsi="Arial"/>
                <w:sz w:val="18"/>
                <w:szCs w:val="18"/>
                <w:color w:val="auto"/>
              </w:rPr>
              <w:t>5.2</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4.2</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6.2</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11.6</w:t>
            </w:r>
          </w:p>
        </w:tc>
      </w:tr>
      <w:tr>
        <w:trPr>
          <w:trHeight w:val="27"/>
        </w:trPr>
        <w:tc>
          <w:tcPr>
            <w:tcW w:w="57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8"/>
        </w:trPr>
        <w:tc>
          <w:tcPr>
            <w:tcW w:w="5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Income (Expense)</w:t>
            </w:r>
          </w:p>
        </w:tc>
        <w:tc>
          <w:tcPr>
            <w:tcW w:w="2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(4.3)</w:t>
            </w: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(6.8)</w:t>
            </w:r>
          </w:p>
        </w:tc>
        <w:tc>
          <w:tcPr>
            <w:tcW w:w="12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(13.8)</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w:t>
            </w:r>
          </w:p>
        </w:tc>
      </w:tr>
      <w:tr>
        <w:trPr>
          <w:trHeight w:val="237"/>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5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8.4</w:t>
            </w:r>
          </w:p>
        </w:tc>
        <w:tc>
          <w:tcPr>
            <w:tcW w:w="10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29.4</w:t>
            </w:r>
          </w:p>
        </w:tc>
        <w:tc>
          <w:tcPr>
            <w:tcW w:w="12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59.1</w:t>
            </w:r>
          </w:p>
        </w:tc>
        <w:tc>
          <w:tcPr>
            <w:tcW w:w="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102.8</w:t>
            </w:r>
          </w:p>
        </w:tc>
      </w:tr>
      <w:tr>
        <w:trPr>
          <w:trHeight w:val="27"/>
        </w:trPr>
        <w:tc>
          <w:tcPr>
            <w:tcW w:w="57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 (Benefit)</w:t>
            </w:r>
          </w:p>
        </w:tc>
        <w:tc>
          <w:tcPr>
            <w:tcW w:w="2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(8.5)</w:t>
            </w:r>
          </w:p>
        </w:tc>
        <w:tc>
          <w:tcPr>
            <w:tcW w:w="10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(4.8)</w:t>
            </w:r>
          </w:p>
        </w:tc>
        <w:tc>
          <w:tcPr>
            <w:tcW w:w="12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(22.3)</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37"/>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25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$16.9</w:t>
            </w:r>
          </w:p>
        </w:tc>
        <w:tc>
          <w:tcPr>
            <w:tcW w:w="10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$34.2</w:t>
            </w:r>
          </w:p>
        </w:tc>
        <w:tc>
          <w:tcPr>
            <w:tcW w:w="12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$81.4</w:t>
            </w:r>
          </w:p>
        </w:tc>
        <w:tc>
          <w:tcPr>
            <w:tcW w:w="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8"/>
              </w:rPr>
              <w:t>$104.7</w:t>
            </w:r>
          </w:p>
        </w:tc>
      </w:tr>
      <w:tr>
        <w:trPr>
          <w:trHeight w:val="27"/>
        </w:trPr>
        <w:tc>
          <w:tcPr>
            <w:tcW w:w="57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8"/>
        </w:trPr>
        <w:tc>
          <w:tcPr>
            <w:tcW w:w="5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Loss Attributable to Non-Controlling Interest</w:t>
            </w:r>
          </w:p>
        </w:tc>
        <w:tc>
          <w:tcPr>
            <w:tcW w:w="2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w:t>
            </w:r>
          </w:p>
        </w:tc>
        <w:tc>
          <w:tcPr>
            <w:tcW w:w="1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(5.0)</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25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$20.1</w:t>
            </w: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$34.2</w:t>
            </w:r>
          </w:p>
        </w:tc>
        <w:tc>
          <w:tcPr>
            <w:tcW w:w="12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$86.4</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w:t>
            </w:r>
          </w:p>
        </w:tc>
      </w:tr>
      <w:tr>
        <w:trPr>
          <w:trHeight w:val="27"/>
        </w:trPr>
        <w:tc>
          <w:tcPr>
            <w:tcW w:w="57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2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340"/>
              <w:spacing w:after="0"/>
              <w:rPr>
                <w:sz w:val="20"/>
                <w:szCs w:val="20"/>
                <w:color w:val="auto"/>
              </w:rPr>
            </w:pPr>
            <w:r>
              <w:rPr>
                <w:rFonts w:ascii="Arial" w:cs="Arial" w:eastAsia="Arial" w:hAnsi="Arial"/>
                <w:sz w:val="18"/>
                <w:szCs w:val="18"/>
                <w:color w:val="auto"/>
              </w:rPr>
              <w:t>Basic</w:t>
            </w:r>
          </w:p>
        </w:tc>
        <w:tc>
          <w:tcPr>
            <w:tcW w:w="2540" w:type="dxa"/>
            <w:vAlign w:val="bottom"/>
          </w:tcPr>
          <w:p>
            <w:pPr>
              <w:jc w:val="right"/>
              <w:ind w:right="210"/>
              <w:spacing w:after="0"/>
              <w:rPr>
                <w:sz w:val="20"/>
                <w:szCs w:val="20"/>
                <w:color w:val="auto"/>
              </w:rPr>
            </w:pPr>
            <w:r>
              <w:rPr>
                <w:rFonts w:ascii="Arial" w:cs="Arial" w:eastAsia="Arial" w:hAnsi="Arial"/>
                <w:sz w:val="18"/>
                <w:szCs w:val="18"/>
                <w:color w:val="auto"/>
              </w:rPr>
              <w:t>51.8</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51.6</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51.8</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51.6</w:t>
            </w:r>
          </w:p>
        </w:tc>
      </w:tr>
      <w:tr>
        <w:trPr>
          <w:trHeight w:val="27"/>
        </w:trPr>
        <w:tc>
          <w:tcPr>
            <w:tcW w:w="57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51.9</w:t>
            </w:r>
          </w:p>
        </w:tc>
        <w:tc>
          <w:tcPr>
            <w:tcW w:w="1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51.7</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51.8</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51.7</w:t>
            </w:r>
          </w:p>
        </w:tc>
      </w:tr>
      <w:tr>
        <w:trPr>
          <w:trHeight w:val="236"/>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25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$0.39</w:t>
            </w:r>
          </w:p>
        </w:tc>
        <w:tc>
          <w:tcPr>
            <w:tcW w:w="10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$0.66</w:t>
            </w:r>
          </w:p>
        </w:tc>
        <w:tc>
          <w:tcPr>
            <w:tcW w:w="12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$1.67</w:t>
            </w:r>
          </w:p>
        </w:tc>
        <w:tc>
          <w:tcPr>
            <w:tcW w:w="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$2.03</w:t>
            </w:r>
          </w:p>
        </w:tc>
      </w:tr>
      <w:tr>
        <w:trPr>
          <w:trHeight w:val="27"/>
        </w:trPr>
        <w:tc>
          <w:tcPr>
            <w:tcW w:w="57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2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$0.39</w:t>
            </w:r>
          </w:p>
        </w:tc>
        <w:tc>
          <w:tcPr>
            <w:tcW w:w="1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$0.66</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$1.67</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$2.02</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Dividends Per Share of Common Stock</w:t>
            </w:r>
          </w:p>
        </w:tc>
        <w:tc>
          <w:tcPr>
            <w:tcW w:w="2540" w:type="dxa"/>
            <w:vAlign w:val="bottom"/>
          </w:tcPr>
          <w:p>
            <w:pPr>
              <w:jc w:val="right"/>
              <w:ind w:right="210"/>
              <w:spacing w:after="0"/>
              <w:rPr>
                <w:sz w:val="20"/>
                <w:szCs w:val="20"/>
                <w:color w:val="auto"/>
              </w:rPr>
            </w:pPr>
            <w:r>
              <w:rPr>
                <w:rFonts w:ascii="Arial" w:cs="Arial" w:eastAsia="Arial" w:hAnsi="Arial"/>
                <w:sz w:val="18"/>
                <w:szCs w:val="18"/>
                <w:color w:val="auto"/>
              </w:rPr>
              <w:t>$0.6175</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$0.5875</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$1.235</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w w:val="98"/>
              </w:rPr>
              <w:t>$1.175</w:t>
            </w:r>
          </w:p>
        </w:tc>
      </w:tr>
      <w:tr>
        <w:trPr>
          <w:trHeight w:val="27"/>
        </w:trPr>
        <w:tc>
          <w:tcPr>
            <w:tcW w:w="57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rPr>
              <w:t>Jun. 30</w:t>
            </w: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Dec. 31,</w:t>
            </w:r>
          </w:p>
        </w:tc>
        <w:tc>
          <w:tcPr>
            <w:tcW w:w="39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rPr>
              <w:t>Jun. 30</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Dec. 31,</w:t>
            </w:r>
          </w:p>
        </w:tc>
        <w:tc>
          <w:tcPr>
            <w:tcW w:w="0" w:type="dxa"/>
            <w:vAlign w:val="bottom"/>
          </w:tcPr>
          <w:p>
            <w:pPr>
              <w:spacing w:after="0"/>
              <w:rPr>
                <w:sz w:val="1"/>
                <w:szCs w:val="1"/>
                <w:color w:val="auto"/>
              </w:rPr>
            </w:pPr>
          </w:p>
        </w:tc>
      </w:tr>
      <w:tr>
        <w:trPr>
          <w:trHeight w:val="270"/>
        </w:trPr>
        <w:tc>
          <w:tcPr>
            <w:tcW w:w="3120" w:type="dxa"/>
            <w:vAlign w:val="bottom"/>
          </w:tcPr>
          <w:p>
            <w:pPr>
              <w:spacing w:after="0"/>
              <w:rPr>
                <w:sz w:val="23"/>
                <w:szCs w:val="23"/>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3980" w:type="dxa"/>
            <w:vAlign w:val="bottom"/>
          </w:tcPr>
          <w:p>
            <w:pPr>
              <w:spacing w:after="0"/>
              <w:rPr>
                <w:sz w:val="23"/>
                <w:szCs w:val="23"/>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3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980" w:type="dxa"/>
            <w:vAlign w:val="bottom"/>
          </w:tcPr>
          <w:p>
            <w:pPr>
              <w:ind w:left="60"/>
              <w:spacing w:after="0"/>
              <w:rPr>
                <w:sz w:val="20"/>
                <w:szCs w:val="20"/>
                <w:color w:val="auto"/>
              </w:rPr>
            </w:pPr>
            <w:r>
              <w:rPr>
                <w:rFonts w:ascii="Arial" w:cs="Arial" w:eastAsia="Arial" w:hAnsi="Arial"/>
                <w:sz w:val="18"/>
                <w:szCs w:val="18"/>
                <w:b w:val="1"/>
                <w:bCs w:val="1"/>
                <w:color w:val="auto"/>
              </w:rPr>
              <w:t>Liabilities and Equity</w:t>
            </w:r>
          </w:p>
        </w:tc>
        <w:tc>
          <w:tcPr>
            <w:tcW w:w="1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3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280" w:type="dxa"/>
            <w:vAlign w:val="bottom"/>
          </w:tcPr>
          <w:p>
            <w:pPr>
              <w:jc w:val="right"/>
              <w:spacing w:after="0"/>
              <w:rPr>
                <w:sz w:val="20"/>
                <w:szCs w:val="20"/>
                <w:color w:val="auto"/>
              </w:rPr>
            </w:pPr>
            <w:r>
              <w:rPr>
                <w:rFonts w:ascii="Arial" w:cs="Arial" w:eastAsia="Arial" w:hAnsi="Arial"/>
                <w:sz w:val="18"/>
                <w:szCs w:val="18"/>
                <w:color w:val="auto"/>
              </w:rPr>
              <w:t>197.3</w:t>
            </w:r>
          </w:p>
        </w:tc>
        <w:tc>
          <w:tcPr>
            <w:tcW w:w="900" w:type="dxa"/>
            <w:vAlign w:val="bottom"/>
          </w:tcPr>
          <w:p>
            <w:pPr>
              <w:jc w:val="right"/>
              <w:spacing w:after="0"/>
              <w:rPr>
                <w:sz w:val="20"/>
                <w:szCs w:val="20"/>
                <w:color w:val="auto"/>
              </w:rPr>
            </w:pPr>
            <w:r>
              <w:rPr>
                <w:rFonts w:ascii="Arial" w:cs="Arial" w:eastAsia="Arial" w:hAnsi="Arial"/>
                <w:sz w:val="18"/>
                <w:szCs w:val="18"/>
                <w:color w:val="auto"/>
              </w:rPr>
              <w:t>200.2</w:t>
            </w:r>
          </w:p>
        </w:tc>
        <w:tc>
          <w:tcPr>
            <w:tcW w:w="3980" w:type="dxa"/>
            <w:vAlign w:val="bottom"/>
          </w:tcPr>
          <w:p>
            <w:pPr>
              <w:ind w:left="60"/>
              <w:spacing w:after="0"/>
              <w:rPr>
                <w:sz w:val="20"/>
                <w:szCs w:val="20"/>
                <w:color w:val="auto"/>
              </w:rPr>
            </w:pPr>
            <w:r>
              <w:rPr>
                <w:rFonts w:ascii="Arial" w:cs="Arial" w:eastAsia="Arial" w:hAnsi="Arial"/>
                <w:sz w:val="18"/>
                <w:szCs w:val="18"/>
                <w:color w:val="auto"/>
              </w:rPr>
              <w:t>Long-Term Debt</w:t>
            </w:r>
          </w:p>
        </w:tc>
        <w:tc>
          <w:tcPr>
            <w:tcW w:w="1080" w:type="dxa"/>
            <w:vAlign w:val="bottom"/>
          </w:tcPr>
          <w:p>
            <w:pPr>
              <w:jc w:val="right"/>
              <w:spacing w:after="0"/>
              <w:rPr>
                <w:sz w:val="20"/>
                <w:szCs w:val="20"/>
                <w:color w:val="auto"/>
              </w:rPr>
            </w:pPr>
            <w:r>
              <w:rPr>
                <w:rFonts w:ascii="Arial" w:cs="Arial" w:eastAsia="Arial" w:hAnsi="Arial"/>
                <w:sz w:val="18"/>
                <w:szCs w:val="18"/>
                <w:color w:val="auto"/>
              </w:rPr>
              <w:t>1,381.0</w:t>
            </w:r>
          </w:p>
        </w:tc>
        <w:tc>
          <w:tcPr>
            <w:tcW w:w="840" w:type="dxa"/>
            <w:vAlign w:val="bottom"/>
          </w:tcPr>
          <w:p>
            <w:pPr>
              <w:jc w:val="right"/>
              <w:spacing w:after="0"/>
              <w:rPr>
                <w:sz w:val="20"/>
                <w:szCs w:val="20"/>
                <w:color w:val="auto"/>
              </w:rPr>
            </w:pPr>
            <w:r>
              <w:rPr>
                <w:rFonts w:ascii="Arial" w:cs="Arial" w:eastAsia="Arial" w:hAnsi="Arial"/>
                <w:sz w:val="18"/>
                <w:szCs w:val="18"/>
                <w:color w:val="auto"/>
              </w:rPr>
              <w:t>1,400.9</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 Net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4,644.5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4,377.0</w:t>
            </w:r>
          </w:p>
        </w:tc>
        <w:tc>
          <w:tcPr>
            <w:tcW w:w="3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Deferred Income Taxes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Regulatory Assets</w:t>
            </w:r>
          </w:p>
        </w:tc>
        <w:tc>
          <w:tcPr>
            <w:tcW w:w="1280" w:type="dxa"/>
            <w:vAlign w:val="bottom"/>
          </w:tcPr>
          <w:p>
            <w:pPr>
              <w:jc w:val="right"/>
              <w:spacing w:after="0"/>
              <w:rPr>
                <w:sz w:val="20"/>
                <w:szCs w:val="20"/>
                <w:color w:val="auto"/>
              </w:rPr>
            </w:pPr>
            <w:r>
              <w:rPr>
                <w:rFonts w:ascii="Arial" w:cs="Arial" w:eastAsia="Arial" w:hAnsi="Arial"/>
                <w:sz w:val="18"/>
                <w:szCs w:val="18"/>
                <w:color w:val="auto"/>
              </w:rPr>
              <w:t>424.7</w:t>
            </w:r>
          </w:p>
        </w:tc>
        <w:tc>
          <w:tcPr>
            <w:tcW w:w="900" w:type="dxa"/>
            <w:vAlign w:val="bottom"/>
          </w:tcPr>
          <w:p>
            <w:pPr>
              <w:jc w:val="right"/>
              <w:spacing w:after="0"/>
              <w:rPr>
                <w:sz w:val="20"/>
                <w:szCs w:val="20"/>
                <w:color w:val="auto"/>
              </w:rPr>
            </w:pPr>
            <w:r>
              <w:rPr>
                <w:rFonts w:ascii="Arial" w:cs="Arial" w:eastAsia="Arial" w:hAnsi="Arial"/>
                <w:sz w:val="18"/>
                <w:szCs w:val="18"/>
                <w:color w:val="auto"/>
              </w:rPr>
              <w:t>420.5</w:t>
            </w:r>
          </w:p>
        </w:tc>
        <w:tc>
          <w:tcPr>
            <w:tcW w:w="3980" w:type="dxa"/>
            <w:vAlign w:val="bottom"/>
          </w:tcPr>
          <w:p>
            <w:pPr>
              <w:ind w:left="60"/>
              <w:spacing w:after="0"/>
              <w:rPr>
                <w:sz w:val="20"/>
                <w:szCs w:val="20"/>
                <w:color w:val="auto"/>
              </w:rPr>
            </w:pPr>
            <w:r>
              <w:rPr>
                <w:rFonts w:ascii="Arial" w:cs="Arial" w:eastAsia="Arial" w:hAnsi="Arial"/>
                <w:sz w:val="18"/>
                <w:szCs w:val="18"/>
                <w:color w:val="auto"/>
              </w:rPr>
              <w:t>Regulatory Liabilities</w:t>
            </w:r>
          </w:p>
        </w:tc>
        <w:tc>
          <w:tcPr>
            <w:tcW w:w="1080" w:type="dxa"/>
            <w:vAlign w:val="bottom"/>
          </w:tcPr>
          <w:p>
            <w:pPr>
              <w:jc w:val="right"/>
              <w:spacing w:after="0"/>
              <w:rPr>
                <w:sz w:val="20"/>
                <w:szCs w:val="20"/>
                <w:color w:val="auto"/>
              </w:rPr>
            </w:pPr>
            <w:r>
              <w:rPr>
                <w:rFonts w:ascii="Arial" w:cs="Arial" w:eastAsia="Arial" w:hAnsi="Arial"/>
                <w:sz w:val="18"/>
                <w:szCs w:val="18"/>
                <w:color w:val="auto"/>
              </w:rPr>
              <w:t>569.6</w:t>
            </w:r>
          </w:p>
        </w:tc>
        <w:tc>
          <w:tcPr>
            <w:tcW w:w="840" w:type="dxa"/>
            <w:vAlign w:val="bottom"/>
          </w:tcPr>
          <w:p>
            <w:pPr>
              <w:jc w:val="right"/>
              <w:spacing w:after="0"/>
              <w:rPr>
                <w:sz w:val="20"/>
                <w:szCs w:val="20"/>
                <w:color w:val="auto"/>
              </w:rPr>
            </w:pPr>
            <w:r>
              <w:rPr>
                <w:rFonts w:ascii="Arial" w:cs="Arial" w:eastAsia="Arial" w:hAnsi="Arial"/>
                <w:sz w:val="18"/>
                <w:szCs w:val="18"/>
                <w:color w:val="auto"/>
              </w:rPr>
              <w:t>560.3</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Equity Investments</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39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Defined Benefit Pension and Other Postretirement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vMerge w:val="continue"/>
            <w:shd w:val="clear" w:color="auto" w:fill="CCEEFF"/>
          </w:tcPr>
          <w:p>
            <w:pPr>
              <w:spacing w:after="0"/>
              <w:rPr>
                <w:sz w:val="20"/>
                <w:szCs w:val="20"/>
                <w:color w:val="auto"/>
              </w:rPr>
            </w:pPr>
          </w:p>
        </w:tc>
        <w:tc>
          <w:tcPr>
            <w:tcW w:w="1280" w:type="dxa"/>
            <w:vAlign w:val="bottom"/>
            <w:tcBorders>
              <w:bottom w:val="single" w:sz="8" w:color="CCEEFF"/>
            </w:tcBorders>
            <w:vMerge w:val="continue"/>
            <w:shd w:val="clear" w:color="auto" w:fill="CCEEFF"/>
          </w:tcPr>
          <w:p>
            <w:pPr>
              <w:spacing w:after="0"/>
              <w:rPr>
                <w:sz w:val="20"/>
                <w:szCs w:val="20"/>
                <w:color w:val="auto"/>
              </w:rPr>
            </w:pPr>
          </w:p>
        </w:tc>
        <w:tc>
          <w:tcPr>
            <w:tcW w:w="900" w:type="dxa"/>
            <w:vAlign w:val="bottom"/>
            <w:tcBorders>
              <w:bottom w:val="single" w:sz="8" w:color="CCEEFF"/>
            </w:tcBorders>
            <w:vMerge w:val="continue"/>
            <w:shd w:val="clear" w:color="auto" w:fill="CCEEFF"/>
          </w:tcPr>
          <w:p>
            <w:pPr>
              <w:spacing w:after="0"/>
              <w:rPr>
                <w:sz w:val="20"/>
                <w:szCs w:val="20"/>
                <w:color w:val="auto"/>
              </w:rPr>
            </w:pPr>
          </w:p>
        </w:tc>
        <w:tc>
          <w:tcPr>
            <w:tcW w:w="3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Benefit Plans</w:t>
            </w:r>
          </w:p>
        </w:tc>
        <w:tc>
          <w:tcPr>
            <w:tcW w:w="1080" w:type="dxa"/>
            <w:vAlign w:val="bottom"/>
            <w:tcBorders>
              <w:bottom w:val="single" w:sz="8" w:color="CCEEFF"/>
            </w:tcBorders>
            <w:vMerge w:val="continue"/>
            <w:shd w:val="clear" w:color="auto" w:fill="CCEEFF"/>
          </w:tcPr>
          <w:p>
            <w:pPr>
              <w:spacing w:after="0"/>
              <w:rPr>
                <w:sz w:val="20"/>
                <w:szCs w:val="20"/>
                <w:color w:val="auto"/>
              </w:rPr>
            </w:pPr>
          </w:p>
        </w:tc>
        <w:tc>
          <w:tcPr>
            <w:tcW w:w="84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280" w:type="dxa"/>
            <w:vAlign w:val="bottom"/>
          </w:tcPr>
          <w:p>
            <w:pPr>
              <w:jc w:val="right"/>
              <w:spacing w:after="0"/>
              <w:rPr>
                <w:sz w:val="20"/>
                <w:szCs w:val="20"/>
                <w:color w:val="auto"/>
              </w:rPr>
            </w:pPr>
            <w:r>
              <w:rPr>
                <w:rFonts w:ascii="Arial" w:cs="Arial" w:eastAsia="Arial" w:hAnsi="Arial"/>
                <w:sz w:val="18"/>
                <w:szCs w:val="18"/>
                <w:color w:val="auto"/>
              </w:rPr>
              <w:t>201.1</w:t>
            </w:r>
          </w:p>
        </w:tc>
        <w:tc>
          <w:tcPr>
            <w:tcW w:w="900" w:type="dxa"/>
            <w:vAlign w:val="bottom"/>
          </w:tcPr>
          <w:p>
            <w:pPr>
              <w:jc w:val="right"/>
              <w:spacing w:after="0"/>
              <w:rPr>
                <w:sz w:val="20"/>
                <w:szCs w:val="20"/>
                <w:color w:val="auto"/>
              </w:rPr>
            </w:pPr>
            <w:r>
              <w:rPr>
                <w:rFonts w:ascii="Arial" w:cs="Arial" w:eastAsia="Arial" w:hAnsi="Arial"/>
                <w:sz w:val="18"/>
                <w:szCs w:val="18"/>
                <w:color w:val="auto"/>
              </w:rPr>
              <w:t>218.2</w:t>
            </w:r>
          </w:p>
        </w:tc>
        <w:tc>
          <w:tcPr>
            <w:tcW w:w="3980" w:type="dxa"/>
            <w:vAlign w:val="bottom"/>
          </w:tcPr>
          <w:p>
            <w:pPr>
              <w:ind w:left="60"/>
              <w:spacing w:after="0"/>
              <w:rPr>
                <w:sz w:val="20"/>
                <w:szCs w:val="20"/>
                <w:color w:val="auto"/>
              </w:rPr>
            </w:pPr>
            <w:r>
              <w:rPr>
                <w:rFonts w:ascii="Arial" w:cs="Arial" w:eastAsia="Arial" w:hAnsi="Arial"/>
                <w:sz w:val="18"/>
                <w:szCs w:val="18"/>
                <w:color w:val="auto"/>
              </w:rPr>
              <w:t>Other Non-Current Liabilities</w:t>
            </w:r>
          </w:p>
        </w:tc>
        <w:tc>
          <w:tcPr>
            <w:tcW w:w="1080" w:type="dxa"/>
            <w:vAlign w:val="bottom"/>
          </w:tcPr>
          <w:p>
            <w:pPr>
              <w:jc w:val="right"/>
              <w:spacing w:after="0"/>
              <w:rPr>
                <w:sz w:val="20"/>
                <w:szCs w:val="20"/>
                <w:color w:val="auto"/>
              </w:rPr>
            </w:pPr>
            <w:r>
              <w:rPr>
                <w:rFonts w:ascii="Arial" w:cs="Arial" w:eastAsia="Arial" w:hAnsi="Arial"/>
                <w:sz w:val="18"/>
                <w:szCs w:val="18"/>
                <w:color w:val="auto"/>
              </w:rPr>
              <w:t>288.1</w:t>
            </w:r>
          </w:p>
        </w:tc>
        <w:tc>
          <w:tcPr>
            <w:tcW w:w="840" w:type="dxa"/>
            <w:vAlign w:val="bottom"/>
          </w:tcPr>
          <w:p>
            <w:pPr>
              <w:jc w:val="right"/>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Equity</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2,432.2</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2,335.6</w:t>
            </w:r>
          </w:p>
        </w:tc>
        <w:tc>
          <w:tcPr>
            <w:tcW w:w="0" w:type="dxa"/>
            <w:vAlign w:val="bottom"/>
          </w:tcPr>
          <w:p>
            <w:pPr>
              <w:spacing w:after="0"/>
              <w:rPr>
                <w:sz w:val="1"/>
                <w:szCs w:val="1"/>
                <w:color w:val="auto"/>
              </w:rPr>
            </w:pPr>
          </w:p>
        </w:tc>
      </w:tr>
      <w:tr>
        <w:trPr>
          <w:trHeight w:val="236"/>
        </w:trPr>
        <w:tc>
          <w:tcPr>
            <w:tcW w:w="31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$5,760.4</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$5,482.8</w:t>
            </w:r>
          </w:p>
        </w:tc>
        <w:tc>
          <w:tcPr>
            <w:tcW w:w="39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Total Liabilities and Equity</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$5,760.4</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$5,482.8</w:t>
            </w:r>
          </w:p>
        </w:tc>
        <w:tc>
          <w:tcPr>
            <w:tcW w:w="0" w:type="dxa"/>
            <w:vAlign w:val="bottom"/>
          </w:tcPr>
          <w:p>
            <w:pPr>
              <w:spacing w:after="0"/>
              <w:rPr>
                <w:sz w:val="1"/>
                <w:szCs w:val="1"/>
                <w:color w:val="auto"/>
              </w:rPr>
            </w:pPr>
          </w:p>
        </w:tc>
      </w:tr>
      <w:tr>
        <w:trPr>
          <w:trHeight w:val="27"/>
        </w:trPr>
        <w:tc>
          <w:tcPr>
            <w:tcW w:w="3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Quarter Ended</w:t>
            </w:r>
          </w:p>
        </w:tc>
        <w:tc>
          <w:tcPr>
            <w:tcW w:w="1220" w:type="dxa"/>
            <w:vAlign w:val="bottom"/>
          </w:tcPr>
          <w:p>
            <w:pPr>
              <w:spacing w:after="0"/>
              <w:rPr>
                <w:sz w:val="20"/>
                <w:szCs w:val="20"/>
                <w:color w:val="auto"/>
              </w:rPr>
            </w:pPr>
          </w:p>
        </w:tc>
        <w:tc>
          <w:tcPr>
            <w:tcW w:w="274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ALLETE, Inc.</w:t>
            </w:r>
          </w:p>
        </w:tc>
        <w:tc>
          <w:tcPr>
            <w:tcW w:w="254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220" w:type="dxa"/>
            <w:vAlign w:val="bottom"/>
          </w:tcPr>
          <w:p>
            <w:pPr>
              <w:spacing w:after="0"/>
              <w:rPr>
                <w:sz w:val="23"/>
                <w:szCs w:val="23"/>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3"/>
                <w:szCs w:val="23"/>
                <w:color w:val="auto"/>
              </w:rPr>
            </w:pPr>
          </w:p>
        </w:tc>
      </w:tr>
      <w:tr>
        <w:trPr>
          <w:trHeight w:val="270"/>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Income (Loss)</w:t>
            </w:r>
          </w:p>
        </w:tc>
        <w:tc>
          <w:tcPr>
            <w:tcW w:w="2540" w:type="dxa"/>
            <w:vAlign w:val="bottom"/>
          </w:tcPr>
          <w:p>
            <w:pPr>
              <w:jc w:val="right"/>
              <w:ind w:right="1090"/>
              <w:spacing w:after="0"/>
              <w:rPr>
                <w:sz w:val="20"/>
                <w:szCs w:val="20"/>
                <w:color w:val="auto"/>
              </w:rPr>
            </w:pPr>
            <w:r>
              <w:rPr>
                <w:rFonts w:ascii="Arial" w:cs="Arial" w:eastAsia="Arial" w:hAnsi="Arial"/>
                <w:sz w:val="18"/>
                <w:szCs w:val="18"/>
                <w:b w:val="1"/>
                <w:bCs w:val="1"/>
                <w:color w:val="auto"/>
              </w:rPr>
              <w:t>2020</w:t>
            </w:r>
          </w:p>
        </w:tc>
        <w:tc>
          <w:tcPr>
            <w:tcW w:w="1220" w:type="dxa"/>
            <w:vAlign w:val="bottom"/>
          </w:tcPr>
          <w:p>
            <w:pPr>
              <w:jc w:val="right"/>
              <w:ind w:right="770"/>
              <w:spacing w:after="0"/>
              <w:rPr>
                <w:sz w:val="20"/>
                <w:szCs w:val="20"/>
                <w:color w:val="auto"/>
              </w:rPr>
            </w:pPr>
            <w:r>
              <w:rPr>
                <w:rFonts w:ascii="Arial" w:cs="Arial" w:eastAsia="Arial" w:hAnsi="Arial"/>
                <w:sz w:val="18"/>
                <w:szCs w:val="18"/>
                <w:b w:val="1"/>
                <w:bCs w:val="1"/>
                <w:color w:val="auto"/>
                <w:w w:val="84"/>
              </w:rPr>
              <w:t>2019</w:t>
            </w:r>
          </w:p>
        </w:tc>
        <w:tc>
          <w:tcPr>
            <w:tcW w:w="1680" w:type="dxa"/>
            <w:vAlign w:val="bottom"/>
          </w:tcPr>
          <w:p>
            <w:pPr>
              <w:jc w:val="right"/>
              <w:ind w:right="930"/>
              <w:spacing w:after="0"/>
              <w:rPr>
                <w:sz w:val="20"/>
                <w:szCs w:val="20"/>
                <w:color w:val="auto"/>
              </w:rPr>
            </w:pPr>
            <w:r>
              <w:rPr>
                <w:rFonts w:ascii="Arial" w:cs="Arial" w:eastAsia="Arial" w:hAnsi="Arial"/>
                <w:sz w:val="18"/>
                <w:szCs w:val="18"/>
                <w:b w:val="1"/>
                <w:bCs w:val="1"/>
                <w:color w:val="auto"/>
              </w:rPr>
              <w:t>2020</w:t>
            </w:r>
          </w:p>
        </w:tc>
        <w:tc>
          <w:tcPr>
            <w:tcW w:w="10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47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Millions</w:t>
            </w:r>
          </w:p>
        </w:tc>
        <w:tc>
          <w:tcPr>
            <w:tcW w:w="2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7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Regulated Operations</w:t>
            </w:r>
          </w:p>
        </w:tc>
        <w:tc>
          <w:tcPr>
            <w:tcW w:w="25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$11.1</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$30.3</w:t>
            </w:r>
          </w:p>
        </w:tc>
        <w:tc>
          <w:tcPr>
            <w:tcW w:w="1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$68.6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r>
      <w:tr>
        <w:trPr>
          <w:trHeight w:val="243"/>
        </w:trPr>
        <w:tc>
          <w:tcPr>
            <w:tcW w:w="4740" w:type="dxa"/>
            <w:vAlign w:val="bottom"/>
          </w:tcPr>
          <w:p>
            <w:pPr>
              <w:ind w:left="340"/>
              <w:spacing w:after="0"/>
              <w:rPr>
                <w:sz w:val="20"/>
                <w:szCs w:val="20"/>
                <w:color w:val="auto"/>
              </w:rPr>
            </w:pPr>
            <w:r>
              <w:rPr>
                <w:rFonts w:ascii="Arial" w:cs="Arial" w:eastAsia="Arial" w:hAnsi="Arial"/>
                <w:sz w:val="18"/>
                <w:szCs w:val="18"/>
                <w:color w:val="auto"/>
              </w:rPr>
              <w:t>ALLETE Clean Energy</w:t>
            </w:r>
          </w:p>
        </w:tc>
        <w:tc>
          <w:tcPr>
            <w:tcW w:w="2540" w:type="dxa"/>
            <w:vAlign w:val="bottom"/>
          </w:tcPr>
          <w:p>
            <w:pPr>
              <w:jc w:val="right"/>
              <w:ind w:right="650"/>
              <w:spacing w:after="0"/>
              <w:rPr>
                <w:sz w:val="20"/>
                <w:szCs w:val="20"/>
                <w:color w:val="auto"/>
              </w:rPr>
            </w:pPr>
            <w:r>
              <w:rPr>
                <w:rFonts w:ascii="Arial" w:cs="Arial" w:eastAsia="Arial" w:hAnsi="Arial"/>
                <w:sz w:val="18"/>
                <w:szCs w:val="18"/>
                <w:color w:val="auto"/>
              </w:rPr>
              <w:t>4.0</w:t>
            </w: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1.9</w:t>
            </w:r>
          </w:p>
        </w:tc>
        <w:tc>
          <w:tcPr>
            <w:tcW w:w="1680" w:type="dxa"/>
            <w:vAlign w:val="bottom"/>
          </w:tcPr>
          <w:p>
            <w:pPr>
              <w:jc w:val="right"/>
              <w:ind w:right="510"/>
              <w:spacing w:after="0"/>
              <w:rPr>
                <w:sz w:val="20"/>
                <w:szCs w:val="20"/>
                <w:color w:val="auto"/>
              </w:rPr>
            </w:pPr>
            <w:r>
              <w:rPr>
                <w:rFonts w:ascii="Arial" w:cs="Arial" w:eastAsia="Arial" w:hAnsi="Arial"/>
                <w:sz w:val="18"/>
                <w:szCs w:val="18"/>
                <w:color w:val="auto"/>
              </w:rPr>
              <w:t>15.7</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7.7</w:t>
            </w:r>
          </w:p>
        </w:tc>
      </w:tr>
      <w:tr>
        <w:trPr>
          <w:trHeight w:val="27"/>
        </w:trPr>
        <w:tc>
          <w:tcPr>
            <w:tcW w:w="47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U.S. Water Services</w:t>
            </w:r>
          </w:p>
        </w:tc>
        <w:tc>
          <w:tcPr>
            <w:tcW w:w="25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4740" w:type="dxa"/>
            <w:vAlign w:val="bottom"/>
          </w:tcPr>
          <w:p>
            <w:pPr>
              <w:ind w:left="340"/>
              <w:spacing w:after="0"/>
              <w:rPr>
                <w:sz w:val="20"/>
                <w:szCs w:val="20"/>
                <w:color w:val="auto"/>
              </w:rPr>
            </w:pPr>
            <w:r>
              <w:rPr>
                <w:rFonts w:ascii="Arial" w:cs="Arial" w:eastAsia="Arial" w:hAnsi="Arial"/>
                <w:sz w:val="18"/>
                <w:szCs w:val="18"/>
                <w:color w:val="auto"/>
              </w:rPr>
              <w:t>Corporate and Other</w:t>
            </w:r>
          </w:p>
        </w:tc>
        <w:tc>
          <w:tcPr>
            <w:tcW w:w="2540" w:type="dxa"/>
            <w:vAlign w:val="bottom"/>
          </w:tcPr>
          <w:p>
            <w:pPr>
              <w:jc w:val="right"/>
              <w:ind w:right="650"/>
              <w:spacing w:after="0"/>
              <w:rPr>
                <w:sz w:val="20"/>
                <w:szCs w:val="20"/>
                <w:color w:val="auto"/>
              </w:rPr>
            </w:pPr>
            <w:r>
              <w:rPr>
                <w:rFonts w:ascii="Arial" w:cs="Arial" w:eastAsia="Arial" w:hAnsi="Arial"/>
                <w:sz w:val="18"/>
                <w:szCs w:val="18"/>
                <w:color w:val="auto"/>
              </w:rPr>
              <w:t>5.0</w:t>
            </w: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2.0</w:t>
            </w:r>
          </w:p>
        </w:tc>
        <w:tc>
          <w:tcPr>
            <w:tcW w:w="1680" w:type="dxa"/>
            <w:vAlign w:val="bottom"/>
          </w:tcPr>
          <w:p>
            <w:pPr>
              <w:jc w:val="right"/>
              <w:ind w:right="510"/>
              <w:spacing w:after="0"/>
              <w:rPr>
                <w:sz w:val="20"/>
                <w:szCs w:val="20"/>
                <w:color w:val="auto"/>
              </w:rPr>
            </w:pPr>
            <w:r>
              <w:rPr>
                <w:rFonts w:ascii="Arial" w:cs="Arial" w:eastAsia="Arial" w:hAnsi="Arial"/>
                <w:sz w:val="18"/>
                <w:szCs w:val="18"/>
                <w:color w:val="auto"/>
              </w:rPr>
              <w:t>2.1</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16.3</w:t>
            </w:r>
          </w:p>
        </w:tc>
      </w:tr>
      <w:tr>
        <w:trPr>
          <w:trHeight w:val="27"/>
        </w:trPr>
        <w:tc>
          <w:tcPr>
            <w:tcW w:w="47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8"/>
        </w:trPr>
        <w:tc>
          <w:tcPr>
            <w:tcW w:w="4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Attributable to ALLETE</w:t>
            </w:r>
          </w:p>
        </w:tc>
        <w:tc>
          <w:tcPr>
            <w:tcW w:w="25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$20.1</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$34.2</w:t>
            </w:r>
          </w:p>
        </w:tc>
        <w:tc>
          <w:tcPr>
            <w:tcW w:w="1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$86.4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r>
      <w:tr>
        <w:trPr>
          <w:trHeight w:val="237"/>
        </w:trPr>
        <w:tc>
          <w:tcPr>
            <w:tcW w:w="47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5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$0.39</w:t>
            </w:r>
          </w:p>
        </w:tc>
        <w:tc>
          <w:tcPr>
            <w:tcW w:w="12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$0.66</w:t>
            </w:r>
          </w:p>
        </w:tc>
        <w:tc>
          <w:tcPr>
            <w:tcW w:w="16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$1.67</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7"/>
        </w:trPr>
        <w:tc>
          <w:tcPr>
            <w:tcW w:w="47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615"/>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Statistical Data</w:t>
            </w:r>
          </w:p>
        </w:tc>
        <w:tc>
          <w:tcPr>
            <w:tcW w:w="2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7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25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540"/>
              <w:spacing w:after="0"/>
              <w:rPr>
                <w:sz w:val="20"/>
                <w:szCs w:val="20"/>
                <w:color w:val="auto"/>
              </w:rPr>
            </w:pPr>
            <w:r>
              <w:rPr>
                <w:rFonts w:ascii="Arial" w:cs="Arial" w:eastAsia="Arial" w:hAnsi="Arial"/>
                <w:sz w:val="18"/>
                <w:szCs w:val="18"/>
                <w:color w:val="auto"/>
              </w:rPr>
              <w:t>High</w:t>
            </w:r>
          </w:p>
        </w:tc>
        <w:tc>
          <w:tcPr>
            <w:tcW w:w="2540" w:type="dxa"/>
            <w:vAlign w:val="bottom"/>
          </w:tcPr>
          <w:p>
            <w:pPr>
              <w:jc w:val="right"/>
              <w:ind w:right="510"/>
              <w:spacing w:after="0"/>
              <w:rPr>
                <w:sz w:val="20"/>
                <w:szCs w:val="20"/>
                <w:color w:val="auto"/>
              </w:rPr>
            </w:pPr>
            <w:r>
              <w:rPr>
                <w:rFonts w:ascii="Arial" w:cs="Arial" w:eastAsia="Arial" w:hAnsi="Arial"/>
                <w:sz w:val="18"/>
                <w:szCs w:val="18"/>
                <w:color w:val="auto"/>
              </w:rPr>
              <w:t>$64.90</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$86.52</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$84.71</w:t>
            </w:r>
          </w:p>
        </w:tc>
        <w:tc>
          <w:tcPr>
            <w:tcW w:w="1060" w:type="dxa"/>
            <w:vAlign w:val="bottom"/>
          </w:tcPr>
          <w:p>
            <w:pPr>
              <w:jc w:val="right"/>
              <w:spacing w:after="0"/>
              <w:rPr>
                <w:sz w:val="20"/>
                <w:szCs w:val="20"/>
                <w:color w:val="auto"/>
              </w:rPr>
            </w:pPr>
            <w:r>
              <w:rPr>
                <w:rFonts w:ascii="Arial" w:cs="Arial" w:eastAsia="Arial" w:hAnsi="Arial"/>
                <w:sz w:val="18"/>
                <w:szCs w:val="18"/>
                <w:color w:val="auto"/>
              </w:rPr>
              <w:t>$86.52</w:t>
            </w:r>
          </w:p>
        </w:tc>
      </w:tr>
      <w:tr>
        <w:trPr>
          <w:trHeight w:val="27"/>
        </w:trPr>
        <w:tc>
          <w:tcPr>
            <w:tcW w:w="47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Low</w:t>
            </w:r>
          </w:p>
        </w:tc>
        <w:tc>
          <w:tcPr>
            <w:tcW w:w="25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$48.22</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$78.86</w:t>
            </w:r>
          </w:p>
        </w:tc>
        <w:tc>
          <w:tcPr>
            <w:tcW w:w="1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$48.22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$72.50</w:t>
            </w:r>
          </w:p>
        </w:tc>
      </w:tr>
      <w:tr>
        <w:trPr>
          <w:trHeight w:val="243"/>
        </w:trPr>
        <w:tc>
          <w:tcPr>
            <w:tcW w:w="4740" w:type="dxa"/>
            <w:vAlign w:val="bottom"/>
          </w:tcPr>
          <w:p>
            <w:pPr>
              <w:ind w:left="540"/>
              <w:spacing w:after="0"/>
              <w:rPr>
                <w:sz w:val="20"/>
                <w:szCs w:val="20"/>
                <w:color w:val="auto"/>
              </w:rPr>
            </w:pPr>
            <w:r>
              <w:rPr>
                <w:rFonts w:ascii="Arial" w:cs="Arial" w:eastAsia="Arial" w:hAnsi="Arial"/>
                <w:sz w:val="18"/>
                <w:szCs w:val="18"/>
                <w:color w:val="auto"/>
              </w:rPr>
              <w:t>Close</w:t>
            </w:r>
          </w:p>
        </w:tc>
        <w:tc>
          <w:tcPr>
            <w:tcW w:w="2540" w:type="dxa"/>
            <w:vAlign w:val="bottom"/>
          </w:tcPr>
          <w:p>
            <w:pPr>
              <w:jc w:val="right"/>
              <w:ind w:right="510"/>
              <w:spacing w:after="0"/>
              <w:rPr>
                <w:sz w:val="20"/>
                <w:szCs w:val="20"/>
                <w:color w:val="auto"/>
              </w:rPr>
            </w:pPr>
            <w:r>
              <w:rPr>
                <w:rFonts w:ascii="Arial" w:cs="Arial" w:eastAsia="Arial" w:hAnsi="Arial"/>
                <w:sz w:val="18"/>
                <w:szCs w:val="18"/>
                <w:color w:val="auto"/>
              </w:rPr>
              <w:t>$54.61</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$83.21</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$54.61</w:t>
            </w:r>
          </w:p>
        </w:tc>
        <w:tc>
          <w:tcPr>
            <w:tcW w:w="1060" w:type="dxa"/>
            <w:vAlign w:val="bottom"/>
          </w:tcPr>
          <w:p>
            <w:pPr>
              <w:jc w:val="right"/>
              <w:spacing w:after="0"/>
              <w:rPr>
                <w:sz w:val="20"/>
                <w:szCs w:val="20"/>
                <w:color w:val="auto"/>
              </w:rPr>
            </w:pPr>
            <w:r>
              <w:rPr>
                <w:rFonts w:ascii="Arial" w:cs="Arial" w:eastAsia="Arial" w:hAnsi="Arial"/>
                <w:sz w:val="18"/>
                <w:szCs w:val="18"/>
                <w:color w:val="auto"/>
              </w:rPr>
              <w:t>$83.21</w:t>
            </w:r>
          </w:p>
        </w:tc>
      </w:tr>
      <w:tr>
        <w:trPr>
          <w:trHeight w:val="27"/>
        </w:trPr>
        <w:tc>
          <w:tcPr>
            <w:tcW w:w="47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4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Book Value</w:t>
            </w:r>
          </w:p>
        </w:tc>
        <w:tc>
          <w:tcPr>
            <w:tcW w:w="25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$43.67</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$42.69</w:t>
            </w:r>
          </w:p>
        </w:tc>
        <w:tc>
          <w:tcPr>
            <w:tcW w:w="1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$43.67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$42.69</w:t>
            </w:r>
          </w:p>
        </w:tc>
      </w:tr>
      <w:tr>
        <w:trPr>
          <w:trHeight w:val="615"/>
        </w:trPr>
        <w:tc>
          <w:tcPr>
            <w:tcW w:w="47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Millions</w:t>
            </w:r>
          </w:p>
        </w:tc>
        <w:tc>
          <w:tcPr>
            <w:tcW w:w="2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7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Regulated Utility</w:t>
            </w:r>
          </w:p>
        </w:tc>
        <w:tc>
          <w:tcPr>
            <w:tcW w:w="25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540"/>
              <w:spacing w:after="0"/>
              <w:rPr>
                <w:sz w:val="20"/>
                <w:szCs w:val="20"/>
                <w:color w:val="auto"/>
              </w:rPr>
            </w:pPr>
            <w:r>
              <w:rPr>
                <w:rFonts w:ascii="Arial" w:cs="Arial" w:eastAsia="Arial" w:hAnsi="Arial"/>
                <w:sz w:val="18"/>
                <w:szCs w:val="18"/>
                <w:color w:val="auto"/>
              </w:rPr>
              <w:t>Retail and Municipal</w:t>
            </w:r>
          </w:p>
        </w:tc>
        <w:tc>
          <w:tcPr>
            <w:tcW w:w="25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Residential</w:t>
            </w:r>
          </w:p>
        </w:tc>
        <w:tc>
          <w:tcPr>
            <w:tcW w:w="25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246</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232</w:t>
            </w:r>
          </w:p>
        </w:tc>
        <w:tc>
          <w:tcPr>
            <w:tcW w:w="1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567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r>
      <w:tr>
        <w:trPr>
          <w:trHeight w:val="243"/>
        </w:trPr>
        <w:tc>
          <w:tcPr>
            <w:tcW w:w="4740" w:type="dxa"/>
            <w:vAlign w:val="bottom"/>
          </w:tcPr>
          <w:p>
            <w:pPr>
              <w:ind w:left="980"/>
              <w:spacing w:after="0"/>
              <w:rPr>
                <w:sz w:val="20"/>
                <w:szCs w:val="20"/>
                <w:color w:val="auto"/>
              </w:rPr>
            </w:pPr>
            <w:r>
              <w:rPr>
                <w:rFonts w:ascii="Arial" w:cs="Arial" w:eastAsia="Arial" w:hAnsi="Arial"/>
                <w:sz w:val="18"/>
                <w:szCs w:val="18"/>
                <w:color w:val="auto"/>
              </w:rPr>
              <w:t>Commercial</w:t>
            </w:r>
          </w:p>
        </w:tc>
        <w:tc>
          <w:tcPr>
            <w:tcW w:w="2540" w:type="dxa"/>
            <w:vAlign w:val="bottom"/>
          </w:tcPr>
          <w:p>
            <w:pPr>
              <w:jc w:val="right"/>
              <w:ind w:right="510"/>
              <w:spacing w:after="0"/>
              <w:rPr>
                <w:sz w:val="20"/>
                <w:szCs w:val="20"/>
                <w:color w:val="auto"/>
              </w:rPr>
            </w:pPr>
            <w:r>
              <w:rPr>
                <w:rFonts w:ascii="Arial" w:cs="Arial" w:eastAsia="Arial" w:hAnsi="Arial"/>
                <w:sz w:val="18"/>
                <w:szCs w:val="18"/>
                <w:color w:val="auto"/>
              </w:rPr>
              <w:t>286</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317</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638</w:t>
            </w:r>
          </w:p>
        </w:tc>
        <w:tc>
          <w:tcPr>
            <w:tcW w:w="1060" w:type="dxa"/>
            <w:vAlign w:val="bottom"/>
          </w:tcPr>
          <w:p>
            <w:pPr>
              <w:jc w:val="right"/>
              <w:spacing w:after="0"/>
              <w:rPr>
                <w:sz w:val="20"/>
                <w:szCs w:val="20"/>
                <w:color w:val="auto"/>
              </w:rPr>
            </w:pPr>
            <w:r>
              <w:rPr>
                <w:rFonts w:ascii="Arial" w:cs="Arial" w:eastAsia="Arial" w:hAnsi="Arial"/>
                <w:sz w:val="18"/>
                <w:szCs w:val="18"/>
                <w:color w:val="auto"/>
              </w:rPr>
              <w:t>683</w:t>
            </w:r>
          </w:p>
        </w:tc>
      </w:tr>
      <w:tr>
        <w:trPr>
          <w:trHeight w:val="27"/>
        </w:trPr>
        <w:tc>
          <w:tcPr>
            <w:tcW w:w="47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Industrial</w:t>
            </w:r>
          </w:p>
        </w:tc>
        <w:tc>
          <w:tcPr>
            <w:tcW w:w="25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1,235</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1,773</w:t>
            </w:r>
          </w:p>
        </w:tc>
        <w:tc>
          <w:tcPr>
            <w:tcW w:w="1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3,137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3,587</w:t>
            </w:r>
          </w:p>
        </w:tc>
      </w:tr>
      <w:tr>
        <w:trPr>
          <w:trHeight w:val="243"/>
        </w:trPr>
        <w:tc>
          <w:tcPr>
            <w:tcW w:w="4740" w:type="dxa"/>
            <w:vAlign w:val="bottom"/>
          </w:tcPr>
          <w:p>
            <w:pPr>
              <w:ind w:left="980"/>
              <w:spacing w:after="0"/>
              <w:rPr>
                <w:sz w:val="20"/>
                <w:szCs w:val="20"/>
                <w:color w:val="auto"/>
              </w:rPr>
            </w:pPr>
            <w:r>
              <w:rPr>
                <w:rFonts w:ascii="Arial" w:cs="Arial" w:eastAsia="Arial" w:hAnsi="Arial"/>
                <w:sz w:val="18"/>
                <w:szCs w:val="18"/>
                <w:color w:val="auto"/>
              </w:rPr>
              <w:t>Municipal</w:t>
            </w:r>
          </w:p>
        </w:tc>
        <w:tc>
          <w:tcPr>
            <w:tcW w:w="2540" w:type="dxa"/>
            <w:vAlign w:val="bottom"/>
          </w:tcPr>
          <w:p>
            <w:pPr>
              <w:jc w:val="right"/>
              <w:ind w:right="510"/>
              <w:spacing w:after="0"/>
              <w:rPr>
                <w:sz w:val="20"/>
                <w:szCs w:val="20"/>
                <w:color w:val="auto"/>
              </w:rPr>
            </w:pPr>
            <w:r>
              <w:rPr>
                <w:rFonts w:ascii="Arial" w:cs="Arial" w:eastAsia="Arial" w:hAnsi="Arial"/>
                <w:sz w:val="18"/>
                <w:szCs w:val="18"/>
                <w:color w:val="auto"/>
              </w:rPr>
              <w:t>131</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170</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287</w:t>
            </w:r>
          </w:p>
        </w:tc>
        <w:tc>
          <w:tcPr>
            <w:tcW w:w="106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7"/>
        </w:trPr>
        <w:tc>
          <w:tcPr>
            <w:tcW w:w="47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Retail and Municipal</w:t>
            </w:r>
          </w:p>
        </w:tc>
        <w:tc>
          <w:tcPr>
            <w:tcW w:w="25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1,898</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2,492</w:t>
            </w:r>
          </w:p>
        </w:tc>
        <w:tc>
          <w:tcPr>
            <w:tcW w:w="1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4,629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5,224</w:t>
            </w:r>
          </w:p>
        </w:tc>
      </w:tr>
      <w:tr>
        <w:trPr>
          <w:trHeight w:val="243"/>
        </w:trPr>
        <w:tc>
          <w:tcPr>
            <w:tcW w:w="4740" w:type="dxa"/>
            <w:vAlign w:val="bottom"/>
          </w:tcPr>
          <w:p>
            <w:pPr>
              <w:ind w:left="540"/>
              <w:spacing w:after="0"/>
              <w:rPr>
                <w:sz w:val="20"/>
                <w:szCs w:val="20"/>
                <w:color w:val="auto"/>
              </w:rPr>
            </w:pPr>
            <w:r>
              <w:rPr>
                <w:rFonts w:ascii="Arial" w:cs="Arial" w:eastAsia="Arial" w:hAnsi="Arial"/>
                <w:sz w:val="18"/>
                <w:szCs w:val="18"/>
                <w:color w:val="auto"/>
              </w:rPr>
              <w:t>Other Power Suppliers</w:t>
            </w:r>
          </w:p>
        </w:tc>
        <w:tc>
          <w:tcPr>
            <w:tcW w:w="2540" w:type="dxa"/>
            <w:vAlign w:val="bottom"/>
          </w:tcPr>
          <w:p>
            <w:pPr>
              <w:jc w:val="right"/>
              <w:ind w:right="510"/>
              <w:spacing w:after="0"/>
              <w:rPr>
                <w:sz w:val="20"/>
                <w:szCs w:val="20"/>
                <w:color w:val="auto"/>
              </w:rPr>
            </w:pPr>
            <w:r>
              <w:rPr>
                <w:rFonts w:ascii="Arial" w:cs="Arial" w:eastAsia="Arial" w:hAnsi="Arial"/>
                <w:sz w:val="18"/>
                <w:szCs w:val="18"/>
                <w:color w:val="auto"/>
              </w:rPr>
              <w:t>706</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714</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1,528</w:t>
            </w:r>
          </w:p>
        </w:tc>
        <w:tc>
          <w:tcPr>
            <w:tcW w:w="1060" w:type="dxa"/>
            <w:vAlign w:val="bottom"/>
          </w:tcPr>
          <w:p>
            <w:pPr>
              <w:jc w:val="right"/>
              <w:spacing w:after="0"/>
              <w:rPr>
                <w:sz w:val="20"/>
                <w:szCs w:val="20"/>
                <w:color w:val="auto"/>
              </w:rPr>
            </w:pPr>
            <w:r>
              <w:rPr>
                <w:rFonts w:ascii="Arial" w:cs="Arial" w:eastAsia="Arial" w:hAnsi="Arial"/>
                <w:sz w:val="18"/>
                <w:szCs w:val="18"/>
                <w:color w:val="auto"/>
              </w:rPr>
              <w:t>1,536</w:t>
            </w:r>
          </w:p>
        </w:tc>
      </w:tr>
      <w:tr>
        <w:trPr>
          <w:trHeight w:val="27"/>
        </w:trPr>
        <w:tc>
          <w:tcPr>
            <w:tcW w:w="47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Regulated Utility Kilowatt-hours Sold</w:t>
            </w:r>
          </w:p>
        </w:tc>
        <w:tc>
          <w:tcPr>
            <w:tcW w:w="25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2,604</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3,206</w:t>
            </w:r>
          </w:p>
        </w:tc>
        <w:tc>
          <w:tcPr>
            <w:tcW w:w="1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6,157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6,760</w:t>
            </w:r>
          </w:p>
        </w:tc>
      </w:tr>
      <w:tr>
        <w:trPr>
          <w:trHeight w:val="601"/>
        </w:trPr>
        <w:tc>
          <w:tcPr>
            <w:tcW w:w="47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Regulated Utility Revenue</w:t>
            </w:r>
          </w:p>
        </w:tc>
        <w:tc>
          <w:tcPr>
            <w:tcW w:w="25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Millions</w:t>
            </w:r>
          </w:p>
        </w:tc>
        <w:tc>
          <w:tcPr>
            <w:tcW w:w="2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7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Regulated Utility Revenue</w:t>
            </w:r>
          </w:p>
        </w:tc>
        <w:tc>
          <w:tcPr>
            <w:tcW w:w="25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540"/>
              <w:spacing w:after="0"/>
              <w:rPr>
                <w:sz w:val="20"/>
                <w:szCs w:val="20"/>
                <w:color w:val="auto"/>
              </w:rPr>
            </w:pPr>
            <w:r>
              <w:rPr>
                <w:rFonts w:ascii="Arial" w:cs="Arial" w:eastAsia="Arial" w:hAnsi="Arial"/>
                <w:sz w:val="18"/>
                <w:szCs w:val="18"/>
                <w:color w:val="auto"/>
              </w:rPr>
              <w:t>Retail and Municipal Electric Revenue</w:t>
            </w:r>
          </w:p>
        </w:tc>
        <w:tc>
          <w:tcPr>
            <w:tcW w:w="25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Residential</w:t>
            </w:r>
          </w:p>
        </w:tc>
        <w:tc>
          <w:tcPr>
            <w:tcW w:w="25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$24.7</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$26.7</w:t>
            </w:r>
          </w:p>
        </w:tc>
        <w:tc>
          <w:tcPr>
            <w:tcW w:w="1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$61.1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43"/>
        </w:trPr>
        <w:tc>
          <w:tcPr>
            <w:tcW w:w="4740" w:type="dxa"/>
            <w:vAlign w:val="bottom"/>
          </w:tcPr>
          <w:p>
            <w:pPr>
              <w:ind w:left="980"/>
              <w:spacing w:after="0"/>
              <w:rPr>
                <w:sz w:val="20"/>
                <w:szCs w:val="20"/>
                <w:color w:val="auto"/>
              </w:rPr>
            </w:pPr>
            <w:r>
              <w:rPr>
                <w:rFonts w:ascii="Arial" w:cs="Arial" w:eastAsia="Arial" w:hAnsi="Arial"/>
                <w:sz w:val="18"/>
                <w:szCs w:val="18"/>
                <w:color w:val="auto"/>
              </w:rPr>
              <w:t>Commercial</w:t>
            </w:r>
          </w:p>
        </w:tc>
        <w:tc>
          <w:tcPr>
            <w:tcW w:w="2540" w:type="dxa"/>
            <w:vAlign w:val="bottom"/>
          </w:tcPr>
          <w:p>
            <w:pPr>
              <w:jc w:val="right"/>
              <w:ind w:right="510"/>
              <w:spacing w:after="0"/>
              <w:rPr>
                <w:sz w:val="20"/>
                <w:szCs w:val="20"/>
                <w:color w:val="auto"/>
              </w:rPr>
            </w:pPr>
            <w:r>
              <w:rPr>
                <w:rFonts w:ascii="Arial" w:cs="Arial" w:eastAsia="Arial" w:hAnsi="Arial"/>
                <w:sz w:val="18"/>
                <w:szCs w:val="18"/>
                <w:color w:val="auto"/>
              </w:rPr>
              <w:t>27.7</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33.6</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63.0</w:t>
            </w:r>
          </w:p>
        </w:tc>
        <w:tc>
          <w:tcPr>
            <w:tcW w:w="1060" w:type="dxa"/>
            <w:vAlign w:val="bottom"/>
          </w:tcPr>
          <w:p>
            <w:pPr>
              <w:jc w:val="right"/>
              <w:spacing w:after="0"/>
              <w:rPr>
                <w:sz w:val="20"/>
                <w:szCs w:val="20"/>
                <w:color w:val="auto"/>
              </w:rPr>
            </w:pPr>
            <w:r>
              <w:rPr>
                <w:rFonts w:ascii="Arial" w:cs="Arial" w:eastAsia="Arial" w:hAnsi="Arial"/>
                <w:sz w:val="18"/>
                <w:szCs w:val="18"/>
                <w:color w:val="auto"/>
              </w:rPr>
              <w:t>70.1</w:t>
            </w:r>
          </w:p>
        </w:tc>
      </w:tr>
      <w:tr>
        <w:trPr>
          <w:trHeight w:val="27"/>
        </w:trPr>
        <w:tc>
          <w:tcPr>
            <w:tcW w:w="47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Industrial</w:t>
            </w:r>
          </w:p>
        </w:tc>
        <w:tc>
          <w:tcPr>
            <w:tcW w:w="25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87.7</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120.0</w:t>
            </w:r>
          </w:p>
        </w:tc>
        <w:tc>
          <w:tcPr>
            <w:tcW w:w="1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205.7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r>
      <w:tr>
        <w:trPr>
          <w:trHeight w:val="243"/>
        </w:trPr>
        <w:tc>
          <w:tcPr>
            <w:tcW w:w="4740" w:type="dxa"/>
            <w:vAlign w:val="bottom"/>
          </w:tcPr>
          <w:p>
            <w:pPr>
              <w:ind w:left="980"/>
              <w:spacing w:after="0"/>
              <w:rPr>
                <w:sz w:val="20"/>
                <w:szCs w:val="20"/>
                <w:color w:val="auto"/>
              </w:rPr>
            </w:pPr>
            <w:r>
              <w:rPr>
                <w:rFonts w:ascii="Arial" w:cs="Arial" w:eastAsia="Arial" w:hAnsi="Arial"/>
                <w:sz w:val="18"/>
                <w:szCs w:val="18"/>
                <w:color w:val="auto"/>
              </w:rPr>
              <w:t>Municipal</w:t>
            </w:r>
          </w:p>
        </w:tc>
        <w:tc>
          <w:tcPr>
            <w:tcW w:w="2540" w:type="dxa"/>
            <w:vAlign w:val="bottom"/>
          </w:tcPr>
          <w:p>
            <w:pPr>
              <w:jc w:val="right"/>
              <w:ind w:right="510"/>
              <w:spacing w:after="0"/>
              <w:rPr>
                <w:sz w:val="20"/>
                <w:szCs w:val="20"/>
                <w:color w:val="auto"/>
              </w:rPr>
            </w:pPr>
            <w:r>
              <w:rPr>
                <w:rFonts w:ascii="Arial" w:cs="Arial" w:eastAsia="Arial" w:hAnsi="Arial"/>
                <w:sz w:val="18"/>
                <w:szCs w:val="18"/>
                <w:color w:val="auto"/>
              </w:rPr>
              <w:t>9.0</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12.2</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19.3</w:t>
            </w:r>
          </w:p>
        </w:tc>
        <w:tc>
          <w:tcPr>
            <w:tcW w:w="106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7"/>
        </w:trPr>
        <w:tc>
          <w:tcPr>
            <w:tcW w:w="47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Retail and Municipal Electric Revenue</w:t>
            </w:r>
          </w:p>
        </w:tc>
        <w:tc>
          <w:tcPr>
            <w:tcW w:w="25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149.1</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192.5</w:t>
            </w:r>
          </w:p>
        </w:tc>
        <w:tc>
          <w:tcPr>
            <w:tcW w:w="1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349.1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404.7</w:t>
            </w:r>
          </w:p>
        </w:tc>
      </w:tr>
      <w:tr>
        <w:trPr>
          <w:trHeight w:val="243"/>
        </w:trPr>
        <w:tc>
          <w:tcPr>
            <w:tcW w:w="4740" w:type="dxa"/>
            <w:vAlign w:val="bottom"/>
          </w:tcPr>
          <w:p>
            <w:pPr>
              <w:ind w:left="540"/>
              <w:spacing w:after="0"/>
              <w:rPr>
                <w:sz w:val="20"/>
                <w:szCs w:val="20"/>
                <w:color w:val="auto"/>
              </w:rPr>
            </w:pPr>
            <w:r>
              <w:rPr>
                <w:rFonts w:ascii="Arial" w:cs="Arial" w:eastAsia="Arial" w:hAnsi="Arial"/>
                <w:sz w:val="18"/>
                <w:szCs w:val="18"/>
                <w:color w:val="auto"/>
              </w:rPr>
              <w:t>Other Power Suppliers</w:t>
            </w:r>
          </w:p>
        </w:tc>
        <w:tc>
          <w:tcPr>
            <w:tcW w:w="2540" w:type="dxa"/>
            <w:vAlign w:val="bottom"/>
          </w:tcPr>
          <w:p>
            <w:pPr>
              <w:jc w:val="right"/>
              <w:ind w:right="510"/>
              <w:spacing w:after="0"/>
              <w:rPr>
                <w:sz w:val="20"/>
                <w:szCs w:val="20"/>
                <w:color w:val="auto"/>
              </w:rPr>
            </w:pPr>
            <w:r>
              <w:rPr>
                <w:rFonts w:ascii="Arial" w:cs="Arial" w:eastAsia="Arial" w:hAnsi="Arial"/>
                <w:sz w:val="18"/>
                <w:szCs w:val="18"/>
                <w:color w:val="auto"/>
              </w:rPr>
              <w:t>27.4</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35.2</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65.7</w:t>
            </w:r>
          </w:p>
        </w:tc>
        <w:tc>
          <w:tcPr>
            <w:tcW w:w="1060" w:type="dxa"/>
            <w:vAlign w:val="bottom"/>
          </w:tcPr>
          <w:p>
            <w:pPr>
              <w:jc w:val="right"/>
              <w:spacing w:after="0"/>
              <w:rPr>
                <w:sz w:val="20"/>
                <w:szCs w:val="20"/>
                <w:color w:val="auto"/>
              </w:rPr>
            </w:pPr>
            <w:r>
              <w:rPr>
                <w:rFonts w:ascii="Arial" w:cs="Arial" w:eastAsia="Arial" w:hAnsi="Arial"/>
                <w:sz w:val="18"/>
                <w:szCs w:val="18"/>
                <w:color w:val="auto"/>
              </w:rPr>
              <w:t>74.6</w:t>
            </w:r>
          </w:p>
        </w:tc>
      </w:tr>
      <w:tr>
        <w:trPr>
          <w:trHeight w:val="27"/>
        </w:trPr>
        <w:tc>
          <w:tcPr>
            <w:tcW w:w="47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4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(Includes Water and Gas Revenue)</w:t>
            </w:r>
          </w:p>
        </w:tc>
        <w:tc>
          <w:tcPr>
            <w:tcW w:w="25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24.3</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22.1</w:t>
            </w:r>
          </w:p>
        </w:tc>
        <w:tc>
          <w:tcPr>
            <w:tcW w:w="1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51.3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36"/>
        </w:trPr>
        <w:tc>
          <w:tcPr>
            <w:tcW w:w="47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Total Regulated Utility Revenue</w:t>
            </w:r>
          </w:p>
        </w:tc>
        <w:tc>
          <w:tcPr>
            <w:tcW w:w="25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$200.8</w:t>
            </w:r>
          </w:p>
        </w:tc>
        <w:tc>
          <w:tcPr>
            <w:tcW w:w="12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$249.8</w:t>
            </w:r>
          </w:p>
        </w:tc>
        <w:tc>
          <w:tcPr>
            <w:tcW w:w="16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$466.1</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$532.0</w:t>
            </w:r>
          </w:p>
        </w:tc>
      </w:tr>
      <w:tr>
        <w:trPr>
          <w:trHeight w:val="27"/>
        </w:trPr>
        <w:tc>
          <w:tcPr>
            <w:tcW w:w="47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2020 annual GAAP earnings guidance range to 2020 annual adjusted earnings guidance range (Non-GAAP)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70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Annual GAAP Earnings Guidance Range</w:t>
            </w:r>
          </w:p>
        </w:tc>
        <w:tc>
          <w:tcPr>
            <w:tcW w:w="3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$3.09 - $3.29</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Rate Case Settlement Charge</w:t>
            </w:r>
          </w:p>
        </w:tc>
        <w:tc>
          <w:tcPr>
            <w:tcW w:w="380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7"/>
        </w:trPr>
        <w:tc>
          <w:tcPr>
            <w:tcW w:w="7440" w:type="dxa"/>
            <w:vAlign w:val="bottom"/>
            <w:gridSpan w:val="2"/>
          </w:tcPr>
          <w:p>
            <w:pPr>
              <w:spacing w:after="0"/>
              <w:rPr>
                <w:sz w:val="2"/>
                <w:szCs w:val="2"/>
                <w:color w:val="auto"/>
              </w:rPr>
            </w:pPr>
          </w:p>
        </w:tc>
        <w:tc>
          <w:tcPr>
            <w:tcW w:w="3800" w:type="dxa"/>
            <w:vAlign w:val="bottom"/>
          </w:tcPr>
          <w:p>
            <w:pPr>
              <w:spacing w:after="0"/>
              <w:rPr>
                <w:sz w:val="2"/>
                <w:szCs w:val="2"/>
                <w:color w:val="auto"/>
              </w:rPr>
            </w:pPr>
          </w:p>
        </w:tc>
      </w:tr>
      <w:tr>
        <w:trPr>
          <w:trHeight w:val="275"/>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Income Tax Benefit</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36"/>
        </w:trPr>
        <w:tc>
          <w:tcPr>
            <w:tcW w:w="744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color w:val="auto"/>
              </w:rPr>
              <w:t>Rate Case Settlement Charge, Net of Income Tax Benefit</w:t>
            </w:r>
          </w:p>
        </w:tc>
        <w:tc>
          <w:tcPr>
            <w:tcW w:w="3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$0.16</w:t>
            </w:r>
          </w:p>
        </w:tc>
      </w:tr>
      <w:tr>
        <w:trPr>
          <w:trHeight w:val="27"/>
        </w:trPr>
        <w:tc>
          <w:tcPr>
            <w:tcW w:w="400" w:type="dxa"/>
            <w:vAlign w:val="bottom"/>
            <w:tcBorders>
              <w:bottom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43"/>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Annual Adjusted Earnings Guidance Range (Non-GAAP)</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$3.25 - $3.45</w:t>
            </w:r>
          </w:p>
        </w:tc>
      </w:tr>
      <w:tr>
        <w:trPr>
          <w:trHeight w:val="20"/>
        </w:trPr>
        <w:tc>
          <w:tcPr>
            <w:tcW w:w="400" w:type="dxa"/>
            <w:vAlign w:val="bottom"/>
            <w:shd w:val="clear" w:color="auto" w:fill="000000"/>
          </w:tcPr>
          <w:p>
            <w:pPr>
              <w:spacing w:after="0" w:line="20" w:lineRule="exact"/>
              <w:rPr>
                <w:sz w:val="1"/>
                <w:szCs w:val="1"/>
                <w:color w:val="auto"/>
              </w:rPr>
            </w:pPr>
          </w:p>
        </w:tc>
        <w:tc>
          <w:tcPr>
            <w:tcW w:w="7040" w:type="dxa"/>
            <w:vAlign w:val="bottom"/>
            <w:shd w:val="clear" w:color="auto" w:fill="000000"/>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60"/>
        <w:spacing w:after="0" w:line="348"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240"/>
      </w:cols>
      <w:pgMar w:left="320" w:top="985" w:right="3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decimal"/>
      <w:start w:val="32"/>
    </w:lvl>
  </w:abstractNum>
  <w:abstractNum w:abstractNumId="13">
    <w:nsid w:val="6B68079A"/>
    <w:multiLevelType w:val="hybridMultilevel"/>
    <w:lvl w:ilvl="0">
      <w:lvlJc w:val="left"/>
      <w:lvlText w:val="%1"/>
      <w:numFmt w:val="decimal"/>
      <w:start w:val="99"/>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2020-08-05T05:20:42Z</dcterms:created>
  <dcterms:modified xsi:type="dcterms:W3CDTF">2020-08-05T05:20:42Z</dcterms:modified>
</cp:coreProperties>
</file>