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85"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2460" w:right="3340" w:hanging="825"/>
        <w:spacing w:after="0" w:line="363" w:lineRule="auto"/>
        <w:tabs>
          <w:tab w:leader="none" w:pos="2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2017</w:t>
      </w:r>
    </w:p>
    <w:p>
      <w:pPr>
        <w:spacing w:after="0" w:line="159" w:lineRule="exact"/>
        <w:rPr>
          <w:sz w:val="24"/>
          <w:szCs w:val="24"/>
          <w:color w:val="auto"/>
        </w:rPr>
      </w:pPr>
    </w:p>
    <w:p>
      <w:pPr>
        <w:ind w:left="2460" w:right="3160" w:hanging="825"/>
        <w:spacing w:after="0" w:line="381" w:lineRule="auto"/>
        <w:tabs>
          <w:tab w:leader="none" w:pos="2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jc w:val="center"/>
              <w:ind w:left="1659"/>
              <w:spacing w:after="0"/>
              <w:rPr>
                <w:sz w:val="20"/>
                <w:szCs w:val="20"/>
                <w:color w:val="auto"/>
              </w:rPr>
            </w:pPr>
            <w:r>
              <w:rPr>
                <w:rFonts w:ascii="Arial" w:cs="Arial" w:eastAsia="Arial" w:hAnsi="Arial"/>
                <w:sz w:val="16"/>
                <w:szCs w:val="16"/>
                <w:b w:val="1"/>
                <w:bCs w:val="1"/>
                <w:color w:val="auto"/>
                <w:w w:val="90"/>
              </w:rPr>
              <w:t>Minnesota</w:t>
            </w:r>
          </w:p>
        </w:tc>
        <w:tc>
          <w:tcPr>
            <w:tcW w:w="4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jc w:val="center"/>
              <w:ind w:right="639"/>
              <w:spacing w:after="0"/>
              <w:rPr>
                <w:sz w:val="20"/>
                <w:szCs w:val="20"/>
                <w:color w:val="auto"/>
              </w:rPr>
            </w:pPr>
            <w:r>
              <w:rPr>
                <w:rFonts w:ascii="Arial" w:cs="Arial" w:eastAsia="Arial" w:hAnsi="Arial"/>
                <w:sz w:val="16"/>
                <w:szCs w:val="16"/>
                <w:b w:val="1"/>
                <w:bCs w:val="1"/>
                <w:color w:val="auto"/>
                <w:w w:val="91"/>
              </w:rPr>
              <w:t>41-0418150</w:t>
            </w:r>
          </w:p>
        </w:tc>
        <w:tc>
          <w:tcPr>
            <w:tcW w:w="0" w:type="dxa"/>
            <w:vAlign w:val="bottom"/>
          </w:tcPr>
          <w:p>
            <w:pPr>
              <w:spacing w:after="0"/>
              <w:rPr>
                <w:sz w:val="1"/>
                <w:szCs w:val="1"/>
                <w:color w:val="auto"/>
              </w:rPr>
            </w:pPr>
          </w:p>
        </w:tc>
      </w:tr>
      <w:tr>
        <w:trPr>
          <w:trHeight w:val="257"/>
        </w:trPr>
        <w:tc>
          <w:tcPr>
            <w:tcW w:w="7760" w:type="dxa"/>
            <w:vAlign w:val="bottom"/>
            <w:gridSpan w:val="2"/>
          </w:tcPr>
          <w:p>
            <w:pPr>
              <w:jc w:val="center"/>
              <w:ind w:right="227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680" w:type="dxa"/>
            <w:vAlign w:val="bottom"/>
            <w:gridSpan w:val="2"/>
          </w:tcPr>
          <w:p>
            <w:pPr>
              <w:jc w:val="center"/>
              <w:ind w:right="79"/>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2"/>
              </w:rPr>
              <w:t>30 West Superior Street, Duluth, Minnesota 55802-2093</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6"/>
                <w:szCs w:val="16"/>
                <w:color w:val="auto"/>
                <w:w w:val="95"/>
              </w:rPr>
              <w:t>(Address of principal executive offices, including zip code)</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3"/>
              </w:rPr>
              <w:t>(218) 279-5000</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660" w:type="dxa"/>
            <w:vAlign w:val="bottom"/>
          </w:tcPr>
          <w:p>
            <w:pPr>
              <w:jc w:val="center"/>
              <w:ind w:left="1179"/>
              <w:spacing w:after="0"/>
              <w:rPr>
                <w:sz w:val="20"/>
                <w:szCs w:val="20"/>
                <w:color w:val="auto"/>
              </w:rPr>
            </w:pPr>
            <w:r>
              <w:rPr>
                <w:rFonts w:ascii="Arial" w:cs="Arial" w:eastAsia="Arial" w:hAnsi="Arial"/>
                <w:sz w:val="16"/>
                <w:szCs w:val="16"/>
                <w:color w:val="auto"/>
                <w:w w:val="90"/>
              </w:rPr>
              <w:t>Title of each class</w:t>
            </w:r>
          </w:p>
        </w:tc>
        <w:tc>
          <w:tcPr>
            <w:tcW w:w="6780" w:type="dxa"/>
            <w:vAlign w:val="bottom"/>
            <w:gridSpan w:val="3"/>
          </w:tcPr>
          <w:p>
            <w:pPr>
              <w:jc w:val="center"/>
              <w:ind w:left="3819"/>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57"/>
        </w:trPr>
        <w:tc>
          <w:tcPr>
            <w:tcW w:w="3660" w:type="dxa"/>
            <w:vAlign w:val="bottom"/>
          </w:tcPr>
          <w:p>
            <w:pPr>
              <w:jc w:val="center"/>
              <w:ind w:left="1179"/>
              <w:spacing w:after="0"/>
              <w:rPr>
                <w:sz w:val="20"/>
                <w:szCs w:val="20"/>
                <w:color w:val="auto"/>
              </w:rPr>
            </w:pPr>
            <w:r>
              <w:rPr>
                <w:rFonts w:ascii="Arial" w:cs="Arial" w:eastAsia="Arial" w:hAnsi="Arial"/>
                <w:sz w:val="16"/>
                <w:szCs w:val="16"/>
                <w:color w:val="auto"/>
                <w:w w:val="93"/>
              </w:rPr>
              <w:t>Common Stock, without par value</w:t>
            </w:r>
          </w:p>
        </w:tc>
        <w:tc>
          <w:tcPr>
            <w:tcW w:w="4100" w:type="dxa"/>
            <w:vAlign w:val="bottom"/>
          </w:tcPr>
          <w:p>
            <w:pPr>
              <w:spacing w:after="0"/>
              <w:rPr>
                <w:sz w:val="22"/>
                <w:szCs w:val="22"/>
                <w:color w:val="auto"/>
              </w:rPr>
            </w:pPr>
          </w:p>
        </w:tc>
        <w:tc>
          <w:tcPr>
            <w:tcW w:w="2680" w:type="dxa"/>
            <w:vAlign w:val="bottom"/>
            <w:gridSpan w:val="2"/>
          </w:tcPr>
          <w:p>
            <w:pPr>
              <w:jc w:val="center"/>
              <w:ind w:right="119"/>
              <w:spacing w:after="0"/>
              <w:rPr>
                <w:sz w:val="20"/>
                <w:szCs w:val="20"/>
                <w:color w:val="auto"/>
              </w:rPr>
            </w:pPr>
            <w:r>
              <w:rPr>
                <w:rFonts w:ascii="Arial" w:cs="Arial" w:eastAsia="Arial" w:hAnsi="Arial"/>
                <w:sz w:val="16"/>
                <w:szCs w:val="16"/>
                <w:color w:val="auto"/>
                <w:w w:val="92"/>
              </w:rPr>
              <w:t>New York Stock Exchange</w:t>
            </w:r>
          </w:p>
        </w:tc>
        <w:tc>
          <w:tcPr>
            <w:tcW w:w="0" w:type="dxa"/>
            <w:vAlign w:val="bottom"/>
          </w:tcPr>
          <w:p>
            <w:pPr>
              <w:spacing w:after="0"/>
              <w:rPr>
                <w:sz w:val="1"/>
                <w:szCs w:val="1"/>
                <w:color w:val="auto"/>
              </w:rPr>
            </w:pPr>
          </w:p>
        </w:tc>
      </w:tr>
      <w:tr>
        <w:trPr>
          <w:trHeight w:val="284"/>
        </w:trPr>
        <w:tc>
          <w:tcPr>
            <w:tcW w:w="36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540" w:type="dxa"/>
            <w:vAlign w:val="bottom"/>
          </w:tcPr>
          <w:p>
            <w:pPr>
              <w:spacing w:after="0"/>
              <w:rPr>
                <w:sz w:val="21"/>
                <w:szCs w:val="21"/>
                <w:color w:val="auto"/>
              </w:rPr>
            </w:pPr>
          </w:p>
        </w:tc>
        <w:tc>
          <w:tcPr>
            <w:tcW w:w="2140" w:type="dxa"/>
            <w:vAlign w:val="bottom"/>
            <w:vMerge w:val="restart"/>
          </w:tcPr>
          <w:p>
            <w:pPr>
              <w:ind w:left="80"/>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7760" w:type="dxa"/>
            <w:vAlign w:val="bottom"/>
            <w:gridSpan w:val="2"/>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40" w:type="dxa"/>
            <w:vAlign w:val="bottom"/>
          </w:tcPr>
          <w:p>
            <w:pPr>
              <w:ind w:left="60"/>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8"/>
                <w:szCs w:val="18"/>
                <w:color w:val="auto"/>
              </w:rPr>
              <w:t>x</w:t>
            </w: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00" w:type="dxa"/>
            <w:vAlign w:val="bottom"/>
            <w:gridSpan w:val="3"/>
          </w:tcPr>
          <w:p>
            <w:pPr>
              <w:spacing w:after="0" w:line="207"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2"/>
              </w:rPr>
              <w:t>☐</w:t>
            </w:r>
          </w:p>
        </w:tc>
        <w:tc>
          <w:tcPr>
            <w:tcW w:w="2140" w:type="dxa"/>
            <w:vAlign w:val="bottom"/>
          </w:tcPr>
          <w:p>
            <w:pPr>
              <w:ind w:left="140"/>
              <w:spacing w:after="0"/>
              <w:rPr>
                <w:sz w:val="20"/>
                <w:szCs w:val="20"/>
                <w:color w:val="auto"/>
              </w:rPr>
            </w:pPr>
            <w:r>
              <w:rPr>
                <w:rFonts w:ascii="Arial" w:cs="Arial" w:eastAsia="Arial" w:hAnsi="Arial"/>
                <w:sz w:val="16"/>
                <w:szCs w:val="16"/>
                <w:color w:val="auto"/>
              </w:rPr>
              <w:t xml:space="preserve">No </w:t>
            </w: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46"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p>
    <w:p>
      <w:pPr>
        <w:ind w:left="180"/>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180" w:lineRule="exact"/>
        <w:rPr>
          <w:sz w:val="24"/>
          <w:szCs w:val="24"/>
          <w:color w:val="auto"/>
        </w:rPr>
      </w:pPr>
    </w:p>
    <w:p>
      <w:pPr>
        <w:spacing w:after="0" w:line="314"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300" w:hanging="292"/>
        <w:spacing w:after="0" w:line="207" w:lineRule="exact"/>
        <w:tabs>
          <w:tab w:leader="none" w:pos="300" w:val="left"/>
        </w:tabs>
        <w:numPr>
          <w:ilvl w:val="0"/>
          <w:numId w:val="3"/>
        </w:numPr>
        <w:rPr>
          <w:rFonts w:ascii="Arial" w:cs="Arial" w:eastAsia="Arial" w:hAnsi="Arial"/>
          <w:sz w:val="18"/>
          <w:szCs w:val="18"/>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181" w:lineRule="exact"/>
        <w:rPr>
          <w:sz w:val="24"/>
          <w:szCs w:val="24"/>
          <w:color w:val="auto"/>
        </w:rPr>
      </w:pPr>
    </w:p>
    <w:p>
      <w:pPr>
        <w:jc w:val="both"/>
        <w:ind w:right="20"/>
        <w:spacing w:after="0" w:line="314" w:lineRule="auto"/>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7"/>
          <w:szCs w:val="17"/>
          <w:color w:val="auto"/>
        </w:rPr>
        <w:t>x</w:t>
      </w:r>
    </w:p>
    <w:p>
      <w:pPr>
        <w:spacing w:after="0" w:line="113" w:lineRule="exact"/>
        <w:rPr>
          <w:sz w:val="24"/>
          <w:szCs w:val="24"/>
          <w:color w:val="auto"/>
        </w:rPr>
      </w:pPr>
    </w:p>
    <w:p>
      <w:pPr>
        <w:jc w:val="both"/>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4"/>
          <w:szCs w:val="24"/>
          <w:color w:val="auto"/>
        </w:rPr>
      </w:pPr>
    </w:p>
    <w:tbl>
      <w:tblPr>
        <w:tblLayout w:type="fixed"/>
        <w:tblInd w:w="2180" w:type="dxa"/>
        <w:tblCellMar>
          <w:top w:w="0" w:type="dxa"/>
          <w:left w:w="0" w:type="dxa"/>
          <w:bottom w:w="0" w:type="dxa"/>
          <w:right w:w="0" w:type="dxa"/>
        </w:tblCellMar>
      </w:tblP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x</w:t>
            </w:r>
          </w:p>
        </w:tc>
        <w:tc>
          <w:tcPr>
            <w:tcW w:w="3760" w:type="dxa"/>
            <w:vAlign w:val="bottom"/>
          </w:tcPr>
          <w:p>
            <w:pPr>
              <w:jc w:val="right"/>
              <w:ind w:right="779"/>
              <w:spacing w:after="0" w:line="207"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8"/>
                <w:szCs w:val="18"/>
                <w:color w:val="auto"/>
              </w:rPr>
              <w:t>☐</w:t>
            </w:r>
          </w:p>
        </w:tc>
        <w:tc>
          <w:tcPr>
            <w:tcW w:w="2880" w:type="dxa"/>
            <w:vAlign w:val="bottom"/>
          </w:tcPr>
          <w:p>
            <w:pPr>
              <w:jc w:val="right"/>
              <w:spacing w:after="0" w:line="207"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8"/>
                <w:szCs w:val="18"/>
                <w:color w:val="auto"/>
              </w:rPr>
              <w:t>☐</w:t>
            </w:r>
          </w:p>
        </w:tc>
      </w:tr>
      <w:tr>
        <w:trPr>
          <w:trHeight w:val="337"/>
        </w:trPr>
        <w:tc>
          <w:tcPr>
            <w:tcW w:w="2500" w:type="dxa"/>
            <w:vAlign w:val="bottom"/>
          </w:tcPr>
          <w:p>
            <w:pPr>
              <w:spacing w:after="0"/>
              <w:rPr>
                <w:sz w:val="24"/>
                <w:szCs w:val="24"/>
                <w:color w:val="auto"/>
              </w:rPr>
            </w:pPr>
          </w:p>
        </w:tc>
        <w:tc>
          <w:tcPr>
            <w:tcW w:w="3760" w:type="dxa"/>
            <w:vAlign w:val="bottom"/>
          </w:tcPr>
          <w:p>
            <w:pPr>
              <w:jc w:val="right"/>
              <w:ind w:right="779"/>
              <w:spacing w:after="0" w:line="207"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8"/>
                <w:szCs w:val="18"/>
                <w:color w:val="auto"/>
              </w:rPr>
              <w:t>☐</w:t>
            </w:r>
          </w:p>
        </w:tc>
        <w:tc>
          <w:tcPr>
            <w:tcW w:w="2880" w:type="dxa"/>
            <w:vAlign w:val="bottom"/>
          </w:tcPr>
          <w:p>
            <w:pPr>
              <w:jc w:val="right"/>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tc>
      </w:tr>
    </w:tbl>
    <w:p>
      <w:pPr>
        <w:spacing w:after="0" w:line="119" w:lineRule="exact"/>
        <w:rPr>
          <w:sz w:val="24"/>
          <w:szCs w:val="24"/>
          <w:color w:val="auto"/>
        </w:rPr>
      </w:pPr>
    </w:p>
    <w:p>
      <w:pPr>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Arial" w:cs="Arial" w:eastAsia="Arial" w:hAnsi="Arial"/>
          <w:sz w:val="18"/>
          <w:szCs w:val="18"/>
          <w:color w:val="auto"/>
        </w:rPr>
        <w:t>x</w:t>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voting stock held by nonaffiliates on June 30, 2017, was $3,637,956,646.</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2018, there were 51,143,656 shares of ALLETE Common Stock, without par value, outstanding.</w:t>
      </w:r>
    </w:p>
    <w:p>
      <w:pPr>
        <w:spacing w:after="0" w:line="163"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2018 Annual Meeting of Shareholders are incorporated by reference in Part III.</w:t>
      </w:r>
    </w:p>
    <w:p>
      <w:pPr>
        <w:sectPr>
          <w:pgSz w:w="11900" w:h="16838" w:orient="portrait"/>
          <w:cols w:equalWidth="0" w:num="1">
            <w:col w:w="11420"/>
          </w:cols>
          <w:pgMar w:left="240" w:top="81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040" w:type="dxa"/>
            <w:vAlign w:val="bottom"/>
            <w:gridSpan w:val="49"/>
            <w:shd w:val="clear" w:color="auto" w:fill="CCEEFF"/>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Definitions</w:t>
              </w:r>
            </w:hyperlink>
          </w:p>
        </w:tc>
        <w:tc>
          <w:tcPr>
            <w:tcW w:w="1120" w:type="dxa"/>
            <w:vAlign w:val="bottom"/>
            <w:gridSpan w:val="3"/>
            <w:shd w:val="clear" w:color="auto" w:fill="CCEEFF"/>
          </w:tcPr>
          <w:p>
            <w:pPr>
              <w:ind w:left="94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040" w:type="dxa"/>
            <w:vAlign w:val="bottom"/>
            <w:gridSpan w:val="49"/>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112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9040" w:type="dxa"/>
            <w:vAlign w:val="bottom"/>
            <w:gridSpan w:val="49"/>
            <w:shd w:val="clear" w:color="auto" w:fill="CCEEFF"/>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Part I</w:t>
              </w:r>
            </w:hyperlink>
          </w:p>
        </w:tc>
        <w:tc>
          <w:tcPr>
            <w:tcW w:w="112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Item 1. Business</w:t>
              </w:r>
            </w:hyperlink>
          </w:p>
        </w:tc>
        <w:tc>
          <w:tcPr>
            <w:tcW w:w="1120" w:type="dxa"/>
            <w:vAlign w:val="bottom"/>
            <w:gridSpan w:val="3"/>
          </w:tcPr>
          <w:p>
            <w:pPr>
              <w:ind w:left="9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14"/>
            <w:shd w:val="clear" w:color="auto" w:fill="CCEEFF"/>
          </w:tcPr>
          <w:p>
            <w:pPr>
              <w:spacing w:after="0" w:line="202"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Regulated Operations</w:t>
              </w:r>
            </w:hyperlink>
          </w:p>
        </w:tc>
        <w:tc>
          <w:tcPr>
            <w:tcW w:w="6400" w:type="dxa"/>
            <w:vAlign w:val="bottom"/>
            <w:gridSpan w:val="30"/>
            <w:shd w:val="clear" w:color="auto" w:fill="CCEEFF"/>
          </w:tcPr>
          <w:p>
            <w:pPr>
              <w:spacing w:after="0"/>
              <w:rPr>
                <w:sz w:val="17"/>
                <w:szCs w:val="17"/>
                <w:color w:val="auto"/>
              </w:rPr>
            </w:pPr>
          </w:p>
        </w:tc>
        <w:tc>
          <w:tcPr>
            <w:tcW w:w="112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Electric Sales / Customers</w:t>
              </w:r>
            </w:hyperlink>
          </w:p>
        </w:tc>
        <w:tc>
          <w:tcPr>
            <w:tcW w:w="1120" w:type="dxa"/>
            <w:vAlign w:val="bottom"/>
            <w:gridSpan w:val="3"/>
          </w:tcPr>
          <w:p>
            <w:pPr>
              <w:ind w:left="9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Seasonality</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Power Supply</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Transmission and Distribution</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Investment in ATC</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Regulatory Matters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Regional Organizations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Minnesota Legislation</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Competition</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Franchises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00" w:type="dxa"/>
            <w:vAlign w:val="bottom"/>
            <w:gridSpan w:val="36"/>
            <w:shd w:val="clear" w:color="auto" w:fill="CCEEFF"/>
          </w:tcPr>
          <w:p>
            <w:pPr>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Energy Infrastructure and Related Services</w:t>
              </w:r>
            </w:hyperlink>
          </w:p>
        </w:tc>
        <w:tc>
          <w:tcPr>
            <w:tcW w:w="4860" w:type="dxa"/>
            <w:vAlign w:val="bottom"/>
            <w:gridSpan w:val="8"/>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gridSpan w:val="36"/>
          </w:tcPr>
          <w:p>
            <w:pPr>
              <w:ind w:left="2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ALLETE Clean Energy</w:t>
              </w:r>
            </w:hyperlink>
          </w:p>
        </w:tc>
        <w:tc>
          <w:tcPr>
            <w:tcW w:w="4860" w:type="dxa"/>
            <w:vAlign w:val="bottom"/>
            <w:gridSpan w:val="8"/>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U.S. Water Services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Corporate and Other</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BNI Energy</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ALLETE Properties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Non-Rate Base Generation and Miscellaneous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Environmental Matters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Employees</w:t>
              </w:r>
            </w:hyperlink>
          </w:p>
        </w:tc>
        <w:tc>
          <w:tcPr>
            <w:tcW w:w="7160" w:type="dxa"/>
            <w:vAlign w:val="bottom"/>
            <w:gridSpan w:val="42"/>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Availability of Information</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gridSpan w:val="32"/>
            <w:shd w:val="clear" w:color="auto" w:fill="CCEEFF"/>
          </w:tcPr>
          <w:p>
            <w:pPr>
              <w:spacing w:after="0" w:line="202"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Executive Officers of the Registrant</w:t>
              </w:r>
            </w:hyperlink>
          </w:p>
        </w:tc>
        <w:tc>
          <w:tcPr>
            <w:tcW w:w="5360" w:type="dxa"/>
            <w:vAlign w:val="bottom"/>
            <w:gridSpan w:val="12"/>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32"/>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5360" w:type="dxa"/>
            <w:vAlign w:val="bottom"/>
            <w:gridSpan w:val="12"/>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720" w:type="dxa"/>
            <w:vAlign w:val="bottom"/>
            <w:gridSpan w:val="34"/>
            <w:shd w:val="clear" w:color="auto" w:fill="CCEEFF"/>
          </w:tcPr>
          <w:p>
            <w:pPr>
              <w:spacing w:after="0" w:line="202"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1B. Unresolved Staff Comments</w:t>
              </w:r>
            </w:hyperlink>
          </w:p>
        </w:tc>
        <w:tc>
          <w:tcPr>
            <w:tcW w:w="5240" w:type="dxa"/>
            <w:vAlign w:val="bottom"/>
            <w:gridSpan w:val="10"/>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4"/>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2. Properties</w:t>
              </w:r>
            </w:hyperlink>
          </w:p>
        </w:tc>
        <w:tc>
          <w:tcPr>
            <w:tcW w:w="5240" w:type="dxa"/>
            <w:vAlign w:val="bottom"/>
            <w:gridSpan w:val="10"/>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3. Legal Proceedings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4. Mine Safety Disclosures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40" w:type="dxa"/>
            <w:vAlign w:val="bottom"/>
            <w:gridSpan w:val="49"/>
            <w:vMerge w:val="restart"/>
            <w:shd w:val="clear" w:color="auto" w:fill="CCEEFF"/>
          </w:tcPr>
          <w:p>
            <w:pPr>
              <w:ind w:left="40"/>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44"/>
        </w:trPr>
        <w:tc>
          <w:tcPr>
            <w:tcW w:w="9040" w:type="dxa"/>
            <w:vAlign w:val="bottom"/>
            <w:tcBorders>
              <w:top w:val="single" w:sz="8" w:color="CCEEFF"/>
            </w:tcBorders>
            <w:gridSpan w:val="49"/>
            <w:vMerge w:val="continue"/>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920" w:type="dxa"/>
            <w:vAlign w:val="bottom"/>
            <w:tcBorders>
              <w:top w:val="single" w:sz="8" w:color="CCEEFF"/>
              <w:bottom w:val="single" w:sz="8" w:color="0000EE"/>
            </w:tcBorders>
            <w:gridSpan w:val="41"/>
          </w:tcPr>
          <w:p>
            <w:pPr>
              <w:spacing w:after="0" w:line="202"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5. Market for Registrant’s Common Equity, Related Stockholder Matters and</w:t>
              </w:r>
            </w:hyperlink>
          </w:p>
        </w:tc>
        <w:tc>
          <w:tcPr>
            <w:tcW w:w="2040" w:type="dxa"/>
            <w:vAlign w:val="bottom"/>
            <w:tcBorders>
              <w:top w:val="single" w:sz="8" w:color="CCEEFF"/>
            </w:tcBorders>
            <w:gridSpan w:val="3"/>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Issuer Purchases of Equity Securities</w:t>
              </w:r>
            </w:hyperlink>
          </w:p>
        </w:tc>
        <w:tc>
          <w:tcPr>
            <w:tcW w:w="2380" w:type="dxa"/>
            <w:vAlign w:val="bottom"/>
            <w:gridSpan w:val="4"/>
          </w:tcPr>
          <w:p>
            <w:pPr>
              <w:ind w:left="94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60" w:type="dxa"/>
            <w:vAlign w:val="bottom"/>
            <w:gridSpan w:val="27"/>
            <w:shd w:val="clear" w:color="auto" w:fill="CCEEFF"/>
          </w:tcPr>
          <w:p>
            <w:pPr>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6. Selected Financial Data</w:t>
              </w:r>
            </w:hyperlink>
          </w:p>
        </w:tc>
        <w:tc>
          <w:tcPr>
            <w:tcW w:w="5700" w:type="dxa"/>
            <w:vAlign w:val="bottom"/>
            <w:gridSpan w:val="17"/>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7. Management’s Discussion and Analysis of Financial Condition and Results of Operations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Overview</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2017 Compared to 2016</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2016 Compared to 2015</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Critical Accounting Policies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Outlook</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Liquidity and Capital Resources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Capital Requirements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Environmental and Other Matters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Market Risk</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Recently Adopted Accounting Standards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7A. Quantitative and Qualitative Disclosures about Market Risk</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40"/>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8. Financial Statements and Supplementary Data</w:t>
              </w:r>
            </w:hyperlink>
          </w:p>
        </w:tc>
        <w:tc>
          <w:tcPr>
            <w:tcW w:w="2980" w:type="dxa"/>
            <w:vAlign w:val="bottom"/>
            <w:gridSpan w:val="4"/>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9. Changes in and Disagreements with Accountants on Accounting and Financial Disclosure</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2" w:right="239" w:bottom="112"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20" w:type="dxa"/>
            <w:vAlign w:val="bottom"/>
            <w:gridSpan w:val="33"/>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9A. Controls and Procedures</w:t>
              </w:r>
            </w:hyperlink>
          </w:p>
        </w:tc>
        <w:tc>
          <w:tcPr>
            <w:tcW w:w="1540" w:type="dxa"/>
            <w:vAlign w:val="bottom"/>
            <w:gridSpan w:val="3"/>
            <w:shd w:val="clear" w:color="auto" w:fill="CCEEFF"/>
          </w:tcPr>
          <w:p>
            <w:pPr>
              <w:ind w:left="1280"/>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13"/>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9B. Other Information</w:t>
              </w:r>
            </w:hyperlink>
          </w:p>
        </w:tc>
        <w:tc>
          <w:tcPr>
            <w:tcW w:w="5180" w:type="dxa"/>
            <w:vAlign w:val="bottom"/>
            <w:gridSpan w:val="20"/>
          </w:tcPr>
          <w:p>
            <w:pPr>
              <w:spacing w:after="0"/>
              <w:rPr>
                <w:sz w:val="17"/>
                <w:szCs w:val="17"/>
                <w:color w:val="auto"/>
              </w:rPr>
            </w:pPr>
          </w:p>
        </w:tc>
        <w:tc>
          <w:tcPr>
            <w:tcW w:w="1540" w:type="dxa"/>
            <w:vAlign w:val="bottom"/>
            <w:gridSpan w:val="3"/>
          </w:tcPr>
          <w:p>
            <w:pPr>
              <w:ind w:left="128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0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Part III</w:t>
              </w:r>
            </w:hyperlink>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33"/>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10. Directors, Executive Officers and Corporate Governance</w:t>
              </w:r>
            </w:hyperlink>
          </w:p>
        </w:tc>
        <w:tc>
          <w:tcPr>
            <w:tcW w:w="1540" w:type="dxa"/>
            <w:vAlign w:val="bottom"/>
            <w:gridSpan w:val="3"/>
          </w:tcPr>
          <w:p>
            <w:pPr>
              <w:ind w:left="128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line="202"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11.</w:t>
              </w:r>
            </w:hyperlink>
          </w:p>
        </w:tc>
        <w:tc>
          <w:tcPr>
            <w:tcW w:w="1820" w:type="dxa"/>
            <w:vAlign w:val="bottom"/>
            <w:gridSpan w:val="11"/>
            <w:shd w:val="clear" w:color="auto" w:fill="CCEEFF"/>
          </w:tcPr>
          <w:p>
            <w:pPr>
              <w:ind w:left="2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Executive Compensation</w:t>
              </w:r>
            </w:hyperlink>
          </w:p>
        </w:tc>
        <w:tc>
          <w:tcPr>
            <w:tcW w:w="5180" w:type="dxa"/>
            <w:vAlign w:val="bottom"/>
            <w:gridSpan w:val="20"/>
            <w:shd w:val="clear" w:color="auto" w:fill="CCEEFF"/>
          </w:tcPr>
          <w:p>
            <w:pPr>
              <w:spacing w:after="0"/>
              <w:rPr>
                <w:sz w:val="17"/>
                <w:szCs w:val="17"/>
                <w:color w:val="auto"/>
              </w:rPr>
            </w:pPr>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33"/>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12. Security Ownership of Certain Beneficial Owners and Management and</w:t>
              </w:r>
            </w:hyperlink>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20" w:type="dxa"/>
            <w:vAlign w:val="bottom"/>
            <w:tcBorders>
              <w:top w:val="single" w:sz="8" w:color="0000EE"/>
            </w:tcBorders>
            <w:gridSpan w:val="30"/>
          </w:tcPr>
          <w:p>
            <w:pPr>
              <w:ind w:left="24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Related Stockholder Matters</w:t>
              </w:r>
            </w:hyperlink>
          </w:p>
        </w:tc>
        <w:tc>
          <w:tcPr>
            <w:tcW w:w="1800" w:type="dxa"/>
            <w:vAlign w:val="bottom"/>
            <w:gridSpan w:val="3"/>
          </w:tcPr>
          <w:p>
            <w:pPr>
              <w:spacing w:after="0"/>
              <w:rPr>
                <w:sz w:val="17"/>
                <w:szCs w:val="17"/>
                <w:color w:val="auto"/>
              </w:rPr>
            </w:pPr>
          </w:p>
        </w:tc>
        <w:tc>
          <w:tcPr>
            <w:tcW w:w="1540" w:type="dxa"/>
            <w:vAlign w:val="bottom"/>
            <w:gridSpan w:val="3"/>
          </w:tcPr>
          <w:p>
            <w:pPr>
              <w:ind w:left="128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100" w:type="dxa"/>
            <w:vAlign w:val="bottom"/>
            <w:gridSpan w:val="31"/>
            <w:shd w:val="clear" w:color="auto" w:fill="CCEEFF"/>
          </w:tcPr>
          <w:p>
            <w:pPr>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Item 13. Certain Relationships and Related Transactions, and Director Independence</w:t>
              </w:r>
            </w:hyperlink>
          </w:p>
        </w:tc>
        <w:tc>
          <w:tcPr>
            <w:tcW w:w="1520" w:type="dxa"/>
            <w:vAlign w:val="bottom"/>
            <w:gridSpan w:val="2"/>
            <w:shd w:val="clear" w:color="auto" w:fill="CCEEFF"/>
          </w:tcPr>
          <w:p>
            <w:pPr>
              <w:spacing w:after="0"/>
              <w:rPr>
                <w:sz w:val="17"/>
                <w:szCs w:val="17"/>
                <w:color w:val="auto"/>
              </w:rPr>
            </w:pPr>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00" w:type="dxa"/>
            <w:vAlign w:val="bottom"/>
            <w:gridSpan w:val="31"/>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14. Principal Accounting Fees and Services</w:t>
              </w:r>
            </w:hyperlink>
          </w:p>
        </w:tc>
        <w:tc>
          <w:tcPr>
            <w:tcW w:w="1520" w:type="dxa"/>
            <w:vAlign w:val="bottom"/>
            <w:gridSpan w:val="2"/>
          </w:tcPr>
          <w:p>
            <w:pPr>
              <w:spacing w:after="0"/>
              <w:rPr>
                <w:sz w:val="17"/>
                <w:szCs w:val="17"/>
                <w:color w:val="auto"/>
              </w:rPr>
            </w:pPr>
          </w:p>
        </w:tc>
        <w:tc>
          <w:tcPr>
            <w:tcW w:w="1540" w:type="dxa"/>
            <w:vAlign w:val="bottom"/>
            <w:gridSpan w:val="3"/>
          </w:tcPr>
          <w:p>
            <w:pPr>
              <w:ind w:left="128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0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Part IV</w:t>
              </w:r>
            </w:hyperlink>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33"/>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Item 15. Exhibits and Financial Statement Schedules</w:t>
              </w:r>
            </w:hyperlink>
          </w:p>
        </w:tc>
        <w:tc>
          <w:tcPr>
            <w:tcW w:w="1540" w:type="dxa"/>
            <w:vAlign w:val="bottom"/>
            <w:gridSpan w:val="3"/>
          </w:tcPr>
          <w:p>
            <w:pPr>
              <w:ind w:left="128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20" w:type="dxa"/>
            <w:vAlign w:val="bottom"/>
            <w:gridSpan w:val="33"/>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16. Form 10-K Summary</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9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0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00" w:type="dxa"/>
            <w:vAlign w:val="bottom"/>
            <w:gridSpan w:val="38"/>
            <w:vMerge w:val="restart"/>
            <w:shd w:val="clear" w:color="auto" w:fill="CCEEFF"/>
          </w:tcPr>
          <w:p>
            <w:pPr>
              <w:ind w:left="40"/>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700" w:type="dxa"/>
            <w:vAlign w:val="bottom"/>
            <w:tcBorders>
              <w:top w:val="single" w:sz="8" w:color="CCEEFF"/>
            </w:tcBorders>
            <w:gridSpan w:val="38"/>
            <w:vMerge w:val="continue"/>
            <w:shd w:val="clear" w:color="auto" w:fill="CCEEFF"/>
          </w:tcPr>
          <w:p>
            <w:pPr>
              <w:spacing w:after="0"/>
              <w:rPr>
                <w:sz w:val="21"/>
                <w:szCs w:val="21"/>
                <w:color w:val="auto"/>
              </w:rPr>
            </w:pPr>
          </w:p>
        </w:tc>
        <w:tc>
          <w:tcPr>
            <w:tcW w:w="12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320" w:type="dxa"/>
            <w:vAlign w:val="bottom"/>
            <w:tcBorders>
              <w:top w:val="single" w:sz="8" w:color="0000EE"/>
            </w:tcBorders>
            <w:gridSpan w:val="2"/>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700" w:type="dxa"/>
            <w:vAlign w:val="bottom"/>
            <w:gridSpan w:val="38"/>
            <w:shd w:val="clear" w:color="auto" w:fill="CCEEFF"/>
          </w:tcPr>
          <w:p>
            <w:pPr>
              <w:ind w:left="4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Financial Statements - Audited</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gridSpan w:val="3"/>
          </w:tcPr>
          <w:p>
            <w:pPr>
              <w:ind w:left="128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20" w:type="dxa"/>
            <w:vAlign w:val="bottom"/>
            <w:gridSpan w:val="3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Balance Sheet</w:t>
              </w:r>
            </w:hyperlink>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20" w:type="dxa"/>
            <w:vAlign w:val="bottom"/>
            <w:gridSpan w:val="33"/>
            <w:vMerge w:val="restart"/>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 of Income</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20" w:type="dxa"/>
            <w:vAlign w:val="bottom"/>
            <w:tcBorders>
              <w:top w:val="single" w:sz="8" w:color="CCEEFF"/>
            </w:tcBorders>
            <w:gridSpan w:val="33"/>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33"/>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 of Comprehensive Income</w:t>
              </w:r>
            </w:hyperlink>
          </w:p>
        </w:tc>
        <w:tc>
          <w:tcPr>
            <w:tcW w:w="1540" w:type="dxa"/>
            <w:vAlign w:val="bottom"/>
            <w:gridSpan w:val="3"/>
          </w:tcPr>
          <w:p>
            <w:pPr>
              <w:ind w:left="128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33"/>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0" w:type="dxa"/>
            <w:vAlign w:val="bottom"/>
            <w:gridSpan w:val="15"/>
            <w:vMerge w:val="restart"/>
            <w:shd w:val="clear" w:color="auto" w:fill="CCEEFF"/>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 of Cash Flows</w:t>
              </w:r>
            </w:hyperlink>
          </w:p>
        </w:tc>
        <w:tc>
          <w:tcPr>
            <w:tcW w:w="4820" w:type="dxa"/>
            <w:vAlign w:val="bottom"/>
            <w:gridSpan w:val="18"/>
            <w:vMerge w:val="restart"/>
            <w:shd w:val="clear" w:color="auto" w:fill="CCEEFF"/>
          </w:tcPr>
          <w:p>
            <w:pPr>
              <w:spacing w:after="0"/>
              <w:rPr>
                <w:sz w:val="17"/>
                <w:szCs w:val="17"/>
                <w:color w:val="auto"/>
              </w:rPr>
            </w:pPr>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0000EE"/>
            </w:tcBorders>
            <w:gridSpan w:val="15"/>
            <w:vMerge w:val="continue"/>
            <w:shd w:val="clear" w:color="auto" w:fill="CCEEFF"/>
          </w:tcPr>
          <w:p>
            <w:pPr>
              <w:spacing w:after="0"/>
              <w:rPr>
                <w:sz w:val="21"/>
                <w:szCs w:val="21"/>
                <w:color w:val="auto"/>
              </w:rPr>
            </w:pPr>
          </w:p>
        </w:tc>
        <w:tc>
          <w:tcPr>
            <w:tcW w:w="4820" w:type="dxa"/>
            <w:vAlign w:val="bottom"/>
            <w:tcBorders>
              <w:top w:val="single" w:sz="8" w:color="CCEEFF"/>
              <w:bottom w:val="single" w:sz="8" w:color="CCEEFF"/>
            </w:tcBorders>
            <w:gridSpan w:val="18"/>
            <w:vMerge w:val="continue"/>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33"/>
            <w:vMerge w:val="restart"/>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 of Equity</w:t>
              </w:r>
            </w:hyperlink>
          </w:p>
        </w:tc>
        <w:tc>
          <w:tcPr>
            <w:tcW w:w="1540" w:type="dxa"/>
            <w:vAlign w:val="bottom"/>
            <w:gridSpan w:val="3"/>
          </w:tcPr>
          <w:p>
            <w:pPr>
              <w:ind w:left="128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gridSpan w:val="33"/>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20" w:type="dxa"/>
            <w:vAlign w:val="bottom"/>
            <w:gridSpan w:val="33"/>
            <w:vMerge w:val="restart"/>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20" w:type="dxa"/>
            <w:vAlign w:val="bottom"/>
            <w:tcBorders>
              <w:top w:val="single" w:sz="8" w:color="CCEEFF"/>
            </w:tcBorders>
            <w:gridSpan w:val="33"/>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82">
              <w:r>
                <w:rPr>
                  <w:rFonts w:ascii="Arial" w:cs="Arial" w:eastAsia="Arial" w:hAnsi="Arial"/>
                  <w:sz w:val="18"/>
                  <w:szCs w:val="18"/>
                  <w:color w:val="0000EE"/>
                </w:rPr>
                <w:t>1. Operations and Significant Accounting Policies</w:t>
              </w:r>
            </w:hyperlink>
          </w:p>
        </w:tc>
        <w:tc>
          <w:tcPr>
            <w:tcW w:w="1540" w:type="dxa"/>
            <w:vAlign w:val="bottom"/>
            <w:gridSpan w:val="3"/>
          </w:tcPr>
          <w:p>
            <w:pPr>
              <w:ind w:left="128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Note</w:t>
              </w:r>
            </w:hyperlink>
          </w:p>
        </w:tc>
        <w:tc>
          <w:tcPr>
            <w:tcW w:w="7000" w:type="dxa"/>
            <w:vAlign w:val="bottom"/>
            <w:gridSpan w:val="31"/>
            <w:vMerge w:val="restart"/>
            <w:shd w:val="clear" w:color="auto" w:fill="CCEEFF"/>
          </w:tcPr>
          <w:p>
            <w:pPr>
              <w:ind w:left="20"/>
              <w:spacing w:after="0"/>
              <w:rPr>
                <w:rFonts w:ascii="Arial" w:cs="Arial" w:eastAsia="Arial" w:hAnsi="Arial"/>
                <w:sz w:val="18"/>
                <w:szCs w:val="18"/>
                <w:color w:val="0000EE"/>
              </w:rPr>
            </w:pPr>
            <w:hyperlink w:anchor="page93">
              <w:r>
                <w:rPr>
                  <w:rFonts w:ascii="Arial" w:cs="Arial" w:eastAsia="Arial" w:hAnsi="Arial"/>
                  <w:sz w:val="18"/>
                  <w:szCs w:val="18"/>
                  <w:color w:val="0000EE"/>
                </w:rPr>
                <w:t>2. Property, Plant and Equipment</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000" w:type="dxa"/>
            <w:vAlign w:val="bottom"/>
            <w:tcBorders>
              <w:top w:val="single" w:sz="8" w:color="CCEEFF"/>
            </w:tcBorders>
            <w:gridSpan w:val="31"/>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94">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3. Jointly-Owned Facilities and Projects</w:t>
              </w:r>
            </w:hyperlink>
          </w:p>
        </w:tc>
        <w:tc>
          <w:tcPr>
            <w:tcW w:w="1540" w:type="dxa"/>
            <w:vAlign w:val="bottom"/>
            <w:gridSpan w:val="3"/>
          </w:tcPr>
          <w:p>
            <w:pPr>
              <w:ind w:left="128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94">
              <w:r>
                <w:rPr>
                  <w:rFonts w:ascii="Arial" w:cs="Arial" w:eastAsia="Arial" w:hAnsi="Arial"/>
                  <w:sz w:val="18"/>
                  <w:szCs w:val="18"/>
                  <w:color w:val="0000EE"/>
                  <w:w w:val="94"/>
                </w:rPr>
                <w:t>Note</w:t>
              </w:r>
            </w:hyperlink>
          </w:p>
        </w:tc>
        <w:tc>
          <w:tcPr>
            <w:tcW w:w="7000" w:type="dxa"/>
            <w:vAlign w:val="bottom"/>
            <w:gridSpan w:val="31"/>
            <w:vMerge w:val="restart"/>
            <w:shd w:val="clear" w:color="auto" w:fill="CCEEFF"/>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4. Regulatory Matters</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000" w:type="dxa"/>
            <w:vAlign w:val="bottom"/>
            <w:tcBorders>
              <w:top w:val="single" w:sz="8" w:color="CCEEFF"/>
            </w:tcBorders>
            <w:gridSpan w:val="31"/>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5. Investment in ATC</w:t>
              </w:r>
            </w:hyperlink>
          </w:p>
        </w:tc>
        <w:tc>
          <w:tcPr>
            <w:tcW w:w="1540" w:type="dxa"/>
            <w:vAlign w:val="bottom"/>
            <w:gridSpan w:val="3"/>
          </w:tcPr>
          <w:p>
            <w:pPr>
              <w:ind w:left="128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99</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02">
              <w:r>
                <w:rPr>
                  <w:rFonts w:ascii="Arial" w:cs="Arial" w:eastAsia="Arial" w:hAnsi="Arial"/>
                  <w:sz w:val="18"/>
                  <w:szCs w:val="18"/>
                  <w:color w:val="0000EE"/>
                  <w:w w:val="94"/>
                </w:rPr>
                <w:t>Note</w:t>
              </w:r>
            </w:hyperlink>
          </w:p>
        </w:tc>
        <w:tc>
          <w:tcPr>
            <w:tcW w:w="7000" w:type="dxa"/>
            <w:vAlign w:val="bottom"/>
            <w:gridSpan w:val="31"/>
            <w:vMerge w:val="restart"/>
            <w:shd w:val="clear" w:color="auto" w:fill="CCEEFF"/>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6. Acquisitions</w:t>
              </w:r>
            </w:hyperlink>
          </w:p>
        </w:tc>
        <w:tc>
          <w:tcPr>
            <w:tcW w:w="2720" w:type="dxa"/>
            <w:vAlign w:val="bottom"/>
            <w:gridSpan w:val="4"/>
            <w:shd w:val="clear" w:color="auto" w:fill="CCEEFF"/>
          </w:tcPr>
          <w:p>
            <w:pPr>
              <w:ind w:left="128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000" w:type="dxa"/>
            <w:vAlign w:val="bottom"/>
            <w:tcBorders>
              <w:top w:val="single" w:sz="8" w:color="CCEEFF"/>
            </w:tcBorders>
            <w:gridSpan w:val="31"/>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07">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7. Goodwill and Intangible Assets</w:t>
              </w:r>
            </w:hyperlink>
          </w:p>
        </w:tc>
        <w:tc>
          <w:tcPr>
            <w:tcW w:w="2720" w:type="dxa"/>
            <w:vAlign w:val="bottom"/>
            <w:gridSpan w:val="4"/>
          </w:tcPr>
          <w:p>
            <w:pPr>
              <w:ind w:left="128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08">
              <w:r>
                <w:rPr>
                  <w:rFonts w:ascii="Arial" w:cs="Arial" w:eastAsia="Arial" w:hAnsi="Arial"/>
                  <w:sz w:val="18"/>
                  <w:szCs w:val="18"/>
                  <w:color w:val="0000EE"/>
                  <w:w w:val="94"/>
                </w:rPr>
                <w:t>Note</w:t>
              </w:r>
            </w:hyperlink>
          </w:p>
        </w:tc>
        <w:tc>
          <w:tcPr>
            <w:tcW w:w="7000" w:type="dxa"/>
            <w:vAlign w:val="bottom"/>
            <w:gridSpan w:val="31"/>
            <w:vMerge w:val="restart"/>
            <w:shd w:val="clear" w:color="auto" w:fill="CCEEFF"/>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8. Investments</w:t>
              </w:r>
            </w:hyperlink>
          </w:p>
        </w:tc>
        <w:tc>
          <w:tcPr>
            <w:tcW w:w="2720" w:type="dxa"/>
            <w:vAlign w:val="bottom"/>
            <w:gridSpan w:val="4"/>
            <w:shd w:val="clear" w:color="auto" w:fill="CCEEFF"/>
          </w:tcPr>
          <w:p>
            <w:pPr>
              <w:ind w:left="128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000" w:type="dxa"/>
            <w:vAlign w:val="bottom"/>
            <w:tcBorders>
              <w:top w:val="single" w:sz="8" w:color="CCEEFF"/>
            </w:tcBorders>
            <w:gridSpan w:val="31"/>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08">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9. Fair Value</w:t>
              </w:r>
            </w:hyperlink>
          </w:p>
        </w:tc>
        <w:tc>
          <w:tcPr>
            <w:tcW w:w="2720" w:type="dxa"/>
            <w:vAlign w:val="bottom"/>
            <w:gridSpan w:val="4"/>
          </w:tcPr>
          <w:p>
            <w:pPr>
              <w:ind w:left="128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12">
              <w:r>
                <w:rPr>
                  <w:rFonts w:ascii="Arial" w:cs="Arial" w:eastAsia="Arial" w:hAnsi="Arial"/>
                  <w:sz w:val="18"/>
                  <w:szCs w:val="18"/>
                  <w:color w:val="0000EE"/>
                  <w:w w:val="94"/>
                </w:rPr>
                <w:t>Note</w:t>
              </w:r>
            </w:hyperlink>
          </w:p>
        </w:tc>
        <w:tc>
          <w:tcPr>
            <w:tcW w:w="7000" w:type="dxa"/>
            <w:vAlign w:val="bottom"/>
            <w:gridSpan w:val="31"/>
            <w:vMerge w:val="restart"/>
            <w:shd w:val="clear" w:color="auto" w:fill="CCEEFF"/>
          </w:tcPr>
          <w:p>
            <w:pPr>
              <w:ind w:left="20"/>
              <w:spacing w:after="0"/>
              <w:rPr>
                <w:rFonts w:ascii="Arial" w:cs="Arial" w:eastAsia="Arial" w:hAnsi="Arial"/>
                <w:sz w:val="18"/>
                <w:szCs w:val="18"/>
                <w:color w:val="0000EE"/>
              </w:rPr>
            </w:pPr>
            <w:hyperlink w:anchor="page112">
              <w:r>
                <w:rPr>
                  <w:rFonts w:ascii="Arial" w:cs="Arial" w:eastAsia="Arial" w:hAnsi="Arial"/>
                  <w:sz w:val="18"/>
                  <w:szCs w:val="18"/>
                  <w:color w:val="0000EE"/>
                </w:rPr>
                <w:t>10. Short-Term and Long-Term Debt</w:t>
              </w:r>
            </w:hyperlink>
          </w:p>
        </w:tc>
        <w:tc>
          <w:tcPr>
            <w:tcW w:w="1540" w:type="dxa"/>
            <w:vAlign w:val="bottom"/>
            <w:gridSpan w:val="3"/>
            <w:shd w:val="clear" w:color="auto" w:fill="CCEEFF"/>
          </w:tcPr>
          <w:p>
            <w:pPr>
              <w:ind w:left="1280"/>
              <w:spacing w:after="0" w:line="202" w:lineRule="exact"/>
              <w:rPr>
                <w:rFonts w:ascii="Arial" w:cs="Arial" w:eastAsia="Arial" w:hAnsi="Arial"/>
                <w:sz w:val="18"/>
                <w:szCs w:val="18"/>
                <w:color w:val="0000EE"/>
                <w:w w:val="79"/>
              </w:rPr>
            </w:pPr>
            <w:hyperlink w:anchor="page112">
              <w:r>
                <w:rPr>
                  <w:rFonts w:ascii="Arial" w:cs="Arial" w:eastAsia="Arial" w:hAnsi="Arial"/>
                  <w:sz w:val="18"/>
                  <w:szCs w:val="18"/>
                  <w:color w:val="0000EE"/>
                  <w:w w:val="79"/>
                </w:rPr>
                <w:t>110</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000" w:type="dxa"/>
            <w:vAlign w:val="bottom"/>
            <w:tcBorders>
              <w:top w:val="single" w:sz="8" w:color="CCEEFF"/>
            </w:tcBorders>
            <w:gridSpan w:val="31"/>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114">
              <w:r>
                <w:rPr>
                  <w:rFonts w:ascii="Arial" w:cs="Arial" w:eastAsia="Arial" w:hAnsi="Arial"/>
                  <w:sz w:val="18"/>
                  <w:szCs w:val="18"/>
                  <w:color w:val="0000EE"/>
                </w:rPr>
                <w:t>11. Commitments, Guarantees and Contingencies</w:t>
              </w:r>
            </w:hyperlink>
          </w:p>
        </w:tc>
        <w:tc>
          <w:tcPr>
            <w:tcW w:w="1540" w:type="dxa"/>
            <w:vAlign w:val="bottom"/>
            <w:gridSpan w:val="3"/>
          </w:tcPr>
          <w:p>
            <w:pPr>
              <w:ind w:left="1280"/>
              <w:spacing w:after="0" w:line="202"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112</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22">
              <w:r>
                <w:rPr>
                  <w:rFonts w:ascii="Arial" w:cs="Arial" w:eastAsia="Arial" w:hAnsi="Arial"/>
                  <w:sz w:val="18"/>
                  <w:szCs w:val="18"/>
                  <w:color w:val="0000EE"/>
                  <w:w w:val="94"/>
                </w:rPr>
                <w:t>Note</w:t>
              </w:r>
            </w:hyperlink>
          </w:p>
        </w:tc>
        <w:tc>
          <w:tcPr>
            <w:tcW w:w="7000" w:type="dxa"/>
            <w:vAlign w:val="bottom"/>
            <w:gridSpan w:val="31"/>
            <w:vMerge w:val="restart"/>
            <w:shd w:val="clear" w:color="auto" w:fill="CCEEFF"/>
          </w:tcPr>
          <w:p>
            <w:pPr>
              <w:ind w:left="20"/>
              <w:spacing w:after="0"/>
              <w:rPr>
                <w:rFonts w:ascii="Arial" w:cs="Arial" w:eastAsia="Arial" w:hAnsi="Arial"/>
                <w:sz w:val="18"/>
                <w:szCs w:val="18"/>
                <w:color w:val="0000EE"/>
              </w:rPr>
            </w:pPr>
            <w:hyperlink w:anchor="page122">
              <w:r>
                <w:rPr>
                  <w:rFonts w:ascii="Arial" w:cs="Arial" w:eastAsia="Arial" w:hAnsi="Arial"/>
                  <w:sz w:val="18"/>
                  <w:szCs w:val="18"/>
                  <w:color w:val="0000EE"/>
                </w:rPr>
                <w:t>12. Common Stock and Earnings Per Share</w:t>
              </w:r>
            </w:hyperlink>
          </w:p>
        </w:tc>
        <w:tc>
          <w:tcPr>
            <w:tcW w:w="2720" w:type="dxa"/>
            <w:vAlign w:val="bottom"/>
            <w:gridSpan w:val="4"/>
            <w:shd w:val="clear" w:color="auto" w:fill="CCEEFF"/>
          </w:tcPr>
          <w:p>
            <w:pPr>
              <w:ind w:left="128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000" w:type="dxa"/>
            <w:vAlign w:val="bottom"/>
            <w:tcBorders>
              <w:top w:val="single" w:sz="8" w:color="CCEEFF"/>
            </w:tcBorders>
            <w:gridSpan w:val="31"/>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24">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124">
              <w:r>
                <w:rPr>
                  <w:rFonts w:ascii="Arial" w:cs="Arial" w:eastAsia="Arial" w:hAnsi="Arial"/>
                  <w:sz w:val="18"/>
                  <w:szCs w:val="18"/>
                  <w:color w:val="0000EE"/>
                </w:rPr>
                <w:t>13. Income Tax Expense</w:t>
              </w:r>
            </w:hyperlink>
          </w:p>
        </w:tc>
        <w:tc>
          <w:tcPr>
            <w:tcW w:w="2720" w:type="dxa"/>
            <w:vAlign w:val="bottom"/>
            <w:gridSpan w:val="4"/>
          </w:tcPr>
          <w:p>
            <w:pPr>
              <w:ind w:left="128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122</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Note</w:t>
              </w:r>
            </w:hyperlink>
          </w:p>
        </w:tc>
        <w:tc>
          <w:tcPr>
            <w:tcW w:w="7000" w:type="dxa"/>
            <w:vAlign w:val="bottom"/>
            <w:gridSpan w:val="31"/>
            <w:vMerge w:val="restart"/>
            <w:shd w:val="clear" w:color="auto" w:fill="CCEEFF"/>
          </w:tcPr>
          <w:p>
            <w:pPr>
              <w:ind w:left="20"/>
              <w:spacing w:after="0"/>
              <w:rPr>
                <w:rFonts w:ascii="Arial" w:cs="Arial" w:eastAsia="Arial" w:hAnsi="Arial"/>
                <w:sz w:val="18"/>
                <w:szCs w:val="18"/>
                <w:color w:val="0000EE"/>
              </w:rPr>
            </w:pPr>
            <w:hyperlink w:anchor="page126">
              <w:r>
                <w:rPr>
                  <w:rFonts w:ascii="Arial" w:cs="Arial" w:eastAsia="Arial" w:hAnsi="Arial"/>
                  <w:sz w:val="18"/>
                  <w:szCs w:val="18"/>
                  <w:color w:val="0000EE"/>
                </w:rPr>
                <w:t>14. Reclassifications Out of Accumulated Other Comprehensive Income (Loss)</w:t>
              </w:r>
            </w:hyperlink>
          </w:p>
        </w:tc>
        <w:tc>
          <w:tcPr>
            <w:tcW w:w="2720" w:type="dxa"/>
            <w:vAlign w:val="bottom"/>
            <w:gridSpan w:val="4"/>
            <w:shd w:val="clear" w:color="auto" w:fill="CCEEFF"/>
          </w:tcPr>
          <w:p>
            <w:pPr>
              <w:ind w:left="1280"/>
              <w:spacing w:after="0" w:line="202" w:lineRule="exact"/>
              <w:rPr>
                <w:rFonts w:ascii="Arial" w:cs="Arial" w:eastAsia="Arial" w:hAnsi="Arial"/>
                <w:sz w:val="18"/>
                <w:szCs w:val="18"/>
                <w:color w:val="0000EE"/>
              </w:rPr>
            </w:pPr>
            <w:hyperlink w:anchor="page126">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000" w:type="dxa"/>
            <w:vAlign w:val="bottom"/>
            <w:tcBorders>
              <w:top w:val="single" w:sz="8" w:color="CCEEFF"/>
            </w:tcBorders>
            <w:gridSpan w:val="31"/>
            <w:vMerge w:val="continue"/>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Note</w:t>
              </w:r>
            </w:hyperlink>
          </w:p>
        </w:tc>
        <w:tc>
          <w:tcPr>
            <w:tcW w:w="7000" w:type="dxa"/>
            <w:vAlign w:val="bottom"/>
            <w:gridSpan w:val="31"/>
            <w:vMerge w:val="restart"/>
          </w:tcPr>
          <w:p>
            <w:pPr>
              <w:ind w:left="20"/>
              <w:spacing w:after="0"/>
              <w:rPr>
                <w:rFonts w:ascii="Arial" w:cs="Arial" w:eastAsia="Arial" w:hAnsi="Arial"/>
                <w:sz w:val="18"/>
                <w:szCs w:val="18"/>
                <w:color w:val="0000EE"/>
              </w:rPr>
            </w:pPr>
            <w:hyperlink w:anchor="page127">
              <w:r>
                <w:rPr>
                  <w:rFonts w:ascii="Arial" w:cs="Arial" w:eastAsia="Arial" w:hAnsi="Arial"/>
                  <w:sz w:val="18"/>
                  <w:szCs w:val="18"/>
                  <w:color w:val="0000EE"/>
                </w:rPr>
                <w:t>15. Pension and Other Postretirement Benefit Plans</w:t>
              </w:r>
            </w:hyperlink>
          </w:p>
        </w:tc>
        <w:tc>
          <w:tcPr>
            <w:tcW w:w="2720" w:type="dxa"/>
            <w:vAlign w:val="bottom"/>
            <w:gridSpan w:val="4"/>
          </w:tcPr>
          <w:p>
            <w:pPr>
              <w:ind w:left="1280"/>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125</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000" w:type="dxa"/>
            <w:vAlign w:val="bottom"/>
            <w:gridSpan w:val="31"/>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02"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3"/>
            <w:shd w:val="clear" w:color="auto" w:fill="CCEEFF"/>
          </w:tcPr>
          <w:p>
            <w:pPr>
              <w:ind w:left="1320"/>
              <w:spacing w:after="0"/>
              <w:rPr>
                <w:rFonts w:ascii="Arial" w:cs="Arial" w:eastAsia="Arial" w:hAnsi="Arial"/>
                <w:sz w:val="18"/>
                <w:szCs w:val="18"/>
                <w:color w:val="0000EE"/>
              </w:rPr>
            </w:pPr>
            <w:hyperlink w:anchor="page137">
              <w:r>
                <w:rPr>
                  <w:rFonts w:ascii="Arial" w:cs="Arial" w:eastAsia="Arial" w:hAnsi="Arial"/>
                  <w:sz w:val="18"/>
                  <w:szCs w:val="18"/>
                  <w:color w:val="0000EE"/>
                </w:rPr>
                <w:t>Note 16. Employee Stock and Incentive Plans</w:t>
              </w:r>
            </w:hyperlink>
          </w:p>
        </w:tc>
        <w:tc>
          <w:tcPr>
            <w:tcW w:w="4120" w:type="dxa"/>
            <w:vAlign w:val="bottom"/>
            <w:gridSpan w:val="3"/>
            <w:shd w:val="clear" w:color="auto" w:fill="CCEEFF"/>
          </w:tcPr>
          <w:p>
            <w:pPr>
              <w:jc w:val="right"/>
              <w:ind w:right="1180"/>
              <w:spacing w:after="0"/>
              <w:rPr>
                <w:rFonts w:ascii="Arial" w:cs="Arial" w:eastAsia="Arial" w:hAnsi="Arial"/>
                <w:sz w:val="18"/>
                <w:szCs w:val="18"/>
                <w:color w:val="0000EE"/>
              </w:rPr>
            </w:pPr>
            <w:hyperlink w:anchor="page137">
              <w:r>
                <w:rPr>
                  <w:rFonts w:ascii="Arial" w:cs="Arial" w:eastAsia="Arial" w:hAnsi="Arial"/>
                  <w:sz w:val="18"/>
                  <w:szCs w:val="18"/>
                  <w:color w:val="0000EE"/>
                </w:rPr>
                <w:t>135</w:t>
              </w:r>
            </w:hyperlink>
          </w:p>
        </w:tc>
      </w:tr>
      <w:tr>
        <w:trPr>
          <w:trHeight w:val="264"/>
        </w:trPr>
        <w:tc>
          <w:tcPr>
            <w:tcW w:w="1320" w:type="dxa"/>
            <w:vAlign w:val="bottom"/>
            <w:tcBorders>
              <w:top w:val="single" w:sz="8" w:color="CCEEFF"/>
            </w:tcBorders>
            <w:shd w:val="clear" w:color="auto" w:fill="CCEEFF"/>
          </w:tcPr>
          <w:p>
            <w:pPr>
              <w:spacing w:after="0"/>
              <w:rPr>
                <w:sz w:val="22"/>
                <w:szCs w:val="22"/>
                <w:color w:val="auto"/>
              </w:rPr>
            </w:pPr>
          </w:p>
        </w:tc>
        <w:tc>
          <w:tcPr>
            <w:tcW w:w="3300" w:type="dxa"/>
            <w:vAlign w:val="bottom"/>
            <w:tcBorders>
              <w:top w:val="single" w:sz="8" w:color="0000EE"/>
            </w:tcBorders>
            <w:shd w:val="clear" w:color="auto" w:fill="CCEEFF"/>
          </w:tcPr>
          <w:p>
            <w:pPr>
              <w:spacing w:after="0"/>
              <w:rPr>
                <w:sz w:val="22"/>
                <w:szCs w:val="22"/>
                <w:color w:val="auto"/>
              </w:rPr>
            </w:pPr>
          </w:p>
        </w:tc>
        <w:tc>
          <w:tcPr>
            <w:tcW w:w="2680" w:type="dxa"/>
            <w:vAlign w:val="bottom"/>
            <w:tcBorders>
              <w:top w:val="single" w:sz="8" w:color="CCEEFF"/>
            </w:tcBorders>
            <w:shd w:val="clear" w:color="auto" w:fill="CCEEFF"/>
          </w:tcPr>
          <w:p>
            <w:pPr>
              <w:spacing w:after="0"/>
              <w:rPr>
                <w:sz w:val="22"/>
                <w:szCs w:val="22"/>
                <w:color w:val="auto"/>
              </w:rPr>
            </w:pPr>
          </w:p>
        </w:tc>
        <w:tc>
          <w:tcPr>
            <w:tcW w:w="26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r>
    </w:tbl>
    <w:p>
      <w:pPr>
        <w:spacing w:after="0" w:line="13" w:lineRule="exact"/>
        <w:rPr>
          <w:sz w:val="20"/>
          <w:szCs w:val="20"/>
          <w:color w:val="auto"/>
        </w:rPr>
      </w:pPr>
    </w:p>
    <w:p>
      <w:pPr>
        <w:ind w:left="998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138</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Note 17. Business Segments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99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141</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Note 18. Quarterly Financial Data (Unaudited)</w:t>
        </w:r>
      </w:hyperlink>
    </w:p>
    <w:p>
      <w:pPr>
        <w:spacing w:after="0" w:line="49" w:lineRule="exact"/>
        <w:rPr>
          <w:sz w:val="20"/>
          <w:szCs w:val="20"/>
          <w:color w:val="auto"/>
        </w:rPr>
      </w:pPr>
    </w:p>
    <w:p>
      <w:pPr>
        <w:ind w:left="998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142</w:t>
        </w:r>
      </w:hyperlink>
    </w:p>
    <w:p>
      <w:pPr>
        <w:spacing w:after="0" w:line="23" w:lineRule="exact"/>
        <w:rPr>
          <w:sz w:val="20"/>
          <w:szCs w:val="20"/>
          <w:color w:val="auto"/>
        </w:rPr>
      </w:pPr>
    </w:p>
    <w:p>
      <w:pPr>
        <w:ind w:left="4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Schedule II</w:t>
        </w:r>
      </w:hyperlink>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ArcelorMittal</w:t>
            </w:r>
          </w:p>
        </w:tc>
        <w:tc>
          <w:tcPr>
            <w:tcW w:w="8180" w:type="dxa"/>
            <w:vAlign w:val="bottom"/>
            <w:gridSpan w:val="2"/>
          </w:tcPr>
          <w:p>
            <w:pPr>
              <w:spacing w:after="0"/>
              <w:rPr>
                <w:sz w:val="20"/>
                <w:szCs w:val="20"/>
                <w:color w:val="auto"/>
              </w:rPr>
            </w:pPr>
            <w:r>
              <w:rPr>
                <w:rFonts w:ascii="Arial" w:cs="Arial" w:eastAsia="Arial" w:hAnsi="Arial"/>
                <w:sz w:val="18"/>
                <w:szCs w:val="18"/>
                <w:color w:val="auto"/>
              </w:rPr>
              <w:t>ArcelorMittal USA,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Accounting Standards Codification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CIP</w:t>
            </w:r>
          </w:p>
        </w:tc>
        <w:tc>
          <w:tcPr>
            <w:tcW w:w="8180" w:type="dxa"/>
            <w:vAlign w:val="bottom"/>
            <w:gridSpan w:val="2"/>
          </w:tcPr>
          <w:p>
            <w:pPr>
              <w:spacing w:after="0"/>
              <w:rPr>
                <w:sz w:val="20"/>
                <w:szCs w:val="20"/>
                <w:color w:val="auto"/>
              </w:rPr>
            </w:pPr>
            <w:r>
              <w:rPr>
                <w:rFonts w:ascii="Arial" w:cs="Arial" w:eastAsia="Arial" w:hAnsi="Arial"/>
                <w:sz w:val="18"/>
                <w:szCs w:val="18"/>
                <w:color w:val="auto"/>
              </w:rPr>
              <w:t>Conservation Improvement Program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18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EITE</w:t>
            </w:r>
          </w:p>
        </w:tc>
        <w:tc>
          <w:tcPr>
            <w:tcW w:w="8180" w:type="dxa"/>
            <w:vAlign w:val="bottom"/>
            <w:gridSpan w:val="2"/>
          </w:tcPr>
          <w:p>
            <w:pPr>
              <w:spacing w:after="0"/>
              <w:rPr>
                <w:sz w:val="20"/>
                <w:szCs w:val="20"/>
                <w:color w:val="auto"/>
              </w:rPr>
            </w:pPr>
            <w:r>
              <w:rPr>
                <w:rFonts w:ascii="Arial" w:cs="Arial" w:eastAsia="Arial" w:hAnsi="Arial"/>
                <w:sz w:val="18"/>
                <w:szCs w:val="18"/>
                <w:color w:val="auto"/>
              </w:rPr>
              <w:t>Energy-Intensive Trade-Exposed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gridSpan w:val="2"/>
          </w:tcPr>
          <w:p>
            <w:pPr>
              <w:spacing w:after="0"/>
              <w:rPr>
                <w:sz w:val="20"/>
                <w:szCs w:val="20"/>
                <w:color w:val="auto"/>
              </w:rPr>
            </w:pPr>
            <w:r>
              <w:rPr>
                <w:rFonts w:ascii="Arial" w:cs="Arial" w:eastAsia="Arial" w:hAnsi="Arial"/>
                <w:sz w:val="18"/>
                <w:szCs w:val="18"/>
                <w:color w:val="auto"/>
              </w:rPr>
              <w:t>ERP Iron Ore,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8-K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Current Report on Form 8-K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18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Item ___ of this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LIBOR</w:t>
            </w:r>
          </w:p>
        </w:tc>
        <w:tc>
          <w:tcPr>
            <w:tcW w:w="8180" w:type="dxa"/>
            <w:vAlign w:val="bottom"/>
            <w:gridSpan w:val="2"/>
          </w:tcPr>
          <w:p>
            <w:pPr>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MBtu</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Million British thermal units</w:t>
            </w:r>
          </w:p>
        </w:tc>
      </w:tr>
      <w:tr>
        <w:trPr>
          <w:trHeight w:val="445"/>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920"/>
              <w:spacing w:after="0"/>
              <w:rPr>
                <w:sz w:val="20"/>
                <w:szCs w:val="20"/>
                <w:color w:val="auto"/>
              </w:rPr>
            </w:pPr>
            <w:r>
              <w:rPr>
                <w:rFonts w:ascii="Arial" w:cs="Arial" w:eastAsia="Arial" w:hAnsi="Arial"/>
                <w:sz w:val="18"/>
                <w:szCs w:val="18"/>
                <w:color w:val="auto"/>
              </w:rPr>
              <w:t>ALLETE, Inc. 2017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ind w:left="24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702"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780" w:type="dxa"/>
            <w:vAlign w:val="bottom"/>
          </w:tcPr>
          <w:p>
            <w:pPr>
              <w:jc w:val="center"/>
              <w:ind w:right="3530"/>
              <w:spacing w:after="0"/>
              <w:rPr>
                <w:sz w:val="20"/>
                <w:szCs w:val="20"/>
                <w:color w:val="auto"/>
              </w:rPr>
            </w:pPr>
            <w:r>
              <w:rPr>
                <w:rFonts w:ascii="Arial" w:cs="Arial" w:eastAsia="Arial" w:hAnsi="Arial"/>
                <w:sz w:val="18"/>
                <w:szCs w:val="18"/>
                <w:b w:val="1"/>
                <w:bCs w:val="1"/>
                <w:color w:val="auto"/>
                <w:w w:val="89"/>
              </w:rPr>
              <w:t>Definitions (continued)</w:t>
            </w:r>
          </w:p>
        </w:tc>
      </w:tr>
      <w:tr>
        <w:trPr>
          <w:trHeight w:val="419"/>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Metallics Company,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MISO</w:t>
            </w:r>
          </w:p>
        </w:tc>
        <w:tc>
          <w:tcPr>
            <w:tcW w:w="8180" w:type="dxa"/>
            <w:vAlign w:val="bottom"/>
            <w:gridSpan w:val="2"/>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Moody’s</w:t>
            </w:r>
          </w:p>
        </w:tc>
        <w:tc>
          <w:tcPr>
            <w:tcW w:w="818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MPUC</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NOL</w:t>
            </w:r>
          </w:p>
        </w:tc>
        <w:tc>
          <w:tcPr>
            <w:tcW w:w="818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NYSE</w:t>
            </w:r>
          </w:p>
        </w:tc>
        <w:tc>
          <w:tcPr>
            <w:tcW w:w="8180" w:type="dxa"/>
            <w:vAlign w:val="bottom"/>
            <w:gridSpan w:val="2"/>
          </w:tcPr>
          <w:p>
            <w:pPr>
              <w:spacing w:after="0"/>
              <w:rPr>
                <w:sz w:val="20"/>
                <w:szCs w:val="20"/>
                <w:color w:val="auto"/>
              </w:rPr>
            </w:pPr>
            <w:r>
              <w:rPr>
                <w:rFonts w:ascii="Arial" w:cs="Arial" w:eastAsia="Arial" w:hAnsi="Arial"/>
                <w:sz w:val="18"/>
                <w:szCs w:val="18"/>
                <w:color w:val="auto"/>
              </w:rPr>
              <w:t>New York Stock Exchange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RSOP</w:t>
            </w:r>
          </w:p>
        </w:tc>
        <w:tc>
          <w:tcPr>
            <w:tcW w:w="8180" w:type="dxa"/>
            <w:vAlign w:val="bottom"/>
            <w:gridSpan w:val="2"/>
          </w:tcPr>
          <w:p>
            <w:pPr>
              <w:spacing w:after="0"/>
              <w:rPr>
                <w:sz w:val="20"/>
                <w:szCs w:val="20"/>
                <w:color w:val="auto"/>
              </w:rPr>
            </w:pPr>
            <w:r>
              <w:rPr>
                <w:rFonts w:ascii="Arial" w:cs="Arial" w:eastAsia="Arial" w:hAnsi="Arial"/>
                <w:sz w:val="18"/>
                <w:szCs w:val="18"/>
                <w:color w:val="auto"/>
              </w:rPr>
              <w:t>Retirement Savings and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Shell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Shell Energy North America (US), L.P.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Standard &amp; Poor’s</w:t>
            </w:r>
          </w:p>
        </w:tc>
        <w:tc>
          <w:tcPr>
            <w:tcW w:w="8180" w:type="dxa"/>
            <w:vAlign w:val="bottom"/>
            <w:gridSpan w:val="2"/>
          </w:tcPr>
          <w:p>
            <w:pPr>
              <w:spacing w:after="0"/>
              <w:rPr>
                <w:sz w:val="20"/>
                <w:szCs w:val="20"/>
                <w:color w:val="auto"/>
              </w:rPr>
            </w:pPr>
            <w:r>
              <w:rPr>
                <w:rFonts w:ascii="Arial" w:cs="Arial" w:eastAsia="Arial" w:hAnsi="Arial"/>
                <w:sz w:val="18"/>
                <w:szCs w:val="18"/>
                <w:color w:val="auto"/>
              </w:rPr>
              <w:t>S&amp;P Global Ratings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Ridge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Ridge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gridSpan w:val="2"/>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Thomson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TCJA</w:t>
            </w:r>
          </w:p>
        </w:tc>
        <w:tc>
          <w:tcPr>
            <w:tcW w:w="8180" w:type="dxa"/>
            <w:vAlign w:val="bottom"/>
            <w:gridSpan w:val="2"/>
          </w:tcPr>
          <w:p>
            <w:pPr>
              <w:spacing w:after="0"/>
              <w:rPr>
                <w:sz w:val="20"/>
                <w:szCs w:val="20"/>
                <w:color w:val="auto"/>
              </w:rPr>
            </w:pPr>
            <w:r>
              <w:rPr>
                <w:rFonts w:ascii="Arial" w:cs="Arial" w:eastAsia="Arial" w:hAnsi="Arial"/>
                <w:sz w:val="18"/>
                <w:szCs w:val="18"/>
                <w:color w:val="auto"/>
              </w:rPr>
              <w:t>Tax Cuts and Jobs Act of 2017 (Public Law 115-97)</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Tonka Water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Tonka Equipment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TransAlta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TransAlta Energy Marketing (U.S.)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United Taconite</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UPM Blandin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r>
        <w:trPr>
          <w:trHeight w:val="445"/>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jc w:val="center"/>
              <w:ind w:right="3550"/>
              <w:spacing w:after="0"/>
              <w:rPr>
                <w:sz w:val="20"/>
                <w:szCs w:val="20"/>
                <w:color w:val="auto"/>
              </w:rPr>
            </w:pPr>
            <w:r>
              <w:rPr>
                <w:rFonts w:ascii="Arial" w:cs="Arial" w:eastAsia="Arial" w:hAnsi="Arial"/>
                <w:sz w:val="18"/>
                <w:szCs w:val="18"/>
                <w:color w:val="auto"/>
                <w:w w:val="95"/>
              </w:rPr>
              <w:t>ALLETE, Inc. 2017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jc w:val="center"/>
              <w:ind w:right="315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70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acts of terrorism and cyberattacks;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2"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Forward 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0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2017, unless otherwise indicated. All subsidiaries are wholly-owned unless otherwise specifically indicated. References in this report to “we,” “us” and “our” are to ALLETE and its subsidiaries, collectively.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6"/>
                <w:szCs w:val="16"/>
                <w:i w:val="1"/>
                <w:iCs w:val="1"/>
                <w:color w:val="auto"/>
              </w:rPr>
              <w:t>(a)</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532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Consolidated Operating Revenue – Millions</w:t>
            </w:r>
          </w:p>
        </w:tc>
        <w:tc>
          <w:tcPr>
            <w:tcW w:w="3080" w:type="dxa"/>
            <w:vAlign w:val="bottom"/>
          </w:tcPr>
          <w:p>
            <w:pPr>
              <w:jc w:val="right"/>
              <w:ind w:right="490"/>
              <w:spacing w:after="0"/>
              <w:rPr>
                <w:sz w:val="20"/>
                <w:szCs w:val="20"/>
                <w:color w:val="auto"/>
              </w:rPr>
            </w:pPr>
            <w:r>
              <w:rPr>
                <w:rFonts w:ascii="Arial" w:cs="Arial" w:eastAsia="Arial" w:hAnsi="Arial"/>
                <w:sz w:val="18"/>
                <w:szCs w:val="18"/>
                <w:color w:val="auto"/>
              </w:rPr>
              <w:t>$1,419.3</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$1,339.7</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$1,486.4</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532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Percentage of Consolidated Operating Revenue</w:t>
            </w:r>
          </w:p>
        </w:tc>
        <w:tc>
          <w:tcPr>
            <w:tcW w:w="30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ALLETE Clean Energy</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Water Services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
        </w:trPr>
        <w:tc>
          <w:tcPr>
            <w:tcW w:w="532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5"/>
          <w:szCs w:val="15"/>
          <w:i w:val="1"/>
          <w:iCs w:val="1"/>
          <w:color w:val="auto"/>
        </w:rPr>
        <w:t>Includes the construction and sale of a wind energy facility by ALLETE Clean Energy to Montana-Dakota Utilities for $197.7 million in 2015.</w:t>
      </w:r>
    </w:p>
    <w:p>
      <w:pPr>
        <w:spacing w:after="0" w:line="1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17. Business Segments.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REGULATED OPERATIONS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b w:val="1"/>
                <w:bCs w:val="1"/>
                <w:color w:val="auto"/>
              </w:rPr>
              <w:t>Electric Sales / Customers</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Regulated Utility Kilowatt-hours Sold</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Municipal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1,096</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1,102</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1,113</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8</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1,420</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1,442</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1,462</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7,327</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6,456</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6,635</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46</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799</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816</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833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r>
      <w:tr>
        <w:trPr>
          <w:trHeight w:val="237"/>
        </w:trPr>
        <w:tc>
          <w:tcPr>
            <w:tcW w:w="4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Retail and Municipal</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10,642</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72</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9,816</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69</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10,043</w:t>
            </w: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70</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Power Suppliers</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4,039</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4,316</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4,310</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Regulated Utility Kilowatt-hours Sold</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14,681</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14,132</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14,353</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2017, industrial customers represented 50 percent of total regulated utility kWh sales. Our industrial customers are primarily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taconite mining, iron concentrate, paper, pulp and secondary wood products, and pipeline industries.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Kilowatt-hours Sold</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Taconite/Iron Concentrate</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4,930</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67</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3,906</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61</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4,000</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Paper, Pulp and Secondary Wood Products</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1,104</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15</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1,303</w:t>
            </w: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1,456</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22</w:t>
            </w: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Pipelines and Other Industrial</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1,293</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1,247</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1,179</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r>
      <w:tr>
        <w:trPr>
          <w:trHeight w:val="237"/>
        </w:trPr>
        <w:tc>
          <w:tcPr>
            <w:tcW w:w="4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Industrial Customer Kilowatt-hours Sold</w:t>
            </w:r>
          </w:p>
        </w:tc>
        <w:tc>
          <w:tcPr>
            <w:tcW w:w="1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7,327</w:t>
            </w: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6,456</w:t>
            </w: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6,635</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Six taconite facilities served by Minnesota Power made up approximately 70 percent of 2016 iron ore pellet production in the U.S. according to data from the Minnesota Department of Revenue 2017 Mining Tax Guide. Sales to taconite customers and iron concentrate customers represented 4,930 million kWh, or 67 percent, of total industrial customer kWh sales in 2017.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 Iron concentrate reclamation facilities also use large quantities of electricity to extract and process iron-bearing tailings left from previous mining operations to produce iron ore concentrate.</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has been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ERP Iron Ore and are currently idled. (See Item 7. Management’s Discussion and Analysis – Outlook – Industrial Customers and Prospective Additional Load.)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74 percent of capacity in 2017 (71 percent in 2016 and in 2015). The World Steel Association, an association of over 160 steel producers, national and regional steel industry associations, and steel research institutes representing approximately 85 percent of world steel production, projected U.S. steel consumption in 2018 will increase by approximately 1 percent compared to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152400</wp:posOffset>
            </wp:positionV>
            <wp:extent cx="4888230" cy="2418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8230" cy="2418080"/>
                    </a:xfrm>
                    <a:prstGeom prst="rect">
                      <a:avLst/>
                    </a:prstGeom>
                    <a:noFill/>
                  </pic:spPr>
                </pic:pic>
              </a:graphicData>
            </a:graphic>
          </wp:anchor>
        </w:drawing>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592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91"/>
        </w:trPr>
        <w:tc>
          <w:tcPr>
            <w:tcW w:w="1760" w:type="dxa"/>
            <w:vAlign w:val="bottom"/>
          </w:tcPr>
          <w:p>
            <w:pPr>
              <w:ind w:left="112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9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Tons (Millions)</w:t>
            </w:r>
          </w:p>
        </w:tc>
      </w:tr>
      <w:tr>
        <w:trPr>
          <w:trHeight w:val="27"/>
        </w:trPr>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2017</w:t>
            </w:r>
            <w:r>
              <w:rPr>
                <w:rFonts w:ascii="Arial" w:cs="Arial" w:eastAsia="Arial" w:hAnsi="Arial"/>
                <w:sz w:val="16"/>
                <w:szCs w:val="16"/>
                <w:color w:val="auto"/>
              </w:rPr>
              <w:t>*</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37</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2016</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28</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2015</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31</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2014</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2013</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37</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2012</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2011</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2010</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35</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2009</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17</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2008</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39</w:t>
            </w:r>
          </w:p>
        </w:tc>
      </w:tr>
    </w:tbl>
    <w:p>
      <w:pPr>
        <w:spacing w:after="0" w:line="58"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Source: Minnesota Department of Revenue 2017 Mining Tax Guide for years 2008 - 2016.</w:t>
      </w:r>
    </w:p>
    <w:p>
      <w:pPr>
        <w:spacing w:after="0" w:line="73"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serving the taconite industry, Minnesota Power serves a number of customers in the paper, pulp and secondary wood products industry, which represented 1,104 million kWh, or 15 percent, of total industrial customer kWh sales in 2017. Minnesota Power also has agreements to provide steam for two of its paper and pulp customers for use in the customers’ operations. The four major paper and pulp mills we serve reported operating at, or near, full capacity in 2017; however, the smaller of UPM Blandin’s two paper machines was closed in the fourth quarter of 2017. (See Item 7. Management’s Discussion and Analysis – Outlook – Industrial Customers and Prospective Additional Load.)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nine Large Power Customer contracts, each serving requirements of 10 MW or more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load. The customers consist of six taconite facilities, two iron concentrate reclamation facilities and four paper and pulp mills. Certain facilities have common ownership and are served under combined contracts.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contracts with Large Power Customers continue past the contract termination date unless the required advance notice of cancellation has been given. The required advance notice of cancellation varies from two to four years. Such contracts minimize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19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Minnesota Power, as permitted by the MPUC, requires its taconite-producing Large Power Customers to pay weekly for electric usage based on monthly energy usage estimates. These customers receive estimated bills based on Minnesota Power’s estimate of the customer’s energy usage, forecasted energy prices and fuel adjustment clause estimates. Minnesota Power’s taconite</w:t>
      </w:r>
      <w:r>
        <w:rPr>
          <w:rFonts w:ascii="MS PGothic" w:cs="MS PGothic" w:eastAsia="MS PGothic" w:hAnsi="MS PGothic"/>
          <w:sz w:val="18"/>
          <w:szCs w:val="18"/>
          <w:color w:val="auto"/>
        </w:rPr>
        <w:t>‑</w:t>
      </w:r>
      <w:r>
        <w:rPr>
          <w:rFonts w:ascii="Arial" w:cs="Arial" w:eastAsia="Arial" w:hAnsi="Arial"/>
          <w:sz w:val="18"/>
          <w:szCs w:val="18"/>
          <w:color w:val="auto"/>
        </w:rPr>
        <w:t>producing Large Power Customers have generally predictable energy usage on a week-to-week basis and any differences that occur are trued-up the following month.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60" w:type="dxa"/>
            <w:vAlign w:val="bottom"/>
          </w:tcPr>
          <w:p>
            <w:pPr>
              <w:jc w:val="right"/>
              <w:ind w:right="57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Customer</w:t>
            </w:r>
          </w:p>
        </w:tc>
        <w:tc>
          <w:tcPr>
            <w:tcW w:w="1460" w:type="dxa"/>
            <w:vAlign w:val="bottom"/>
          </w:tcPr>
          <w:p>
            <w:pPr>
              <w:ind w:left="280"/>
              <w:spacing w:after="0"/>
              <w:rPr>
                <w:sz w:val="20"/>
                <w:szCs w:val="20"/>
                <w:color w:val="auto"/>
              </w:rPr>
            </w:pPr>
            <w:r>
              <w:rPr>
                <w:rFonts w:ascii="Arial" w:cs="Arial" w:eastAsia="Arial" w:hAnsi="Arial"/>
                <w:sz w:val="18"/>
                <w:szCs w:val="18"/>
                <w:b w:val="1"/>
                <w:bCs w:val="1"/>
                <w:color w:val="auto"/>
              </w:rPr>
              <w:t>Industry</w:t>
            </w:r>
          </w:p>
        </w:tc>
        <w:tc>
          <w:tcPr>
            <w:tcW w:w="206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120" w:type="dxa"/>
            <w:vAlign w:val="bottom"/>
          </w:tcPr>
          <w:p>
            <w:pPr>
              <w:ind w:left="60"/>
              <w:spacing w:after="0"/>
              <w:rPr>
                <w:sz w:val="20"/>
                <w:szCs w:val="20"/>
                <w:color w:val="auto"/>
              </w:rPr>
            </w:pPr>
            <w:r>
              <w:rPr>
                <w:rFonts w:ascii="Arial" w:cs="Arial" w:eastAsia="Arial" w:hAnsi="Arial"/>
                <w:sz w:val="18"/>
                <w:szCs w:val="18"/>
                <w:b w:val="1"/>
                <w:bCs w:val="1"/>
                <w:color w:val="auto"/>
              </w:rPr>
              <w:t>Ownership</w:t>
            </w:r>
          </w:p>
        </w:tc>
        <w:tc>
          <w:tcPr>
            <w:tcW w:w="2160" w:type="dxa"/>
            <w:vAlign w:val="bottom"/>
          </w:tcPr>
          <w:p>
            <w:pPr>
              <w:jc w:val="right"/>
              <w:ind w:right="190"/>
              <w:spacing w:after="0"/>
              <w:rPr>
                <w:sz w:val="20"/>
                <w:szCs w:val="20"/>
                <w:color w:val="auto"/>
              </w:rPr>
            </w:pPr>
            <w:r>
              <w:rPr>
                <w:rFonts w:ascii="Arial" w:cs="Arial" w:eastAsia="Arial" w:hAnsi="Arial"/>
                <w:sz w:val="18"/>
                <w:szCs w:val="18"/>
                <w:b w:val="1"/>
                <w:bCs w:val="1"/>
                <w:color w:val="auto"/>
              </w:rPr>
              <w:t>Termination Date</w:t>
            </w:r>
          </w:p>
        </w:tc>
      </w:tr>
      <w:tr>
        <w:trPr>
          <w:trHeight w:val="27"/>
        </w:trPr>
        <w:tc>
          <w:tcPr>
            <w:tcW w:w="2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ArcelorMittal – Minorca Mine</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ArcelorMittal S.A.</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2025</w:t>
            </w: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6"/>
                <w:szCs w:val="16"/>
                <w:i w:val="1"/>
                <w:iCs w:val="1"/>
                <w:color w:val="auto"/>
              </w:rPr>
              <w:t>(a)</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3120" w:type="dxa"/>
            <w:vAlign w:val="bottom"/>
          </w:tcPr>
          <w:p>
            <w:pPr>
              <w:ind w:left="60"/>
              <w:spacing w:after="0"/>
              <w:rPr>
                <w:sz w:val="20"/>
                <w:szCs w:val="20"/>
                <w:color w:val="auto"/>
              </w:rPr>
            </w:pPr>
            <w:r>
              <w:rPr>
                <w:rFonts w:ascii="Arial" w:cs="Arial" w:eastAsia="Arial" w:hAnsi="Arial"/>
                <w:sz w:val="18"/>
                <w:szCs w:val="18"/>
                <w:color w:val="auto"/>
              </w:rPr>
              <w:t>62.3% ArcelorMittal S.A.</w:t>
            </w:r>
          </w:p>
        </w:tc>
        <w:tc>
          <w:tcPr>
            <w:tcW w:w="2160" w:type="dxa"/>
            <w:vAlign w:val="bottom"/>
          </w:tcPr>
          <w:p>
            <w:pPr>
              <w:jc w:val="right"/>
              <w:spacing w:after="0"/>
              <w:rPr>
                <w:sz w:val="20"/>
                <w:szCs w:val="20"/>
                <w:color w:val="auto"/>
              </w:rPr>
            </w:pPr>
            <w:r>
              <w:rPr>
                <w:rFonts w:ascii="Arial" w:cs="Arial" w:eastAsia="Arial" w:hAnsi="Arial"/>
                <w:sz w:val="18"/>
                <w:szCs w:val="18"/>
                <w:color w:val="auto"/>
              </w:rPr>
              <w:t>February 28, 2022</w:t>
            </w:r>
          </w:p>
        </w:tc>
      </w:t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rPr>
              <w:t>23.0% Cliffs</w:t>
            </w:r>
          </w:p>
        </w:tc>
        <w:tc>
          <w:tcPr>
            <w:tcW w:w="216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rPr>
              <w:t>14.7% USS Corporation</w:t>
            </w:r>
          </w:p>
        </w:tc>
        <w:tc>
          <w:tcPr>
            <w:tcW w:w="216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Taconite and Northshore</w:t>
            </w:r>
          </w:p>
        </w:tc>
        <w:tc>
          <w:tcPr>
            <w:tcW w:w="1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Eveleth, MN and Babbitt,</w:t>
            </w:r>
          </w:p>
        </w:tc>
        <w:tc>
          <w:tcPr>
            <w:tcW w:w="3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Cliffs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2026</w:t>
            </w: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146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3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60" w:type="dxa"/>
            <w:vAlign w:val="bottom"/>
          </w:tcPr>
          <w:p>
            <w:pPr>
              <w:ind w:left="80"/>
              <w:spacing w:after="0"/>
              <w:rPr>
                <w:sz w:val="20"/>
                <w:szCs w:val="20"/>
                <w:color w:val="auto"/>
              </w:rPr>
            </w:pPr>
            <w:r>
              <w:rPr>
                <w:rFonts w:ascii="Arial" w:cs="Arial" w:eastAsia="Arial" w:hAnsi="Arial"/>
                <w:sz w:val="18"/>
                <w:szCs w:val="18"/>
                <w:color w:val="auto"/>
              </w:rPr>
              <w:t>Mt. Iron, MN and</w:t>
            </w:r>
          </w:p>
        </w:tc>
        <w:tc>
          <w:tcPr>
            <w:tcW w:w="3120" w:type="dxa"/>
            <w:vAlign w:val="bottom"/>
          </w:tcPr>
          <w:p>
            <w:pPr>
              <w:ind w:left="60"/>
              <w:spacing w:after="0"/>
              <w:rPr>
                <w:sz w:val="20"/>
                <w:szCs w:val="20"/>
                <w:color w:val="auto"/>
              </w:rPr>
            </w:pPr>
            <w:r>
              <w:rPr>
                <w:rFonts w:ascii="Arial" w:cs="Arial" w:eastAsia="Arial" w:hAnsi="Arial"/>
                <w:sz w:val="18"/>
                <w:szCs w:val="18"/>
                <w:color w:val="auto"/>
              </w:rPr>
              <w:t>USS Corporation</w:t>
            </w:r>
          </w:p>
        </w:tc>
        <w:tc>
          <w:tcPr>
            <w:tcW w:w="2160" w:type="dxa"/>
            <w:vAlign w:val="bottom"/>
          </w:tcPr>
          <w:p>
            <w:pPr>
              <w:jc w:val="right"/>
              <w:spacing w:after="0"/>
              <w:rPr>
                <w:sz w:val="20"/>
                <w:szCs w:val="20"/>
                <w:color w:val="auto"/>
              </w:rPr>
            </w:pPr>
            <w:r>
              <w:rPr>
                <w:rFonts w:ascii="Arial" w:cs="Arial" w:eastAsia="Arial" w:hAnsi="Arial"/>
                <w:sz w:val="18"/>
                <w:szCs w:val="18"/>
                <w:color w:val="auto"/>
              </w:rPr>
              <w:t>February 28, 2022</w:t>
            </w:r>
          </w:p>
        </w:tc>
      </w:t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6"/>
                <w:szCs w:val="16"/>
                <w:i w:val="1"/>
                <w:iCs w:val="1"/>
                <w:color w:val="auto"/>
              </w:rPr>
              <w:t>(a)(b)</w:t>
            </w:r>
          </w:p>
        </w:tc>
        <w:tc>
          <w:tcPr>
            <w:tcW w:w="1460" w:type="dxa"/>
            <w:vAlign w:val="bottom"/>
          </w:tcPr>
          <w:p>
            <w:pPr>
              <w:spacing w:after="0"/>
              <w:rPr>
                <w:sz w:val="20"/>
                <w:szCs w:val="20"/>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Keewatin, MN</w:t>
            </w:r>
          </w:p>
        </w:tc>
        <w:tc>
          <w:tcPr>
            <w:tcW w:w="3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Magnetation </w:t>
            </w:r>
            <w:r>
              <w:rPr>
                <w:rFonts w:ascii="Arial" w:cs="Arial" w:eastAsia="Arial" w:hAnsi="Arial"/>
                <w:sz w:val="16"/>
                <w:szCs w:val="16"/>
                <w:i w:val="1"/>
                <w:iCs w:val="1"/>
                <w:color w:val="auto"/>
              </w:rPr>
              <w:t>(c)</w:t>
            </w:r>
          </w:p>
        </w:tc>
        <w:tc>
          <w:tcPr>
            <w:tcW w:w="1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Iron</w:t>
            </w:r>
          </w:p>
        </w:tc>
        <w:tc>
          <w:tcPr>
            <w:tcW w:w="2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Coleraine, MN and Bovey,</w:t>
            </w:r>
          </w:p>
        </w:tc>
        <w:tc>
          <w:tcPr>
            <w:tcW w:w="3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ERP Iron Ore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2025</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Concentrate</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3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Boise, Inc.</w:t>
            </w:r>
          </w:p>
        </w:tc>
        <w:tc>
          <w:tcPr>
            <w:tcW w:w="1460" w:type="dxa"/>
            <w:vAlign w:val="bottom"/>
          </w:tcPr>
          <w:p>
            <w:pPr>
              <w:ind w:left="280"/>
              <w:spacing w:after="0"/>
              <w:rPr>
                <w:sz w:val="20"/>
                <w:szCs w:val="20"/>
                <w:color w:val="auto"/>
              </w:rPr>
            </w:pPr>
            <w:r>
              <w:rPr>
                <w:rFonts w:ascii="Arial" w:cs="Arial" w:eastAsia="Arial" w:hAnsi="Arial"/>
                <w:sz w:val="18"/>
                <w:szCs w:val="18"/>
                <w:color w:val="auto"/>
              </w:rPr>
              <w:t>Paper</w:t>
            </w:r>
          </w:p>
        </w:tc>
        <w:tc>
          <w:tcPr>
            <w:tcW w:w="2060" w:type="dxa"/>
            <w:vAlign w:val="bottom"/>
          </w:tcPr>
          <w:p>
            <w:pPr>
              <w:ind w:left="80"/>
              <w:spacing w:after="0"/>
              <w:rPr>
                <w:sz w:val="20"/>
                <w:szCs w:val="20"/>
                <w:color w:val="auto"/>
              </w:rPr>
            </w:pPr>
            <w:r>
              <w:rPr>
                <w:rFonts w:ascii="Arial" w:cs="Arial" w:eastAsia="Arial" w:hAnsi="Arial"/>
                <w:sz w:val="18"/>
                <w:szCs w:val="18"/>
                <w:color w:val="auto"/>
              </w:rPr>
              <w:t>International Falls, MN</w:t>
            </w:r>
          </w:p>
        </w:tc>
        <w:tc>
          <w:tcPr>
            <w:tcW w:w="3120" w:type="dxa"/>
            <w:vAlign w:val="bottom"/>
          </w:tcPr>
          <w:p>
            <w:pPr>
              <w:ind w:left="60"/>
              <w:spacing w:after="0"/>
              <w:rPr>
                <w:sz w:val="20"/>
                <w:szCs w:val="20"/>
                <w:color w:val="auto"/>
              </w:rPr>
            </w:pPr>
            <w:r>
              <w:rPr>
                <w:rFonts w:ascii="Arial" w:cs="Arial" w:eastAsia="Arial" w:hAnsi="Arial"/>
                <w:sz w:val="18"/>
                <w:szCs w:val="18"/>
                <w:color w:val="auto"/>
              </w:rPr>
              <w:t>Packaging Corporation of America</w:t>
            </w:r>
          </w:p>
        </w:tc>
        <w:tc>
          <w:tcPr>
            <w:tcW w:w="2160" w:type="dxa"/>
            <w:vAlign w:val="bottom"/>
          </w:tcPr>
          <w:p>
            <w:pPr>
              <w:jc w:val="right"/>
              <w:spacing w:after="0"/>
              <w:rPr>
                <w:sz w:val="20"/>
                <w:szCs w:val="20"/>
                <w:color w:val="auto"/>
              </w:rPr>
            </w:pPr>
            <w:r>
              <w:rPr>
                <w:rFonts w:ascii="Arial" w:cs="Arial" w:eastAsia="Arial" w:hAnsi="Arial"/>
                <w:sz w:val="18"/>
                <w:szCs w:val="18"/>
                <w:color w:val="auto"/>
              </w:rPr>
              <w:t>December 31, 2023</w:t>
            </w: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UPM Blandin </w:t>
            </w:r>
            <w:r>
              <w:rPr>
                <w:rFonts w:ascii="Arial" w:cs="Arial" w:eastAsia="Arial" w:hAnsi="Arial"/>
                <w:sz w:val="16"/>
                <w:szCs w:val="16"/>
                <w:i w:val="1"/>
                <w:iCs w:val="1"/>
                <w:color w:val="auto"/>
              </w:rPr>
              <w:t>(a)(d)</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Paper</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Grand Rapids, MN</w:t>
            </w:r>
          </w:p>
        </w:tc>
        <w:tc>
          <w:tcPr>
            <w:tcW w:w="3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UPM-Kymmene Corporation</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28, 2022</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NewPage Corporation</w:t>
            </w:r>
          </w:p>
        </w:tc>
        <w:tc>
          <w:tcPr>
            <w:tcW w:w="1460" w:type="dxa"/>
            <w:vAlign w:val="bottom"/>
          </w:tcPr>
          <w:p>
            <w:pPr>
              <w:ind w:left="280"/>
              <w:spacing w:after="0"/>
              <w:rPr>
                <w:sz w:val="20"/>
                <w:szCs w:val="20"/>
                <w:color w:val="auto"/>
              </w:rPr>
            </w:pPr>
            <w:r>
              <w:rPr>
                <w:rFonts w:ascii="Arial" w:cs="Arial" w:eastAsia="Arial" w:hAnsi="Arial"/>
                <w:sz w:val="18"/>
                <w:szCs w:val="18"/>
                <w:color w:val="auto"/>
                <w:w w:val="93"/>
              </w:rPr>
              <w:t>Paper and Pulp</w:t>
            </w:r>
          </w:p>
        </w:tc>
        <w:tc>
          <w:tcPr>
            <w:tcW w:w="2060" w:type="dxa"/>
            <w:vAlign w:val="bottom"/>
          </w:tcPr>
          <w:p>
            <w:pPr>
              <w:ind w:left="80"/>
              <w:spacing w:after="0"/>
              <w:rPr>
                <w:sz w:val="20"/>
                <w:szCs w:val="20"/>
                <w:color w:val="auto"/>
              </w:rPr>
            </w:pPr>
            <w:r>
              <w:rPr>
                <w:rFonts w:ascii="Arial" w:cs="Arial" w:eastAsia="Arial" w:hAnsi="Arial"/>
                <w:sz w:val="18"/>
                <w:szCs w:val="18"/>
                <w:color w:val="auto"/>
              </w:rPr>
              <w:t>Duluth, MN</w:t>
            </w:r>
          </w:p>
        </w:tc>
        <w:tc>
          <w:tcPr>
            <w:tcW w:w="3120" w:type="dxa"/>
            <w:vAlign w:val="bottom"/>
          </w:tcPr>
          <w:p>
            <w:pPr>
              <w:ind w:left="60"/>
              <w:spacing w:after="0"/>
              <w:rPr>
                <w:sz w:val="20"/>
                <w:szCs w:val="20"/>
                <w:color w:val="auto"/>
              </w:rPr>
            </w:pPr>
            <w:r>
              <w:rPr>
                <w:rFonts w:ascii="Arial" w:cs="Arial" w:eastAsia="Arial" w:hAnsi="Arial"/>
                <w:sz w:val="18"/>
                <w:szCs w:val="18"/>
                <w:color w:val="auto"/>
              </w:rPr>
              <w:t>Verso Corporation</w:t>
            </w:r>
          </w:p>
        </w:tc>
        <w:tc>
          <w:tcPr>
            <w:tcW w:w="2160" w:type="dxa"/>
            <w:vAlign w:val="bottom"/>
          </w:tcPr>
          <w:p>
            <w:pPr>
              <w:jc w:val="right"/>
              <w:spacing w:after="0"/>
              <w:rPr>
                <w:sz w:val="20"/>
                <w:szCs w:val="20"/>
                <w:color w:val="auto"/>
              </w:rPr>
            </w:pPr>
            <w:r>
              <w:rPr>
                <w:rFonts w:ascii="Arial" w:cs="Arial" w:eastAsia="Arial" w:hAnsi="Arial"/>
                <w:sz w:val="18"/>
                <w:szCs w:val="18"/>
                <w:color w:val="auto"/>
              </w:rPr>
              <w:t>December 31, 2022</w:t>
            </w: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6"/>
                <w:szCs w:val="16"/>
                <w:i w:val="1"/>
                <w:iCs w:val="1"/>
                <w:color w:val="auto"/>
              </w:rPr>
              <w:t>(a)</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Paper and Pulp</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Cloquet, MN</w:t>
            </w:r>
          </w:p>
        </w:tc>
        <w:tc>
          <w:tcPr>
            <w:tcW w:w="3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Sappi Limited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28, 2022</w:t>
            </w:r>
          </w:p>
        </w:tc>
      </w:tr>
      <w:tr>
        <w:trPr>
          <w:trHeight w:val="20"/>
        </w:trPr>
        <w:tc>
          <w:tcPr>
            <w:tcW w:w="26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February 28, 2022.</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5" w:lineRule="exact"/>
        <w:rPr>
          <w:rFonts w:ascii="Arial" w:cs="Arial" w:eastAsia="Arial" w:hAnsi="Arial"/>
          <w:sz w:val="16"/>
          <w:szCs w:val="16"/>
          <w:i w:val="1"/>
          <w:iCs w:val="1"/>
          <w:color w:val="auto"/>
        </w:rPr>
      </w:pPr>
    </w:p>
    <w:p>
      <w:pPr>
        <w:ind w:left="340" w:hanging="332"/>
        <w:spacing w:after="0" w:line="281" w:lineRule="auto"/>
        <w:tabs>
          <w:tab w:leader="none" w:pos="3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On January 30, 2017, ERP Iron Ore, LLC purchased substantially all of Magnetation’s assets pursuant to an asset purchase agreement approved by the U.S. Bankruptcy Court for the District of Minnesota. (See Item 7. Management’s Discussion and Analysis – Outlook – Industrial Customers and Prospective Additional Load.)</w:t>
      </w:r>
    </w:p>
    <w:p>
      <w:pPr>
        <w:spacing w:after="0" w:line="1" w:lineRule="exact"/>
        <w:rPr>
          <w:rFonts w:ascii="Arial" w:cs="Arial" w:eastAsia="Arial" w:hAnsi="Arial"/>
          <w:sz w:val="14"/>
          <w:szCs w:val="14"/>
          <w:i w:val="1"/>
          <w:iCs w:val="1"/>
          <w:color w:val="auto"/>
        </w:rPr>
      </w:pPr>
    </w:p>
    <w:p>
      <w:pPr>
        <w:ind w:left="340" w:right="20" w:hanging="332"/>
        <w:spacing w:after="0" w:line="257"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smaller of UPM Blandin’s two paper machines was closed in the fourth quarter of 2017. (See Item 7. Management’s Discussion and Analysis – Outlook – Industrial Customers and Prospective Additional Load.)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Residential and Commercial Customers. </w:t>
      </w:r>
      <w:r>
        <w:rPr>
          <w:rFonts w:ascii="Arial" w:cs="Arial" w:eastAsia="Arial" w:hAnsi="Arial"/>
          <w:sz w:val="17"/>
          <w:szCs w:val="17"/>
          <w:color w:val="auto"/>
        </w:rPr>
        <w:t>In 2017, residential and commercial customers represented 17 percent of total regulated utility kWh sales.</w:t>
      </w: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2017, municipal customers represented 5 percent of total regulated utility kWh sales. All of the municipal contracts include a</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clause requiring a three-year notice to terminate.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Customers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electric contract with the Nashwauk Public Utilities Commission is effective through at least December 31, 2032. No termination notice may be given for this contract prior to July 1, 2029. The wholesale electric service contracts with SWL&amp;P and another municipal customer are effective through at least February 28, 2021, and through June 30, 2019, respectively. Under the agreement with SWL&amp;P, no termination notice has been given. The other municipal customer provided a contract termination notice in June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Power’s wholesale electric contracts with 14 municipal customers are effective through at least December 31, 2024. No termination notices may be given prior to three years before maturity. These contracts include fixed capacity charges through 2018; beginning in 2019, the capacity charge will be determined using a cost-based formula methodology with limits on the annual change from the previous year’s capacity charge. The base energy charge for each year of the contract term will be set each January 1, subject to monthly adjustment, and will also be determined using a cost-based formula methodology.</w:t>
      </w:r>
    </w:p>
    <w:p>
      <w:pPr>
        <w:spacing w:after="0" w:line="150"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at market</w:t>
      </w:r>
      <w:r>
        <w:rPr>
          <w:rFonts w:ascii="MS PGothic" w:cs="MS PGothic" w:eastAsia="MS PGothic" w:hAnsi="MS PGothic"/>
          <w:sz w:val="18"/>
          <w:szCs w:val="18"/>
          <w:color w:val="auto"/>
        </w:rPr>
        <w:t>‑</w:t>
      </w:r>
      <w:r>
        <w:rPr>
          <w:rFonts w:ascii="Arial" w:cs="Arial" w:eastAsia="Arial" w:hAnsi="Arial"/>
          <w:sz w:val="18"/>
          <w:szCs w:val="18"/>
          <w:color w:val="auto"/>
        </w:rPr>
        <w:t>based prices into the MISO</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on a daily basis or through bilateral agreements of various durations.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Basin PSA. </w:t>
      </w:r>
      <w:r>
        <w:rPr>
          <w:rFonts w:ascii="Arial" w:cs="Arial" w:eastAsia="Arial" w:hAnsi="Arial"/>
          <w:sz w:val="18"/>
          <w:szCs w:val="18"/>
          <w:color w:val="auto"/>
        </w:rPr>
        <w:t>Minnesota Power has an agreement to sell 100 MW of capacity and energy to Basin for a ten-year period which expires in April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 Minnesota Power has an additional agreement to sell 100 MW of capacity to Basin at fixed rates for a two-year period that began in June 2016.</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where Minnesota Power is selling a portion of its entitlement from Square Butte to</w:t>
      </w:r>
      <w:r>
        <w:rPr>
          <w:rFonts w:ascii="Arial" w:cs="Arial" w:eastAsia="Arial" w:hAnsi="Arial"/>
          <w:sz w:val="18"/>
          <w:szCs w:val="18"/>
          <w:i w:val="1"/>
          <w:iCs w:val="1"/>
          <w:color w:val="auto"/>
        </w:rPr>
        <w:t xml:space="preserve"> </w:t>
      </w:r>
      <w:r>
        <w:rPr>
          <w:rFonts w:ascii="Arial" w:cs="Arial" w:eastAsia="Arial" w:hAnsi="Arial"/>
          <w:sz w:val="18"/>
          <w:szCs w:val="18"/>
          <w:color w:val="auto"/>
        </w:rPr>
        <w:t>Minnkota Power, resulting in Minnkota Power’s net entitlement increasing and Minnesota Power’s net entitlement decreasing until Minnesota Power’s share is eliminated at the end of 2025. Of Minnesota Power’s 50 percent output entitlement, it sold approximately 28 percent to Minnkota Power in 2017 (28 percent in 2016 and in 2015). (See Note 11. Commitments, Guarantees and Contingencies.)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Silver Bay Power PSA</w:t>
      </w:r>
      <w:r>
        <w:rPr>
          <w:rFonts w:ascii="Arial" w:cs="Arial" w:eastAsia="Arial" w:hAnsi="Arial"/>
          <w:sz w:val="17"/>
          <w:szCs w:val="17"/>
          <w:color w:val="auto"/>
        </w:rPr>
        <w:t>. In 2016, Minnesota Power and Silver Bay Power entered into a long-term PSA through 2031. Silver Bay Power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90 MW of load to Northshore Mining, an affiliate of Silver Bay Power, which has been served predominately through self-generation by Silver Bay Power. In the years 2016 through 2019, Minnesota Power is supplying Silver Bay Power with at least 50 MW of energy and Silver Bay Power has the option to purchase additional energy from Minnesota Power as it transitions away from self-generation. On December 31, 2019, Silver Bay Power will cease self-generation and Minnesota Power will supply the energy requirements for Silver Bay Power.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operations of our industrial customers, which make up a large portion of our electric sales, are not typically subject to significant seasonal variations.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As a result, Minnesota Power is generally not subject to significant seasonal fluctuations in electric sales; however,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order to meet its customers’ electric requirements, Minnesota Power utilizes a mix of its own generation and purchased power. As of December 31, 2017, Minnesota Power’s generating capability is primarily coal-fired, but also includes natural gas-fired and biomass co-fired generation, hydroelectric generation, wind energy generation and solar generation. In 2017, Minnesota Power had record hydroelectric and wind energy generation. Purchased power primarily consists of long-term coal, wind and hydro PPAs as well as market purchases. The following table reflects Minnesota Power’s generating capabilities as of December 31, 2017, and total electrical supply for 2017. Minnesota Power had an annual net peak load of 1,599 MW on December 27, 2017.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20"/>
                <w:szCs w:val="20"/>
                <w:color w:val="auto"/>
              </w:rPr>
            </w:pPr>
          </w:p>
        </w:tc>
      </w:tr>
      <w:tr>
        <w:trPr>
          <w:trHeight w:val="270"/>
        </w:trPr>
        <w:tc>
          <w:tcPr>
            <w:tcW w:w="49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620" w:type="dxa"/>
            <w:vAlign w:val="bottom"/>
          </w:tcPr>
          <w:p>
            <w:pPr>
              <w:spacing w:after="0"/>
              <w:rPr>
                <w:sz w:val="23"/>
                <w:szCs w:val="23"/>
                <w:color w:val="auto"/>
              </w:rPr>
            </w:pPr>
          </w:p>
        </w:tc>
        <w:tc>
          <w:tcPr>
            <w:tcW w:w="25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 2017</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Capability</w:t>
            </w:r>
          </w:p>
        </w:tc>
        <w:tc>
          <w:tcPr>
            <w:tcW w:w="620" w:type="dxa"/>
            <w:vAlign w:val="bottom"/>
          </w:tcPr>
          <w:p>
            <w:pPr>
              <w:spacing w:after="0"/>
              <w:rPr>
                <w:sz w:val="23"/>
                <w:szCs w:val="23"/>
                <w:color w:val="auto"/>
              </w:rPr>
            </w:pPr>
          </w:p>
        </w:tc>
        <w:tc>
          <w:tcPr>
            <w:tcW w:w="25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Generation and Purchases</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620" w:type="dxa"/>
            <w:vAlign w:val="bottom"/>
          </w:tcPr>
          <w:p>
            <w:pPr>
              <w:spacing w:after="0"/>
              <w:rPr>
                <w:sz w:val="20"/>
                <w:szCs w:val="20"/>
                <w:color w:val="auto"/>
              </w:rPr>
            </w:pPr>
          </w:p>
        </w:tc>
        <w:tc>
          <w:tcPr>
            <w:tcW w:w="1700" w:type="dxa"/>
            <w:vAlign w:val="bottom"/>
          </w:tcPr>
          <w:p>
            <w:pPr>
              <w:jc w:val="right"/>
              <w:ind w:right="890"/>
              <w:spacing w:after="0"/>
              <w:rPr>
                <w:sz w:val="20"/>
                <w:szCs w:val="20"/>
                <w:color w:val="auto"/>
              </w:rPr>
            </w:pPr>
            <w:r>
              <w:rPr>
                <w:rFonts w:ascii="Arial" w:cs="Arial" w:eastAsia="Arial" w:hAnsi="Arial"/>
                <w:sz w:val="18"/>
                <w:szCs w:val="18"/>
                <w:b w:val="1"/>
                <w:bCs w:val="1"/>
                <w:color w:val="auto"/>
              </w:rPr>
              <w:t>MWh</w:t>
            </w:r>
          </w:p>
        </w:tc>
        <w:tc>
          <w:tcPr>
            <w:tcW w:w="8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Boswell Energy Center</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620" w:type="dxa"/>
            <w:vAlign w:val="bottom"/>
          </w:tcPr>
          <w:p>
            <w:pPr>
              <w:ind w:left="20"/>
              <w:spacing w:after="0"/>
              <w:rPr>
                <w:sz w:val="20"/>
                <w:szCs w:val="20"/>
                <w:color w:val="auto"/>
              </w:rPr>
            </w:pPr>
            <w:r>
              <w:rPr>
                <w:rFonts w:ascii="Arial" w:cs="Arial" w:eastAsia="Arial" w:hAnsi="Arial"/>
                <w:sz w:val="16"/>
                <w:szCs w:val="16"/>
                <w:i w:val="1"/>
                <w:iCs w:val="1"/>
                <w:color w:val="auto"/>
              </w:rPr>
              <w:t>(a)</w:t>
            </w: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 Cohasset,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w:t>
            </w: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(b)</w:t>
            </w:r>
          </w:p>
        </w:tc>
        <w:tc>
          <w:tcPr>
            <w:tcW w:w="1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620" w:type="dxa"/>
            <w:vAlign w:val="bottom"/>
          </w:tcPr>
          <w:p>
            <w:pPr>
              <w:spacing w:after="0"/>
              <w:rPr>
                <w:sz w:val="20"/>
                <w:szCs w:val="20"/>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6,286,858</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41.4</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 Harbor Energy Center</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500"/>
              <w:spacing w:after="0"/>
              <w:rPr>
                <w:sz w:val="20"/>
                <w:szCs w:val="20"/>
                <w:color w:val="auto"/>
              </w:rPr>
            </w:pPr>
            <w:r>
              <w:rPr>
                <w:rFonts w:ascii="Arial" w:cs="Arial" w:eastAsia="Arial" w:hAnsi="Arial"/>
                <w:sz w:val="18"/>
                <w:szCs w:val="18"/>
                <w:color w:val="auto"/>
              </w:rPr>
              <w:t>in Schroeder, MN</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i w:val="1"/>
                <w:iCs w:val="1"/>
                <w:color w:val="auto"/>
              </w:rPr>
              <w:t>(c)</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Coal-Fired</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6,286,858</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41.4</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 Co-Fired / Natural Gas</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 &amp; 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4,502</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Laskin Energy Center in Hoyt Lakes,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 &amp; 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5,615</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Biomass Co-Fired / Natural Gas</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10,117</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773,707</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(e)</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56,594</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0.4</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Bison Wind Energy Center in Oliver and Morton Counties, ND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2010-2014</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1,775,474</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Wind</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1,832,068</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Solar</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Camp Ripley Solar Array near Little Falls,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17,129</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Generation</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8,919,879</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58.8</w:t>
            </w:r>
          </w:p>
        </w:tc>
      </w:tr>
      <w:tr>
        <w:trPr>
          <w:trHeight w:val="291"/>
        </w:trPr>
        <w:tc>
          <w:tcPr>
            <w:tcW w:w="4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Purchased Power</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 xml:space="preserve">Lignite Coal - Square Butte near Center, ND </w:t>
            </w:r>
            <w:r>
              <w:rPr>
                <w:rFonts w:ascii="Arial" w:cs="Arial" w:eastAsia="Arial" w:hAnsi="Arial"/>
                <w:sz w:val="16"/>
                <w:szCs w:val="16"/>
                <w:i w:val="1"/>
                <w:iCs w:val="1"/>
                <w:color w:val="auto"/>
              </w:rPr>
              <w:t>(f)</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1,739,781</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11.5</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Wind - Oliver County, ND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341,785</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Hydro - Manitoba Hydro in Manitoba, Canada</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305,532</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2.0</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Purchased Power</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2,387,098</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15.7</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(g)</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3,867,865</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25.5</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Purchased Power</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6,254,963</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41.2</w:t>
            </w:r>
          </w:p>
        </w:tc>
      </w:tr>
      <w:tr>
        <w:trPr>
          <w:trHeight w:val="237"/>
        </w:trPr>
        <w:tc>
          <w:tcPr>
            <w:tcW w:w="49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Regulated Utility Power Supply</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15,174,842</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 2016, Minnesota Power announced that Boswell Units 1 and 2 will be retired in 2018. (See Item 7. Management’s Discussion and Analysis of Financial Condition and Results of Operations – Outlook – EnergyForward.)</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3. Jointly-Owned Facilities and Projects.)</w:t>
      </w: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Taconite Harbor Units 1 and 2 were idled in 2016. (See Item 7. Management’s Discussion and Analysis of Financial Condition and Results of Operations – Outlook – EnergyForward.)</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Hydro consists of 10 stations with 34 generating units.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WTGs and Bison consists of 165 WTGs.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has a PSA with Minnkota Power whereby Minnesota Power is selling a portion of its entitlement from Square Butte to Minnkota Power. (See Electric Sales / Customers.)</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ectPr>
          <w:pgSz w:w="11900" w:h="16838" w:orient="portrait"/>
          <w:cols w:equalWidth="0" w:num="1">
            <w:col w:w="11420"/>
          </w:cols>
          <w:pgMar w:left="240" w:top="702"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180"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b w:val="1"/>
          <w:bCs w:val="1"/>
          <w:color w:val="auto"/>
        </w:rPr>
        <w:t>Fuel</w:t>
      </w:r>
      <w:r>
        <w:rPr>
          <w:rFonts w:ascii="Arial" w:cs="Arial" w:eastAsia="Arial" w:hAnsi="Arial"/>
          <w:sz w:val="16"/>
          <w:szCs w:val="16"/>
          <w:color w:val="auto"/>
        </w:rPr>
        <w:t>. Minnesota Power purchases low-sulfur, sub-bituminous coal from the Powder River Basin region located in Montana and Wyoming. Coal consumption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2017 for electric generation at Minnesota Power’s coal-fired generating stations was 3.8 million tons (4.2 million tons in 2016; 4.4 million tons in 2015). As of December 31, 2017, Minnesota Power had coal inventories of 1.2 million tons (1.4 million tons as of December 31, 2016). Minnesota Power has coal supply agreements providing for the purchase of a significant portion of its coal requirements through December 2018 and a portion of its coal requirements through December 2021. In 2018, Minnesota Power expects to obtain coal under these coal supply agreements and in the spot market. Minnesota Power continues to explore other future coal supply options and believes that adequate supplies of low-sulfur, sub</w:t>
      </w:r>
      <w:r>
        <w:rPr>
          <w:rFonts w:ascii="MS PGothic" w:cs="MS PGothic" w:eastAsia="MS PGothic" w:hAnsi="MS PGothic"/>
          <w:sz w:val="16"/>
          <w:szCs w:val="16"/>
          <w:color w:val="auto"/>
        </w:rPr>
        <w:t>‑</w:t>
      </w:r>
      <w:r>
        <w:rPr>
          <w:rFonts w:ascii="Arial" w:cs="Arial" w:eastAsia="Arial" w:hAnsi="Arial"/>
          <w:sz w:val="16"/>
          <w:szCs w:val="16"/>
          <w:color w:val="auto"/>
        </w:rPr>
        <w:t>bituminous coal will continue to be available.</w:t>
      </w:r>
    </w:p>
    <w:p>
      <w:pPr>
        <w:spacing w:after="0" w:line="20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Minnesota Power also has coal transportation agreements in place for the delivery of a significant portion of its coal requirements through December 2018. The costs of fuel and related transportation costs for Minnesota Power’s generation are recoverable from Minnesota Power’s utility customers through the fuel adjustment clause.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$36.50</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$35.87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600" w:type="dxa"/>
            <w:vAlign w:val="bottom"/>
          </w:tcPr>
          <w:p>
            <w:pPr>
              <w:jc w:val="right"/>
              <w:ind w:right="350"/>
              <w:spacing w:after="0"/>
              <w:rPr>
                <w:sz w:val="20"/>
                <w:szCs w:val="20"/>
                <w:color w:val="auto"/>
              </w:rPr>
            </w:pPr>
            <w:r>
              <w:rPr>
                <w:rFonts w:ascii="Arial" w:cs="Arial" w:eastAsia="Arial" w:hAnsi="Arial"/>
                <w:sz w:val="18"/>
                <w:szCs w:val="18"/>
                <w:color w:val="auto"/>
              </w:rPr>
              <w:t>$2.01</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$1.98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coal,</w:t>
      </w:r>
      <w:r>
        <w:rPr>
          <w:rFonts w:ascii="Arial" w:cs="Arial" w:eastAsia="Arial" w:hAnsi="Arial"/>
          <w:sz w:val="18"/>
          <w:szCs w:val="18"/>
          <w:b w:val="1"/>
          <w:bCs w:val="1"/>
          <w:color w:val="auto"/>
        </w:rPr>
        <w:t xml:space="preserve"> </w:t>
      </w:r>
      <w:r>
        <w:rPr>
          <w:rFonts w:ascii="Arial" w:cs="Arial" w:eastAsia="Arial" w:hAnsi="Arial"/>
          <w:sz w:val="18"/>
          <w:szCs w:val="18"/>
          <w:color w:val="auto"/>
        </w:rPr>
        <w:t>wind, hydro and solar generating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PPAs are detailed in Note 11. Commitments, Guarantees and Contingencies, with additional disclosure provided in the following paragraph.</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Under the PPA with Square Butte that extends through 2026, Minnesota Power is entitled to 50 percent of the output of Square Butte’s 455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MW coal-fired generating unit. (See Note 11. Commitments, Guarantees and Contingencies.) BNI Energy mines and sells lignite coal to Square Butte. This lignite supply is sufficient to provide fuel for the anticipated useful life of the generating unit. Square Butte’s cost of lignite consumed in 2017 was approximately $1.71 per MBtu ($1.57 per MBtu in 2016; $1.55 per MBtu in 2015). (See </w:t>
      </w:r>
      <w:r>
        <w:rPr>
          <w:rFonts w:ascii="Arial" w:cs="Arial" w:eastAsia="Arial" w:hAnsi="Arial"/>
          <w:sz w:val="17"/>
          <w:szCs w:val="17"/>
          <w:i w:val="1"/>
          <w:iCs w:val="1"/>
          <w:color w:val="auto"/>
        </w:rPr>
        <w:t>Electric Sales / Customers</w:t>
      </w:r>
      <w:r>
        <w:rPr>
          <w:rFonts w:ascii="Arial" w:cs="Arial" w:eastAsia="Arial" w:hAnsi="Arial"/>
          <w:sz w:val="17"/>
          <w:szCs w:val="17"/>
          <w:color w:val="auto"/>
        </w:rPr>
        <w:t xml:space="preserve"> – </w:t>
      </w:r>
      <w:r>
        <w:rPr>
          <w:rFonts w:ascii="Arial" w:cs="Arial" w:eastAsia="Arial" w:hAnsi="Arial"/>
          <w:sz w:val="17"/>
          <w:szCs w:val="17"/>
          <w:i w:val="1"/>
          <w:iCs w:val="1"/>
          <w:color w:val="auto"/>
        </w:rPr>
        <w:t>Minnkota Power PSA</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 kV (242 miles), 250 kV (466 miles), 230 kV (717 miles), 161 kV (43 miles), 138 kV (190 miles), 115 kV (1,280 miles) and less than 115 kV (6,334 miles). We own and operate 167 substations with a total capacity of 8,540 megavoltamperes. Some of our transmission and distribution lines interconnect with other utilities.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CapX2020. </w:t>
      </w:r>
      <w:r>
        <w:rPr>
          <w:rFonts w:ascii="Arial" w:cs="Arial" w:eastAsia="Arial" w:hAnsi="Arial"/>
          <w:sz w:val="17"/>
          <w:szCs w:val="17"/>
          <w:color w:val="auto"/>
        </w:rPr>
        <w:t>Minnesota Power was a participant in the CapX2020 initiative which represented an effort to ensure electric transmission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in Minnesota and the surrounding region for the future. CapX2020, which consisted of electric cooperatives and municipal and investor-owned utilities, including Minnesota’s largest transmission owners, assessed the transmission system and projected growth in customer demand for electricity through 2020. Minnesota Power participated in three CapX2020 projects which were completed and placed in service in 2011, 2012 and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 (Continued)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4. Regulatory Matters.)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$152.4 million have been incurred through December 31, 2017, of which $67.6 million has been recovered from a subsidiary of Manitoba Hydro.</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In December 2016, Manitoba Hydro filed an application with the National Energy Board in Canada requesting authorization to construct and operate an international transmission line. Both provincial and federal approvals are pending. Construction of Manitoba Hydro’s hydroelectric generation facility commenced in 2014 and is anticipated to be in service by early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2017, our equity investment in ATC was $118.7 million ($135.6 million as of December 31, 2016). The decrease in our equity investment in ATC in 2017 is due to the impact of the remeasurement of deferred income tax assets and liabilities resulting from the TCJA. (See Note 1. Operations and Significant Accounting Policies, and Note 5. Investment in ATC.)</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(See Note 4. Regulatory Matters.)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2017 through 2026, identifies a need for between $2.8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Operations businesses own office and service buildings, an energy control center, repair shops, electric plants, transmission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electric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Projects.)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the jurisdiction of various regulatory authorities and other organizations.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retail service area in Minnesota, retail rates,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capital structure, issuance of securities and other matters. As authorized by the MPUC, Minnesota Power also recognizes revenue under cost recovery riders for transmission, renewable and environmental investments.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As a result of working with intervenors and further developments as the rate review progressed, Minnesota Power’s final rate request was adjusted to approximately $49 million on an annualized basis. At a hearing on January 18, 2018, the MPUC made determinations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will be fully offset by the recognition of a corresponding reserve. As a result of the MPUC’s decisions on January 18, 2018, Minnesota Power has recorded a reserve for an interim rate refund of approximately $32 million as of December 31, 2017. The MPUC also disallowed recovery of Minnesota Power’s regulatory asset for deferred fuel adjustment clause costs due to the anticipated adoption of a forward-looking fuel adjustment clause methodology resulting in a $19.5 million pre-tax charge to Fuel, Purchased Power and Gas – Utility in 2017. An order from the MPUC setting forth the effective date of final rates is expected by March 12, 2018. Minnesota Power will review this order for potential reconsideration of certain issues at that time.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decrease to depreciation expense of approximately $25 million pre-tax in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which established that it is the energy policy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to 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order dated April 20, 2017; collection of the discount was subject to the MPUC’s review of Minnesota Power’s compliance filing implementing approval of a recovery mechanism, with the subsequent order issued on October 13, 2017, that modified the order dated April 20, 2017. During 2017, Minnesota Power provided discounts of $8.6 million which were recorded as a receivable. On September 29, 2017, Minnesota Power informed its EITE customers that it had suspended the EITE discount due to a concern that it was not revenue and cash flow neutral to Minnesota Power based on an MPUC decision at a hearing on September 7,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EITE discounts will offset interim rate refund reserves for non-EITE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Additional regulatory proceedings pending with the MPUC are detailed in Note 4. Regulatory Matters.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August 14, 2017, that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10.5 percent return on common equity and a 55 percent equity ratio. SWL&amp;P’s retail rates prior to August 14, 2017, were based on a 2012 PSCW retail rate order that provided for a 10.9 percent return on equity. The 2017 PSCW retail rate order authorizes SWL&amp;P to collect on average a 2.9 percent increase in rates for retail customers (3.8 percent increase in electric rates; 4.8 percent decrease in natural gas rates; and 9.8 percent increase in water rates). On an annualized basis, SWL&amp;P expects to collect additional revenue of $2.5 million.</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of electricity in interstate commerce, electricity sold at wholesale (including the rates for Minnesota Power’s municipal and wholesale customers), natural gas transportation, certain accounting and record</w:t>
      </w:r>
      <w:r>
        <w:rPr>
          <w:rFonts w:ascii="MS PGothic" w:cs="MS PGothic" w:eastAsia="MS PGothic" w:hAnsi="MS PGothic"/>
          <w:sz w:val="18"/>
          <w:szCs w:val="18"/>
          <w:color w:val="auto"/>
        </w:rPr>
        <w:t>‑</w:t>
      </w:r>
      <w:r>
        <w:rPr>
          <w:rFonts w:ascii="Arial" w:cs="Arial" w:eastAsia="Arial" w:hAnsi="Arial"/>
          <w:sz w:val="18"/>
          <w:szCs w:val="18"/>
          <w:color w:val="auto"/>
        </w:rPr>
        <w:t>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 Regulatory proceedings pending with the FERC are detailed in Note 4. Regulatory Matters.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Midcontinent Independent System Operator, Inc. </w:t>
      </w:r>
      <w:r>
        <w:rPr>
          <w:rFonts w:ascii="Arial" w:cs="Arial" w:eastAsia="Arial" w:hAnsi="Arial"/>
          <w:sz w:val="18"/>
          <w:szCs w:val="18"/>
          <w:color w:val="auto"/>
        </w:rPr>
        <w:t>Minnesota Power, SWL&amp;P and ATC are members of MISO, a regional transmission organization. While</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and SWL&amp;P retain ownership of their respective transmission assets, their transmission networks are under the regional operational control of MISO. Minnesota Power and SWL&amp;P take and provide transmission service under the MISO open access transmission tariff. MISO continues its efforts to oversee the safe, cost-effective delivery of electric power across all or parts of 15 states and the Canadian province of Manitoba which includes nearly 176,000 MW of generating capacity.</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North American Electric Reliability Corporation. </w:t>
      </w:r>
      <w:r>
        <w:rPr>
          <w:rFonts w:ascii="Arial" w:cs="Arial" w:eastAsia="Arial" w:hAnsi="Arial"/>
          <w:sz w:val="18"/>
          <w:szCs w:val="18"/>
          <w:color w:val="auto"/>
        </w:rPr>
        <w:t>The NERC has been certified by the FERC as the national electric reliability organization. The NERC</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the reliability of the North American bulk power system. The NERC oversees eight regional entities that establish requirements, approved by the FERC, for reliable operation and maintenance of power generation facilities and transmission systems. Minnesota Power is subject to these reliability requirements and can incur significant penalties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 (Continued)</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Midwest Reliability Organization (MRO). </w:t>
      </w:r>
      <w:r>
        <w:rPr>
          <w:rFonts w:ascii="Arial" w:cs="Arial" w:eastAsia="Arial" w:hAnsi="Arial"/>
          <w:sz w:val="16"/>
          <w:szCs w:val="16"/>
          <w:color w:val="auto"/>
        </w:rPr>
        <w:t>Minnesota Power and ATC are members of the MRO, one of the eight regional entities overseen by the NERC.</w:t>
      </w:r>
      <w:r>
        <w:rPr>
          <w:rFonts w:ascii="Arial" w:cs="Arial" w:eastAsia="Arial" w:hAnsi="Arial"/>
          <w:sz w:val="16"/>
          <w:szCs w:val="16"/>
          <w:b w:val="1"/>
          <w:bCs w:val="1"/>
          <w:color w:val="auto"/>
        </w:rPr>
        <w:t xml:space="preserve"> </w:t>
      </w:r>
      <w:r>
        <w:rPr>
          <w:rFonts w:ascii="Arial" w:cs="Arial" w:eastAsia="Arial" w:hAnsi="Arial"/>
          <w:sz w:val="16"/>
          <w:szCs w:val="16"/>
          <w:color w:val="auto"/>
        </w:rPr>
        <w:t>The MRO's primary responsibilities are to: ensure compliance with mandatory reliability standards by entities who own, operate or use the interconnected, international bulk power system; conduct assessments of the grid's ability to meet electricity demand in the region; and analyze regional system events.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MRO region spans the Canadian provinces of Saskatchewan and Manitoba, and all or parts of the states of Illinois, Iowa, Minnesota, Michigan, Montana, Nebraska, North Dakota, South Dakota and Wisconsin. The region includes more than 130 organizations that are involved in the production and delivery of electricity to more than 20 million people. These organizations include municipal utilities, cooperatives, investor-owned utilities, transmission system operators, a federal power marketing agency, Canadian Crown corporations and independent power producers.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Minnesota law requires 25 percent of electric utilities’ applicable retail and municipal energy sales in Minnesota to be from renewable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sources by 2025. Minnesota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IRP, which was filed with the MPUC in 2015 and approved with modifications by the MPUC in a July 2016 order, includes an update on its plans and progress in meeting the Minnesota renewable energy milestones through 2025. (See Item 7. Management’s Discussion and Analysis of Financial Condition and Results of Operations – Outlook – EnergyForward.)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renewable projects that will ensure it meets the identified state mandate at the lowest cost for customers. Minnesota Power has exceeded the interim milestone requirements to date with approximately 31 percent of its applicable retail and municipal energy sales supplied by renewable energy sources in 2017.</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Minnesota Solar Energy Standard. </w:t>
      </w:r>
      <w:r>
        <w:rPr>
          <w:rFonts w:ascii="Arial" w:cs="Arial" w:eastAsia="Arial" w:hAnsi="Arial"/>
          <w:sz w:val="16"/>
          <w:szCs w:val="16"/>
          <w:color w:val="auto"/>
        </w:rPr>
        <w:t>Minnesota law requires at least 1.5 percent of total retail electric sales, excluding sales to certain customers, to be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In a 2016 order,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July 2016 order, the MPUC approved a community solar garden project in northeastern Minnesota, which is comprised of a 1 MW solar array owned and operated by a third party with the output purchased by Minnesota Power and a 40 kW solar array that is owned and operated by Minnesota Power. Minnesota Power believes Camp Ripley and the community solar garden arrays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The proposal to incentivize customer-sited solar installations and the community solar garden subscriptions is expected to meet a portion of the required small scale solar mandate.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serves 12 Large Power facilities over 10 MW, none of which have engaged in a competitive rate process. No other large commercial or small industrial customers in Minnesota Power’s service territory have sought a provider outside Minnesota Power’s service territory since 1994.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2017, 5 percent of total regulated utility kWh sales were to municipal customers in Minnesota by contract. These customers have the right to seek an energy supply from any wholesale electric service provider upon contract expiration. Minnesota Power’s wholesale electric contract with the Nashwauk Public Utilities Commission is effective through at least December 31, 2032. Minnesota Power wholesale electric contracts with 14 municipal customers are effective through at least December 31, 2024. In June 2016, one of Minnesota Power’s municipal customers provided a contract termination notice effective June 30, 2019. (See </w:t>
      </w:r>
      <w:r>
        <w:rPr>
          <w:rFonts w:ascii="Arial" w:cs="Arial" w:eastAsia="Arial" w:hAnsi="Arial"/>
          <w:sz w:val="18"/>
          <w:szCs w:val="18"/>
          <w:i w:val="1"/>
          <w:iCs w:val="1"/>
          <w:color w:val="auto"/>
        </w:rPr>
        <w:t>Electric Sales / Customers.</w:t>
      </w:r>
      <w:r>
        <w:rPr>
          <w:rFonts w:ascii="Arial" w:cs="Arial" w:eastAsia="Arial" w:hAnsi="Arial"/>
          <w:sz w:val="18"/>
          <w:szCs w:val="18"/>
          <w:color w:val="auto"/>
        </w:rPr>
        <w:t>)</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more competitive wholesale market through open-access electric transmission and other means. As a result, our electric sales to Other Power Suppliers and our purchases to supply our retail and wholesale load are made in the competitive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91 cities. The remaining cities, villages and towns served by Minnesota Power do not require a franchise to operate. SWL&amp;P serves customers under electric, natural gas or water franchises in 1 city and 14 villages or towns.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will be primarily wind or solar facilities in North America. ALLETE Clean Energy is also targeting the development of new facilities up to 200 MW each, which will have long-term PSAs in place for the output or may be sold upon completion.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production tax credit qualification is important to development project economics, and ALLETE Clean Energy invested in equipment in late 2016 and late 2017 to meet production tax credit safe harbor provisions which provides an opportunity to seek development of up to approximately 1,500 MW of qualified wind projects through 2021. ALLETE Clean Energy will also invest approximately $80 million through 2020 to requalify up to 385 WTGs at its Storm Lake I, Storm Lake II and Lake Benton wind energy facilities for production tax credits.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ENERGY INFRASTRUCTURE AND RELATED SERVICES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3, 2017, ALLETE Clean Energy announced that it will develop a wind energy facility of up to 50 MW after securing a 25-year PSA with Montana-Dakota Utilities, which includes an option to purchase the facility upon completion. We expect Montana-Dakota Utilities to exercise the option in the first quarter of 2018; construction and sale is expected to be completed in December 2018. ALLETE Clean Energy constructed and sold a 107 MW wind energy facility to Montana-Dakota Utilities in 2015. On March 16, 2017, ALLETE Clean Energy announced it will build, own and operate a separate 100 MW wind energy facility pursuant to a 20-year PSA with Northern States Power; construction is expected to begin in late 2018.</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535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2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PSA Expiration</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Armenia Mountain</w:t>
            </w:r>
          </w:p>
        </w:tc>
        <w:tc>
          <w:tcPr>
            <w:tcW w:w="292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Pennsylvania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Chanarambie/Viking</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1</w:t>
            </w:r>
          </w:p>
        </w:tc>
        <w:tc>
          <w:tcPr>
            <w:tcW w:w="29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2018</w:t>
            </w: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PSA 2</w:t>
            </w:r>
          </w:p>
        </w:tc>
        <w:tc>
          <w:tcPr>
            <w:tcW w:w="2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Condon</w:t>
            </w:r>
          </w:p>
        </w:tc>
        <w:tc>
          <w:tcPr>
            <w:tcW w:w="292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Lake Benton</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Storm Lake I</w:t>
            </w:r>
          </w:p>
        </w:tc>
        <w:tc>
          <w:tcPr>
            <w:tcW w:w="292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Storm Lake II</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1</w:t>
            </w:r>
          </w:p>
        </w:tc>
        <w:tc>
          <w:tcPr>
            <w:tcW w:w="29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PSA 2</w:t>
            </w:r>
          </w:p>
        </w:tc>
        <w:tc>
          <w:tcPr>
            <w:tcW w:w="2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majority of ALLETE Clean Energy’s wind operations are located on real property owned by others with appropriate easements rights or necessary consents of governmental authorities. Two of ALLETE Clean Energy’s wind energy facilities are encumbered by liens against their assets securing financing.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4,900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commercial and institutional markets, food and beverage, light manufacturing,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markets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2017, U.S. Water Services acquired Tonka Water for total consideration of $19.2 million. Tonka Water is a supplier of municipal and industrial water treatment systems that will expand U.S. Water Services’ geographic and customer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Water Services leases an office and production facility at its headquarters in Minnesota as well as various office, warehouse and production facilities across the United States.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11. Commitments, Guarantees and Contingencies.) The mining process disturbs and reclaims between 200 and 250 acres per year. Laws require that the reclaimed land be at least as productive as it was prior to mining. As of December 31, 2017, BNI Energy had a $25.0 million asset reclamation obligation ($23.5 million as of December 31, 2016) included in Other Non-Current Liabilities on the Consolidated Balance Sheet. These costs are included in the cost-plus fixed fee contract, for which an asset reclamation cost receivable was included in Other Non-Current Assets on the Consolidated Balance Sheet. The asset reclamation obligation is guaranteed by surety bonds and a letter of credit. (See Note 11. Commitments, Guarantees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ALLETE Properties represents our legacy Florida real estate investment. Market conditions can impact land sales and could result in our inability to cover our cost basis, operating expenses or fixed carrying costs such as community development district assessments and property taxes.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major projects in Florida are Town Center at Palm Coast and Palm Coast Park.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Summary of Projects</w:t>
            </w:r>
          </w:p>
        </w:tc>
        <w:tc>
          <w:tcPr>
            <w:tcW w:w="35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35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6"/>
                <w:szCs w:val="16"/>
                <w:i w:val="1"/>
                <w:iCs w:val="1"/>
                <w:color w:val="auto"/>
              </w:rPr>
              <w:t>(a)</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6"/>
                <w:szCs w:val="16"/>
                <w:i w:val="1"/>
                <w:iCs w:val="1"/>
                <w:color w:val="auto"/>
              </w:rPr>
              <w:t>(b)</w:t>
            </w: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6"/>
                <w:szCs w:val="16"/>
                <w:i w:val="1"/>
                <w:iCs w:val="1"/>
                <w:color w:val="auto"/>
              </w:rPr>
              <w:t>(b)(c)</w:t>
            </w:r>
          </w:p>
        </w:tc>
      </w:tr>
      <w:tr>
        <w:trPr>
          <w:trHeight w:val="27"/>
        </w:trPr>
        <w:tc>
          <w:tcPr>
            <w:tcW w:w="4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Projects</w:t>
            </w:r>
          </w:p>
        </w:tc>
        <w:tc>
          <w:tcPr>
            <w:tcW w:w="3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Town Center at Palm Coast</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971</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2,419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2,178,700</w:t>
            </w: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Palm Coast Park</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1,025</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830</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2,143,000</w:t>
            </w:r>
          </w:p>
        </w:tc>
      </w:tr>
      <w:tr>
        <w:trPr>
          <w:trHeight w:val="27"/>
        </w:trPr>
        <w:tc>
          <w:tcPr>
            <w:tcW w:w="4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Projects</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1,996</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3,249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4,321,700</w:t>
            </w:r>
          </w:p>
        </w:tc>
      </w:tr>
      <w:tr>
        <w:trPr>
          <w:trHeight w:val="20"/>
        </w:trPr>
        <w:tc>
          <w:tcPr>
            <w:tcW w:w="476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retail and non-retail commercial, office, industrial, warehouse, storage and institutional square footage.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two projects, ALLETE Properties has approximately 800 acres of other land available for sale.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The revised strategy incorporated the possibility of a bulk sale of its entire portfolio. Proceeds from a bulk sale would be strategically deployed to support growth in ALLETE Clean Energy and U.S. Water Services, collectively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implementing the revised strategy, management evaluated its impairment analysis for its real estate assets using updated assumptions to determine estimated future net cash flows on an undiscounted basis. Estimated fair values were based upon current market data and pricing for individual parcels. Our impairment analysis incorporates a probability-weighted approach considering the alternative courses of sales noted above.</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results of the 2015 undiscounted cash flow analysis, the undiscounted future net cash flows were not adequate to recover the carrying value of the real estate assets leading to an adjustment of carrying value to estimated fair value. Estimated fair value was derived using Level 3 inputs, including current market interest in the property for a bulk sale of its entire portfolio, and discounted cash flow analysis of estimated selling price for sales over time. As a result, a non-cash impairment charge of $36.3 million was recorded in 2015 to reduce the carrying value of the real estate to its estimated fair value.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and 2016, our qualitative assessments indicated that the cash flows were adequate to recover the carrying value of ALLETE Properties real estate assets. As a result, no impairment was recorded in 2017 or 2016.</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 (Continued)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As of December 31, 2017,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$15.5 million, net of reserves, with maturities through 2022.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 and Miscellaneous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also includes other business development and corporate expenditures, unallocated interest expense, a small amount of non-rate base generation, approximately 5,000 acres of land in Minnesota, and earnings on cash and investments.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non-rate base generation consists of 29 MW of generation at Rapids Energy Center. In 2017, we sold 0.1 million MWh of non-rate base generation (0.1 million MWh in 2016 and in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r>
      <w:tr>
        <w:trPr>
          <w:trHeight w:val="234"/>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Non-Rate Base Power Supply</w:t>
            </w:r>
          </w:p>
        </w:tc>
        <w:tc>
          <w:tcPr>
            <w:tcW w:w="2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Unit No.</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r>
      <w:tr>
        <w:trPr>
          <w:trHeight w:val="27"/>
        </w:trPr>
        <w:tc>
          <w:tcPr>
            <w:tcW w:w="4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6"/>
                <w:szCs w:val="16"/>
                <w:i w:val="1"/>
                <w:iCs w:val="1"/>
                <w:color w:val="auto"/>
              </w:rPr>
              <w:t>(a)</w:t>
            </w:r>
          </w:p>
        </w:tc>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Grand Rapids, MN</w:t>
            </w:r>
          </w:p>
        </w:tc>
        <w:tc>
          <w:tcPr>
            <w:tcW w:w="29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 xml:space="preserve">Steam – Biomass </w:t>
            </w:r>
            <w:r>
              <w:rPr>
                <w:rFonts w:ascii="Arial" w:cs="Arial" w:eastAsia="Arial" w:hAnsi="Arial"/>
                <w:sz w:val="16"/>
                <w:szCs w:val="16"/>
                <w:i w:val="1"/>
                <w:iCs w:val="1"/>
                <w:color w:val="auto"/>
              </w:rPr>
              <w:t>(b)</w:t>
            </w:r>
          </w:p>
        </w:tc>
        <w:tc>
          <w:tcPr>
            <w:tcW w:w="2980" w:type="dxa"/>
            <w:vAlign w:val="bottom"/>
          </w:tcPr>
          <w:p>
            <w:pPr>
              <w:jc w:val="center"/>
              <w:ind w:left="1610"/>
              <w:spacing w:after="0"/>
              <w:rPr>
                <w:sz w:val="20"/>
                <w:szCs w:val="20"/>
                <w:color w:val="auto"/>
              </w:rPr>
            </w:pPr>
            <w:r>
              <w:rPr>
                <w:rFonts w:ascii="Arial" w:cs="Arial" w:eastAsia="Arial" w:hAnsi="Arial"/>
                <w:sz w:val="18"/>
                <w:szCs w:val="18"/>
                <w:color w:val="auto"/>
                <w:w w:val="95"/>
              </w:rPr>
              <w:t>6 &amp; 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1969, 1980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27</w:t>
            </w:r>
          </w:p>
        </w:tc>
      </w:tr>
      <w:tr>
        <w:trPr>
          <w:trHeight w:val="27"/>
        </w:trPr>
        <w:tc>
          <w:tcPr>
            <w:tcW w:w="4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Hydro</w:t>
            </w:r>
          </w:p>
        </w:tc>
        <w:tc>
          <w:tcPr>
            <w:tcW w:w="298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5"/>
              </w:rPr>
              <w:t>4 &amp; 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1917, 1948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w:t>
            </w:r>
          </w:p>
        </w:tc>
      </w:tr>
      <w:tr>
        <w:trPr>
          <w:trHeight w:val="20"/>
        </w:trPr>
        <w:tc>
          <w:tcPr>
            <w:tcW w:w="43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net generation is primarily dedicated to the needs of one customer, UPM Blandin in Grand Rapids, Minnesota. (See Item 7. Management’s Discussion and Analysis – Outlook – Industrial Customers and Prospective Additional Load.)</w:t>
      </w: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Rapids Energy Center’s fuel supply is supplemented by coal.</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11.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ALLETE had 2,017 employees, of which 1,972 were full-time.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517 employees who are members of the International Brotherhood of Electrical Workers (IBEW) Local</w:t>
      </w:r>
    </w:p>
    <w:p>
      <w:pPr>
        <w:spacing w:after="0" w:line="46" w:lineRule="exact"/>
        <w:rPr>
          <w:sz w:val="20"/>
          <w:szCs w:val="20"/>
          <w:color w:val="auto"/>
        </w:rPr>
      </w:pPr>
    </w:p>
    <w:p>
      <w:pPr>
        <w:jc w:val="both"/>
        <w:ind w:firstLine="8"/>
        <w:spacing w:after="0" w:line="255" w:lineRule="auto"/>
        <w:tabs>
          <w:tab w:leader="none" w:pos="27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labor agreements with IBEW Local 31 expired on January 31, 2018. Negotiations are proceeding and we believe ratified agreements will be agreed upon in the first quarter of 2018. Minnesota Power, SWL&amp;P and IBEW Local 31 are operating under the expired labor agreements until new contracts are agreed upon.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BNI Energy has 179 employees, of which 136 are members of IBEW Local 1593. The labor agreement with IBEW Local 1593 expires on March 31, 2019.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3280" w:type="dxa"/>
            <w:vAlign w:val="bottom"/>
          </w:tcPr>
          <w:p>
            <w:pPr>
              <w:spacing w:after="0"/>
              <w:rPr>
                <w:sz w:val="20"/>
                <w:szCs w:val="20"/>
                <w:color w:val="auto"/>
              </w:rPr>
            </w:pPr>
          </w:p>
        </w:tc>
      </w:tr>
      <w:tr>
        <w:trPr>
          <w:trHeight w:val="432"/>
        </w:trPr>
        <w:tc>
          <w:tcPr>
            <w:tcW w:w="8140" w:type="dxa"/>
            <w:vAlign w:val="bottom"/>
          </w:tcPr>
          <w:p>
            <w:pPr>
              <w:spacing w:after="0"/>
              <w:rPr>
                <w:sz w:val="20"/>
                <w:szCs w:val="20"/>
                <w:color w:val="auto"/>
              </w:rPr>
            </w:pPr>
            <w:r>
              <w:rPr>
                <w:rFonts w:ascii="Arial" w:cs="Arial" w:eastAsia="Arial" w:hAnsi="Arial"/>
                <w:sz w:val="18"/>
                <w:szCs w:val="18"/>
                <w:color w:val="auto"/>
              </w:rPr>
              <w:t>As of February 15, 2018, these are the executive officers of ALLETE:</w:t>
            </w:r>
          </w:p>
        </w:tc>
        <w:tc>
          <w:tcPr>
            <w:tcW w:w="3280" w:type="dxa"/>
            <w:vAlign w:val="bottom"/>
          </w:tcPr>
          <w:p>
            <w:pPr>
              <w:spacing w:after="0"/>
              <w:rPr>
                <w:sz w:val="24"/>
                <w:szCs w:val="24"/>
                <w:color w:val="auto"/>
              </w:rPr>
            </w:pPr>
          </w:p>
        </w:tc>
      </w:tr>
      <w:tr>
        <w:trPr>
          <w:trHeight w:val="459"/>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3280" w:type="dxa"/>
            <w:vAlign w:val="bottom"/>
          </w:tcPr>
          <w:p>
            <w:pPr>
              <w:ind w:left="114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8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64"/>
        </w:trPr>
        <w:tc>
          <w:tcPr>
            <w:tcW w:w="814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Alan R. Hodnik, Age 58</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Chairman, President and Chief Executive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May 10, 2011</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May 1, 2010</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Robert J. Adams, Age 55</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March 4, 2017</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 Energy-Centric Businesses and Chief Risk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14, 2015</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Vice President – Energy-Centric Businesses and Chief Risk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June 23, 2014</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Vice President – Business Development and Chief Risk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May 13, 2008</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Deborah A. Amberg, Age 52</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Chief Strategy Officer – Regulated Operations and President – SWL&amp;P</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26, 2016</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3280" w:type="dxa"/>
            <w:vAlign w:val="bottom"/>
          </w:tcPr>
          <w:p>
            <w:pPr>
              <w:ind w:left="1140"/>
              <w:spacing w:after="0"/>
              <w:rPr>
                <w:sz w:val="20"/>
                <w:szCs w:val="20"/>
                <w:color w:val="auto"/>
              </w:rPr>
            </w:pPr>
            <w:r>
              <w:rPr>
                <w:rFonts w:ascii="Arial" w:cs="Arial" w:eastAsia="Arial" w:hAnsi="Arial"/>
                <w:sz w:val="18"/>
                <w:szCs w:val="18"/>
                <w:color w:val="auto"/>
              </w:rPr>
              <w:t>January 1, 2006</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Patrick L. Cutshall, Age 52</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Vice President and Corporate Treasurer</w:t>
            </w:r>
          </w:p>
        </w:tc>
        <w:tc>
          <w:tcPr>
            <w:tcW w:w="3280" w:type="dxa"/>
            <w:vAlign w:val="bottom"/>
          </w:tcPr>
          <w:p>
            <w:pPr>
              <w:ind w:left="1140"/>
              <w:spacing w:after="0"/>
              <w:rPr>
                <w:sz w:val="20"/>
                <w:szCs w:val="20"/>
                <w:color w:val="auto"/>
              </w:rPr>
            </w:pPr>
            <w:r>
              <w:rPr>
                <w:rFonts w:ascii="Arial" w:cs="Arial" w:eastAsia="Arial" w:hAnsi="Arial"/>
                <w:sz w:val="18"/>
                <w:szCs w:val="18"/>
                <w:color w:val="auto"/>
              </w:rPr>
              <w:t>December 18, 2017</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3280" w:type="dxa"/>
            <w:vAlign w:val="bottom"/>
          </w:tcPr>
          <w:p>
            <w:pPr>
              <w:ind w:left="1140"/>
              <w:spacing w:after="0"/>
              <w:rPr>
                <w:sz w:val="20"/>
                <w:szCs w:val="20"/>
                <w:color w:val="auto"/>
              </w:rPr>
            </w:pPr>
            <w:r>
              <w:rPr>
                <w:rFonts w:ascii="Arial" w:cs="Arial" w:eastAsia="Arial" w:hAnsi="Arial"/>
                <w:sz w:val="18"/>
                <w:szCs w:val="18"/>
                <w:color w:val="auto"/>
              </w:rPr>
              <w:t>January 1, 2016</w:t>
            </w:r>
          </w:p>
        </w:tc>
      </w:tr>
      <w:tr>
        <w:trPr>
          <w:trHeight w:val="324"/>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W. Morris, Age 56</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Vice President, Controller and Chief Accounting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December 24, 2016</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Controller</w:t>
            </w:r>
          </w:p>
        </w:tc>
        <w:tc>
          <w:tcPr>
            <w:tcW w:w="3280" w:type="dxa"/>
            <w:vAlign w:val="bottom"/>
          </w:tcPr>
          <w:p>
            <w:pPr>
              <w:ind w:left="1140"/>
              <w:spacing w:after="0"/>
              <w:rPr>
                <w:sz w:val="20"/>
                <w:szCs w:val="20"/>
                <w:color w:val="auto"/>
              </w:rPr>
            </w:pPr>
            <w:r>
              <w:rPr>
                <w:rFonts w:ascii="Arial" w:cs="Arial" w:eastAsia="Arial" w:hAnsi="Arial"/>
                <w:sz w:val="18"/>
                <w:szCs w:val="18"/>
                <w:color w:val="auto"/>
              </w:rPr>
              <w:t>March 3, 2014</w:t>
            </w:r>
          </w:p>
        </w:tc>
      </w:tr>
      <w:tr>
        <w:trPr>
          <w:trHeight w:val="297"/>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Patrick K. Mullen, Age 57</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 External Affairs</w:t>
            </w:r>
          </w:p>
        </w:tc>
        <w:tc>
          <w:tcPr>
            <w:tcW w:w="3280" w:type="dxa"/>
            <w:vAlign w:val="bottom"/>
          </w:tcPr>
          <w:p>
            <w:pPr>
              <w:ind w:left="1140"/>
              <w:spacing w:after="0"/>
              <w:rPr>
                <w:sz w:val="20"/>
                <w:szCs w:val="20"/>
                <w:color w:val="auto"/>
              </w:rPr>
            </w:pPr>
            <w:r>
              <w:rPr>
                <w:rFonts w:ascii="Arial" w:cs="Arial" w:eastAsia="Arial" w:hAnsi="Arial"/>
                <w:sz w:val="18"/>
                <w:szCs w:val="18"/>
                <w:color w:val="auto"/>
              </w:rPr>
              <w:t>April 10, 2017</w:t>
            </w:r>
          </w:p>
        </w:tc>
      </w:tr>
      <w:tr>
        <w:trPr>
          <w:trHeight w:val="324"/>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Bradley W. Oachs, Age 60</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and President – Regulated Operations</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26, 2016</w:t>
            </w:r>
          </w:p>
        </w:tc>
      </w:tr>
      <w:tr>
        <w:trPr>
          <w:trHeight w:val="324"/>
        </w:trPr>
        <w:tc>
          <w:tcPr>
            <w:tcW w:w="8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Bethany M. Owen, Age 52</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Senior Vice President and Chief Legal and Administrative Officer</w:t>
            </w:r>
          </w:p>
        </w:tc>
        <w:tc>
          <w:tcPr>
            <w:tcW w:w="3280" w:type="dxa"/>
            <w:vAlign w:val="bottom"/>
          </w:tcPr>
          <w:p>
            <w:pPr>
              <w:ind w:left="1140"/>
              <w:spacing w:after="0"/>
              <w:rPr>
                <w:sz w:val="20"/>
                <w:szCs w:val="20"/>
                <w:color w:val="auto"/>
              </w:rPr>
            </w:pPr>
            <w:r>
              <w:rPr>
                <w:rFonts w:ascii="Arial" w:cs="Arial" w:eastAsia="Arial" w:hAnsi="Arial"/>
                <w:sz w:val="18"/>
                <w:szCs w:val="18"/>
                <w:color w:val="auto"/>
              </w:rPr>
              <w:t>November 26, 2016</w:t>
            </w:r>
          </w:p>
        </w:tc>
      </w:tr>
      <w:tr>
        <w:trPr>
          <w:trHeight w:val="27"/>
        </w:trPr>
        <w:tc>
          <w:tcPr>
            <w:tcW w:w="8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executive officers have been employed by us for more than five years in executive or management positions. Prior to election to the position listed above, the following executives held other positions with the Company during the past five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Morris </w:t>
      </w:r>
      <w:r>
        <w:rPr>
          <w:rFonts w:ascii="Arial" w:cs="Arial" w:eastAsia="Arial" w:hAnsi="Arial"/>
          <w:sz w:val="18"/>
          <w:szCs w:val="18"/>
          <w:color w:val="auto"/>
        </w:rPr>
        <w:t>was Director – Accounting.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Cutshall </w:t>
      </w:r>
      <w:r>
        <w:rPr>
          <w:rFonts w:ascii="Arial" w:cs="Arial" w:eastAsia="Arial" w:hAnsi="Arial"/>
          <w:sz w:val="18"/>
          <w:szCs w:val="18"/>
          <w:color w:val="auto"/>
        </w:rPr>
        <w:t>was Director – Investments and Tax; Director – Investments.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Oachs </w:t>
      </w:r>
      <w:r>
        <w:rPr>
          <w:rFonts w:ascii="Arial" w:cs="Arial" w:eastAsia="Arial" w:hAnsi="Arial"/>
          <w:sz w:val="18"/>
          <w:szCs w:val="18"/>
          <w:color w:val="auto"/>
        </w:rPr>
        <w:t>was Chief Operating Officer – Minnesota Power.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Owen </w:t>
      </w:r>
      <w:r>
        <w:rPr>
          <w:rFonts w:ascii="Arial" w:cs="Arial" w:eastAsia="Arial" w:hAnsi="Arial"/>
          <w:sz w:val="18"/>
          <w:szCs w:val="18"/>
          <w:color w:val="auto"/>
        </w:rPr>
        <w:t>was Vice President – Information Technology Solutions and President – SWL&amp;P.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Mullen </w:t>
      </w:r>
      <w:r>
        <w:rPr>
          <w:rFonts w:ascii="Arial" w:cs="Arial" w:eastAsia="Arial" w:hAnsi="Arial"/>
          <w:sz w:val="18"/>
          <w:szCs w:val="18"/>
          <w:color w:val="auto"/>
        </w:rPr>
        <w:t>was Vice President – Marketing and Corporate Communications.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term of office of the executive officers listed in the preceding table extends to the first meeting of our Board of Directors after the next annual meeting of shareholders. Both meetings are scheduled for May 8,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Entity-wide Risks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access to financing sources and the capital markets, on acceptable terms and at reasonable costs, as sources of liquidity for capital requirements not satisfied by our cash flows from operations. Market disruptions or a downgrade of our credit ratings may increase the cost of borrowing or adversely affect our ability to access and financing costs in the capital markets. Such disruptions or causes of a downgrade could include but are not limited to: the effects of the TCJA on the Company’s cash flow metrics; a loss of, or a reduction in sales to, Large Power Customers if we are unable to offset the related lost margins; weaker operating performance; adverse regulatory outcomes; disproportionate increase in the contribution to net income from our Energy Infrastructure and Related Services businesses as compared to that from our Regulated Operations; deteriorating economic or capital market conditions; or volatility in commodity prices.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not able to access capital on acceptable terms in sufficient amounts and when needed, or at all, the ability to maintain our businesses or to implement our business plans would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U.S. tax legislation could adversely impact our financial position, results of operations and cash flows.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TCJA was enacted into law. The TCJA has significantly changed the U.S. Internal Revenue Code and the taxation of corporations. The TCJA is unclear in certain respects and will require interpretations and the promulgation of regulations by the Internal Revenue Service, as well as state tax authorities and it could be subject to potential amendments and technical corrections. The regulatory treatment of the impacts of the TCJA will be subject to the discretion of the FERC and state regulatory authorities.</w:t>
      </w:r>
    </w:p>
    <w:p>
      <w:pPr>
        <w:spacing w:after="0" w:line="18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On February 6, 2018, Standard &amp; Poor’s downgraded its ratings outlook for ALLETE to negative from stable as a result, among other reasons, of the potential negative impact of the TCJA on certain financial metrics used by credit rating agencies to rate us. It is unclear when or how the capital markets and the credit rating agencies will ultimately respond. Further, there may be other adverse effects resulting from the TCJA or regulatory agency responses to the TCJA that we have not yet identified. We are still quantifying the impacts of the TCJA on our businesses, and have reflected estimates for the impacts in our Consolidated Financial Statements as of December 31, 2017, which may be adjusted in future periods as more information becomes available. The reduction in the federal corporate income tax rate required us to remeasure our existing deferred income tax balances as of the date of enactment, resulting in a non</w:t>
      </w:r>
      <w:r>
        <w:rPr>
          <w:rFonts w:ascii="MS PGothic" w:cs="MS PGothic" w:eastAsia="MS PGothic" w:hAnsi="MS PGothic"/>
          <w:sz w:val="17"/>
          <w:szCs w:val="17"/>
          <w:color w:val="auto"/>
        </w:rPr>
        <w:t>‑</w:t>
      </w:r>
      <w:r>
        <w:rPr>
          <w:rFonts w:ascii="Arial" w:cs="Arial" w:eastAsia="Arial" w:hAnsi="Arial"/>
          <w:sz w:val="17"/>
          <w:szCs w:val="17"/>
          <w:color w:val="auto"/>
        </w:rPr>
        <w:t>cash benefit to earnings in our ALLETE Clean Energy and U.S. Water Services segments as well as a non-cash expense at our Corporate and Other businesses. The remeasurement of the existing deferred income tax assets and liabilities for our Regulated Operations segment was recorded as regulatory assets, regulatory liabilities, and a change to our investment in ATC resulting in no material impact on the 2017 results of operations for this segment. The benefits of the TCJA for customers of Minnesota Power and SWL&amp;P are expected to be passed back to those customers over time primarily based upon the normalization provisions of the U.S. Internal Revenue Code over the life of the related property, plant and equipment with the remainder passed back based upon the determinations of regulatory authorities. The decrease in our investment in ATC is expected to be amortized into earnings over time. The final amount and timing over which the benefits of the TCJA will be passed back to customers has not been determined, and therefore, the full cash flow impacts are still uncertain.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0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deterioration in general economic conditions may have adverse impacts on our financial position, results of operations and cash flows.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economic conditions deteriorate on a national or regional level, it may have a negative impact on the Company’s financial position, results of operations and cash flows as well as on our customers. This impact may include volatility and unpredictability in the demand for the products and services offered by our businesses, the loss of existing customers, tempered growth strategies, production cutbacks or customer bankruptcies. An uncertain economy could also adversely affect expenses including pension costs, interest costs, and uncollectible accounts, or lead to reductions in the value of certain real estate and other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extensive state and federal legislation and regulation, compliance with which could have an adverse effect on our businesses.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Adoption of new laws, rules, regulations, principles, or practices by federal and state agencies, or changes to or a failure to comply with current laws, rules, regulations, principles, or practices and their interpretations, could have an adverse effect on our financial position, results of operations and cash flows.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reputational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could suffer negative impacts to its reputation as a result of operational incidents, violations of corporate compliance policies, regulatory violations, or other events which may result in negative customer perception and increased regulatory oversight, each of which could have an adverse effect on our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Catastrophic events, such as natural disasters and acts of war, may adversely affect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Catastrophic events such as fires, earthquakes, explosions, floods, ice storms,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such events, these measures may not be successful. Furthermore, despite these measures, if such an occurrence were to occur, our financial position, results of operations and cash flows could be adversely affected.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operations may be targets of terrorist activities, including cybersecurity attacks, which could disrupt our ability to produce or distribute some portion of our products. There have been cyber 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Computer viruses, terrorism, theft and sabotage could impact our systems and facilities, or those of third parties on which we rely, which may disrupt our operations and adversely impact our results of operations. Our businesses require the continued operation of sophisticated information technology systems and network infrastructure. Our technology systems, or those of third parties on which we rely, may be vulnerable to disability, failures or unauthorized access due to hacking, viruses, acts of war or terrorism and other causes. If those technology systems fail or are breached and not recovered in a timely manner, we may be unable to perform critical business functions and sensitive, confidential and other data could be compromised, which could have an adverse effect on our financial position, results of operations and cash flows.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 challenges to our tax positions, as well as tax law changes and the inherent difficulty in quantifying potential tax effects of business decisions, could adversely affect our results of operations and liquidity.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make judgments in order to estimate federal and state tax obligations. These judgments include reserves for potential adverse outcomes for tax positions that may be challenged by tax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these tax benefits could have an adverse impact on our financial position, results of operations and cash flows.</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plan to utilize our carryforwards and tax credits in the future to reduce our income tax obligations. If we cannot generate enough taxable income in the future to utilize all of our carryforwards and tax credits before they expire, we may incur adverse charges to earnings. If federal or state tax authorities disagree with the deductions resulting from our tax planning strategies, our financial position, results of operations and cash flows may be adversely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Operations Risks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could be negatively impacted if our Large Power Customers experience an economic downturn, incur work stoppages, fail to compete effectively, experience decreased demand or experience a decline in prices for their product.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nine Large Power Customers accounted for 25 percent of our 2017 consolidated operating revenue (22 percent in 2016 and in 2015), of which one of these customers accounted for approximately 10 percent of consolidated revenue in 2017 (8 percent in 2016 and in 2015). These customers are involved in cyclical industries that by their nature are adversely impacted by economic downturns and are subject to strong competition in the marketplace. Additionally, the North American paper and pulp industry also faces declining demand due to the impact of electronic substitution for print and changing customer needs.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if our customers experience an economic downturn, incur a work stoppage (including strikes, lock-outs or other events), fail to compete effectively, experience decreased demand or experience a decline in prices for their product, there could be adverse effects on their operations and, consequently, this could have a negative impact on our results of operations if we are unable to remarket at similar prices the energy that would otherwise have been sold to such Large Power Customers.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among other things. Energy policy initiatives at the state or federal level could increase incentives for distributed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or the adoption of new regulations could have an adverse impact on our results of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on a timely basis or costs are otherwise unable to be recovered through rates, or if cost recovery is not granted at the requested level,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17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extensive environmental laws and regulations affecting many aspects of our present and future operations, including air quality, water quality and usage, waste management, reclamation, hazardous wastes, avian mortality and natural resources. These laws and regulations can result in increased capital expenditures, environmental emission allowance trading, operating and other costs, as a result of compliance, remediation, containment and monitoring obligations, particularly with regard to laws relating to power plant emissions, coal ash, water discharge and wind energy facilities.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scientific community generally accepts that emissions of GHG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adversely affect our business and operations.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significant uncertainty regarding if and when new laws or regulations will be adopted to reduce GHGs and the impact any such laws or regulations would have on us. In 2017, coal was the primary fuel source for 70 percent of the energy produced by our generating facilities. Any future limits on GHG emissions would likely require us to incur significant capital expenditures and increases in operating costs, which if significant, could result in the closure of certain coal-fired energy centers, an impairment of assets, or otherwise adversely affect our results of operations, particularly if such expenditures and costs are not fully recoverable from customers.</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operation and maintenance of our electric generation and transmission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 of generating facilities involves many risks, including start-up operations risks, breakdown or failure of facilities, the dependence on a specific fuel source, inadequate fuel supply, availability of fuel transportation, or the impact of unusual or adverse weather conditions or other natural events, as well as the risk of performance below expected levels of output or efficiency. A significant portion of our facilities contain older generating equipment,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or deliver power, including failure caused by breakdown or forced outage, as well as repairing damage to facilities due to storms, natural disasters, wars, sabotage, terrorist acts and other catastrophic events.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improvements to existing facilities or other capital projects is contingent upon many variables.</w:t>
      </w:r>
    </w:p>
    <w:p>
      <w:pPr>
        <w:spacing w:after="0" w:line="16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expect to incur significant capital expenditures in making capital improvements to our existing electric generation and transmission facilities and in the development and construction of new electric generation and transmission facilities. Should any such efforts be unsuccessful or not completed in a timely manner, we could be subject to additional costs or impairments which could have an adverse impact on our financial position and results of operation.</w:t>
      </w:r>
    </w:p>
    <w:p>
      <w:pPr>
        <w:spacing w:after="0" w:line="14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electric generating operations may not have access to adequate and reliable transmission and distribution facilities necessary to deliver electricity to our customers.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our own transmission and distribution facilities, as well as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which could have an adverse impact on our business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could be impacted by declining wholesale power prices.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Wholesale prices for electricity have declined in recent years primarily due to low natural gas prices. If there are reductions in demand from customers or if we lose customers, we will market any available power to Other Power Suppliers in an effort to mitigate any earnings impact. Sales to Other Power Suppliers are sold at market-based prices into the MISO market on a daily basis or through bilateral agreements of various durations. Due to the low wholesale prices for electricity, we can make no assurances that our power marketing efforts would fully offset any reduction in earnings resulting from the lower demand from existing customers or the loss of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could adversely impact our financial position and results of operations and may result from:</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fuel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Fluctuations in our fuel and purchased power costs related to our retail and municipal customers are passed on to customers through the fuel adjustment clause. Volatility in market prices for our fuel and purchase power costs primarily impacts our sales to Other Power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energy may decrease.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results of operations are impacted by the demand for energy in our service territories. There could be lower demand for energy due to a loss of customers as a result of economic conditions, customers constructing their own generation facilities, higher costs and rates charged to customers,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would reduce the demand for energy products. Continuing technology improvements and regulatory developments may make customer and third party-owned generation technologies such as rooftop solar systems, WTGs, microturbines and battery storage systems more cost effective and feasible for more of our customers. If more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17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0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Infrastructure and Related Services Risks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successfully manage and grow our Energy Infrastructure and Related Services businesses could adversely affect our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Energy Infrastructure and Related Services businesses consist of ALLETE Clean Energy and U.S. Water Services. The Company's strategy for these businesses includes adding customers, products, and new geographies, project development for others and growth through acquisitions. This strategy depends, in part, on the Company’s ability to successfully identify and evaluate acquisition opportunities and consummate acquisitions on acceptable terms. The Company may compete with other companies for these acquisition opportunities, which may increase the Company’s cost of making acquisitions and the Company may be unsuccessful in pursuing these acquisition opportunities. These companies may be able to pay more for acquisitions and may be able to identify, evaluate, bid for and purchase a greater number of assets than the Company’s financial or human resources permit. Additionally, tax law changes may adversely impact the economic characteristics of potential acquisitions or investments. If the Company is unable to execute its strategy of growth through acquisitions, project development for others, or the addition of new customers, products and geographies, it may impede our long-term objectives and business strategy.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are subject to uncertainties. If we are unable to successfully integrate and manage future acquisitions or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 Water Services principally relies upon recurring revenues from a diverse mix of industrial customers. Some of these customers can be adversely affected by low commodity prices such as those for ethanol and oil which may cause these customers to purchase less of U.S. Water Services’ products and services. If U.S. Water Services is unable to retain its existing customers, add new customers, or if it experiences reduced demand for its products and services, adverse impacts on our results of operations could occur that would prevent us from achieving our future growth expectations.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generation of electricity from ALLETE Clean Energy’s wind energy facilities depends heavily on suitable meteorological conditions.</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Clean Energy’s facilities are geographically diverse; however, if wind conditions are unfavorable, ALLETE Clean Energy’s electricity generation and revenue from its wind energy facilities may be substantially below its expectations. The electricity produced, production tax credits received, and revenues generated by a wind energy facility are highly dependent on suitable wind conditions and associated weather conditions, which are beyond ALLETE Clean Energy’s control. Furthermore, components of its systems could be damaged by severe weather, such as hailstorms, lightning or tornadoes. In addition, replacement and spare parts for key components of ALLETE Clean Energy’s diverse turbine portfolio may be difficult or costly to acquire or may be unavailable. Unfavorable weather and atmospheric conditions could impair the effectiveness of ALLETE Clean Energy’s assets or reduce their output beneath their rated capacity or require shutdown of key equipment, impeding operation of its wind energy facilities.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operation and maintenance of ALLETE Clean Energy’s electric generation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operation of generating facilities involves many risks, including start-up operations risks, breakdown or failure of facilities, the dependence on the availability of wind resources, or the impact of unusual, adverse weather conditions or other natural events, as well as the risk of performance below expected levels of output or efficiency. A portion of our facilities contain older generating equipment,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repairing damage to facilities due to storms, natural disasters, wars, sabotage, terrorist acts and other catastrophic events.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0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contracts with its counterparties expire, ALLETE Clean Energy may not be able to replace them with agreements on similar terms.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is party to PSAs which expire in various years between 2018 and 2032.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or sell energy in the wholesale market resulting in similar revenue, our financial position, results of operations and cash flows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Counterparties to ALLETE Clean Energy’s offtake agreements may not fulfill their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 is party to PSAs under various durations with a limited number of creditworthy counterparties. If, for any reason, any of the counterparties under these agreements do not fulfill their related contractual obligations, and ALLETE Clean Energy is unable to remarket the energy resulting in similar revenue, our financial position, results of operations and cash flows could be adversely affected.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ALLETE has a significant amount of goodwill and intangible assets. A determination that goodwill or intangible assets have been impaired could result in a significant non-cash charge to earnings.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approximately $226 million of goodwill and intangible assets recorded on our Consolidated Balance Sheet as of December 31, 2017, relating to our initial acquisition of U.S. Water Services in 2015 as well as U.S. Water Services’ subsequent acquisitions. If we change our business strategy, fail to deliver on our projected results or if market or other conditions adversely affect the operations of U.S. Water Services, we may be required to record an impairment charge. Declines in projected operating cash flows at U.S. Water Services could also result in an impairment charge. An impairment charge would result in a non-cash charge to earnings that could have an adverse effect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 may be adversely impacted by its exposure to customer concentration, and environmental laws and regulations.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BNI Energy sells lignite coal to two electric generating cooperatives, Minnkota Power and Square Butte, and could be adversely impacted if these customers were unable or unwilling to fulfill their related contractual obligations. In addition, BNI Energy and its customers may be adversely impacted by environmental laws and regulations which could have an adverse effect on our financial position,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 conditions where our legacy Florida real estate investment is located may not improve.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strategy related to the real estate assets of ALLETE Properties incorporates the possibility of a bulk sale of its entire portfolio, in addition to sales over time, however, continued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material regulatory and environmental proceedings are included in Note 4. Regulatory Matters and Note 11. Commitments, Guarantees and Contingencies, and are incorporated by reference 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listed on the NYSE under the symbol ALE. We have paid dividends, without interruption, on our common stock since 1948. A quarterly dividend of $0.56 per share on our common stock is payable on March 1, 2018, to the shareholders of record on February 15, 2018. The timing and amount of future dividends will depend upon earnings, cash requirements, the financial condition of the Company, applicable government regulations and other factors deemed relevant by the ALLETE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dividends declared per share, and the high and low prices of our common stock for the periods indicated as reported by the NYSE: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2017</w:t>
            </w:r>
          </w:p>
        </w:tc>
        <w:tc>
          <w:tcPr>
            <w:tcW w:w="1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2016</w:t>
            </w:r>
          </w:p>
        </w:tc>
        <w:tc>
          <w:tcPr>
            <w:tcW w:w="13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9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Dividends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88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Dividends</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Quarter</w:t>
            </w:r>
          </w:p>
        </w:tc>
        <w:tc>
          <w:tcPr>
            <w:tcW w:w="1880" w:type="dxa"/>
            <w:vAlign w:val="bottom"/>
          </w:tcPr>
          <w:p>
            <w:pPr>
              <w:jc w:val="right"/>
              <w:ind w:right="910"/>
              <w:spacing w:after="0"/>
              <w:rPr>
                <w:sz w:val="20"/>
                <w:szCs w:val="20"/>
                <w:color w:val="auto"/>
              </w:rPr>
            </w:pPr>
            <w:r>
              <w:rPr>
                <w:rFonts w:ascii="Arial" w:cs="Arial" w:eastAsia="Arial" w:hAnsi="Arial"/>
                <w:sz w:val="18"/>
                <w:szCs w:val="18"/>
                <w:b w:val="1"/>
                <w:bCs w:val="1"/>
                <w:color w:val="auto"/>
              </w:rPr>
              <w:t>High</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Low</w:t>
            </w: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Declared</w:t>
            </w:r>
          </w:p>
        </w:tc>
        <w:tc>
          <w:tcPr>
            <w:tcW w:w="1660" w:type="dxa"/>
            <w:vAlign w:val="bottom"/>
          </w:tcPr>
          <w:p>
            <w:pPr>
              <w:jc w:val="right"/>
              <w:ind w:right="890"/>
              <w:spacing w:after="0"/>
              <w:rPr>
                <w:sz w:val="20"/>
                <w:szCs w:val="20"/>
                <w:color w:val="auto"/>
              </w:rPr>
            </w:pPr>
            <w:r>
              <w:rPr>
                <w:rFonts w:ascii="Arial" w:cs="Arial" w:eastAsia="Arial" w:hAnsi="Arial"/>
                <w:sz w:val="18"/>
                <w:szCs w:val="18"/>
                <w:b w:val="1"/>
                <w:bCs w:val="1"/>
                <w:color w:val="auto"/>
              </w:rPr>
              <w:t>High</w:t>
            </w: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Low</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Declared</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$68.38</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$61.64</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$0.535</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$58.34</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$48.26</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Second</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$74.59</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$66.81</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0.535</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$64.69</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$53.47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0.52</w:t>
            </w:r>
          </w:p>
        </w:tc>
      </w:tr>
      <w:tr>
        <w:trPr>
          <w:trHeight w:val="27"/>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$79.61</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$69.79</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0.535</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$65.41</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$52.50</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Fourth</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$81.24</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$72.96</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0.535</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$66.92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$56.48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0.52</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Total</w:t>
            </w:r>
          </w:p>
        </w:tc>
        <w:tc>
          <w:tcPr>
            <w:tcW w:w="18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$2.14</w:t>
            </w:r>
          </w:p>
        </w:tc>
        <w:tc>
          <w:tcPr>
            <w:tcW w:w="1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0"/>
        </w:trPr>
        <w:tc>
          <w:tcPr>
            <w:tcW w:w="3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2018, there were approximately 23,000 common stock shareholders of record.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0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assume a $100 investment on December 31, 2012,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14605</wp:posOffset>
            </wp:positionV>
            <wp:extent cx="5257165"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$146</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$140</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$183</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$132</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$150</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$153</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$171</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$208</w:t>
            </w: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Philadelphia Utility Index</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$111</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$143</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$152</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$178</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w:t>
            </w:r>
          </w:p>
        </w:tc>
      </w:tr>
      <w:tr>
        <w:trPr>
          <w:trHeight w:val="27"/>
        </w:trPr>
        <w:tc>
          <w:tcPr>
            <w:tcW w:w="39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460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Revenue </w:t>
            </w:r>
            <w:r>
              <w:rPr>
                <w:rFonts w:ascii="Arial" w:cs="Arial" w:eastAsia="Arial" w:hAnsi="Arial"/>
                <w:sz w:val="16"/>
                <w:szCs w:val="16"/>
                <w:i w:val="1"/>
                <w:iCs w:val="1"/>
                <w:color w:val="auto"/>
              </w:rPr>
              <w:t>(a)</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$1,419.3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$1,339.7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$1,486.4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$1,136.8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$1,018.4</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6"/>
                <w:szCs w:val="16"/>
                <w:i w:val="1"/>
                <w:iCs w:val="1"/>
                <w:color w:val="auto"/>
              </w:rPr>
              <w:t>(a)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$1,189.5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$1,116.2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$1,275.7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$948.0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$864.3</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$172.2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$155.8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$141.5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$125.5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$104.7</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 xml:space="preserve">Less: Non-Controlling Interest in Subsidiaries </w:t>
            </w:r>
            <w:r>
              <w:rPr>
                <w:rFonts w:ascii="Arial" w:cs="Arial" w:eastAsia="Arial" w:hAnsi="Arial"/>
                <w:sz w:val="16"/>
                <w:szCs w:val="16"/>
                <w:i w:val="1"/>
                <w:iCs w:val="1"/>
                <w:color w:val="auto"/>
              </w:rPr>
              <w:t>(c)</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0.4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$172.2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$155.3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$141.1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$124.8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$104.7</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108.7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102.7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97.9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83.8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75.2</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Earnings Retained in Business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$63.5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$52.6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$43.2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$41.0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Shares Outstanding</w:t>
            </w:r>
          </w:p>
        </w:tc>
        <w:tc>
          <w:tcPr>
            <w:tcW w:w="1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Year-End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41.4</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6"/>
                <w:szCs w:val="16"/>
                <w:i w:val="1"/>
                <w:iCs w:val="1"/>
                <w:color w:val="auto"/>
              </w:rPr>
              <w:t>(d)</w:t>
            </w: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48.3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39.7</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51.0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49.5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48.4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43.1</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39.8</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8"/>
                <w:szCs w:val="18"/>
                <w:i w:val="1"/>
                <w:iCs w:val="1"/>
                <w:color w:val="auto"/>
              </w:rPr>
              <w:t>(e)</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$5,080.0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$4,876.9</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$4,864.4</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$4,329.1</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$3,458.6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$1,439.2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$1,370.4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$1,556.7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$1,263.2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$1,074.9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 xml:space="preserve">Return on Common Equity </w:t>
            </w:r>
            <w:r>
              <w:rPr>
                <w:rFonts w:ascii="Arial" w:cs="Arial" w:eastAsia="Arial" w:hAnsi="Arial"/>
                <w:sz w:val="16"/>
                <w:szCs w:val="16"/>
                <w:i w:val="1"/>
                <w:iCs w:val="1"/>
                <w:color w:val="auto"/>
              </w:rPr>
              <w:t>(b)</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8.4%</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$2.14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$2.08</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$2.02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$1.96</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$1.90</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Dividend Payout Ratio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Book Value Per Share at Year-End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$40.46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$38.17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$37.18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$35.04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$32.43</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by Segment</w:t>
            </w:r>
          </w:p>
        </w:tc>
        <w:tc>
          <w:tcPr>
            <w:tcW w:w="1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$177.1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$121.8</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$224.4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$583.5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$326.3</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56.1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106.9</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U.S. Water Services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$266.5</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$247.8</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$251.8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$604.3</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 2015, operating revenue and operating expenses included the construction and sale of a wind energy facility from ALLETE Clean Energy to Montana-Dakota Utilities for $197.7 million and $162.9 million, respectively.</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year ended December 31, 2017, includes the impact of the remeasurement of deferred income tax assets and liabilities resulting from the TCJA. (See Note 1. Operations and Significant Accounting Policies.)</w:t>
      </w: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non-controlling interest related to ALLETE Clean Energy’s Condon wind energy facility was acquired in April 2016. (See Note 6. Acquisitions.)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unallocated ESOP shares in 2013 and 2014.</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During the first quarter of 2017, the Company identified an error related to the deferred income tax treatment associated with its Wholesale and Retail Contra AFUDC Regulatory Liability resulting in a decrease in Regulatory Assets and Deferred Income Taxes. The periods presented have been revised for the correction of the error. (See Note 1. Operations and Significant Accounting Policies.)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located on page 6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2017,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2017, to the year ended December 31, 2016.</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Net income attributable to ALLETE in 2017 was $172.2 million, or $3.38 per diluted share, compared to $155.3 million, or $3.14 per diluted share, in 2016. Net income in 2017 included the favorable impacts of $13.0 million after-tax, or $0.25 per share, for the remeasurement of deferred income tax assets and liabilities resulting from the TCJA (see Note 1. Operations and Significant Accounting Policies) and $7.9 million after-tax, or $0.16 per share, related to the regulatory outcome of the MPUC’s modification of its November 2016 order on the allocation of North Dakota investment tax credits. Net income in 2017 also included a non</w:t>
      </w:r>
      <w:r>
        <w:rPr>
          <w:rFonts w:ascii="MS PGothic" w:cs="MS PGothic" w:eastAsia="MS PGothic" w:hAnsi="MS PGothic"/>
          <w:sz w:val="17"/>
          <w:szCs w:val="17"/>
          <w:color w:val="auto"/>
        </w:rPr>
        <w:t>‑</w:t>
      </w:r>
      <w:r>
        <w:rPr>
          <w:rFonts w:ascii="Arial" w:cs="Arial" w:eastAsia="Arial" w:hAnsi="Arial"/>
          <w:sz w:val="17"/>
          <w:szCs w:val="17"/>
          <w:color w:val="auto"/>
        </w:rPr>
        <w:t>cash $11.4 million after-tax charge, or $0.22 per share, for the MPUC’s decision in Minnesota Power’s 2016 general rate case at a hearing on January 18, 2018, disallowing recovery of Minnesota Power’s regulatory asset for deferred fuel adjustment clause costs due to the anticipated adoption of a forward-looking fuel adjustment clause methodology. (See Note 4. Regulatory Matters.) Net income in 2016 included the favorable impact related to the change in fair value of the contingent consideration liability of $13.6 million after-tax, or $0.28 per share. Net income in 2016 also included an adverse impact of $8.8 million after</w:t>
      </w:r>
      <w:r>
        <w:rPr>
          <w:rFonts w:ascii="MS PGothic" w:cs="MS PGothic" w:eastAsia="MS PGothic" w:hAnsi="MS PGothic"/>
          <w:sz w:val="17"/>
          <w:szCs w:val="17"/>
          <w:color w:val="auto"/>
        </w:rPr>
        <w:t>‑</w:t>
      </w:r>
      <w:r>
        <w:rPr>
          <w:rFonts w:ascii="Arial" w:cs="Arial" w:eastAsia="Arial" w:hAnsi="Arial"/>
          <w:sz w:val="17"/>
          <w:szCs w:val="17"/>
          <w:color w:val="auto"/>
        </w:rPr>
        <w:t>tax, or $0.18 per share, for the regulatory outcome of the November 2016 MPUC order on the allocation of North Dakota investment tax credits, a $3.3 million after</w:t>
      </w:r>
      <w:r>
        <w:rPr>
          <w:rFonts w:ascii="MS PGothic" w:cs="MS PGothic" w:eastAsia="MS PGothic" w:hAnsi="MS PGothic"/>
          <w:sz w:val="17"/>
          <w:szCs w:val="17"/>
          <w:color w:val="auto"/>
        </w:rPr>
        <w:t>‑</w:t>
      </w:r>
      <w:r>
        <w:rPr>
          <w:rFonts w:ascii="Arial" w:cs="Arial" w:eastAsia="Arial" w:hAnsi="Arial"/>
          <w:sz w:val="17"/>
          <w:szCs w:val="17"/>
          <w:color w:val="auto"/>
        </w:rPr>
        <w:t>tax, or $0.07 per share, goodwill impairment charge and a $0.9 million after-tax expense, or $0.02 per share, related to the repayment of long-term debt at ALLETE Clean Energy. Earnings per share dilution in 2017 was $0.11 due to additional shares of common stock outstanding as of December 31, 2017.</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0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2017 Financial Overview (Continued)</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$128.4 million in 2017, compared to $135.5 million in 2016. Net income in 2017 at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decreased $9.8 million after-tax reflecting a non-cash $11.4 million after-tax charge for the MPUC’s decision disallowing the recovery of Minnesota Power’s regulatory asset for deferred fuel adjustment clause costs due to the anticipated adoption of a forward-looking fuel adjustment clause methodology. In addition, net income decreased due to lower kWh sales to other power suppliers as a result of higher industrial sales coupled with lower market prices, higher interest and taxes other than income taxes, and lower kWh sales to residential, commercial and municipal customers due to milder temperatures in 2017. These decreases were partially offset by lower depreciation expense of $14.6 million after-tax resulting from the MPUC’s decision to modify the depreciable lives at Boswell, and higher industrial kWh sales. Interim retail rate refund reserves fully offset the interim retail rates recognized during 2017 due to the regulatory outcome of the MPUC’s decisions in Minnesota Power’s 2016 general rate case on January 18, 2018. Our equity earnings in ATC for 2017 increased $2.6 million after</w:t>
      </w:r>
      <w:r>
        <w:rPr>
          <w:rFonts w:ascii="MS PGothic" w:cs="MS PGothic" w:eastAsia="MS PGothic" w:hAnsi="MS PGothic"/>
          <w:sz w:val="17"/>
          <w:szCs w:val="17"/>
          <w:color w:val="auto"/>
        </w:rPr>
        <w:t>‑</w:t>
      </w:r>
      <w:r>
        <w:rPr>
          <w:rFonts w:ascii="Arial" w:cs="Arial" w:eastAsia="Arial" w:hAnsi="Arial"/>
          <w:sz w:val="17"/>
          <w:szCs w:val="17"/>
          <w:color w:val="auto"/>
        </w:rPr>
        <w:t>tax primarily due to additional investments in ATC and period over period changes in ATC’s estimate of a refund liability related to MISO return on equity complaints.</w:t>
      </w:r>
    </w:p>
    <w:p>
      <w:pPr>
        <w:spacing w:after="0" w:line="20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$41.5 million in 2017 compared to $13.4 million in 2016. Net income in 2017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$23.6 million after-tax benefit due to the remeasurement of deferred income tax assets and liabilities resulting from the TCJA, increased production tax credits due to the requalification of WTGs for production tax credits at its Storm Lake I, Storm Lake II and Lake Benton wind energy facilities, lower operating and maintenance expenses, and lower interest expense compared to 2016. Net income in 2016 included a $3.3 million after-tax goodwill impairment charge and a $0.9 million after-tax expense related to the repayment of long-term debt. Net income in 2016 also included an allocation of earnings to a non</w:t>
      </w:r>
      <w:r>
        <w:rPr>
          <w:rFonts w:ascii="MS PGothic" w:cs="MS PGothic" w:eastAsia="MS PGothic" w:hAnsi="MS PGothic"/>
          <w:sz w:val="18"/>
          <w:szCs w:val="18"/>
          <w:color w:val="auto"/>
        </w:rPr>
        <w:t>‑</w:t>
      </w:r>
      <w:r>
        <w:rPr>
          <w:rFonts w:ascii="Arial" w:cs="Arial" w:eastAsia="Arial" w:hAnsi="Arial"/>
          <w:sz w:val="18"/>
          <w:szCs w:val="18"/>
          <w:color w:val="auto"/>
        </w:rPr>
        <w:t>controlling interest in the limited liability company that owns the Condon wind energy facility, which was acquired by ALLETE Clean Energy in April 2016. (See Note 6. Acquisitions.)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income attributable to ALLETE was $10.7 million in 2017, compared to $1.5 million in 2016. Net income in 2017 reflected a $9.2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after-tax benefit due to the remeasurement of deferred income tax assets and liabilities resulting from the TCJA, and higher operating revenue, partially offset by increased operating expenses as a result of investments for future growth in waste treatment and water safety applications. Net income in 2017 also included a net loss of $0.8 million primarily for transaction fees and amortization expense of the Tonka Water acquisition on September 1, 2017. (See Note 6. Acquisitions.)</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loss attributable to ALLETE was $8.4 million in 2017, compared to net income of $4.9 million in 2016. The net loss in 2017</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additional income tax expense of $19.8 million after-tax for the remeasurement of deferred income tax assets and liabilities resulting from the TCJA. The net loss in 2017 also included a $7.9 million after</w:t>
      </w:r>
      <w:r>
        <w:rPr>
          <w:rFonts w:ascii="MS PGothic" w:cs="MS PGothic" w:eastAsia="MS PGothic" w:hAnsi="MS PGothic"/>
          <w:sz w:val="17"/>
          <w:szCs w:val="17"/>
          <w:color w:val="auto"/>
        </w:rPr>
        <w:t>‑</w:t>
      </w:r>
      <w:r>
        <w:rPr>
          <w:rFonts w:ascii="Arial" w:cs="Arial" w:eastAsia="Arial" w:hAnsi="Arial"/>
          <w:sz w:val="17"/>
          <w:szCs w:val="17"/>
          <w:color w:val="auto"/>
        </w:rPr>
        <w:t>tax favorable impact for the regulatory outcome of the MPUC’s modification of its November 2016 order on the allocation of North Dakota investment tax credits, lower accretion expense relating to the contingent consideration liability, and lower interest expense. Net income in 2016 included an after-tax gain of $13.6 million related to the change in fair value of the contingent consideration liability, partially offset by an $8.8 million after-tax adverse impact for the regulatory outcome of the November 2016 MPUC order.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0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2017 Compared to 2016</w:t>
            </w:r>
          </w:p>
        </w:tc>
        <w:tc>
          <w:tcPr>
            <w:tcW w:w="3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(See Note 17. Business Segments for financial results by segment.)</w:t>
            </w: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$1,063.8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$1,000.7</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396.9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339.9</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223.1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220.7</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132.6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51.1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188.9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80" w:type="dxa"/>
            <w:vAlign w:val="bottom"/>
          </w:tcPr>
          <w:p>
            <w:pPr>
              <w:jc w:val="right"/>
              <w:ind w:right="130"/>
              <w:spacing w:after="0"/>
              <w:rPr>
                <w:sz w:val="20"/>
                <w:szCs w:val="20"/>
                <w:color w:val="auto"/>
              </w:rPr>
            </w:pPr>
            <w:r>
              <w:rPr>
                <w:rFonts w:ascii="Arial" w:cs="Arial" w:eastAsia="Arial" w:hAnsi="Arial"/>
                <w:sz w:val="18"/>
                <w:szCs w:val="18"/>
                <w:color w:val="auto"/>
              </w:rPr>
              <w:t>(57.0)</w:t>
            </w:r>
          </w:p>
        </w:tc>
        <w:tc>
          <w:tcPr>
            <w:tcW w:w="9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155.6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27.2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3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r>
      <w:tr>
        <w:trPr>
          <w:trHeight w:val="20"/>
        </w:trPr>
        <w:tc>
          <w:tcPr>
            <w:tcW w:w="42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Operating Revenue – Utility </w:t>
      </w:r>
      <w:r>
        <w:rPr>
          <w:rFonts w:ascii="Arial" w:cs="Arial" w:eastAsia="Arial" w:hAnsi="Arial"/>
          <w:sz w:val="16"/>
          <w:szCs w:val="16"/>
          <w:color w:val="auto"/>
        </w:rPr>
        <w:t>increased $63.1 million, or 6 percent, from 2016 primarily due to the period over period impact of the regulatory outcomes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allocation of North Dakota investment tax credits, as well as higher fuel adjustment clause recoveries, conservation improvement program recoveries and revenue from kWh sales, partially offset by lower FERC formula-based rates, financial incentives under the conservation improvement program and transmission revenue. Interim retail rate refund reserves fully offset the interim retail rates recognized during 2017.</w:t>
      </w:r>
    </w:p>
    <w:p>
      <w:pPr>
        <w:spacing w:after="0" w:line="15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Revenue increased $29.3 million due to the period over period impact of the regulatory outcomes related to the allocation of North Dakota investment tax credits. As a result of the favorable impact for the regulatory outcome of the MPUC’s modification of its November 2016 order on the allocation of North Dakota investment tax credits, operating revenue increased approximately $14 million in 2017. In 2016, operating revenue decreased approximately $15 million as a result of the adverse impact for the regulatory outcome of the November 2016 MPUC order. (See Note 4. Regulatory Matters.)</w:t>
      </w:r>
    </w:p>
    <w:p>
      <w:pPr>
        <w:spacing w:after="0" w:line="15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increased $24.4 million due to higher fuel and purchased power costs attributable to retail and municipal customers. (See </w:t>
      </w:r>
      <w:r>
        <w:rPr>
          <w:rFonts w:ascii="Arial" w:cs="Arial" w:eastAsia="Arial" w:hAnsi="Arial"/>
          <w:sz w:val="18"/>
          <w:szCs w:val="18"/>
          <w:i w:val="1"/>
          <w:iCs w:val="1"/>
          <w:color w:val="auto"/>
        </w:rPr>
        <w:t>Operating Expenses - Fuel, Purchased Power and Gas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$7.2 million from 2016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19" w:lineRule="exact"/>
        <w:rPr>
          <w:sz w:val="20"/>
          <w:szCs w:val="20"/>
          <w:color w:val="auto"/>
        </w:rPr>
      </w:pPr>
      <w:r>
        <w:rPr>
          <w:rFonts w:ascii="Arial" w:cs="Arial" w:eastAsia="Arial" w:hAnsi="Arial"/>
          <w:sz w:val="16"/>
          <w:szCs w:val="16"/>
          <w:color w:val="auto"/>
        </w:rPr>
        <w:t>Revenue from kWh sales increased $3.9 million from 2016 primarily due to higher sales to Industrial customers. Sales to Industrial customers increased 13.5 percent primarily due to increased taconite production and the commencement of a long</w:t>
      </w:r>
      <w:r>
        <w:rPr>
          <w:rFonts w:ascii="MS PGothic" w:cs="MS PGothic" w:eastAsia="MS PGothic" w:hAnsi="MS PGothic"/>
          <w:sz w:val="16"/>
          <w:szCs w:val="16"/>
          <w:color w:val="auto"/>
        </w:rPr>
        <w:t>‑</w:t>
      </w:r>
      <w:r>
        <w:rPr>
          <w:rFonts w:ascii="Arial" w:cs="Arial" w:eastAsia="Arial" w:hAnsi="Arial"/>
          <w:sz w:val="16"/>
          <w:szCs w:val="16"/>
          <w:color w:val="auto"/>
        </w:rPr>
        <w:t>term PSA with Silver Bay Power in June 2016. Sales to Other Power Suppliers decreased 6.4 percent from 2016 as a result of increased sales to Industrial customers. Sales to Other Power Suppliers are sold at market</w:t>
      </w:r>
      <w:r>
        <w:rPr>
          <w:rFonts w:ascii="MS PGothic" w:cs="MS PGothic" w:eastAsia="MS PGothic" w:hAnsi="MS PGothic"/>
          <w:sz w:val="16"/>
          <w:szCs w:val="16"/>
          <w:color w:val="auto"/>
        </w:rPr>
        <w:t>‑</w:t>
      </w:r>
      <w:r>
        <w:rPr>
          <w:rFonts w:ascii="Arial" w:cs="Arial" w:eastAsia="Arial" w:hAnsi="Arial"/>
          <w:sz w:val="16"/>
          <w:szCs w:val="16"/>
          <w:color w:val="auto"/>
        </w:rPr>
        <w:t>based prices into the MISO market on a daily basis or through bilateral agreements of various durations; market prices were lower in 2017 compared to 2016. Sales to Residential, Commercial and Municipal customers decreased primarily due to milder temperatures in 2017.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0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1,096</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1,102</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1,420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1,442</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(1.5)</w:t>
            </w: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7,327</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6,456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871</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13.5</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799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816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(2.1)</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10,642</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9,816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826</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8.4</w:t>
            </w: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4,039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4,316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(277)</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(6.4)</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14,681</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14,132</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549</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w:t>
            </w:r>
          </w:p>
        </w:tc>
      </w:tr>
      <w:tr>
        <w:trPr>
          <w:trHeight w:val="20"/>
        </w:trPr>
        <w:tc>
          <w:tcPr>
            <w:tcW w:w="45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2017 (18 percent in 2016). Revenue from electric sales to paper, pulp and secondary wood product customers accounted for 5 percent of consolidated operating revenue in 2017 (6 percent in 2016). Revenue from electric sales to pipelines and other industrial customers accounted for 7 percent of consolidated operating revenue in 2017 (7 percent in 2016).</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Interim retail rates for Minnesota Power were approved by the MPUC and became effective January 1, 2017. Interim retail rate refund reserves of $31.6 million fully offset the interim retail rates recognized during 2017 due to the regulatory outcome of the MPUC’s decision in Minnesota Power’s 2016 general rate case on January 18, 2018. (See Note 4. Regulatory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decreased $4.9 million from 2016 primarily due to lower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incentives under the conservation improvement program decreased $1.9 million from 2016.</w:t>
      </w:r>
    </w:p>
    <w:p>
      <w:pPr>
        <w:spacing w:after="0" w:line="225"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 xml:space="preserve">Transmission revenue decreased $1.7 million primarily due to lower MISO-related revenue, partially offset by period over period changes in the estimate of a refund liability related to MISO return on equity complaints. (See </w:t>
      </w:r>
      <w:r>
        <w:rPr>
          <w:rFonts w:ascii="Arial" w:cs="Arial" w:eastAsia="Arial" w:hAnsi="Arial"/>
          <w:sz w:val="17"/>
          <w:szCs w:val="17"/>
          <w:i w:val="1"/>
          <w:iCs w:val="1"/>
          <w:color w:val="auto"/>
        </w:rPr>
        <w:t>Operating Expenses - Transmission Services – Utility.</w:t>
      </w:r>
      <w:r>
        <w:rPr>
          <w:rFonts w:ascii="Arial" w:cs="Arial" w:eastAsia="Arial" w:hAnsi="Arial"/>
          <w:sz w:val="17"/>
          <w:szCs w:val="17"/>
          <w:color w:val="auto"/>
        </w:rPr>
        <w: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$47.1 million, or 6 percent, from 2016.</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$57.0 million, or 17 percent, from 2016 primarily due to increased kWh sales, higher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and a $19.5 million expense for the MPUC’s decision disallowing recovery of Minnesota Power’s regulatory asset for deferred fuel adjustment clause costs at a hearing on January 18, 2018, due to the anticipated adoption of a forward-looking fuel adjustment clause methodology. These increases were partially offset by lower purchased power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$6.0 million, or 9 percent, from 2016 primarily due to higher MISO-related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$2.4 million, or 1 percent, from 2016 primarily due to a $7.2 million increase in conservation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improvement program expenses in 2017. Conservation improvement program expenses are recovered from certain retail customers.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 Utility.</w:t>
      </w:r>
      <w:r>
        <w:rPr>
          <w:rFonts w:ascii="Arial" w:cs="Arial" w:eastAsia="Arial" w:hAnsi="Arial"/>
          <w:sz w:val="18"/>
          <w:szCs w:val="18"/>
          <w:color w:val="auto"/>
        </w:rPr>
        <w:t>) This increase was partially offset by lower materials purchased for generation facilities. Operating and Maintenance expense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 $3.6 million sales tax refund, partially offset by higher storm restoration costs of $2.9 million related to severe wind storms across Minnesota Power’s service territory in July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decreased $21.7 million, or 14 percent, from 2016 primarily due to modifications of the depreciable lives for</w:t>
      </w:r>
      <w:r>
        <w:rPr>
          <w:rFonts w:ascii="Arial" w:cs="Arial" w:eastAsia="Arial" w:hAnsi="Arial"/>
          <w:sz w:val="18"/>
          <w:szCs w:val="18"/>
          <w:i w:val="1"/>
          <w:iCs w:val="1"/>
          <w:color w:val="auto"/>
        </w:rPr>
        <w:t xml:space="preserve"> </w:t>
      </w:r>
      <w:r>
        <w:rPr>
          <w:rFonts w:ascii="Arial" w:cs="Arial" w:eastAsia="Arial" w:hAnsi="Arial"/>
          <w:sz w:val="18"/>
          <w:szCs w:val="18"/>
          <w:color w:val="auto"/>
        </w:rPr>
        <w:t>Boswell, partially offset by additional property, plant and equipment in service. At a hearing on January 18, 2018, the MPUC decided to extend the depreciable lives of Boswell Unit 3, Unit 4 and common facilities to 2050, and shorten the depreciable lives of Boswell Unit 1 and Unit 2 to 2022, resulting in a net decrease to depreciation expense of approximately $25 million in 2017.</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$3.4 million, or 7 percent, from 2016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$4.9 million, or 9 percent, from 2016 primarily due to higher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primarily based on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$4.0 million, or 22 percent, from 2016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 (See Note 5. Investment in ATC.)</w:t>
      </w:r>
    </w:p>
    <w:p>
      <w:pPr>
        <w:spacing w:after="0" w:line="17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increased $21.3 million from 2016 primarily due to the period over period impact of the regulatory outcomes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allocation of North Dakota investment tax credits and higher pre-tax income. The TCJA did not have an impact on income tax expense for our Regulated Operations as the remeasurement of deferred income tax assets and liabilities primarily resulted in the recording of regulatory assets and liabilities.</w:t>
      </w:r>
    </w:p>
    <w:p>
      <w:pPr>
        <w:spacing w:after="0" w:line="14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2017, as a result of the favorable impact for the regulatory outcome of the MPUC’s modification of its November 2016 order on the allocation of North Dakota investment tax credits, Regulated Operations increased operating revenue and reduced the corresponding regulatory liability by approximately $14 million resulting in an income tax expense of $6.1 million. In addition, Regulated Operations recorded an income tax expense of $7.9 million for North Dakota investment tax credits transferred to Corporate and Other, resulting in no impact to net income for Regulated Operations. Corporate and Other recorded an offsetting income tax benefit of $7.9 million for the North Dakota investment tax credits transferred from Regulated Operations.</w:t>
      </w:r>
    </w:p>
    <w:p>
      <w:pPr>
        <w:spacing w:after="0" w:line="19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2016, as a result of the adverse impact for the regulatory outcome of the November 2016 MPUC order, Regulated Operations reduced operating revenue and recorded a corresponding regulatory liability for approximately $15 million resulting in an income tax benefit of $6.2 million. In addition, Regulated Operations recorded an income tax benefit of $8.8 million for North Dakota investment tax credits transferred from Corporate and Other, resulting in no impact to net income for Regulated Operations. Corporate and Other recorded an offsetting income tax expense of $8.8 million for the North Dakota investment tax credits transferred to Regulated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0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$80.5</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43"/>
        </w:trPr>
        <w:tc>
          <w:tcPr>
            <w:tcW w:w="4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4020" w:type="dxa"/>
            <w:vAlign w:val="bottom"/>
          </w:tcPr>
          <w:p>
            <w:pPr>
              <w:jc w:val="right"/>
              <w:ind w:right="210"/>
              <w:spacing w:after="0"/>
              <w:rPr>
                <w:sz w:val="20"/>
                <w:szCs w:val="20"/>
                <w:color w:val="auto"/>
              </w:rPr>
            </w:pPr>
            <w:r>
              <w:rPr>
                <w:rFonts w:ascii="Arial" w:cs="Arial" w:eastAsia="Arial" w:hAnsi="Arial"/>
                <w:sz w:val="18"/>
                <w:szCs w:val="18"/>
                <w:color w:val="auto"/>
              </w:rPr>
              <w:t>$41.5</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Results in 2017 include a $23.6 million after-tax benefit due to the remeasurement of deferred income tax assets and liabilities resulting from the TCJA.</w:t>
      </w:r>
    </w:p>
    <w:p>
      <w:pPr>
        <w:spacing w:after="0" w:line="21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is consistent with 2016 as lower kWh sales at the wind energy facilities resulting from lower wind resources were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PSAs. (See Note 1. Operations and Significant Accounting Policies.)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241.8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$12.3</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254.7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152.6</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90.7</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7.5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96.9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215.6</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222.3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263.5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13.9</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278.8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267.4</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268.2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1,231.6</w:t>
            </w: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$80.5</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1,275.7</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18" w:lineRule="exact"/>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$28.1 million from 2016. Net income in 2017 included a $23.6 million after</w:t>
      </w:r>
      <w:r>
        <w:rPr>
          <w:rFonts w:ascii="MS PGothic" w:cs="MS PGothic" w:eastAsia="MS PGothic" w:hAnsi="MS PGothic"/>
          <w:sz w:val="16"/>
          <w:szCs w:val="16"/>
          <w:color w:val="auto"/>
        </w:rPr>
        <w:t>‑</w:t>
      </w:r>
      <w:r>
        <w:rPr>
          <w:rFonts w:ascii="Arial" w:cs="Arial" w:eastAsia="Arial" w:hAnsi="Arial"/>
          <w:sz w:val="16"/>
          <w:szCs w:val="16"/>
          <w:color w:val="auto"/>
        </w:rPr>
        <w:t>tax benefit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remeasurement of deferred income tax assets and liabilities resulting from the TCJA, increased production tax credits due to the requalification of WTGs at ALLETE Clean Energy’s Storm Lake I, Storm Lake II and Lake Benton wind energy facilities, lower operating and maintenance expense, and lower interest expense compared to 2016. Net income in 2016 included a $3.3 million after-tax goodwill impairment charge and a $0.9 million after-tax expense related to the repayment of long-term debt. Net income in 2016 also included an allocation of earnings to a non-controlling interest in the limited liability company that owns the Condon wind energy facility, which was acquired by ALLETE Clean Energy in April 2016. (See Note 6. Acquisitions.)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$151.8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43"/>
        </w:trPr>
        <w:tc>
          <w:tcPr>
            <w:tcW w:w="42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402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Results in 2017 include a $9.2 million after-tax benefit due to the remeasurement of deferred income tax assets and liabilities resulting from the TCJA.</w:t>
      </w:r>
    </w:p>
    <w:p>
      <w:pPr>
        <w:spacing w:after="0" w:line="21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$14.3 million from 2016 primarily due to the acquisitions of WEST in October 2016 and Tonka Water in September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Note 6. Acquisitions.) Revenue from chemical sales and related services was $116.0 million in 2017 compared to $110.5 million in 2016. Revenue from equipment sales was $35.8 million for 2017 compared to $27.0 million in 2016; equipment sales can significantly fluctuate from period to period.</w:t>
      </w:r>
    </w:p>
    <w:p>
      <w:pPr>
        <w:spacing w:after="0" w:line="147" w:lineRule="exact"/>
        <w:rPr>
          <w:sz w:val="20"/>
          <w:szCs w:val="20"/>
          <w:color w:val="auto"/>
        </w:rPr>
      </w:pPr>
    </w:p>
    <w:p>
      <w:pPr>
        <w:jc w:val="both"/>
        <w:ind w:left="340"/>
        <w:spacing w:after="0" w:line="220" w:lineRule="exact"/>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$9.2 million from 2016. Net income in 2017 included a $9.2 million after</w:t>
      </w:r>
      <w:r>
        <w:rPr>
          <w:rFonts w:ascii="MS PGothic" w:cs="MS PGothic" w:eastAsia="MS PGothic" w:hAnsi="MS PGothic"/>
          <w:sz w:val="16"/>
          <w:szCs w:val="16"/>
          <w:color w:val="auto"/>
        </w:rPr>
        <w:t>‑</w:t>
      </w:r>
      <w:r>
        <w:rPr>
          <w:rFonts w:ascii="Arial" w:cs="Arial" w:eastAsia="Arial" w:hAnsi="Arial"/>
          <w:sz w:val="16"/>
          <w:szCs w:val="16"/>
          <w:color w:val="auto"/>
        </w:rPr>
        <w:t>tax benefit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remeasurement of deferred income tax assets and liabilities resulting from the TCJA, and higher operating revenue, partially offset by increased operating expenses as a result of investments for future growth in waste treatment and water safety applications. Net income in 2017 also included a net loss of $0.8 million primarily for transaction fees and amortization expense of the Tonka Water acquisition on September 1, 2017. (See Note 6. Acquisitions.)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 from operations for U.S. Water Services was approximately $12 million in 2017 compared to approximately $11 million in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 million, or 2 percent, from 2016 primarily due to an increase in revenue at BNI Energy, which operates under cost-plus fixed fee contracts, as a result of higher expenses and record coal sales in 2017, partially offset by a decrease in land sales at ALLETE Properties. Operating revenue in 2016 included the sale of ALLETE Properties’ Ormond Crossings project and Lake Swamp wetland mitigation bank for approximately $21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184" w:lineRule="exact"/>
        <w:rPr>
          <w:sz w:val="20"/>
          <w:szCs w:val="20"/>
          <w:color w:val="auto"/>
        </w:rPr>
      </w:pPr>
    </w:p>
    <w:p>
      <w:pPr>
        <w:jc w:val="both"/>
        <w:ind w:left="340"/>
        <w:spacing w:after="0" w:line="219" w:lineRule="exact"/>
        <w:rPr>
          <w:sz w:val="20"/>
          <w:szCs w:val="20"/>
          <w:color w:val="auto"/>
        </w:rPr>
      </w:pPr>
      <w:r>
        <w:rPr>
          <w:rFonts w:ascii="Arial" w:cs="Arial" w:eastAsia="Arial" w:hAnsi="Arial"/>
          <w:sz w:val="17"/>
          <w:szCs w:val="17"/>
          <w:b w:val="1"/>
          <w:bCs w:val="1"/>
          <w:i w:val="1"/>
          <w:iCs w:val="1"/>
          <w:color w:val="auto"/>
        </w:rPr>
        <w:t xml:space="preserve">Net Loss Attributable to ALLETE </w:t>
      </w:r>
      <w:r>
        <w:rPr>
          <w:rFonts w:ascii="Arial" w:cs="Arial" w:eastAsia="Arial" w:hAnsi="Arial"/>
          <w:sz w:val="17"/>
          <w:szCs w:val="17"/>
          <w:color w:val="auto"/>
        </w:rPr>
        <w:t>was $8.4 million in 2017 compared to net income of $4.9 million in 2016. The net loss in 2017 included a $19.8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after-tax expense due to the remeasurement of deferred income tax assets and liabilities resulting from the TCJA. The net loss in 2017 also included a $7.9 million after-tax favorable impact for the regulatory outcome of the MPUC’s modification of its November 2016 order on the allocation of North Dakota investment tax credits, lower accretion expense relating to the contingent consideration liability, and lower interest expense. Net income in 2016 included an after</w:t>
      </w:r>
      <w:r>
        <w:rPr>
          <w:rFonts w:ascii="MS PGothic" w:cs="MS PGothic" w:eastAsia="MS PGothic" w:hAnsi="MS PGothic"/>
          <w:sz w:val="17"/>
          <w:szCs w:val="17"/>
          <w:color w:val="auto"/>
        </w:rPr>
        <w:t>‑</w:t>
      </w:r>
      <w:r>
        <w:rPr>
          <w:rFonts w:ascii="Arial" w:cs="Arial" w:eastAsia="Arial" w:hAnsi="Arial"/>
          <w:sz w:val="17"/>
          <w:szCs w:val="17"/>
          <w:color w:val="auto"/>
        </w:rPr>
        <w:t>tax gain of $13.6 million related to the change in fair value of the contingent consideration liability, partially offset by an $8.8 million after-tax adverse impact for the regulatory outcome of the November 2016 MPUC order.</w:t>
      </w:r>
    </w:p>
    <w:p>
      <w:pPr>
        <w:spacing w:after="0" w:line="20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Net income at BNI Energy was $4.5 million in 2017 which included a $3.1 million after-tax expense due to the remeasurement of deferred income tax assets and liabilities resulting from the TCJA, partially offset by more tons sold; net income in 2016 was $6.8 million. The net loss at ALLETE Properties was $8.8 million in 2017 which included a $7.8 million after-tax expense for the remeasurement of deferred income tax assets and liabilities resulting from the TCJA; net income in 2016 was $0.7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For the year ended December 31, 2017, the effective tax rate was 7.9 percent (11.3 percent for the year ended December 31, 2016). The decrease from 2016 was primarily due to the remeasurement of deferred income tax assets and liabilities resulting from the TCJA and increased production tax credits, partially offset by higher pre-tax income. (See </w:t>
      </w:r>
      <w:r>
        <w:rPr>
          <w:rFonts w:ascii="Arial" w:cs="Arial" w:eastAsia="Arial" w:hAnsi="Arial"/>
          <w:sz w:val="18"/>
          <w:szCs w:val="18"/>
          <w:i w:val="1"/>
          <w:iCs w:val="1"/>
          <w:color w:val="auto"/>
        </w:rPr>
        <w:t>Regulated Operations - Income Tax Expense</w:t>
      </w:r>
      <w:r>
        <w:rPr>
          <w:rFonts w:ascii="Arial" w:cs="Arial" w:eastAsia="Arial" w:hAnsi="Arial"/>
          <w:sz w:val="18"/>
          <w:szCs w:val="18"/>
          <w:color w:val="auto"/>
        </w:rPr>
        <w:t>.) The effective rate deviated from the combined statutory rate of approximately 41 percent primarily due to the remeasurement of deferred income tax assets and liabilities resulting from the TCJA, and production tax credits. (See Note 13. Income Tax Expense.)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2016 Compared to 2015</w:t>
            </w:r>
          </w:p>
        </w:tc>
        <w:tc>
          <w:tcPr>
            <w:tcW w:w="3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color w:val="auto"/>
              </w:rPr>
              <w:t>(See Note 17. Business Segments for financial results by segment.)</w:t>
            </w:r>
          </w:p>
        </w:tc>
        <w:tc>
          <w:tcPr>
            <w:tcW w:w="3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540" w:type="dxa"/>
            <w:vAlign w:val="bottom"/>
          </w:tcPr>
          <w:p>
            <w:pPr>
              <w:spacing w:after="0"/>
              <w:rPr>
                <w:sz w:val="24"/>
                <w:szCs w:val="24"/>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3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$1,000.7</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$991.2</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3240" w:type="dxa"/>
            <w:vAlign w:val="bottom"/>
          </w:tcPr>
          <w:p>
            <w:pPr>
              <w:jc w:val="right"/>
              <w:ind w:right="230"/>
              <w:spacing w:after="0"/>
              <w:rPr>
                <w:sz w:val="20"/>
                <w:szCs w:val="20"/>
                <w:color w:val="auto"/>
              </w:rPr>
            </w:pPr>
            <w:r>
              <w:rPr>
                <w:rFonts w:ascii="Arial" w:cs="Arial" w:eastAsia="Arial" w:hAnsi="Arial"/>
                <w:sz w:val="18"/>
                <w:szCs w:val="18"/>
                <w:color w:val="auto"/>
              </w:rPr>
              <w:t>339.9</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336.0</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3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65.2</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240" w:type="dxa"/>
            <w:vAlign w:val="bottom"/>
          </w:tcPr>
          <w:p>
            <w:pPr>
              <w:jc w:val="right"/>
              <w:ind w:right="230"/>
              <w:spacing w:after="0"/>
              <w:rPr>
                <w:sz w:val="20"/>
                <w:szCs w:val="20"/>
                <w:color w:val="auto"/>
              </w:rPr>
            </w:pPr>
            <w:r>
              <w:rPr>
                <w:rFonts w:ascii="Arial" w:cs="Arial" w:eastAsia="Arial" w:hAnsi="Arial"/>
                <w:sz w:val="18"/>
                <w:szCs w:val="18"/>
                <w:color w:val="auto"/>
              </w:rPr>
              <w:t>220.7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229.6</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154.3</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3240" w:type="dxa"/>
            <w:vAlign w:val="bottom"/>
          </w:tcPr>
          <w:p>
            <w:pPr>
              <w:jc w:val="right"/>
              <w:ind w:right="230"/>
              <w:spacing w:after="0"/>
              <w:rPr>
                <w:sz w:val="20"/>
                <w:szCs w:val="20"/>
                <w:color w:val="auto"/>
              </w:rPr>
            </w:pPr>
            <w:r>
              <w:rPr>
                <w:rFonts w:ascii="Arial" w:cs="Arial" w:eastAsia="Arial" w:hAnsi="Arial"/>
                <w:sz w:val="18"/>
                <w:szCs w:val="18"/>
                <w:color w:val="auto"/>
              </w:rPr>
              <w:t>47.7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46.2</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172.9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190.2</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40" w:type="dxa"/>
            <w:vAlign w:val="bottom"/>
          </w:tcPr>
          <w:p>
            <w:pPr>
              <w:jc w:val="right"/>
              <w:ind w:right="170"/>
              <w:spacing w:after="0"/>
              <w:rPr>
                <w:sz w:val="20"/>
                <w:szCs w:val="20"/>
                <w:color w:val="auto"/>
              </w:rPr>
            </w:pPr>
            <w:r>
              <w:rPr>
                <w:rFonts w:ascii="Arial" w:cs="Arial" w:eastAsia="Arial" w:hAnsi="Arial"/>
                <w:sz w:val="18"/>
                <w:szCs w:val="18"/>
                <w:color w:val="auto"/>
              </w:rPr>
              <w:t>(52.1)</w:t>
            </w: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3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18.5</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4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141.4</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4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24.4</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3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$135.5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0"/>
        </w:trPr>
        <w:tc>
          <w:tcPr>
            <w:tcW w:w="540" w:type="dxa"/>
            <w:vAlign w:val="bottom"/>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 Utility </w:t>
      </w:r>
      <w:r>
        <w:rPr>
          <w:rFonts w:ascii="Arial" w:cs="Arial" w:eastAsia="Arial" w:hAnsi="Arial"/>
          <w:sz w:val="18"/>
          <w:szCs w:val="18"/>
          <w:color w:val="auto"/>
        </w:rPr>
        <w:t>increased $9.5 million, or 1 percent, from 2015 primarily due to higher transmission revenue, cost recovery rider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on PSAs with Other Power Suppliers and FERC formula-based rates, partially offset by the adverse impact for the regulatory outcome of the November 2016 MPUC order related to the allocation of North Dakota investment tax credits as well as lower conservation improvement program recoveries.</w:t>
      </w:r>
    </w:p>
    <w:p>
      <w:pPr>
        <w:spacing w:after="0" w:line="18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Transmission revenue increased $9.7 million primarily due to period over period changes in our estimate of a refund liability related to MISO return on equity complaints and higher MISO-related revenue. (See </w:t>
      </w:r>
      <w:r>
        <w:rPr>
          <w:rFonts w:ascii="Arial" w:cs="Arial" w:eastAsia="Arial" w:hAnsi="Arial"/>
          <w:sz w:val="18"/>
          <w:szCs w:val="18"/>
          <w:i w:val="1"/>
          <w:iCs w:val="1"/>
          <w:color w:val="auto"/>
        </w:rPr>
        <w:t>Operating Expenses - Transmission Services – Utility.</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2016 Compared to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Cost recovery rider revenue increased $7.5 million primarily due to the completion of the Boswell Unit 4 environmental upgrade in the fourth quarter of 2015.</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Despite lower kWh sales, revenue increased $4.9 million from 2015 primarily due to higher pricing on PSAs with Other Power Suppliers in 2016. Sales to Other Power Suppliers are sold at market-based prices into the MISO market on a daily basis or through bilateral agreements of various durations. Sales to industrial customers decreased 2.7 percent primarily due to reduced taconite production. In addition, demand revenue from industrial customers was down in 2016 as a result of lower demand nominations.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1,102</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1,113</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1,442</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1,462</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(1.4)</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6,456</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6,635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(179)</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816</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833</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(2.0)</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9,816</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10,043</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(227)</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w:t>
            </w: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4,316</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4,310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0.1</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14,132</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14,353</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(221)</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18 percent of consolidated operating revenue in 2016 (17 percent in 2015). Revenue from electric sales to paper, pulp and secondary wood product customers accounted for 6 percent of consolidated operating revenue in 2016 (6 percent in 2015). Revenue from electric sales to pipelines and other industrial customers accounted for 7 percent of consolidated operating revenue in 2016 (6 percent in 2015).</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from wholesale customers under FERC formula-based rates increased $3.8 million primarily due to additional environmental and other investments.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decreased $15.0 million due to the adverse impact for the regulatory outcome of the November 2016 MPUC order related to the allocation of North Dakota investment tax credits. (See Note 4.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$4.1 million from 2015 primarily due to a reduction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$26.8 million, or 3 percent, from 2015.</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$3.9 million, or 1 percent, from 2015 primarily due to higher fuel and purchased power</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2016 compared to 2015, partially offset by lower kWh sales in 2016. Fuel and purchased power expense related to retail and municipal customers is recovered through the fuel adjustment clause.</w:t>
      </w:r>
    </w:p>
    <w:p>
      <w:pPr>
        <w:spacing w:after="0" w:line="181" w:lineRule="exact"/>
        <w:rPr>
          <w:sz w:val="20"/>
          <w:szCs w:val="20"/>
          <w:color w:val="auto"/>
        </w:rPr>
      </w:pPr>
    </w:p>
    <w:p>
      <w:pPr>
        <w:jc w:val="both"/>
        <w:ind w:left="340"/>
        <w:spacing w:after="0" w:line="221" w:lineRule="exact"/>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$11.1 million, or 21 percent, from 2015 primarily due to higher MISO</w:t>
      </w:r>
      <w:r>
        <w:rPr>
          <w:rFonts w:ascii="MS PGothic" w:cs="MS PGothic" w:eastAsia="MS PGothic" w:hAnsi="MS PGothic"/>
          <w:sz w:val="18"/>
          <w:szCs w:val="18"/>
          <w:color w:val="auto"/>
        </w:rPr>
        <w:t>‑</w:t>
      </w:r>
      <w:r>
        <w:rPr>
          <w:rFonts w:ascii="Arial" w:cs="Arial" w:eastAsia="Arial" w:hAnsi="Arial"/>
          <w:sz w:val="18"/>
          <w:szCs w:val="18"/>
          <w:color w:val="auto"/>
        </w:rPr>
        <w:t>related expense and period over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changes in our estimate of a refund for MISO transmission expense related to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4. Regulatory Matters.)</w:t>
      </w:r>
    </w:p>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$8.9 million, or 4 percent, from 2015, primarily due to lower pension and other postretirement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expenses (see Note 15. Pension and Other Postretirement Benefit Plans), a $3.6 million sales tax refund received in 2016 and a $4.1 million decrease in conservation improvement program expenses. Conservation improvement program expenses are recovered from certain retail customers.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 Operating and Maintenance expense included higher storm restoration costs of $2.9 million related to severe wind storms across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Power’s service territory in July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2016 Compared to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$19.2 million, or 14 percent, from 2015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$1.5 million, or 3 percent, from 2015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decreased $1.8 million, or 3 percent, from 2015 primarily due to lower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based on Minnesota Power’s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$2.2 million, or 13 percent, from 2015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$1.3 million, or 38 percent, from 2015 primarily due to lower AFUDC–Equity.</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$18.5 million, or 76 percent, from 2015 due to lower pre-tax income, higher production tax credits and the adverse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for the regulatory outcome of the November 2016 MPUC order related to the allocation of North Dakota investment tax credits. (See Note 4. Regulatory Matters.)</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a result of the adverse impact for the regulatory outcome of the November 2016 MPUC order, Regulated Operations reduced operating revenue and recorded a corresponding regulatory liability for approximately $15 million resulting in an income tax benefit of $6.2 million in 2016. In addition, Regulated Operations recorded an income tax benefit of $8.8 million for North Dakota investment tax credits transferred from Corporate and Other, resulting in no impact to net income for Regulated Operations. Corporate and Other recorded an offsetting income tax expense of $8.8 million for the North Dakota investment tax credits transferred to Regulated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$80.5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00" w:type="dxa"/>
            <w:vAlign w:val="bottom"/>
          </w:tcPr>
          <w:p>
            <w:pPr>
              <w:jc w:val="right"/>
              <w:ind w:right="170"/>
              <w:spacing w:after="0"/>
              <w:rPr>
                <w:sz w:val="20"/>
                <w:szCs w:val="20"/>
                <w:color w:val="auto"/>
              </w:rPr>
            </w:pPr>
            <w:r>
              <w:rPr>
                <w:rFonts w:ascii="Arial" w:cs="Arial" w:eastAsia="Arial" w:hAnsi="Arial"/>
                <w:sz w:val="18"/>
                <w:szCs w:val="18"/>
                <w:color w:val="auto"/>
              </w:rPr>
              <w:t>$13.4</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$181.6 million from 2015. Operating revenue in 2015 included the recognition of $197.7 million in revenue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of a wind energy facility sold to Montana-Dakota Utilities in 2015. Operating revenue in 2016 was positively impacted by additional revenue generated from the operations of wind energy facilities acquired in April and July 2015.</w:t>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254.7</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$12.8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265.1</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154.8</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10.1</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186.4</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96.9</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84.1</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222.3</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230.7</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278.8</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13.4</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199.1</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268.2</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111.6</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Wind Energy Facilities</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1,275.7</w:t>
            </w: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80.5</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1,077.0</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Development Fee </w:t>
            </w:r>
            <w:r>
              <w:rPr>
                <w:rFonts w:ascii="Arial" w:cs="Arial" w:eastAsia="Arial" w:hAnsi="Arial"/>
                <w:sz w:val="16"/>
                <w:szCs w:val="16"/>
                <w:i w:val="1"/>
                <w:iCs w:val="1"/>
                <w:color w:val="auto"/>
              </w:rPr>
              <w:t>(a)</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1,275.7</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$80.5</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1,077.0</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720" w:type="dxa"/>
            <w:vAlign w:val="bottom"/>
          </w:tcPr>
          <w:p>
            <w:pPr>
              <w:ind w:left="760"/>
              <w:spacing w:after="0"/>
              <w:rPr>
                <w:sz w:val="20"/>
                <w:szCs w:val="20"/>
                <w:color w:val="auto"/>
              </w:rPr>
            </w:pPr>
            <w:r>
              <w:rPr>
                <w:rFonts w:ascii="Arial" w:cs="Arial" w:eastAsia="Arial" w:hAnsi="Arial"/>
                <w:sz w:val="16"/>
                <w:szCs w:val="16"/>
                <w:i w:val="1"/>
                <w:iCs w:val="1"/>
                <w:color w:val="auto"/>
              </w:rPr>
              <w:t>(a)  2015 included the recognition of $162.9 million of cost of sales.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0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02"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2016 Compared to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$16.5 million from 2015. Net income for 2015 included the recognition of profit of $20.4 million after-tax for the construction of a wind energy facility sold to Montana-Dakota Utilities. In 2015, net income also included $1.8 million after-tax expense in acquisition costs related to the Chanarambie/Viking and Armenia Mountain wind energy facilities. Net income in 2016 included a $3.3 million after-tax non-cash goodwill impairment charge (see Note 1. Operations and Significant Accounting Policies) and a $0.9 million after-tax expense related to the repayment of long-term debt. Earnings in 2016 were positively impacted by income generated from the operations of wind energy facilities acquired in April and July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7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Period February 10, 2015</w:t>
            </w:r>
          </w:p>
        </w:tc>
      </w:tr>
      <w:tr>
        <w:trPr>
          <w:trHeight w:val="270"/>
        </w:trPr>
        <w:tc>
          <w:tcPr>
            <w:tcW w:w="4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7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2016</w:t>
            </w: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Through December 31, 2015</w:t>
            </w:r>
          </w:p>
        </w:tc>
      </w:tr>
      <w:tr>
        <w:trPr>
          <w:trHeight w:val="27"/>
        </w:trPr>
        <w:tc>
          <w:tcPr>
            <w:tcW w:w="4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$137.5</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r>
      <w:tr>
        <w:trPr>
          <w:trHeight w:val="243"/>
        </w:trPr>
        <w:tc>
          <w:tcPr>
            <w:tcW w:w="4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378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$17.7 million in 2016 compared to the period from February 10, 2015, to December 31, 2015. The results for 2015 reflect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the date of acquisition, February 10, 2015, through December 31, 2015, and therefore, do not reflect a full year. Revenue from chemical sales and related services was $110.5 million in 2016 compared to $92.5 million in 2015. Revenue from equipment sales was $27.0 million for 2016 compared to $27.3 million in 2015; equipment sales can significantly fluctuate from period to period.</w:t>
      </w:r>
    </w:p>
    <w:p>
      <w:pPr>
        <w:spacing w:after="0" w:line="171" w:lineRule="exact"/>
        <w:rPr>
          <w:sz w:val="20"/>
          <w:szCs w:val="20"/>
          <w:color w:val="auto"/>
        </w:rPr>
      </w:pPr>
    </w:p>
    <w:p>
      <w:pPr>
        <w:jc w:val="both"/>
        <w:ind w:left="340"/>
        <w:spacing w:after="0" w:line="219" w:lineRule="exact"/>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$0.6 million in 2016 compared to the period from February 10, 2015, to December 31, 2015. The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2015 reflect operations from the date of acquisition, February 10, 2015, through December 31, 2015, and therefore do not reflect a full year. Net income in 2015 included an additional $1.9 million of after</w:t>
      </w:r>
      <w:r>
        <w:rPr>
          <w:rFonts w:ascii="MS PGothic" w:cs="MS PGothic" w:eastAsia="MS PGothic" w:hAnsi="MS PGothic"/>
          <w:sz w:val="18"/>
          <w:szCs w:val="18"/>
          <w:color w:val="auto"/>
        </w:rPr>
        <w:t>‑</w:t>
      </w:r>
      <w:r>
        <w:rPr>
          <w:rFonts w:ascii="Arial" w:cs="Arial" w:eastAsia="Arial" w:hAnsi="Arial"/>
          <w:sz w:val="18"/>
          <w:szCs w:val="18"/>
          <w:color w:val="auto"/>
        </w:rPr>
        <w:t>tax expense recognized as cost of sales related to purchase accounting for inventories and sales backlog which have been fully recognized as of December 31, 2016. Earnings in 2016 reflected increased investments in back office systems and support at U.S. Water Services as we create a platform for future growth.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$7.7 million, or 7 percent, from 2015 primarily due to an increase in land sales at ALLETE Properties, which sold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Ormond Crossings project and Lake Swamp wetland mitigation bank in 2016. The increase was partially offset by a decrease in revenue at BNI Energy, which operates under cost-plus fixed fee contracts, as a result of lower expenses and fewer tons sold in 2016 compared to 2015.</w:t>
      </w:r>
    </w:p>
    <w:p>
      <w:pPr>
        <w:spacing w:after="0" w:line="139"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$26.2 million from 2015. Net income in 2016 included an after-tax gain of $13.6 million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in fair value of the U.S. Water Services contingent consideration liability and increased land sales at ALLETE Properties, partially offset by an adverse impact of $8.8 million after-tax for the regulatory outcome of the November 2016 MPUC order. (</w:t>
      </w:r>
      <w:r>
        <w:rPr>
          <w:rFonts w:ascii="Arial" w:cs="Arial" w:eastAsia="Arial" w:hAnsi="Arial"/>
          <w:sz w:val="16"/>
          <w:szCs w:val="16"/>
          <w:i w:val="1"/>
          <w:iCs w:val="1"/>
          <w:color w:val="auto"/>
        </w:rPr>
        <w:t>Regulated Operations - Income Tax Expense.</w:t>
      </w:r>
      <w:r>
        <w:rPr>
          <w:rFonts w:ascii="Arial" w:cs="Arial" w:eastAsia="Arial" w:hAnsi="Arial"/>
          <w:sz w:val="16"/>
          <w:szCs w:val="16"/>
          <w:color w:val="auto"/>
        </w:rPr>
        <w:t>) In 2015, the net loss included a $22.3 million after-tax non-cash impairment charge relating to the real estate assets of ALLETE Properties and $3.0 million after-tax expense in acquisition costs related to U.S. Water Services. Net income at BNI Energy increased to $6.8 million in 2016 compared to $6.7 million in 2015, and net income at ALLETE Properties increased to $0.7 million in 2016 compared to a net loss of $23.3 million in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year ended December 31, 2016, the effective tax rate was 15.2 percent (22.6 percent for the year ended December 31, 2015). The decrease from the year ended December 31, 2015, was primarily due to increased production tax credits in 2016 related to additional wind energy generation. The effective rate deviated from the combined statutory rate of approximately 41 percent primarily due to production tax credits. (See Note 13. Income Tax Expense.)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accounted for in accordance with the accounting standards for the effects of certain types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16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other postretirement benefit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2017, was approximately 53 percent equity securities, 38 percent debt, 5 percent private equity and 4 percent real estate. Our postretirement health and life asset allocation as of December 31, 2017, was approximately 64 percent equity securities, 31 percent debt and 5 percent private equity. Equity securities consist of a mix of market capitalization sizes with domestic and international securities. In 2017, we used expected long-term rates of return of 7.50 percent in our actuarial determination of our pension expense and 6.00 percent to 7.50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w:t>
      </w:r>
      <w:r>
        <w:rPr>
          <w:rFonts w:ascii="MS PGothic" w:cs="MS PGothic" w:eastAsia="MS PGothic" w:hAnsi="MS PGothic"/>
          <w:sz w:val="16"/>
          <w:szCs w:val="16"/>
          <w:color w:val="auto"/>
        </w:rPr>
        <w:t>‑</w:t>
      </w:r>
      <w:r>
        <w:rPr>
          <w:rFonts w:ascii="Arial" w:cs="Arial" w:eastAsia="Arial" w:hAnsi="Arial"/>
          <w:sz w:val="16"/>
          <w:szCs w:val="16"/>
          <w:color w:val="auto"/>
        </w:rPr>
        <w:t>quarter percent decrease in the expected long-term rate of return would increase the annual expense for pension and other postretirement benefits by approximately $1.8 million, pre-tax.</w:t>
      </w:r>
    </w:p>
    <w:p>
      <w:pPr>
        <w:spacing w:after="0" w:line="20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 In 2017, we used discount rates of 4.53 percent and 4.57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$1.1 million, pre</w:t>
      </w:r>
      <w:r>
        <w:rPr>
          <w:rFonts w:ascii="MS PGothic" w:cs="MS PGothic" w:eastAsia="MS PGothic" w:hAnsi="MS PGothic"/>
          <w:sz w:val="18"/>
          <w:szCs w:val="18"/>
          <w:color w:val="auto"/>
        </w:rPr>
        <w:t>‑</w:t>
      </w:r>
      <w:r>
        <w:rPr>
          <w:rFonts w:ascii="Arial" w:cs="Arial" w:eastAsia="Arial" w:hAnsi="Arial"/>
          <w:sz w:val="18"/>
          <w:szCs w:val="18"/>
          <w:color w:val="auto"/>
        </w:rPr>
        <w:t>tax.</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mortality assumptions used to calculate our pension and other postretirement benefit obligations as of December 31, 2017, considered a modified RP-2014 mortality table and mortality projection scale. (See Note 15. Pension and Other Postretirement Benefit Plans.)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legacy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0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Valuation of Goodwill and Intangible Assets. </w:t>
      </w:r>
      <w:r>
        <w:rPr>
          <w:rFonts w:ascii="Arial" w:cs="Arial" w:eastAsia="Arial" w:hAnsi="Arial"/>
          <w:sz w:val="17"/>
          <w:szCs w:val="17"/>
          <w:color w:val="auto"/>
        </w:rPr>
        <w:t>When we acquire a business, the assets acquired and liabilities assumed are recorded at their respective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values as of the acquisition date. Determining the fair value of intangible assets acquired as part of a business combination requires us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intangible assets is determined by estimating the future cash flows of each project and discounting the net cash flows back to their present values. The discount rate used is determined at the time of measurement in accordance with accepted valuation standards.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 The results of our annual impairment test are discussed in Note 1. Operations and Significant Accounting Policies and Note 9. Fair Value in this Form 10-K. Goodwill was $148.3 million and $131.2 million as of December 31, 2017, and December 31, 2016, respectively.</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Intangible assets include customer relationships, patents, non-compete agreements, land easements, trademarks and trade names.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with definite lives consist of customer relationships, which are amortized using an attrition model, and patents, non-compete agreements, land easements and certain trade names, which are amortized on a straight-line basis with estimated useful lives ranging from approximately 1 year to approximately 20 years. We review definite-lived intangible assets for impairment whenever events or circumstances indicate that the carrying amount of an asset may not be recoverable. Indefinite-lived intangible assets consist of trademarks and certain trade names, which are tested for impairment annually in the fourth quarter and whenever an event occurs or circumstances change that would indicate that the carrying amount may be impaired. Impairment is calculated as the excess of the asset’s carrying amount over its fair value. Our impairment reviews are based on an estimated future cash flow approach that requires significant judgment with respect to future revenue and expense growth rates, selection of an appropriate discount rate, and other assumptions and estimates. We use estimates that are consistent with our business plans and a market participant view of the assets being evaluated. The results of our annual impairment test are discussed in Note 9. Fair Value in this Form 10-K. Intangible assets, net of accumulated amortization, were $77.6 million and $82.2 million as of December 31,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0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80 percent of total consolidated net income in 2018.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As a result of working with intervenors and further developments as the rate review progressed, Minnesota Power’s final rate request was adjusted to approximately $49 million on an annualized basis. At a hearing on January 18, 2018, the MPUC made determinations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will be fully offset by the recognition of a corresponding reserve. As a result of the MPUC’s decisions on January 18, 2018, Minnesota Power has recorded a reserve for an interim rate refund of approximately $32 million as of December 31, 2017. The MPUC also disallowed recovery of Minnesota Power’s regulatory asset for deferred fuel adjustment clause costs due to the anticipated adoption of a forward-looking fuel adjustment clause methodology resulting in a $19.5 million pre-tax charge to Fuel, Purchased Power and Gas – Utility in 2017. An order from the MPUC setting forth the effective date of final rates is expected by March 12, 2018. Minnesota Power will review this order for potential reconsideration of certain issues at that time.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decrease to depreciation expense of approximately $25 million pre-tax in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0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which established that it is the energy policy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to 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order dated April 20, 2017; collection of the discount was subject to the MPUC’s review of Minnesota Power’s compliance filing implementing approval of a recovery mechanism, with the subsequent order issued on October 13, 2017, that modified the order dated April 20, 2017. During 2017, Minnesota Power provided discounts of $8.6 million which were recorded as a receivable. On September 29, 2017, Minnesota Power informed its EITE customers that it had suspended the EITE discount due to a concern that it was not revenue and cash flow neutral to Minnesota Power based on an MPUC decision at a hearing on September 7,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EITE discounts will offset interim rate refund reserves for non-EITE customers.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August 14, 2017, that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10.5 percent return on common equity and a 55 percent equity ratio. SWL&amp;P’s retail rates prior to August 14, 2017, were based on a 2012 PSCW retail rate order that provided for a 10.9 percent return on equity. The 2017 PSCW retail rate order authorizes SWL&amp;P to collect on average a 2.9 percent increase in rates for retail customers (3.8 percent increase in electric rates; 4.8 percent decrease in natural gas rates; and 9.8 percent increase in water rates). On an annualized basis, SWL&amp;P expects to collect additional revenue of $2.5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Customers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50 percent of our regulated utility kWh sales in 2017 (45 percent in 2016 and 46 percent in 2015) were made to our industrial customers. We expect industrial sales of approximately 7.0 million to 7.5 million MWh in 2018 (7.3 million MWh in 2017; 6.5 million MWh in 2016).</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xml:space="preserve">.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has been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ERP Iron Ore and are currently idled. (See </w:t>
      </w:r>
      <w:r>
        <w:rPr>
          <w:rFonts w:ascii="Arial" w:cs="Arial" w:eastAsia="Arial" w:hAnsi="Arial"/>
          <w:sz w:val="17"/>
          <w:szCs w:val="17"/>
          <w:i w:val="1"/>
          <w:iCs w:val="1"/>
          <w:color w:val="auto"/>
        </w:rPr>
        <w:t>ERP Iron Ore / Magnetation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74 percent of capacity in 2017 (71 percent in 2016 and in 2015). The World Steel Association, an association of over 160 steel producers, national and regional steel industry associations, and steel research institutes representing approximately 85 percent of world steel production, projected U.S. steel consumption in 2018 will increase by approximately 1 percent compared to 2017.</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In 2015, USS Corporation temporarily idled its Minnesota Ore Operations - Keetac plant in Keewatin, Minnesota, and a portion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USS Corporation returned its Minntac plant to full production in 2015, and in the first quarter of 2017, USS Corporation restarted its Keetac plant. USS Corporation has the capability to produce approximately 5 million tons and 15 million tons of taconite annually at its Keetac and Minntac plants, respectively.</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16, 2017, Cliffs announced that production of a fully fluxed taconite pellet has started at its United Taconite facility.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replaces a flux pellet previously made at Cliffs’ indefinitely idled Empire operation in Michigan. United Taconite has the capability to produce approximately 5 million tons of taconite annually.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i w:val="1"/>
          <w:iCs w:val="1"/>
          <w:color w:val="auto"/>
        </w:rPr>
        <w:t xml:space="preserve">. </w:t>
      </w:r>
      <w:r>
        <w:rPr>
          <w:rFonts w:ascii="Arial" w:cs="Arial" w:eastAsia="Arial" w:hAnsi="Arial"/>
          <w:sz w:val="17"/>
          <w:szCs w:val="17"/>
          <w:color w:val="auto"/>
        </w:rPr>
        <w:t>Cliffs has announced that it is investing further in Minnesota ore operations, specifically it plans to invest approximately $75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2020 to expand capacity for producing direct reduced-grade pellets at Northshore Mining. The additional direct reduced-grade pellets could be sold commercially or used to supply Cliff’s planned hot briquetted iron production plant in Toledo, Ohio. Minnesota Power has a long-term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i w:val="1"/>
          <w:iCs w:val="1"/>
          <w:color w:val="auto"/>
        </w:rPr>
        <w:t xml:space="preserve">. </w:t>
      </w:r>
      <w:r>
        <w:rPr>
          <w:rFonts w:ascii="Arial" w:cs="Arial" w:eastAsia="Arial" w:hAnsi="Arial"/>
          <w:sz w:val="17"/>
          <w:szCs w:val="17"/>
          <w:color w:val="auto"/>
        </w:rPr>
        <w:t>In 2016, Minnesota Power and Silver Bay Power entered into a long-term PSA through 2031. Silver Bay Power supplies approximately 90</w:t>
      </w:r>
      <w:r>
        <w:rPr>
          <w:rFonts w:ascii="Arial" w:cs="Arial" w:eastAsia="Arial" w:hAnsi="Arial"/>
          <w:sz w:val="17"/>
          <w:szCs w:val="17"/>
          <w:i w:val="1"/>
          <w:iCs w:val="1"/>
          <w:color w:val="auto"/>
        </w:rPr>
        <w:t xml:space="preserve"> </w:t>
      </w:r>
      <w:r>
        <w:rPr>
          <w:rFonts w:ascii="Arial" w:cs="Arial" w:eastAsia="Arial" w:hAnsi="Arial"/>
          <w:sz w:val="17"/>
          <w:szCs w:val="17"/>
          <w:color w:val="auto"/>
        </w:rPr>
        <w:t>MW of load to Northshore Mining, an affiliate of Silver Bay Power, which has been served predominately through self-generation by Silver Bay Power. In the years 2016 through 2019, Minnesota Power is supplying Silver Bay Power with at least 50 MW of energy and Silver Bay Power has the option to purchase additional energy from Minnesota Power as it transitions away from self-generation. On December 31, 2019, Silver Bay Power will cease self-generation and Minnesota Power will supply the energy requirements for Silver Bay Power.</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ERP Iron Ore / 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Magnetation announced that it had filed voluntary petitions for reorganization under Chapter 11 of the Bankruptcy</w:t>
      </w:r>
      <w:r>
        <w:rPr>
          <w:rFonts w:ascii="Arial" w:cs="Arial" w:eastAsia="Arial" w:hAnsi="Arial"/>
          <w:sz w:val="17"/>
          <w:szCs w:val="17"/>
          <w:i w:val="1"/>
          <w:iCs w:val="1"/>
          <w:color w:val="auto"/>
        </w:rPr>
        <w:t xml:space="preserve"> </w:t>
      </w:r>
      <w:r>
        <w:rPr>
          <w:rFonts w:ascii="Arial" w:cs="Arial" w:eastAsia="Arial" w:hAnsi="Arial"/>
          <w:sz w:val="17"/>
          <w:szCs w:val="17"/>
          <w:color w:val="auto"/>
        </w:rPr>
        <w:t>Code in the U.S. Bankruptcy Court for the District of Minnesota, citing the significant decrease in global iron ore prices and its existing capital structure. In January 2016, Magnetation idled its Plant 2 facility in Bovey, Minnesota. In October 2016, the bankruptcy court approved plans to idle Magnetation’s Plant 4 facility near Grand Rapids, Minnesota, and its pellet plant in Reynolds, Indiana, as well as terminate Magnetation’s pellet purchase agreement with AK Steel Corporation. The company subsequently idled the facilities and stated it was preserving the plants and their value for a potential buyer. On January 30, 2017, ERP Iron Ore purchased substantially all of Magnetation’s assets pursuant to an asset purchase agreement approved by the bankruptcy court. Although we cannot predict whether the facilities will be restarted, Minnesota Power would serve the Plant 2 and Plant 4 facilities through ERP Iron Ore’s assumption of the existing electric service agreement.</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xml:space="preserve">. Minnesota Power serves a number of customers in the paper, pulp and secondary wood products industry. The four major paper and pulp mills we serve reported operating at, or near, full capacity in 2017. Lower levels of production are expected in 2018 as a result of the closure of the smaller of the two paper machines located at UPM Blandin in the fourth quarter of 2017. (See </w:t>
      </w:r>
      <w:r>
        <w:rPr>
          <w:rFonts w:ascii="Arial" w:cs="Arial" w:eastAsia="Arial" w:hAnsi="Arial"/>
          <w:sz w:val="17"/>
          <w:szCs w:val="17"/>
          <w:i w:val="1"/>
          <w:iCs w:val="1"/>
          <w:color w:val="auto"/>
        </w:rPr>
        <w:t>UPM Blandin</w:t>
      </w:r>
      <w:r>
        <w:rPr>
          <w:rFonts w:ascii="Arial" w:cs="Arial" w:eastAsia="Arial" w:hAnsi="Arial"/>
          <w:sz w:val="17"/>
          <w:szCs w:val="17"/>
          <w:color w:val="auto"/>
        </w:rPr>
        <w: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UPM Blandin</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24, 2017, UPM-Kymmene Corporation announced that in light of the global market situation for graphic papers, and to sustain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leading position in the market, it planned to permanently close the smaller of UPM Blandin’s two paper machines located in Grand Rapids, Minnesota; the closure was completed in the fourth quarter of 2017. Paper production related to the other paper machine is planned to continue at UPM Blandin. Minnesota Power provides electric and steam service to UPM Blandin.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Mesabi Metallics is a retail customer of the Nashwauk Public Utilities Commission, and Minnesota Power has a</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electric contract with the Nashwauk Public Utilities Commission for electric service through at least December 2032. Mesabi Metallics filed for bankruptcy protection in July 2016, under Chapter 11 of the Bankruptcy Code in the U.S. Bankruptcy Court for the District of Delaware. On June 13, 2017, the bankruptcy court approved a settlement plan for a consortium led by Chippewa Capital Partners LLC to take control of the project, subject to certain stipulations. On December 22, 2017, Mesabi Metallics emerged from bankruptcy under the ownership of Chippewa Capital Partners LLC.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PolyMet</w:t>
      </w:r>
      <w:r>
        <w:rPr>
          <w:rFonts w:ascii="Arial" w:cs="Arial" w:eastAsia="Arial" w:hAnsi="Arial"/>
          <w:sz w:val="17"/>
          <w:szCs w:val="17"/>
          <w:color w:val="auto"/>
        </w:rPr>
        <w:t>. PolyMet is planning to start a new copper-nickel and precious metal (non-ferrous) mining operation in northeastern Minnesota. In 2015, PolyMet</w:t>
      </w:r>
      <w:r>
        <w:rPr>
          <w:rFonts w:ascii="Arial" w:cs="Arial" w:eastAsia="Arial" w:hAnsi="Arial"/>
          <w:sz w:val="17"/>
          <w:szCs w:val="17"/>
          <w:i w:val="1"/>
          <w:iCs w:val="1"/>
          <w:color w:val="auto"/>
        </w:rPr>
        <w:t xml:space="preserve"> </w:t>
      </w:r>
      <w:r>
        <w:rPr>
          <w:rFonts w:ascii="Arial" w:cs="Arial" w:eastAsia="Arial" w:hAnsi="Arial"/>
          <w:sz w:val="17"/>
          <w:szCs w:val="17"/>
          <w:color w:val="auto"/>
        </w:rPr>
        <w:t>announced the completion of the final EIS by state and federal agencies, which was subsequently published in the Federal Register and Minnesota Environmental Quality Board Monitor. The Minnesota Department of Natural Resources (DNR) issued its Record of Decision in March 2016, finding the final EIS adequate. In July 2016, PolyMet submitted applications for water-related permits with the State of Minnesota, and in August 2016, an application for an air quality permit was submitted to the MPCA. In November 2016, PolyMet submitted a state permit to mine application to the DNR detailing its operational plans for the mine. On January 5, 2018, the DNR released PolyMet’s draft permit to mine and opened a public comment period through March 6, 2018. Public hearings were held in February 2018 to review the draft permit to mine, as well as the MPCA’s recently released draft water quality permit, draft air quality permit and draft water quality certification. The final EIS also requires Records of Decision by the federal agencies, which are expected in 2018, before final action can be taken on the required federal permits to construct and operate the mining operation. On January 9, 2017, the U.S. Forest Service signed the Final Record of Decision authorizing a land exchange with PolyMet, which upon completion of title transfer will result in PolyMet obtaining surface rights to land needed to develop its mining operation. Minnesota Power could supply between 45 MW and 50 MW of load under a ten-year power supply contract with PolyMet that would begin upon start-up of operations.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On July 28, 2017, Minnesota Power submitted a resource package to the MPUC requesting approval of PPAs for the output of a 250 MW wind energy facility and a 10 MW solar energy facility as well as approval of a 250 MW natural gas energy PPA. These agreements will be subject to MPUC approval of the construction of a 525 MW to 550 MW combined-cycle natural gas-fired generating facility which will be jointly owned by Dairyland Power Cooperative and a subsidiary of ALLETE. Minnesota Power would purchase approximately 50 percent of the facility's output starting in 2025. In an order dated September 19, 2017, the MPUC approved Minnesota Power’s request that approval for the natural gas energy PPA be decided through an administrative law judge process. The administrative law judge is expected to provide a recommendation by July 2018, and the Company anticipates a MPUC decision in the second half of 2018. The MPUC did not take any action regarding the wind and solar energy PPAs which will be refiled separately from the natural gas energy PPA.</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2015, Minnesota Power filed its 2015 IRP with the MPUC which contained steps in its</w:t>
      </w:r>
      <w:r>
        <w:rPr>
          <w:rFonts w:ascii="Arial" w:cs="Arial" w:eastAsia="Arial" w:hAnsi="Arial"/>
          <w:sz w:val="18"/>
          <w:szCs w:val="18"/>
          <w:i w:val="1"/>
          <w:iCs w:val="1"/>
          <w:color w:val="auto"/>
        </w:rPr>
        <w:t xml:space="preserve"> EnergyForward </w:t>
      </w:r>
      <w:r>
        <w:rPr>
          <w:rFonts w:ascii="Arial" w:cs="Arial" w:eastAsia="Arial" w:hAnsi="Arial"/>
          <w:sz w:val="18"/>
          <w:szCs w:val="18"/>
          <w:color w:val="auto"/>
        </w:rPr>
        <w:t>strategic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an analysis of a variety of existing and future energy resource alternatives and a projection of customer cost impact by class. In a July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October 2016, Minnesota Power announced that Boswell Units 1 and 2 will be retired in 2018 as part of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In an order dated September 19, 2017, the MPUC approved Minnesota Power’s request to extend the next IRP filing deadline until October 1, 2019. (See Note 4. Regulatory Matters.)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Minnesota Power continues to execute its renewable energy strategy through renewable projects that will ensure it meets the identified state mandate at the lowest cost for customers. Minnesota Power has exceeded the interim milestone requirements to date and expects 28 percent of its applicable retail and municipal energy sales will be supplied by renewable energy sources in 2018. (See Item 1. Business – Regulated Operations – Minnesota Legislation and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0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law requires at least 1.5 percent of total retail electric sales, excluding sales to certain customers, to be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In a 2016 order,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July 2016 order, the MPUC approved a community solar garden project in northeastern Minnesota, which is comprised of a 1 MW solar array owned and operated by a third party with the output purchased by Minnesota Power and a 40 kW solar array that is owned and operated by Minnesota Power. Minnesota Power believes Camp Ripley and the community solar garden arrays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The proposal to incentivize customer-sited solar installations and the community solar garden subscriptions is expected to meet a portion of the required small scale solar mandate.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Bison, were approved by the MPUC in an order dated November 8, 2017, which allows Minnesota Power to charge retail customers on a current basis for the costs of constructing certain renewable investments plus a return on the capital invested.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approximately $15 million in 2016. The North Dakota investment tax credits previously recognized as income tax credits in Corporate and Other were reversed in 2016 resulting in an $8.8 million charge to net income in 2016. In December 2016, Minnesota Power submitted a request for reconsideration with the MPUC. In an order dated February 14, 2017, the MPUC decided to reconsider its November 2016 order.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 order dated December 7, 2017, the MPUC modified its November 2016 order to allow Minnesota Power to account for North Dakota investment tax credits based on the long-standing regulatory precedents of stand-alone allocation methodology of accounting for income taxes. As a result of the favorable regulatory outcome, Minnesota Power recorded a reduction in its regulatory liability and an increase in Operating Revenue of approximately $14 million in 2017. The North Dakota investment tax credits were reestablished as income tax credits in Corporate and Other, resulting in a $7.9 million increase to net income in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Corporate and Other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0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Tenaska PPA. </w:t>
      </w:r>
      <w:r>
        <w:rPr>
          <w:rFonts w:ascii="Arial" w:cs="Arial" w:eastAsia="Arial" w:hAnsi="Arial"/>
          <w:sz w:val="18"/>
          <w:szCs w:val="18"/>
          <w:color w:val="auto"/>
        </w:rPr>
        <w:t>On May 10, 2017, Minnesota Power and an affiliate of Tenaska signed a long-term PPA that provides for Minnesota Power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and associated capacity from a 250 MW wind energy facility in southwest Minnesota for a 20-year period beginning in 2020. The agreement provides for the purchase of output from the facility at fixed energy prices. There are no fixed capacity charges, and Minnesota Power will only pay for energy as it is delivered. This agreement is subject to MPUC approval of the construction of a 525 MW to 550 MW combined-cycle natural gas-fired generating facility which will be jointly owned by Dairyland Power Cooperative and a subsidiary of ALLETE, and construction of the wind energy facility. (See Note 4. Regulatory Matters.)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third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(See Item 1. Business – Regulated Operations – Transmission and Distribution – Great Northern Transmission Line.)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PPA provides for Minnesota Power to purchase up to 133 MW of energy from Manitoba Hydro for 20 years beginning in 2020. The pricing under this PPA is based on forward market prices. The PPA is subject to the construction of the GNTL. (See Item 1. Business – Regulated Operations – Transmission and Distribution – Great Northern Transmission 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 See also Item 1. Business – Regulated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0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will be primarily wind or solar facilities in North America. ALLETE Clean Energy is also targeting the development of new facilities up to 200 MW each, which will have long-term PSAs in place for the output or may be sold upon completion.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development project economics, and ALLETE Clean Energy invested in equipment in late 2016 and late 2017 to meet production tax credit safe harbor provisions which provides an opportunity to seek development of up to approximately 1,500 MW of qualified wind projects through 2021. ALLETE Clean Energy will also invest approximately $80 million through 2020 to requalify up to 385 WTGs at its Storm Lake I, Storm Lake II and Lake Benton wind energy facilities for production tax credits. We anticipate annual production tax credits relating to these projects of approximately $5 million in 2018, $10 million in 2019, $15 million to $20 million annually in 2020 through 2027 and decreasing thereafter through 2030.</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 2017, ALLETE Clean Energy announced that it will develop a wind energy facility of up to 50 MW after securing a 25-year PSA with Montana-Dakota Utilities, which includes an option to purchase the facility upon completion. We expect Montana-Dakota Utilities to exercise the option in the first quarter of 2018; construction and sale is expected to be completed in December 2018. Revenue is expected to be recognized upon completion; if the wind energy facility is not completed and sold in 2018, revenue and related margins would be recognized in 2019. ALLETE Clean Energy constructed and sold a 107 MW wind energy facility to Montana-Dakota Utilities in 2015. On March 16, 2017, ALLETE Clean Energy announced it will build, own and operate a separate 100 MW wind energy facility pursuant to a 20-year PSA with Northern States Power; construction is expected to begin in late 2018.</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535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96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Pennsylvania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9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2018</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PSA 2</w:t>
            </w:r>
          </w:p>
        </w:tc>
        <w:tc>
          <w:tcPr>
            <w:tcW w:w="29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960" w:type="dxa"/>
            <w:vAlign w:val="bottom"/>
            <w:tcBorders>
              <w:bottom w:val="single" w:sz="8" w:color="CCEEFF"/>
            </w:tcBorders>
            <w:shd w:val="clear" w:color="auto" w:fill="CCEEFF"/>
          </w:tcPr>
          <w:p>
            <w:pPr>
              <w:jc w:val="center"/>
              <w:ind w:left="1210"/>
              <w:spacing w:after="0"/>
              <w:rPr>
                <w:sz w:val="20"/>
                <w:szCs w:val="20"/>
                <w:color w:val="auto"/>
              </w:rPr>
            </w:pPr>
            <w:r>
              <w:rPr>
                <w:rFonts w:ascii="Arial" w:cs="Arial" w:eastAsia="Arial" w:hAnsi="Arial"/>
                <w:sz w:val="18"/>
                <w:szCs w:val="18"/>
                <w:color w:val="auto"/>
                <w:w w:val="89"/>
              </w:rPr>
              <w:t>Oregon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9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PSA 2</w:t>
            </w:r>
          </w:p>
        </w:tc>
        <w:tc>
          <w:tcPr>
            <w:tcW w:w="29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4,900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commercial and institutional markets, food and beverage, light manufacturing,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0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markets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2017, U.S. Water Services acquired Tonka Water for total consideration of $19.2 million. Tonka Water is a supplier of municipal and industrial water treatment systems that will expand U.S. Water Services’ geographic and customer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Water Services expects cash flow from operations of approximately $15 million in 2018 ($12 million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BNI Energy. </w:t>
      </w:r>
      <w:r>
        <w:rPr>
          <w:rFonts w:ascii="Arial" w:cs="Arial" w:eastAsia="Arial" w:hAnsi="Arial"/>
          <w:sz w:val="18"/>
          <w:szCs w:val="18"/>
          <w:color w:val="auto"/>
        </w:rPr>
        <w:t>In 2017, BNI Energy sold a record 4.7 million tons of coal (3.8 million tons in 2016) and anticipates 2018 sales will be lower than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expected outage for one of its customers. BNI Energy operates under cost-plus fixed fee agreements extending through December 31, 2037.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ALLETE Properties. </w:t>
      </w:r>
      <w:r>
        <w:rPr>
          <w:rFonts w:ascii="Arial" w:cs="Arial" w:eastAsia="Arial" w:hAnsi="Arial"/>
          <w:sz w:val="18"/>
          <w:szCs w:val="18"/>
          <w:color w:val="auto"/>
        </w:rPr>
        <w:t>ALLETE Properties represents our legacy Florida real estate investment. Market conditions can impact land sales and could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inability to cover our cost basis, operating expenses or fixed carrying costs such as community development district assessments and property taxes. ALLETE Properties’ major projects in Florida are Town Center at Palm Coast and Palm Coast Park, with approximately 2,000 acres combined of land available for sale. (See Item 1. Business – Corporate and Other – ALLETE Properties.) In addition to these two projects, ALLETE Properties has approximately 800 acres of other land available for sale.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The revised strategy incorporated the possibility of a bulk sale of its entire portfolio. Proceeds from a bulk sale would be strategically deployed to support growth in ALLETE Clean Energy and U.S. Water Services, collectively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ALLETE’s aggregate federal and multi-state statutory tax rate is approximately 41 percent for 2017. On an ongoing basis, ALLETE’s statutory tax rate will be reduced to approximately 28 percent as a result of the federal income tax rate change of the TCJA.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6"/>
          <w:szCs w:val="16"/>
          <w:color w:val="auto"/>
        </w:rPr>
        <w:t>‑</w:t>
      </w:r>
      <w:r>
        <w:rPr>
          <w:rFonts w:ascii="Arial" w:cs="Arial" w:eastAsia="Arial" w:hAnsi="Arial"/>
          <w:sz w:val="16"/>
          <w:szCs w:val="16"/>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approximately negative 10 percent for 2018 primarily due to a lower statutory tax rate resulting from the TCJA, and federal production tax credits as a result of wind energy generation. We also expect that our effective tax rate will be lower than the combined statutory rate over the next 12 years due to production tax credits attributable to our wind energy generation.</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the federal income tax rate change of the TCJA to result in lower income tax expense on an ongoing basis for our Regulated Operations, ALLETE Clean Energy and U.S. Water Services segments as well as our Corporate and Other businesses. The lower income tax expense for our Regulated Operations segment is expected to be mostly offset by lower revenue as most of the benefit is expected to be passed back to customers through lower rates. We do not expect a material impact on the Company’s ability to utilize its federal and state NOL and tax credit carryforwards due to the TCJA.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0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its liquidity needs. As of December 31, 2017, we had cash and cash equivalents of $98.9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$395.1 million in available consolidated lines of credit and a debt-to-capital ratio of 42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$2,068.2</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$1,893.0</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$1,820.2</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1,513.3</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42</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1,569.1</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1,605.0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$3,581.5</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$3,462.1</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$3,429.0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4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w w:val="94"/>
              </w:rPr>
              <w:t xml:space="preserve">Cash Flows. </w:t>
            </w:r>
            <w:r>
              <w:rPr>
                <w:rFonts w:ascii="Arial" w:cs="Arial" w:eastAsia="Arial" w:hAnsi="Arial"/>
                <w:sz w:val="18"/>
                <w:szCs w:val="18"/>
                <w:color w:val="auto"/>
                <w:w w:val="94"/>
              </w:rPr>
              <w:t>Selected information from ALLETE’s Consolidated Statement of Cash Flows is as follows:</w:t>
            </w: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2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$27.5</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$97.0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2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402.9</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332.0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(229.0)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(276.2)</w:t>
            </w:r>
          </w:p>
        </w:tc>
        <w:tc>
          <w:tcPr>
            <w:tcW w:w="1000" w:type="dxa"/>
            <w:vAlign w:val="bottom"/>
          </w:tcPr>
          <w:p>
            <w:pPr>
              <w:jc w:val="right"/>
              <w:spacing w:after="0"/>
              <w:rPr>
                <w:sz w:val="20"/>
                <w:szCs w:val="20"/>
                <w:color w:val="auto"/>
              </w:rPr>
            </w:pPr>
            <w:r>
              <w:rPr>
                <w:rFonts w:ascii="Arial" w:cs="Arial" w:eastAsia="Arial" w:hAnsi="Arial"/>
                <w:sz w:val="18"/>
                <w:szCs w:val="18"/>
                <w:color w:val="auto"/>
              </w:rPr>
              <w:t>(618.8)</w:t>
            </w:r>
          </w:p>
        </w:tc>
      </w:tr>
      <w:tr>
        <w:trPr>
          <w:trHeight w:val="27"/>
        </w:trPr>
        <w:tc>
          <w:tcPr>
            <w:tcW w:w="7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(102.5)</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(125.3)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w:t>
            </w:r>
          </w:p>
        </w:tc>
      </w:tr>
      <w:tr>
        <w:trPr>
          <w:trHeight w:val="237"/>
        </w:trPr>
        <w:tc>
          <w:tcPr>
            <w:tcW w:w="78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2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71.4</w:t>
            </w:r>
          </w:p>
        </w:tc>
        <w:tc>
          <w:tcPr>
            <w:tcW w:w="1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(69.5)</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7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$98.9</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$27.5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0"/>
        </w:trPr>
        <w:tc>
          <w:tcPr>
            <w:tcW w:w="7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from operating activities was higher in 2017 compared to 2016 primarily due to a payment of $31.0 million made in 2016 as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long-term PSA between Minnesota Power and Silver Bay Power, as well as higher recoveries of our cost recovery riders, net income and non-cash items in 2017, partially offset by an increase in customer receivables and higher payments on accounts payable in 2017.</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from operating activities was lower in 2016 compared to 2015 primarily due to a payment of $31.0 million made as part of a long-term PSA between Minnesota Power and Silver Bay Power, cash contributions to our defined benefit pension plan and non-cash items, partially offset by higher net income, lower fuel inventory and increased recoveries through our cost recovery riders.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for investing activities was lower in 2017 compared to 2016 primarily due to lower payments for capital expenditures in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the acquisition of Tonka Water and additional investments in ATC in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for investing activities was lower in 2016 compared to 2015 primarily due to a decrease in cash used for the acquisitions of subsidiaries, as well as fewer capital expenditures in 2016. In 2015, we acquired U.S. Water Services, and ALLETE Clean Energy acquired the Chanarambie/Viking and Armenia Mountain wind energy facilities. (See Note 6. Acquisitions.)</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Financing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used for financing activities was lower in 2017 primarily due to higher proceeds received from the issuance of common stock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$86.0 million compared to $30.9 million in 2016, partially offset by higher contingent consideration payments in 2017 and repayments of long-term debt of $189.6 million in 2017, net of long-term debt issuances of $131.5 million in 2017. Additionally, in 2016 the Company paid $8.0 million to acquire the non-controlling interest of the limited liability company that owns the Condon wind energy facility. (See </w:t>
      </w:r>
      <w:r>
        <w:rPr>
          <w:rFonts w:ascii="Arial" w:cs="Arial" w:eastAsia="Arial" w:hAnsi="Arial"/>
          <w:sz w:val="17"/>
          <w:szCs w:val="17"/>
          <w:i w:val="1"/>
          <w:iCs w:val="1"/>
          <w:color w:val="auto"/>
        </w:rPr>
        <w:t>Securities</w:t>
      </w:r>
      <w:r>
        <w:rPr>
          <w:rFonts w:ascii="Arial" w:cs="Arial" w:eastAsia="Arial" w:hAnsi="Arial"/>
          <w:sz w:val="17"/>
          <w:szCs w:val="17"/>
          <w:color w:val="auto"/>
        </w:rPr>
        <w:t xml:space="preserve"> and Note 6. Acquisitions.)</w:t>
      </w:r>
    </w:p>
    <w:p>
      <w:pPr>
        <w:spacing w:after="0" w:line="16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Cash used for financing activities decreased in 2016 compared to 2015 primarily due to lower proceeds from the issuance of long</w:t>
      </w:r>
      <w:r>
        <w:rPr>
          <w:rFonts w:ascii="MS PGothic" w:cs="MS PGothic" w:eastAsia="MS PGothic" w:hAnsi="MS PGothic"/>
          <w:sz w:val="18"/>
          <w:szCs w:val="18"/>
          <w:color w:val="auto"/>
        </w:rPr>
        <w:t>‑</w:t>
      </w:r>
      <w:r>
        <w:rPr>
          <w:rFonts w:ascii="Arial" w:cs="Arial" w:eastAsia="Arial" w:hAnsi="Arial"/>
          <w:sz w:val="18"/>
          <w:szCs w:val="18"/>
          <w:color w:val="auto"/>
        </w:rPr>
        <w:t>term debt and common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0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Working Capital</w:t>
      </w:r>
      <w:r>
        <w:rPr>
          <w:rFonts w:ascii="Arial" w:cs="Arial" w:eastAsia="Arial" w:hAnsi="Arial"/>
          <w:sz w:val="16"/>
          <w:szCs w:val="16"/>
          <w:color w:val="auto"/>
        </w:rPr>
        <w:t>. 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long-term debt, common stock and commercial paper. As of December 31, 2017, we had consolidated bank lines of credit aggregating $407.0 million ($409.0 million as of December 31, 2016), the majority of which expire in October 2020. We had $11.9 million outstanding in standby letters of credit and no outstanding draws under our lines of credit as of December 31, 2017 ($11.1 million in standby letters of credit and no outstanding draws as of December 31, 2016). In addition, as of December 31, 2017, we had 3.2 million original issue shares of our common stock available for issuance through Invest Direct and 2.9 million original issue shares of common stock available for issuance through a distribution agreement with Lampert Capital Markets, Inc. (See </w:t>
      </w:r>
      <w:r>
        <w:rPr>
          <w:rFonts w:ascii="Arial" w:cs="Arial" w:eastAsia="Arial" w:hAnsi="Arial"/>
          <w:sz w:val="16"/>
          <w:szCs w:val="16"/>
          <w:i w:val="1"/>
          <w:iCs w:val="1"/>
          <w:color w:val="auto"/>
        </w:rPr>
        <w:t>Securities.</w:t>
      </w:r>
      <w:r>
        <w:rPr>
          <w:rFonts w:ascii="Arial" w:cs="Arial" w:eastAsia="Arial" w:hAnsi="Arial"/>
          <w:sz w:val="16"/>
          <w:szCs w:val="16"/>
          <w:color w:val="auto"/>
        </w:rPr>
        <w:t>) The amount and timing of future sales of our securities will depend upon market conditions and our specific needs.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remeasurement of deferred income tax assets and liabilities resulting from the TCJA for Minnesota Power and SWL&amp;P were recorded as regulatory assets and liabilities. The net regulatory liabilities for Minnesota Power and SWL&amp;P are expected to be passed back to customers over time primarily based upon the normalization provisions of the U.S. Internal Revenue Code over the life of the related property, plant and equipment with the remainder passed back based upon the determinations of regulatory authorities. The final amount and timing over which the benefits of the TCJA will be passed back to customers has not been determined, and therefore, the full cash flow impacts are still uncertain. (See Note 4. Regulatory Matters.)</w:t>
      </w:r>
    </w:p>
    <w:p>
      <w:pPr>
        <w:spacing w:after="0" w:line="16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 We entered into a distribution agreement with Lampert Capital Markets, Inc., in 2008, as amended most recently in August 2016,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and sale of up to an aggregate of 13.6 million shares of our common stock, without par value, of which 2.9 million shares remain available for issuance as of December 31, 2017. For the year ended December 31, 2017, 1.0 million shares of common stock were issued under this agreement, resulting in net proceeds of $65.7 million (0.1 million shares for net proceeds of $8.0 million in 2016; 1.3 million shares for net proceeds of $69.9 million in 2015). The shares issued in 2017 and 2016 were offered and sold pursuant to Registration Statement No. 333-212794, pursuant to which the remaining shares will continue to be offered for sale, from time to time. The shares issued in 2015 were offered and sold pursuant to Registration Statement No. 333-190335.</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we issued 0.3 million shares of common stock through Invest Direct, the Employee Stock Purchase Plan, and the Retirement Savings and Stock Ownership Plan, resulting in net proceeds of $20.3 million (0.4 million shares for net proceeds of $22.9 million in 2016; 0.4 million shares for net proceeds of $25.9 million in 2015). These shares of common stock were registered under Registration Statement Nos. 333-211075, 333-188315, 333-183051 and 333-162890.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 2017, ALLETE issued $80 million of its senior unsecured notes (the Notes) to certain institutional buyers in the private placement market. The Notes were issued in reliance on an exemption from registration under Section 4(a)(2) of the Securities Act of 1933, as amended, to institutional accredited investors. The Notes bear interest at 3.11 percent and mature on June 1, 2027. (See Note 10. Short-Term and Long-Term Debt.)</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August 25, 2017, ALLETE entered into a $40 million term loan agreement (Term Loan). The Term Loan is an unsecured, single draw loan that is due on August 25, 2020, and may be prepaid at any time subject to a make-whole provision. The interest rate on the Term Loan is equal to LIBOR plus 1.025 percent. (See Note 10. Short-Term and Long-Term Debt.)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 2017, ALLETE entered into a bond purchase agreement providing for the issuance and sale of $60 million of its First Mortgage Bonds (the Bonds) that bear interest at 4.07 percent. The Bonds will be issued on or about April 1, 2018, and will mature in April 2048. (See Note 10. Short-Term and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10. Short-Term and Long-Term Debt for information regarding our financial covenants.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For the year ended December 31, 2017, we contributed $1.7 million in cash and 0.2 million shares of ALLETE common stock, which had an aggregate value of $13.5 million when contributed, to the defined benefit pension plans. These shares of ALLETE common stock were contributed in reliance upon an exemption available pursuant to Section 4(a)(2) of the Securities Act of 1933, as amended. On January 8, 2018, we contributed $15.0 million in cash to the defined benefit pension plans. We do not expect to make any additional contributions to our defined benefit pension plans in 2018, and we do not expect to make any contributions to our other postretirement benefit plans in 2018. (See Note 12. Common Stock and Earnings Per Share and Note 15. Pension and Other Postretirement Benefit Plans.)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11. Commitments, Guarantees and Contingencies.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The following table summarizes contractual obligations and other commercial commitments as of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4 to 5</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6"/>
                <w:szCs w:val="16"/>
                <w:i w:val="1"/>
                <w:iCs w:val="1"/>
                <w:color w:val="auto"/>
              </w:rPr>
              <w:t>(a)</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$2,255.4</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$126.1</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$313.6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$284.8</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Pension </w:t>
            </w:r>
            <w:r>
              <w:rPr>
                <w:rFonts w:ascii="Arial" w:cs="Arial" w:eastAsia="Arial" w:hAnsi="Arial"/>
                <w:sz w:val="16"/>
                <w:szCs w:val="16"/>
                <w:i w:val="1"/>
                <w:iCs w:val="1"/>
                <w:color w:val="auto"/>
              </w:rPr>
              <w:t>(b)</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458.0</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46.3</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92.1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91.6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228.0</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Postretirement Benefit Plans </w:t>
            </w:r>
            <w:r>
              <w:rPr>
                <w:rFonts w:ascii="Arial" w:cs="Arial" w:eastAsia="Arial" w:hAnsi="Arial"/>
                <w:sz w:val="16"/>
                <w:szCs w:val="16"/>
                <w:i w:val="1"/>
                <w:iCs w:val="1"/>
                <w:color w:val="auto"/>
              </w:rPr>
              <w:t>(b)</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97.2</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9.2</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19.2</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79.9</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14.2</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22.3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13.4</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PPA Obligations </w:t>
            </w:r>
            <w:r>
              <w:rPr>
                <w:rFonts w:ascii="Arial" w:cs="Arial" w:eastAsia="Arial" w:hAnsi="Arial"/>
                <w:sz w:val="16"/>
                <w:szCs w:val="16"/>
                <w:i w:val="1"/>
                <w:iCs w:val="1"/>
                <w:color w:val="auto"/>
              </w:rPr>
              <w:t>(c)</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2,283.1</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104.5</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222.1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289.5</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Purchase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56.5</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40.5</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$5,230.1</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$340.8</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$672.7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$699.9</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$3,516.7</w:t>
            </w:r>
          </w:p>
        </w:tc>
      </w:tr>
      <w:tr>
        <w:trPr>
          <w:trHeight w:val="20"/>
        </w:trPr>
        <w:tc>
          <w:tcPr>
            <w:tcW w:w="45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ind w:left="340" w:right="20" w:hanging="332"/>
        <w:spacing w:after="0" w:line="249"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$1.7 million of non-current unrecognized tax benefits due to uncertainty regarding the timing of future cash payments related to uncertain tax positions. (See Note 13. Income Tax Expense.)</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estimated future benefit payments for our defined benefit pension and other postretirement plans through 2027.</w:t>
      </w:r>
    </w:p>
    <w:p>
      <w:pPr>
        <w:spacing w:after="0" w:line="5" w:lineRule="exact"/>
        <w:rPr>
          <w:rFonts w:ascii="Arial" w:cs="Arial" w:eastAsia="Arial" w:hAnsi="Arial"/>
          <w:sz w:val="16"/>
          <w:szCs w:val="16"/>
          <w:i w:val="1"/>
          <w:iCs w:val="1"/>
          <w:color w:val="auto"/>
        </w:rPr>
      </w:pPr>
    </w:p>
    <w:p>
      <w:pPr>
        <w:jc w:val="both"/>
        <w:ind w:left="340" w:hanging="332"/>
        <w:spacing w:after="0" w:line="191" w:lineRule="exact"/>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agreement with Manitoba Hydro expiring in 2022, as this contract is for surplus energy only; Oliver Wind I and Oliver Wind II, as Minnesota Power only pays for energy as it is delivered; and the agreement with Tenaska commencing in 2020 as it is subject to approval of the construction of a 525 MW to 550 MW combined-cycle natural gas</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fired facility. (See Note 11. Commitments, Guarantees and Contingencies.)</w:t>
      </w:r>
    </w:p>
    <w:p>
      <w:pPr>
        <w:spacing w:after="0" w:line="167"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the Consolidated Balance Sheet, plus interest. The table above assumes that the interest rates in effect at December 31, 2017, remain constant through the remaining term. (See Note 10. Short-Term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and Other Postretirement Benefit Plans. </w:t>
      </w:r>
      <w:r>
        <w:rPr>
          <w:rFonts w:ascii="Arial" w:cs="Arial" w:eastAsia="Arial" w:hAnsi="Arial"/>
          <w:sz w:val="17"/>
          <w:szCs w:val="17"/>
          <w:color w:val="auto"/>
        </w:rPr>
        <w:t>Our pension and other postretirement benefit plan obligations represent our current estimate of future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through 2027. Pension contributions will be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change based on actual market performance, changes in interest rates and any changes in governmental regulations. (See Note 15. Pension and Other Postretirement Benefit Plans.)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PPA Obligations. </w:t>
      </w:r>
      <w:r>
        <w:rPr>
          <w:rFonts w:ascii="Arial" w:cs="Arial" w:eastAsia="Arial" w:hAnsi="Arial"/>
          <w:sz w:val="18"/>
          <w:szCs w:val="18"/>
          <w:color w:val="auto"/>
        </w:rPr>
        <w:t>PPA obligations represent our Square Butte, Manitoba Hydro, Minnkota Power and other PPA’s. (See Note 11. Commitments, Guarantees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Contingencies.)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Other purchase obligations represents our minimum purchase commitments under coal and rail contracts, purchase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capital expenditure projects, and long-term service agreements for wind energy facilities. (See Note 11. Commitments, Guarantees and Contingencies.)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0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700" w:type="dxa"/>
            <w:vAlign w:val="bottom"/>
          </w:tcPr>
          <w:p>
            <w:pPr>
              <w:jc w:val="center"/>
              <w:ind w:left="2512"/>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700" w:type="dxa"/>
            <w:vAlign w:val="bottom"/>
          </w:tcPr>
          <w:p>
            <w:pPr>
              <w:jc w:val="center"/>
              <w:ind w:left="2492"/>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6"/>
                <w:szCs w:val="16"/>
                <w:i w:val="1"/>
                <w:iCs w:val="1"/>
                <w:color w:val="auto"/>
                <w:w w:val="91"/>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0"/>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Standard &amp; Poor’s.</w:t>
            </w:r>
          </w:p>
        </w:tc>
        <w:tc>
          <w:tcPr>
            <w:tcW w:w="47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2018, Standard &amp; Poor’s revised its credit rating outlook on ALLETE to negative from stable, while affirming its issuer and commercial paper ratings on ALLETE. Standard &amp; Poor’s cited the potential effect of the TCJA on the Company’s cash flows and Standard &amp; Poor’s assessment of the Company’s regulatory risk following Minnesota Power’s recent general rate case as its rationale for issuing the negative outlook.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2018, Moody’s issued a report on ALLETE noting that Minnesota Power’s general rate case was credit negative. With respect to Minnesota Power’s general rate case outcome, Moody’s noted a lower return on equity, disallowance of various expenses, including a decision to disallow recovery of the prepaid pension asset, and a ruling against Minnesota Power’s request to adopt an annual rate review mechanism. In addition, Moody’s noted the potential negative impact of the TCJA on certain financial metrics used by Moody’s.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 is well-positioned to meet its liquidity needs. As of December 31, 2017, we had cash and cash equivalents of $98.9 million, $395.1 million in available consolidated lines of credit and a debt-to-equity ratio of 42 percent. Our cash from operating activities for the year ended December 31, 2017 was $402.9 million. In addition, as of December 31, 2017, we had 3.2 million original issue shares of our common stock available for issuance through Invest Direct and 2.9 million original issue shares of common stock available for issuance through a distribution agreement with Lampert Capital Markets, Inc.</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Common Stock Dividends</w:t>
      </w:r>
      <w:r>
        <w:rPr>
          <w:rFonts w:ascii="Arial" w:cs="Arial" w:eastAsia="Arial" w:hAnsi="Arial"/>
          <w:sz w:val="18"/>
          <w:szCs w:val="18"/>
          <w:color w:val="auto"/>
        </w:rPr>
        <w:t>. ALLETE is committed to providing a competitive dividend to its shareholders while at the same time funding its growth.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long-term objective is to maintain a dividend payout ratio similar to our peers and provide for future dividend increases. Our targeted payout range is between 60 percent and 65 percent. In 2017, we paid out 63 percent (66 percent in 2016; 69 percent in 2015) of our per share earnings in dividends. On January 23, 2018, our Board of Directors declared a dividend of $0.56 per share, which is payable on March 1, 2018, to shareholders of record at the close of business on February 15, 2018.</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2018 through 2022 are presented in the following table.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0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Capital Requirements (Continued)</w:t>
            </w: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720"/>
              <w:spacing w:after="0"/>
              <w:rPr>
                <w:sz w:val="20"/>
                <w:szCs w:val="20"/>
                <w:color w:val="auto"/>
              </w:rPr>
            </w:pPr>
            <w:r>
              <w:rPr>
                <w:rFonts w:ascii="Arial" w:cs="Arial" w:eastAsia="Arial" w:hAnsi="Arial"/>
                <w:sz w:val="18"/>
                <w:szCs w:val="18"/>
                <w:color w:val="auto"/>
              </w:rPr>
              <w:t>Base and Other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$130</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$190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$130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$170</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$170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Transmission Cost Recovery </w:t>
            </w:r>
            <w:r>
              <w:rPr>
                <w:rFonts w:ascii="Arial" w:cs="Arial" w:eastAsia="Arial" w:hAnsi="Arial"/>
                <w:sz w:val="16"/>
                <w:szCs w:val="16"/>
                <w:i w:val="1"/>
                <w:iCs w:val="1"/>
                <w:color w:val="auto"/>
              </w:rPr>
              <w:t>(a)</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110</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Regulated Operations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240</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275</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170</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170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1,035</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U.S. Water Services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$325</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$360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$245</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$245</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$355</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2" w:lineRule="auto"/>
        <w:tabs>
          <w:tab w:leader="none" w:pos="340" w:val="left"/>
        </w:tabs>
        <w:numPr>
          <w:ilvl w:val="0"/>
          <w:numId w:val="13"/>
        </w:numPr>
        <w:rPr>
          <w:rFonts w:ascii="Arial" w:cs="Arial" w:eastAsia="Arial" w:hAnsi="Arial"/>
          <w:sz w:val="15"/>
          <w:szCs w:val="15"/>
          <w:i w:val="1"/>
          <w:iCs w:val="1"/>
          <w:color w:val="auto"/>
        </w:rPr>
      </w:pPr>
      <w:r>
        <w:rPr>
          <w:rFonts w:ascii="Arial" w:cs="Arial" w:eastAsia="Arial" w:hAnsi="Arial"/>
          <w:sz w:val="15"/>
          <w:szCs w:val="15"/>
          <w:i w:val="1"/>
          <w:iCs w:val="1"/>
          <w:color w:val="auto"/>
        </w:rPr>
        <w:t>Estimated capital expenditures eligible for cost recovery outside of a general rate case. Our portion of transmission capital expenditures related to construction of the GNTL is estimated at approximately $245 million through 2020. (See Item 1. Business – Regulated Operations – Transmission and Distribution.)</w:t>
      </w:r>
    </w:p>
    <w:p>
      <w:pPr>
        <w:spacing w:after="0" w:line="1" w:lineRule="exact"/>
        <w:rPr>
          <w:rFonts w:ascii="Arial" w:cs="Arial" w:eastAsia="Arial" w:hAnsi="Arial"/>
          <w:sz w:val="15"/>
          <w:szCs w:val="15"/>
          <w:i w:val="1"/>
          <w:iCs w:val="1"/>
          <w:color w:val="auto"/>
        </w:rPr>
      </w:pPr>
    </w:p>
    <w:p>
      <w:pPr>
        <w:jc w:val="both"/>
        <w:ind w:left="340" w:hanging="332"/>
        <w:spacing w:after="0" w:line="252"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Our portion of capital expenditures related to construction of a 525 MW to 550 MW combined-cycle natural gas-fired generating facility, which will be jointly owned by Dairyland Power Cooperative and a subsidiary of ALLETE, is estimated at approximately $200 million through 2022, subject to regulatory approval. (See Item 7. Management’s Discussion and Analysis – Outlook – EnergyForward.)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Arial" w:cs="Arial" w:eastAsia="Arial" w:hAnsi="Arial"/>
          <w:sz w:val="18"/>
          <w:szCs w:val="18"/>
          <w:i w:val="1"/>
          <w:iCs w:val="1"/>
          <w:color w:val="auto"/>
        </w:rPr>
        <w:t>Capital Structure.</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11. Commitments, Guarantees and Contingencies.)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As of December 31, 2017,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 (See Note 8.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0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Expected Maturity Date</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Thereafter</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Rate – Millions</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$63.4</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$56.2</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$89.0</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$97.8</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$88.0</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$1,034.5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$1,428.9</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$1,543.2</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7.6</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Variable Rate – Millions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$54.0</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as of December 31, 2017, an increase of 100 basis points in interest rates would impact the amount of pre-tax interest expense by $0.8 million. This amount was determined by considering the impact of a hypothetical 100 basis point increase to the average variable interest rate on the variable rate debt outstanding as of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0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our Consolidated Financial Statements as of December 31, 2017 and 2016, and for the years ended December 31, 2017, 2016 and 2015, and supplementary data, which are indexed in Item 15(a).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2017,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2017.</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02"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by this Item is incorporated by reference herein from our Proxy Statement for the 2018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(2018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86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section and the “Audit Committee Report” section;</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“Corporate Governance” section and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“Ownership of ALLETE Common Stock –</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Beneficial Ownership Reporting Compliance”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2018 Proxy Statement will be filed with the SEC within 120 days after the end of our 2017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information required for this Item is incorporated by reference herein from the “Compensation Discussion and Analysis,” the “Compensation of Executive Officers,” the “Compensation Committee Report” and the “Director Compensation” sections in our 2018 Proxy Statement.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0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for this Item is incorporated by reference herein from the “Ownership of ALLETE Common Stock – Securities Owned by Certain Beneficial Owners” and the “Ownership of ALLETE Common Stock – Securities Owned by Directors and Management” sections in our 2018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shares of ALLETE common stock available for issuance under the Company's equity compensation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5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2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Issued Upon Exercise of</w:t>
            </w:r>
          </w:p>
        </w:tc>
        <w:tc>
          <w:tcPr>
            <w:tcW w:w="25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Weighted-Average Exercise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2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4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Price of Outstanding Options, Future Issuance Under Equity</w:t>
            </w:r>
          </w:p>
        </w:tc>
      </w:tr>
      <w:tr>
        <w:trPr>
          <w:trHeight w:val="234"/>
        </w:trPr>
        <w:tc>
          <w:tcPr>
            <w:tcW w:w="4200" w:type="dxa"/>
            <w:vAlign w:val="bottom"/>
          </w:tcPr>
          <w:p>
            <w:pPr>
              <w:ind w:left="1560"/>
              <w:spacing w:after="0"/>
              <w:rPr>
                <w:sz w:val="20"/>
                <w:szCs w:val="20"/>
                <w:color w:val="auto"/>
              </w:rPr>
            </w:pPr>
            <w:r>
              <w:rPr>
                <w:rFonts w:ascii="Arial" w:cs="Arial" w:eastAsia="Arial" w:hAnsi="Arial"/>
                <w:sz w:val="18"/>
                <w:szCs w:val="18"/>
                <w:b w:val="1"/>
                <w:bCs w:val="1"/>
                <w:color w:val="auto"/>
              </w:rPr>
              <w:t>Plan Category</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2500" w:type="dxa"/>
            <w:vAlign w:val="bottom"/>
          </w:tcPr>
          <w:p>
            <w:pPr>
              <w:jc w:val="right"/>
              <w:ind w:right="350"/>
              <w:spacing w:after="0"/>
              <w:rPr>
                <w:sz w:val="20"/>
                <w:szCs w:val="20"/>
                <w:color w:val="auto"/>
              </w:rPr>
            </w:pPr>
            <w:r>
              <w:rPr>
                <w:rFonts w:ascii="Arial" w:cs="Arial" w:eastAsia="Arial" w:hAnsi="Arial"/>
                <w:sz w:val="18"/>
                <w:szCs w:val="18"/>
                <w:b w:val="1"/>
                <w:bCs w:val="1"/>
                <w:color w:val="auto"/>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 xml:space="preserve">Compensation Plans </w:t>
            </w:r>
            <w:r>
              <w:rPr>
                <w:rFonts w:ascii="Arial" w:cs="Arial" w:eastAsia="Arial" w:hAnsi="Arial"/>
                <w:sz w:val="16"/>
                <w:szCs w:val="16"/>
                <w:i w:val="1"/>
                <w:iCs w:val="1"/>
                <w:color w:val="auto"/>
                <w:w w:val="88"/>
              </w:rPr>
              <w:t>(a)</w:t>
            </w:r>
          </w:p>
        </w:tc>
      </w:tr>
      <w:tr>
        <w:trPr>
          <w:trHeight w:val="27"/>
        </w:trPr>
        <w:tc>
          <w:tcPr>
            <w:tcW w:w="42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4"/>
        </w:trPr>
        <w:tc>
          <w:tcPr>
            <w:tcW w:w="42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4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40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1,266,716</w:t>
            </w:r>
          </w:p>
        </w:tc>
      </w:tr>
      <w:tr>
        <w:trPr>
          <w:trHeight w:val="229"/>
        </w:trPr>
        <w:tc>
          <w:tcPr>
            <w:tcW w:w="4200" w:type="dxa"/>
            <w:vAlign w:val="bottom"/>
          </w:tcPr>
          <w:p>
            <w:pPr>
              <w:ind w:left="40"/>
              <w:spacing w:after="0"/>
              <w:rPr>
                <w:sz w:val="20"/>
                <w:szCs w:val="20"/>
                <w:color w:val="auto"/>
              </w:rPr>
            </w:pPr>
            <w:r>
              <w:rPr>
                <w:rFonts w:ascii="Arial" w:cs="Arial" w:eastAsia="Arial" w:hAnsi="Arial"/>
                <w:sz w:val="18"/>
                <w:szCs w:val="18"/>
                <w:color w:val="auto"/>
                <w:w w:val="96"/>
              </w:rPr>
              <w:t>Equity Compensation Plans Not Approved by Security</w:t>
            </w:r>
          </w:p>
        </w:tc>
        <w:tc>
          <w:tcPr>
            <w:tcW w:w="2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4200" w:type="dxa"/>
            <w:vAlign w:val="bottom"/>
          </w:tcPr>
          <w:p>
            <w:pPr>
              <w:ind w:left="40"/>
              <w:spacing w:after="0"/>
              <w:rPr>
                <w:sz w:val="20"/>
                <w:szCs w:val="20"/>
                <w:color w:val="auto"/>
              </w:rPr>
            </w:pPr>
            <w:r>
              <w:rPr>
                <w:rFonts w:ascii="Arial" w:cs="Arial" w:eastAsia="Arial" w:hAnsi="Arial"/>
                <w:sz w:val="18"/>
                <w:szCs w:val="18"/>
                <w:color w:val="auto"/>
              </w:rPr>
              <w:t>Holders</w:t>
            </w:r>
          </w:p>
        </w:tc>
        <w:tc>
          <w:tcPr>
            <w:tcW w:w="2400" w:type="dxa"/>
            <w:vAlign w:val="bottom"/>
          </w:tcPr>
          <w:p>
            <w:pPr>
              <w:ind w:left="216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1,266,716</w:t>
            </w:r>
          </w:p>
        </w:tc>
      </w:tr>
      <w:tr>
        <w:trPr>
          <w:trHeight w:val="20"/>
        </w:trPr>
        <w:tc>
          <w:tcPr>
            <w:tcW w:w="420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number of securities shown in the first column as to be issued upon exercise of outstanding options, warrants, and rights. The amount shown is comprised of:</w:t>
      </w:r>
    </w:p>
    <w:p>
      <w:pPr>
        <w:spacing w:after="0" w:line="32" w:lineRule="exact"/>
        <w:rPr>
          <w:rFonts w:ascii="Arial" w:cs="Arial" w:eastAsia="Arial" w:hAnsi="Arial"/>
          <w:sz w:val="14"/>
          <w:szCs w:val="14"/>
          <w:i w:val="1"/>
          <w:iCs w:val="1"/>
          <w:color w:val="auto"/>
        </w:rPr>
      </w:pPr>
    </w:p>
    <w:p>
      <w:pPr>
        <w:jc w:val="both"/>
        <w:ind w:left="340"/>
        <w:spacing w:after="0" w:line="250" w:lineRule="auto"/>
        <w:rPr>
          <w:rFonts w:ascii="Arial" w:cs="Arial" w:eastAsia="Arial" w:hAnsi="Arial"/>
          <w:sz w:val="14"/>
          <w:szCs w:val="14"/>
          <w:i w:val="1"/>
          <w:iCs w:val="1"/>
          <w:color w:val="auto"/>
        </w:rPr>
      </w:pPr>
      <w:r>
        <w:rPr>
          <w:rFonts w:ascii="Arial" w:cs="Arial" w:eastAsia="Arial" w:hAnsi="Arial"/>
          <w:sz w:val="16"/>
          <w:szCs w:val="16"/>
          <w:i w:val="1"/>
          <w:iCs w:val="1"/>
          <w:color w:val="auto"/>
        </w:rPr>
        <w:t>(i) 1,005,861 shares available for issuance under the long-term incentive plan in the form of options, rights, restricted stock units, performance share awards, and other grants as approved by the Executive Compensation Committee of the Company’s Board of Directors; (ii) 136,178 shares available for issuance under the Director Stock Plan as payment for a portion of the annual retainer payable to non-employee Directors; and (iii) 124,677 shares available for issuance under the ALLETE and Affiliated Companies Employee Stock Purchase Plan.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2018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“Audit Committee Report” section in our 2018 Proxy 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02"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36"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(1)</w:t>
            </w: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Financial Statements</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Page</w:t>
            </w: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ALLETE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0" w:type="dxa"/>
            <w:vAlign w:val="bottom"/>
            <w:gridSpan w:val="10"/>
          </w:tcPr>
          <w:p>
            <w:pPr>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0" w:type="dxa"/>
            <w:vAlign w:val="bottom"/>
            <w:gridSpan w:val="10"/>
            <w:shd w:val="clear" w:color="auto" w:fill="CCEEFF"/>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Balance Sheet as of December 31, 2017 and 2016</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43"/>
        </w:trPr>
        <w:tc>
          <w:tcPr>
            <w:tcW w:w="4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5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w w:val="99"/>
              </w:rPr>
              <w:t>For the Years Ended December 31, 2017, 2016 and 2015</w:t>
            </w:r>
          </w:p>
        </w:tc>
        <w:tc>
          <w:tcPr>
            <w:tcW w:w="5420" w:type="dxa"/>
            <w:vAlign w:val="bottom"/>
            <w:tcBorders>
              <w:top w:val="single" w:sz="8" w:color="CCEE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 of Income</w:t>
              </w:r>
            </w:hyperlink>
          </w:p>
        </w:tc>
        <w:tc>
          <w:tcPr>
            <w:tcW w:w="7280" w:type="dxa"/>
            <w:vAlign w:val="bottom"/>
            <w:gridSpan w:val="7"/>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76</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 of Comprehensive Income</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80" w:type="dxa"/>
            <w:vAlign w:val="bottom"/>
            <w:gridSpan w:val="9"/>
            <w:shd w:val="clear" w:color="auto" w:fill="CCEEFF"/>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 of Cash Flows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3"/>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 of Equity</w:t>
              </w:r>
            </w:hyperlink>
          </w:p>
        </w:tc>
        <w:tc>
          <w:tcPr>
            <w:tcW w:w="6980" w:type="dxa"/>
            <w:vAlign w:val="bottom"/>
            <w:gridSpan w:val="6"/>
          </w:tcPr>
          <w:p>
            <w:pPr>
              <w:spacing w:after="0"/>
              <w:rPr>
                <w:sz w:val="17"/>
                <w:szCs w:val="17"/>
                <w:color w:val="auto"/>
              </w:rPr>
            </w:pPr>
          </w:p>
        </w:tc>
        <w:tc>
          <w:tcPr>
            <w:tcW w:w="220" w:type="dxa"/>
            <w:vAlign w:val="bottom"/>
            <w:gridSpan w:val="2"/>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79</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160" w:type="dxa"/>
            <w:vAlign w:val="bottom"/>
            <w:gridSpan w:val="5"/>
            <w:shd w:val="clear" w:color="auto" w:fill="CCEEFF"/>
          </w:tcPr>
          <w:p>
            <w:pPr>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Notes to Consolidated Financial Statements</w:t>
              </w:r>
            </w:hyperlink>
          </w:p>
        </w:tc>
        <w:tc>
          <w:tcPr>
            <w:tcW w:w="6840" w:type="dxa"/>
            <w:vAlign w:val="bottom"/>
            <w:gridSpan w:val="5"/>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43"/>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(2)</w:t>
            </w: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Financial Statement Schedules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Schedule II – ALLETE Valuation and Qualifying Accounts and Reserves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142</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29"/>
        </w:trPr>
        <w:tc>
          <w:tcPr>
            <w:tcW w:w="480" w:type="dxa"/>
            <w:vAlign w:val="bottom"/>
          </w:tcPr>
          <w:p>
            <w:pPr>
              <w:spacing w:after="0"/>
              <w:rPr>
                <w:sz w:val="19"/>
                <w:szCs w:val="19"/>
                <w:color w:val="auto"/>
              </w:rPr>
            </w:pP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w w:val="91"/>
              </w:rPr>
              <w:t>All other schedules have been omitted either because the information is not required to be reported by ALLETE or because the information is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included in the Consolidated Financial Statements or the notes.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702"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20" w:type="dxa"/>
            <w:vAlign w:val="bottom"/>
            <w:tcBorders>
              <w:left w:val="single" w:sz="8" w:color="CCEEFF"/>
            </w:tcBorders>
            <w:gridSpan w:val="3"/>
            <w:shd w:val="clear" w:color="auto" w:fill="CCEEFF"/>
          </w:tcPr>
          <w:p>
            <w:pPr>
              <w:ind w:left="40"/>
              <w:spacing w:after="0"/>
              <w:rPr>
                <w:rFonts w:ascii="Arial" w:cs="Arial" w:eastAsia="Arial" w:hAnsi="Arial"/>
                <w:sz w:val="16"/>
                <w:szCs w:val="16"/>
                <w:color w:val="0000FF"/>
              </w:rPr>
            </w:pPr>
            <w:hyperlink r:id="rId19">
              <w:r>
                <w:rPr>
                  <w:rFonts w:ascii="Arial" w:cs="Arial" w:eastAsia="Arial" w:hAnsi="Arial"/>
                  <w:sz w:val="16"/>
                  <w:szCs w:val="16"/>
                  <w:color w:val="0000FF"/>
                </w:rPr>
                <w:t>*3(a)1</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line="184" w:lineRule="exact"/>
              <w:rPr>
                <w:rFonts w:ascii="Arial" w:cs="Arial" w:eastAsia="Arial" w:hAnsi="Arial"/>
                <w:sz w:val="16"/>
                <w:szCs w:val="16"/>
                <w:color w:val="0000FF"/>
                <w:w w:val="98"/>
              </w:rPr>
            </w:pPr>
            <w:hyperlink r:id="rId19">
              <w:r>
                <w:rPr>
                  <w:rFonts w:ascii="Arial" w:cs="Arial" w:eastAsia="Arial" w:hAnsi="Arial"/>
                  <w:sz w:val="16"/>
                  <w:szCs w:val="16"/>
                  <w:color w:val="0000FF"/>
                  <w:w w:val="98"/>
                </w:rPr>
                <w:t>Articles of Incorporation, amended and restated as of May 8, 2001 (filed as Exhibit 3(b) to the March 31, 2001, Form 10</w:t>
              </w:r>
              <w:r>
                <w:rPr>
                  <w:rFonts w:ascii="MS PGothic" w:cs="MS PGothic" w:eastAsia="MS PGothic" w:hAnsi="MS PGothic"/>
                  <w:sz w:val="16"/>
                  <w:szCs w:val="16"/>
                  <w:color w:val="0000FF"/>
                  <w:w w:val="98"/>
                </w:rPr>
                <w:t>‑</w:t>
              </w:r>
              <w:r>
                <w:rPr>
                  <w:rFonts w:ascii="Arial" w:cs="Arial" w:eastAsia="Arial" w:hAnsi="Arial"/>
                  <w:sz w:val="16"/>
                  <w:szCs w:val="16"/>
                  <w:color w:val="0000FF"/>
                  <w:w w:val="98"/>
                </w:rPr>
                <w:t>Q, File No. 1-3548).</w:t>
              </w:r>
            </w:hyperlink>
          </w:p>
        </w:tc>
      </w:tr>
      <w:tr>
        <w:trPr>
          <w:trHeight w:val="48"/>
        </w:trPr>
        <w:tc>
          <w:tcPr>
            <w:tcW w:w="380" w:type="dxa"/>
            <w:vAlign w:val="bottom"/>
            <w:tcBorders>
              <w:top w:val="single" w:sz="8" w:color="0000FF"/>
              <w:lef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820" w:type="dxa"/>
            <w:vAlign w:val="bottom"/>
            <w:gridSpan w:val="3"/>
          </w:tcPr>
          <w:p>
            <w:pPr>
              <w:ind w:left="40"/>
              <w:spacing w:after="0"/>
              <w:rPr>
                <w:rFonts w:ascii="Arial" w:cs="Arial" w:eastAsia="Arial" w:hAnsi="Arial"/>
                <w:sz w:val="16"/>
                <w:szCs w:val="16"/>
                <w:color w:val="0000FF"/>
              </w:rPr>
            </w:pPr>
            <w:hyperlink r:id="rId20">
              <w:r>
                <w:rPr>
                  <w:rFonts w:ascii="Arial" w:cs="Arial" w:eastAsia="Arial" w:hAnsi="Arial"/>
                  <w:sz w:val="16"/>
                  <w:szCs w:val="16"/>
                  <w:color w:val="0000FF"/>
                </w:rPr>
                <w:t>*3(a)2</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7"/>
          </w:tcPr>
          <w:p>
            <w:pPr>
              <w:ind w:left="160"/>
              <w:spacing w:after="0"/>
              <w:rPr>
                <w:rFonts w:ascii="Arial" w:cs="Arial" w:eastAsia="Arial" w:hAnsi="Arial"/>
                <w:sz w:val="16"/>
                <w:szCs w:val="16"/>
                <w:color w:val="0000FF"/>
                <w:w w:val="93"/>
              </w:rPr>
            </w:pPr>
            <w:hyperlink r:id="rId20">
              <w:r>
                <w:rPr>
                  <w:rFonts w:ascii="Arial" w:cs="Arial" w:eastAsia="Arial" w:hAnsi="Arial"/>
                  <w:sz w:val="16"/>
                  <w:szCs w:val="16"/>
                  <w:color w:val="0000FF"/>
                  <w:w w:val="93"/>
                </w:rPr>
                <w:t>Amendment to Articles of Incorporation, dated as of September 20, 2004 (filed as Exhibit 3 to the September 21, 2004, Form 8-K, File No. 1-3548).</w:t>
              </w:r>
            </w:hyperlink>
          </w:p>
        </w:tc>
      </w:tr>
      <w:tr>
        <w:trPr>
          <w:trHeight w:val="48"/>
        </w:trPr>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820" w:type="dxa"/>
            <w:vAlign w:val="bottom"/>
            <w:tcBorders>
              <w:left w:val="single" w:sz="8" w:color="CCEEFF"/>
            </w:tcBorders>
            <w:gridSpan w:val="3"/>
            <w:shd w:val="clear" w:color="auto" w:fill="CCEEFF"/>
          </w:tcPr>
          <w:p>
            <w:pPr>
              <w:ind w:left="40"/>
              <w:spacing w:after="0"/>
              <w:rPr>
                <w:rFonts w:ascii="Arial" w:cs="Arial" w:eastAsia="Arial" w:hAnsi="Arial"/>
                <w:sz w:val="16"/>
                <w:szCs w:val="16"/>
                <w:color w:val="0000FF"/>
              </w:rPr>
            </w:pPr>
            <w:hyperlink r:id="rId21">
              <w:r>
                <w:rPr>
                  <w:rFonts w:ascii="Arial" w:cs="Arial" w:eastAsia="Arial" w:hAnsi="Arial"/>
                  <w:sz w:val="16"/>
                  <w:szCs w:val="16"/>
                  <w:color w:val="0000FF"/>
                </w:rPr>
                <w:t>*3(a)3</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rPr>
                <w:rFonts w:ascii="Arial" w:cs="Arial" w:eastAsia="Arial" w:hAnsi="Arial"/>
                <w:sz w:val="16"/>
                <w:szCs w:val="16"/>
                <w:color w:val="0000FF"/>
              </w:rPr>
            </w:pPr>
            <w:hyperlink r:id="rId21">
              <w:r>
                <w:rPr>
                  <w:rFonts w:ascii="Arial" w:cs="Arial" w:eastAsia="Arial" w:hAnsi="Arial"/>
                  <w:sz w:val="16"/>
                  <w:szCs w:val="16"/>
                  <w:color w:val="0000FF"/>
                </w:rPr>
                <w:t>Amendment to Articles of Incorporation, dated as of May 12, 2009 (filed as Exhibit 3 to the June 30, 2009, Form 10-Q, File No. 1-3548).</w:t>
              </w:r>
            </w:hyperlink>
          </w:p>
        </w:tc>
      </w:tr>
      <w:tr>
        <w:trPr>
          <w:trHeight w:val="48"/>
        </w:trPr>
        <w:tc>
          <w:tcPr>
            <w:tcW w:w="380" w:type="dxa"/>
            <w:vAlign w:val="bottom"/>
            <w:tcBorders>
              <w:top w:val="single" w:sz="8" w:color="0000FF"/>
              <w:lef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820" w:type="dxa"/>
            <w:vAlign w:val="bottom"/>
            <w:gridSpan w:val="3"/>
          </w:tcPr>
          <w:p>
            <w:pPr>
              <w:ind w:left="40"/>
              <w:spacing w:after="0"/>
              <w:rPr>
                <w:rFonts w:ascii="Arial" w:cs="Arial" w:eastAsia="Arial" w:hAnsi="Arial"/>
                <w:sz w:val="16"/>
                <w:szCs w:val="16"/>
                <w:color w:val="0000FF"/>
              </w:rPr>
            </w:pPr>
            <w:hyperlink r:id="rId22">
              <w:r>
                <w:rPr>
                  <w:rFonts w:ascii="Arial" w:cs="Arial" w:eastAsia="Arial" w:hAnsi="Arial"/>
                  <w:sz w:val="16"/>
                  <w:szCs w:val="16"/>
                  <w:color w:val="0000FF"/>
                </w:rPr>
                <w:t>*3(a)4</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7"/>
          </w:tcPr>
          <w:p>
            <w:pPr>
              <w:ind w:left="160"/>
              <w:spacing w:after="0"/>
              <w:rPr>
                <w:rFonts w:ascii="Arial" w:cs="Arial" w:eastAsia="Arial" w:hAnsi="Arial"/>
                <w:sz w:val="16"/>
                <w:szCs w:val="16"/>
                <w:color w:val="0000FF"/>
              </w:rPr>
            </w:pPr>
            <w:hyperlink r:id="rId22">
              <w:r>
                <w:rPr>
                  <w:rFonts w:ascii="Arial" w:cs="Arial" w:eastAsia="Arial" w:hAnsi="Arial"/>
                  <w:sz w:val="16"/>
                  <w:szCs w:val="16"/>
                  <w:color w:val="0000FF"/>
                </w:rPr>
                <w:t>Amendment to Articles of Incorporation, dated as of May 11, 2010 (filed as Exhibit 3(a) to the May 14, 2010, Form 8-K, File No. 1-3548).</w:t>
              </w:r>
            </w:hyperlink>
          </w:p>
        </w:tc>
      </w:tr>
      <w:tr>
        <w:trPr>
          <w:trHeight w:val="48"/>
        </w:trPr>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820" w:type="dxa"/>
            <w:vAlign w:val="bottom"/>
            <w:tcBorders>
              <w:left w:val="single" w:sz="8" w:color="CCEEFF"/>
            </w:tcBorders>
            <w:gridSpan w:val="3"/>
            <w:shd w:val="clear" w:color="auto" w:fill="CCEEFF"/>
          </w:tcPr>
          <w:p>
            <w:pPr>
              <w:ind w:left="40"/>
              <w:spacing w:after="0"/>
              <w:rPr>
                <w:rFonts w:ascii="Arial" w:cs="Arial" w:eastAsia="Arial" w:hAnsi="Arial"/>
                <w:sz w:val="16"/>
                <w:szCs w:val="16"/>
                <w:color w:val="0000FF"/>
              </w:rPr>
            </w:pPr>
            <w:hyperlink r:id="rId23">
              <w:r>
                <w:rPr>
                  <w:rFonts w:ascii="Arial" w:cs="Arial" w:eastAsia="Arial" w:hAnsi="Arial"/>
                  <w:sz w:val="16"/>
                  <w:szCs w:val="16"/>
                  <w:color w:val="0000FF"/>
                </w:rPr>
                <w:t>*3(a)5</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rPr>
                <w:rFonts w:ascii="Arial" w:cs="Arial" w:eastAsia="Arial" w:hAnsi="Arial"/>
                <w:sz w:val="16"/>
                <w:szCs w:val="16"/>
                <w:color w:val="0000FF"/>
                <w:w w:val="96"/>
              </w:rPr>
            </w:pPr>
            <w:hyperlink r:id="rId23">
              <w:r>
                <w:rPr>
                  <w:rFonts w:ascii="Arial" w:cs="Arial" w:eastAsia="Arial" w:hAnsi="Arial"/>
                  <w:sz w:val="16"/>
                  <w:szCs w:val="16"/>
                  <w:color w:val="0000FF"/>
                  <w:w w:val="96"/>
                </w:rPr>
                <w:t>Amendment to Certificate of Assumed Name, filed with the Minnesota Secretary of State on May 8, 2001 (filed as Exhibit 3(a) to the March 31,</w:t>
              </w:r>
            </w:hyperlink>
          </w:p>
        </w:tc>
      </w:tr>
      <w:tr>
        <w:trPr>
          <w:trHeight w:val="20"/>
        </w:trPr>
        <w:tc>
          <w:tcPr>
            <w:tcW w:w="380" w:type="dxa"/>
            <w:vAlign w:val="bottom"/>
            <w:tcBorders>
              <w:left w:val="single" w:sz="8" w:color="CCEE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shd w:val="clear" w:color="auto" w:fill="0000FF"/>
          </w:tcPr>
          <w:p>
            <w:pPr>
              <w:spacing w:after="0" w:line="20" w:lineRule="exact"/>
              <w:rPr>
                <w:sz w:val="1"/>
                <w:szCs w:val="1"/>
                <w:color w:val="auto"/>
              </w:rPr>
            </w:pPr>
          </w:p>
        </w:tc>
      </w:tr>
      <w:tr>
        <w:trPr>
          <w:trHeight w:val="183"/>
        </w:trPr>
        <w:tc>
          <w:tcPr>
            <w:tcW w:w="3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780" w:type="dxa"/>
            <w:vAlign w:val="bottom"/>
            <w:gridSpan w:val="30"/>
            <w:shd w:val="clear" w:color="auto" w:fill="CCEEFF"/>
          </w:tcPr>
          <w:p>
            <w:pPr>
              <w:ind w:left="160"/>
              <w:spacing w:after="0" w:line="183" w:lineRule="exact"/>
              <w:rPr>
                <w:rFonts w:ascii="Arial" w:cs="Arial" w:eastAsia="Arial" w:hAnsi="Arial"/>
                <w:sz w:val="16"/>
                <w:szCs w:val="16"/>
                <w:color w:val="0000FF"/>
              </w:rPr>
            </w:pPr>
            <w:hyperlink r:id="rId23">
              <w:r>
                <w:rPr>
                  <w:rFonts w:ascii="Arial" w:cs="Arial" w:eastAsia="Arial" w:hAnsi="Arial"/>
                  <w:sz w:val="16"/>
                  <w:szCs w:val="16"/>
                  <w:color w:val="0000FF"/>
                </w:rPr>
                <w:t>2001, Form 10-Q, File No. 1-3548).</w:t>
              </w:r>
            </w:hyperlink>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820" w:type="dxa"/>
            <w:vAlign w:val="bottom"/>
            <w:gridSpan w:val="3"/>
          </w:tcPr>
          <w:p>
            <w:pPr>
              <w:ind w:left="40"/>
              <w:spacing w:after="0"/>
              <w:rPr>
                <w:rFonts w:ascii="Arial" w:cs="Arial" w:eastAsia="Arial" w:hAnsi="Arial"/>
                <w:sz w:val="16"/>
                <w:szCs w:val="16"/>
                <w:color w:val="0000FF"/>
              </w:rPr>
            </w:pPr>
            <w:hyperlink r:id="rId24">
              <w:r>
                <w:rPr>
                  <w:rFonts w:ascii="Arial" w:cs="Arial" w:eastAsia="Arial" w:hAnsi="Arial"/>
                  <w:sz w:val="16"/>
                  <w:szCs w:val="16"/>
                  <w:color w:val="0000FF"/>
                </w:rPr>
                <w:t>*3(b)</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980" w:type="dxa"/>
            <w:vAlign w:val="bottom"/>
            <w:gridSpan w:val="39"/>
          </w:tcPr>
          <w:p>
            <w:pPr>
              <w:ind w:left="160"/>
              <w:spacing w:after="0"/>
              <w:rPr>
                <w:rFonts w:ascii="Arial" w:cs="Arial" w:eastAsia="Arial" w:hAnsi="Arial"/>
                <w:sz w:val="16"/>
                <w:szCs w:val="16"/>
                <w:color w:val="0000FF"/>
                <w:w w:val="96"/>
              </w:rPr>
            </w:pPr>
            <w:hyperlink r:id="rId24">
              <w:r>
                <w:rPr>
                  <w:rFonts w:ascii="Arial" w:cs="Arial" w:eastAsia="Arial" w:hAnsi="Arial"/>
                  <w:sz w:val="16"/>
                  <w:szCs w:val="16"/>
                  <w:color w:val="0000FF"/>
                  <w:w w:val="96"/>
                </w:rPr>
                <w:t>Bylaws, as amended effective May 11, 2010 (filed as Exhibit 3(b) to the May 14, 2010, Form 8-K, File No. 1-3548).</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8"/>
        </w:trPr>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0"/>
        </w:trPr>
        <w:tc>
          <w:tcPr>
            <w:tcW w:w="82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*4(a)1</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rPr>
                <w:sz w:val="20"/>
                <w:szCs w:val="20"/>
                <w:color w:val="auto"/>
              </w:rPr>
            </w:pPr>
            <w:r>
              <w:rPr>
                <w:rFonts w:ascii="Arial" w:cs="Arial" w:eastAsia="Arial" w:hAnsi="Arial"/>
                <w:sz w:val="16"/>
                <w:szCs w:val="16"/>
                <w:color w:val="auto"/>
                <w:w w:val="95"/>
              </w:rPr>
              <w:t>Mortgage and Deed of Trust, dated as of September 1, 1945, between Minnesota Power &amp; Light Company (now ALLETE) and The Bank of New</w:t>
            </w:r>
          </w:p>
        </w:tc>
      </w:tr>
      <w:tr>
        <w:trPr>
          <w:trHeight w:val="219"/>
        </w:trPr>
        <w:tc>
          <w:tcPr>
            <w:tcW w:w="38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right w:val="single" w:sz="8" w:color="CCEEFF"/>
            </w:tcBorders>
            <w:gridSpan w:val="47"/>
            <w:shd w:val="clear" w:color="auto" w:fill="CCEEFF"/>
          </w:tcPr>
          <w:p>
            <w:pPr>
              <w:ind w:left="160"/>
              <w:spacing w:after="0"/>
              <w:rPr>
                <w:sz w:val="20"/>
                <w:szCs w:val="20"/>
                <w:color w:val="auto"/>
              </w:rPr>
            </w:pPr>
            <w:r>
              <w:rPr>
                <w:rFonts w:ascii="Arial" w:cs="Arial" w:eastAsia="Arial" w:hAnsi="Arial"/>
                <w:sz w:val="16"/>
                <w:szCs w:val="16"/>
                <w:color w:val="auto"/>
                <w:w w:val="93"/>
              </w:rPr>
              <w:t>York Mellon (formerly Irving Trust Company) and Andres Serrano (successor to Richard H. West), Trustees (filed as Exhibit 7(c), File No. 2-5865).</w:t>
            </w:r>
          </w:p>
        </w:tc>
      </w:tr>
      <w:tr>
        <w:trPr>
          <w:trHeight w:val="224"/>
        </w:trPr>
        <w:tc>
          <w:tcPr>
            <w:tcW w:w="820" w:type="dxa"/>
            <w:vAlign w:val="bottom"/>
            <w:gridSpan w:val="3"/>
          </w:tcPr>
          <w:p>
            <w:pPr>
              <w:ind w:left="40"/>
              <w:spacing w:after="0"/>
              <w:rPr>
                <w:sz w:val="20"/>
                <w:szCs w:val="20"/>
                <w:color w:val="auto"/>
              </w:rPr>
            </w:pPr>
            <w:r>
              <w:rPr>
                <w:rFonts w:ascii="Arial" w:cs="Arial" w:eastAsia="Arial" w:hAnsi="Arial"/>
                <w:sz w:val="16"/>
                <w:szCs w:val="16"/>
                <w:color w:val="auto"/>
              </w:rPr>
              <w:t>*4(a)2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980" w:type="dxa"/>
            <w:vAlign w:val="bottom"/>
            <w:gridSpan w:val="39"/>
          </w:tcPr>
          <w:p>
            <w:pPr>
              <w:ind w:left="160"/>
              <w:spacing w:after="0"/>
              <w:rPr>
                <w:sz w:val="20"/>
                <w:szCs w:val="20"/>
                <w:color w:val="auto"/>
              </w:rPr>
            </w:pPr>
            <w:r>
              <w:rPr>
                <w:rFonts w:ascii="Arial" w:cs="Arial" w:eastAsia="Arial" w:hAnsi="Arial"/>
                <w:sz w:val="16"/>
                <w:szCs w:val="16"/>
                <w:color w:val="auto"/>
              </w:rPr>
              <w:t>Supplemental Indentures to ALLETE’s Mortgage and Deed of Trust: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b w:val="1"/>
                <w:bCs w:val="1"/>
                <w:color w:val="auto"/>
              </w:rPr>
              <w:t>Number</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b w:val="1"/>
                <w:bCs w:val="1"/>
                <w:color w:val="auto"/>
              </w:rPr>
              <w:t>Dated as of</w:t>
            </w:r>
          </w:p>
        </w:tc>
        <w:tc>
          <w:tcPr>
            <w:tcW w:w="42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b w:val="1"/>
                <w:bCs w:val="1"/>
                <w:color w:val="auto"/>
              </w:rPr>
              <w:t>Reference File</w:t>
            </w: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b w:val="1"/>
                <w:bCs w:val="1"/>
                <w:color w:val="auto"/>
              </w:rPr>
              <w:t>Exhibit</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First</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March 1, 1949</w:t>
            </w:r>
          </w:p>
        </w:tc>
        <w:tc>
          <w:tcPr>
            <w:tcW w:w="720" w:type="dxa"/>
            <w:vAlign w:val="bottom"/>
          </w:tcPr>
          <w:p>
            <w:pPr>
              <w:spacing w:after="0"/>
              <w:rPr>
                <w:sz w:val="20"/>
                <w:szCs w:val="20"/>
                <w:color w:val="auto"/>
              </w:rPr>
            </w:pPr>
            <w:r>
              <w:rPr>
                <w:rFonts w:ascii="Arial" w:cs="Arial" w:eastAsia="Arial" w:hAnsi="Arial"/>
                <w:sz w:val="16"/>
                <w:szCs w:val="16"/>
                <w:color w:val="auto"/>
              </w:rPr>
              <w:t>2-7826</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7(b)</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Second</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July 1, 1951</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2-9036</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7(c)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Third</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March 1, 1957</w:t>
            </w:r>
          </w:p>
        </w:tc>
        <w:tc>
          <w:tcPr>
            <w:tcW w:w="720" w:type="dxa"/>
            <w:vAlign w:val="bottom"/>
          </w:tcPr>
          <w:p>
            <w:pPr>
              <w:spacing w:after="0"/>
              <w:rPr>
                <w:sz w:val="20"/>
                <w:szCs w:val="20"/>
                <w:color w:val="auto"/>
              </w:rPr>
            </w:pPr>
            <w:r>
              <w:rPr>
                <w:rFonts w:ascii="Arial" w:cs="Arial" w:eastAsia="Arial" w:hAnsi="Arial"/>
                <w:sz w:val="16"/>
                <w:szCs w:val="16"/>
                <w:color w:val="auto"/>
              </w:rPr>
              <w:t>2-13075</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Fourth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January 1, 1968</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2-27794</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Fifth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April 1, 1971</w:t>
            </w:r>
          </w:p>
        </w:tc>
        <w:tc>
          <w:tcPr>
            <w:tcW w:w="720" w:type="dxa"/>
            <w:vAlign w:val="bottom"/>
          </w:tcPr>
          <w:p>
            <w:pPr>
              <w:spacing w:after="0"/>
              <w:rPr>
                <w:sz w:val="20"/>
                <w:szCs w:val="20"/>
                <w:color w:val="auto"/>
              </w:rPr>
            </w:pPr>
            <w:r>
              <w:rPr>
                <w:rFonts w:ascii="Arial" w:cs="Arial" w:eastAsia="Arial" w:hAnsi="Arial"/>
                <w:sz w:val="16"/>
                <w:szCs w:val="16"/>
                <w:color w:val="auto"/>
              </w:rPr>
              <w:t>2-39537</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Sixth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August 1, 1975</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2-54116</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Seventh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September 1, 1976</w:t>
            </w:r>
          </w:p>
        </w:tc>
        <w:tc>
          <w:tcPr>
            <w:tcW w:w="720" w:type="dxa"/>
            <w:vAlign w:val="bottom"/>
          </w:tcPr>
          <w:p>
            <w:pPr>
              <w:spacing w:after="0"/>
              <w:rPr>
                <w:sz w:val="20"/>
                <w:szCs w:val="20"/>
                <w:color w:val="auto"/>
              </w:rPr>
            </w:pPr>
            <w:r>
              <w:rPr>
                <w:rFonts w:ascii="Arial" w:cs="Arial" w:eastAsia="Arial" w:hAnsi="Arial"/>
                <w:sz w:val="16"/>
                <w:szCs w:val="16"/>
                <w:color w:val="auto"/>
              </w:rPr>
              <w:t>2-57014</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Eighth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September 1, 1977</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2-59690</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Ninth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April 1, 1978</w:t>
            </w:r>
          </w:p>
        </w:tc>
        <w:tc>
          <w:tcPr>
            <w:tcW w:w="720" w:type="dxa"/>
            <w:vAlign w:val="bottom"/>
          </w:tcPr>
          <w:p>
            <w:pPr>
              <w:spacing w:after="0"/>
              <w:rPr>
                <w:sz w:val="20"/>
                <w:szCs w:val="20"/>
                <w:color w:val="auto"/>
              </w:rPr>
            </w:pPr>
            <w:r>
              <w:rPr>
                <w:rFonts w:ascii="Arial" w:cs="Arial" w:eastAsia="Arial" w:hAnsi="Arial"/>
                <w:sz w:val="16"/>
                <w:szCs w:val="16"/>
                <w:color w:val="auto"/>
              </w:rPr>
              <w:t>2-60866</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Tenth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August 1, 1978</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2-62852</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2(d)2</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Eleventh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December 1, 1982</w:t>
            </w:r>
          </w:p>
        </w:tc>
        <w:tc>
          <w:tcPr>
            <w:tcW w:w="720" w:type="dxa"/>
            <w:vAlign w:val="bottom"/>
          </w:tcPr>
          <w:p>
            <w:pPr>
              <w:spacing w:after="0"/>
              <w:rPr>
                <w:sz w:val="20"/>
                <w:szCs w:val="20"/>
                <w:color w:val="auto"/>
              </w:rPr>
            </w:pPr>
            <w:r>
              <w:rPr>
                <w:rFonts w:ascii="Arial" w:cs="Arial" w:eastAsia="Arial" w:hAnsi="Arial"/>
                <w:sz w:val="16"/>
                <w:szCs w:val="16"/>
                <w:color w:val="auto"/>
              </w:rPr>
              <w:t>2-56649</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4(a)3</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Twelfth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April 1, 1987</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33-30224</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4(a)3</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Thirteenth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March 1, 1992</w:t>
            </w:r>
          </w:p>
        </w:tc>
        <w:tc>
          <w:tcPr>
            <w:tcW w:w="720" w:type="dxa"/>
            <w:vAlign w:val="bottom"/>
          </w:tcPr>
          <w:p>
            <w:pPr>
              <w:spacing w:after="0"/>
              <w:rPr>
                <w:sz w:val="20"/>
                <w:szCs w:val="20"/>
                <w:color w:val="auto"/>
              </w:rPr>
            </w:pPr>
            <w:r>
              <w:rPr>
                <w:rFonts w:ascii="Arial" w:cs="Arial" w:eastAsia="Arial" w:hAnsi="Arial"/>
                <w:sz w:val="16"/>
                <w:szCs w:val="16"/>
                <w:color w:val="auto"/>
              </w:rPr>
              <w:t>33-47438</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4(b)</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Fourteenth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June 1, 1992</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33-55240</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Fifteenth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July 1, 1992</w:t>
            </w:r>
          </w:p>
        </w:tc>
        <w:tc>
          <w:tcPr>
            <w:tcW w:w="720" w:type="dxa"/>
            <w:vAlign w:val="bottom"/>
          </w:tcPr>
          <w:p>
            <w:pPr>
              <w:spacing w:after="0"/>
              <w:rPr>
                <w:sz w:val="20"/>
                <w:szCs w:val="20"/>
                <w:color w:val="auto"/>
              </w:rPr>
            </w:pPr>
            <w:r>
              <w:rPr>
                <w:rFonts w:ascii="Arial" w:cs="Arial" w:eastAsia="Arial" w:hAnsi="Arial"/>
                <w:sz w:val="16"/>
                <w:szCs w:val="16"/>
                <w:color w:val="auto"/>
              </w:rPr>
              <w:t>33-55240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Sixteenth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July 1, 1992</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33-55240</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4(d)</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Seventeenth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February 1, 1993</w:t>
            </w:r>
          </w:p>
        </w:tc>
        <w:tc>
          <w:tcPr>
            <w:tcW w:w="720" w:type="dxa"/>
            <w:vAlign w:val="bottom"/>
          </w:tcPr>
          <w:p>
            <w:pPr>
              <w:spacing w:after="0"/>
              <w:rPr>
                <w:sz w:val="20"/>
                <w:szCs w:val="20"/>
                <w:color w:val="auto"/>
              </w:rPr>
            </w:pPr>
            <w:r>
              <w:rPr>
                <w:rFonts w:ascii="Arial" w:cs="Arial" w:eastAsia="Arial" w:hAnsi="Arial"/>
                <w:sz w:val="16"/>
                <w:szCs w:val="16"/>
                <w:color w:val="auto"/>
              </w:rPr>
              <w:t>33-50143</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4(b)</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Eighteenth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July 1, 1993</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33-50143</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4(c)</w:t>
            </w: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25">
              <w:r>
                <w:rPr>
                  <w:rFonts w:ascii="Arial" w:cs="Arial" w:eastAsia="Arial" w:hAnsi="Arial"/>
                  <w:sz w:val="16"/>
                  <w:szCs w:val="16"/>
                  <w:color w:val="0000FF"/>
                </w:rPr>
                <w:t>Nineteenth</w:t>
              </w:r>
            </w:hyperlink>
          </w:p>
        </w:tc>
        <w:tc>
          <w:tcPr>
            <w:tcW w:w="2200" w:type="dxa"/>
            <w:vAlign w:val="bottom"/>
            <w:gridSpan w:val="13"/>
          </w:tcPr>
          <w:p>
            <w:pPr>
              <w:ind w:left="400"/>
              <w:spacing w:after="0"/>
              <w:rPr>
                <w:rFonts w:ascii="Arial" w:cs="Arial" w:eastAsia="Arial" w:hAnsi="Arial"/>
                <w:sz w:val="16"/>
                <w:szCs w:val="16"/>
                <w:color w:val="0000FF"/>
              </w:rPr>
            </w:pPr>
            <w:hyperlink r:id="rId25">
              <w:r>
                <w:rPr>
                  <w:rFonts w:ascii="Arial" w:cs="Arial" w:eastAsia="Arial" w:hAnsi="Arial"/>
                  <w:sz w:val="16"/>
                  <w:szCs w:val="16"/>
                  <w:color w:val="0000FF"/>
                </w:rPr>
                <w:t>February 1, 1997</w:t>
              </w:r>
            </w:hyperlink>
          </w:p>
        </w:tc>
        <w:tc>
          <w:tcPr>
            <w:tcW w:w="4200" w:type="dxa"/>
            <w:vAlign w:val="bottom"/>
            <w:gridSpan w:val="9"/>
          </w:tcPr>
          <w:p>
            <w:pPr>
              <w:spacing w:after="0"/>
              <w:rPr>
                <w:rFonts w:ascii="Arial" w:cs="Arial" w:eastAsia="Arial" w:hAnsi="Arial"/>
                <w:sz w:val="16"/>
                <w:szCs w:val="16"/>
                <w:color w:val="0000FF"/>
              </w:rPr>
            </w:pPr>
            <w:hyperlink r:id="rId25">
              <w:r>
                <w:rPr>
                  <w:rFonts w:ascii="Arial" w:cs="Arial" w:eastAsia="Arial" w:hAnsi="Arial"/>
                  <w:sz w:val="16"/>
                  <w:szCs w:val="16"/>
                  <w:color w:val="0000FF"/>
                </w:rPr>
                <w:t>1-3548 (1996 Form 10-K)</w:t>
              </w:r>
            </w:hyperlink>
          </w:p>
        </w:tc>
        <w:tc>
          <w:tcPr>
            <w:tcW w:w="1920" w:type="dxa"/>
            <w:vAlign w:val="bottom"/>
            <w:gridSpan w:val="8"/>
          </w:tcPr>
          <w:p>
            <w:pPr>
              <w:spacing w:after="0"/>
              <w:rPr>
                <w:rFonts w:ascii="Arial" w:cs="Arial" w:eastAsia="Arial" w:hAnsi="Arial"/>
                <w:sz w:val="16"/>
                <w:szCs w:val="16"/>
                <w:color w:val="0000FF"/>
              </w:rPr>
            </w:pPr>
            <w:hyperlink r:id="rId25">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26">
              <w:r>
                <w:rPr>
                  <w:rFonts w:ascii="Arial" w:cs="Arial" w:eastAsia="Arial" w:hAnsi="Arial"/>
                  <w:sz w:val="16"/>
                  <w:szCs w:val="16"/>
                  <w:color w:val="0000FF"/>
                </w:rPr>
                <w:t>Twentieth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26">
              <w:r>
                <w:rPr>
                  <w:rFonts w:ascii="Arial" w:cs="Arial" w:eastAsia="Arial" w:hAnsi="Arial"/>
                  <w:sz w:val="16"/>
                  <w:szCs w:val="16"/>
                  <w:color w:val="0000FF"/>
                </w:rPr>
                <w:t>November 1, 1997</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26">
              <w:r>
                <w:rPr>
                  <w:rFonts w:ascii="Arial" w:cs="Arial" w:eastAsia="Arial" w:hAnsi="Arial"/>
                  <w:sz w:val="16"/>
                  <w:szCs w:val="16"/>
                  <w:color w:val="0000FF"/>
                </w:rPr>
                <w:t>1-3548 (1997 Form 10-K)</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26">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27">
              <w:r>
                <w:rPr>
                  <w:rFonts w:ascii="Arial" w:cs="Arial" w:eastAsia="Arial" w:hAnsi="Arial"/>
                  <w:sz w:val="16"/>
                  <w:szCs w:val="16"/>
                  <w:color w:val="0000FF"/>
                </w:rPr>
                <w:t>Twenty-first</w:t>
              </w:r>
            </w:hyperlink>
          </w:p>
        </w:tc>
        <w:tc>
          <w:tcPr>
            <w:tcW w:w="2200" w:type="dxa"/>
            <w:vAlign w:val="bottom"/>
            <w:gridSpan w:val="13"/>
          </w:tcPr>
          <w:p>
            <w:pPr>
              <w:ind w:left="400"/>
              <w:spacing w:after="0"/>
              <w:rPr>
                <w:rFonts w:ascii="Arial" w:cs="Arial" w:eastAsia="Arial" w:hAnsi="Arial"/>
                <w:sz w:val="16"/>
                <w:szCs w:val="16"/>
                <w:color w:val="0000FF"/>
              </w:rPr>
            </w:pPr>
            <w:hyperlink r:id="rId27">
              <w:r>
                <w:rPr>
                  <w:rFonts w:ascii="Arial" w:cs="Arial" w:eastAsia="Arial" w:hAnsi="Arial"/>
                  <w:sz w:val="16"/>
                  <w:szCs w:val="16"/>
                  <w:color w:val="0000FF"/>
                </w:rPr>
                <w:t>October 1, 2000</w:t>
              </w:r>
            </w:hyperlink>
          </w:p>
        </w:tc>
        <w:tc>
          <w:tcPr>
            <w:tcW w:w="1700" w:type="dxa"/>
            <w:vAlign w:val="bottom"/>
            <w:gridSpan w:val="2"/>
          </w:tcPr>
          <w:p>
            <w:pPr>
              <w:spacing w:after="0"/>
              <w:rPr>
                <w:rFonts w:ascii="Arial" w:cs="Arial" w:eastAsia="Arial" w:hAnsi="Arial"/>
                <w:sz w:val="16"/>
                <w:szCs w:val="16"/>
                <w:color w:val="0000FF"/>
              </w:rPr>
            </w:pPr>
            <w:hyperlink r:id="rId27">
              <w:r>
                <w:rPr>
                  <w:rFonts w:ascii="Arial" w:cs="Arial" w:eastAsia="Arial" w:hAnsi="Arial"/>
                  <w:sz w:val="16"/>
                  <w:szCs w:val="16"/>
                  <w:color w:val="0000FF"/>
                </w:rPr>
                <w:t>333-54330</w:t>
              </w:r>
            </w:hyperlink>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8"/>
          </w:tcPr>
          <w:p>
            <w:pPr>
              <w:spacing w:after="0"/>
              <w:rPr>
                <w:rFonts w:ascii="Arial" w:cs="Arial" w:eastAsia="Arial" w:hAnsi="Arial"/>
                <w:sz w:val="16"/>
                <w:szCs w:val="16"/>
                <w:color w:val="0000FF"/>
              </w:rPr>
            </w:pPr>
            <w:hyperlink r:id="rId27">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28">
              <w:r>
                <w:rPr>
                  <w:rFonts w:ascii="Arial" w:cs="Arial" w:eastAsia="Arial" w:hAnsi="Arial"/>
                  <w:sz w:val="16"/>
                  <w:szCs w:val="16"/>
                  <w:color w:val="0000FF"/>
                </w:rPr>
                <w:t>Twenty-second</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28">
              <w:r>
                <w:rPr>
                  <w:rFonts w:ascii="Arial" w:cs="Arial" w:eastAsia="Arial" w:hAnsi="Arial"/>
                  <w:sz w:val="16"/>
                  <w:szCs w:val="16"/>
                  <w:color w:val="0000FF"/>
                </w:rPr>
                <w:t>July 1, 2003</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28">
              <w:r>
                <w:rPr>
                  <w:rFonts w:ascii="Arial" w:cs="Arial" w:eastAsia="Arial" w:hAnsi="Arial"/>
                  <w:sz w:val="16"/>
                  <w:szCs w:val="16"/>
                  <w:color w:val="0000FF"/>
                </w:rPr>
                <w:t>1-3548 (June 30, 2003,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28">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29">
              <w:r>
                <w:rPr>
                  <w:rFonts w:ascii="Arial" w:cs="Arial" w:eastAsia="Arial" w:hAnsi="Arial"/>
                  <w:sz w:val="16"/>
                  <w:szCs w:val="16"/>
                  <w:color w:val="0000FF"/>
                </w:rPr>
                <w:t>Twenty-third</w:t>
              </w:r>
            </w:hyperlink>
          </w:p>
        </w:tc>
        <w:tc>
          <w:tcPr>
            <w:tcW w:w="2200" w:type="dxa"/>
            <w:vAlign w:val="bottom"/>
            <w:gridSpan w:val="13"/>
          </w:tcPr>
          <w:p>
            <w:pPr>
              <w:ind w:left="400"/>
              <w:spacing w:after="0"/>
              <w:rPr>
                <w:rFonts w:ascii="Arial" w:cs="Arial" w:eastAsia="Arial" w:hAnsi="Arial"/>
                <w:sz w:val="16"/>
                <w:szCs w:val="16"/>
                <w:color w:val="0000FF"/>
              </w:rPr>
            </w:pPr>
            <w:hyperlink r:id="rId29">
              <w:r>
                <w:rPr>
                  <w:rFonts w:ascii="Arial" w:cs="Arial" w:eastAsia="Arial" w:hAnsi="Arial"/>
                  <w:sz w:val="16"/>
                  <w:szCs w:val="16"/>
                  <w:color w:val="0000FF"/>
                </w:rPr>
                <w:t>August 1, 2004</w:t>
              </w:r>
            </w:hyperlink>
          </w:p>
        </w:tc>
        <w:tc>
          <w:tcPr>
            <w:tcW w:w="4200" w:type="dxa"/>
            <w:vAlign w:val="bottom"/>
            <w:gridSpan w:val="9"/>
          </w:tcPr>
          <w:p>
            <w:pPr>
              <w:spacing w:after="0"/>
              <w:rPr>
                <w:rFonts w:ascii="Arial" w:cs="Arial" w:eastAsia="Arial" w:hAnsi="Arial"/>
                <w:sz w:val="16"/>
                <w:szCs w:val="16"/>
                <w:color w:val="0000FF"/>
              </w:rPr>
            </w:pPr>
            <w:hyperlink r:id="rId29">
              <w:r>
                <w:rPr>
                  <w:rFonts w:ascii="Arial" w:cs="Arial" w:eastAsia="Arial" w:hAnsi="Arial"/>
                  <w:sz w:val="16"/>
                  <w:szCs w:val="16"/>
                  <w:color w:val="0000FF"/>
                </w:rPr>
                <w:t>1-3548 (Sept. 30, 2004, Form 10-Q)</w:t>
              </w:r>
            </w:hyperlink>
          </w:p>
        </w:tc>
        <w:tc>
          <w:tcPr>
            <w:tcW w:w="1920" w:type="dxa"/>
            <w:vAlign w:val="bottom"/>
            <w:gridSpan w:val="8"/>
          </w:tcPr>
          <w:p>
            <w:pPr>
              <w:spacing w:after="0"/>
              <w:rPr>
                <w:rFonts w:ascii="Arial" w:cs="Arial" w:eastAsia="Arial" w:hAnsi="Arial"/>
                <w:sz w:val="16"/>
                <w:szCs w:val="16"/>
                <w:color w:val="0000FF"/>
              </w:rPr>
            </w:pPr>
            <w:hyperlink r:id="rId29">
              <w:r>
                <w:rPr>
                  <w:rFonts w:ascii="Arial" w:cs="Arial" w:eastAsia="Arial" w:hAnsi="Arial"/>
                  <w:sz w:val="16"/>
                  <w:szCs w:val="16"/>
                  <w:color w:val="0000FF"/>
                </w:rPr>
                <w:t>4(a)</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0">
              <w:r>
                <w:rPr>
                  <w:rFonts w:ascii="Arial" w:cs="Arial" w:eastAsia="Arial" w:hAnsi="Arial"/>
                  <w:sz w:val="16"/>
                  <w:szCs w:val="16"/>
                  <w:color w:val="0000FF"/>
                </w:rPr>
                <w:t>Twenty-fourth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0">
              <w:r>
                <w:rPr>
                  <w:rFonts w:ascii="Arial" w:cs="Arial" w:eastAsia="Arial" w:hAnsi="Arial"/>
                  <w:sz w:val="16"/>
                  <w:szCs w:val="16"/>
                  <w:color w:val="0000FF"/>
                </w:rPr>
                <w:t>March 1, 2005</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0">
              <w:r>
                <w:rPr>
                  <w:rFonts w:ascii="Arial" w:cs="Arial" w:eastAsia="Arial" w:hAnsi="Arial"/>
                  <w:sz w:val="16"/>
                  <w:szCs w:val="16"/>
                  <w:color w:val="0000FF"/>
                </w:rPr>
                <w:t>1-3548 (March 31, 2005,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30">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1">
              <w:r>
                <w:rPr>
                  <w:rFonts w:ascii="Arial" w:cs="Arial" w:eastAsia="Arial" w:hAnsi="Arial"/>
                  <w:sz w:val="16"/>
                  <w:szCs w:val="16"/>
                  <w:color w:val="0000FF"/>
                </w:rPr>
                <w:t>Twenty-fifth</w:t>
              </w:r>
            </w:hyperlink>
          </w:p>
        </w:tc>
        <w:tc>
          <w:tcPr>
            <w:tcW w:w="2200" w:type="dxa"/>
            <w:vAlign w:val="bottom"/>
            <w:gridSpan w:val="13"/>
          </w:tcPr>
          <w:p>
            <w:pPr>
              <w:ind w:left="400"/>
              <w:spacing w:after="0"/>
              <w:rPr>
                <w:rFonts w:ascii="Arial" w:cs="Arial" w:eastAsia="Arial" w:hAnsi="Arial"/>
                <w:sz w:val="16"/>
                <w:szCs w:val="16"/>
                <w:color w:val="0000FF"/>
              </w:rPr>
            </w:pPr>
            <w:hyperlink r:id="rId31">
              <w:r>
                <w:rPr>
                  <w:rFonts w:ascii="Arial" w:cs="Arial" w:eastAsia="Arial" w:hAnsi="Arial"/>
                  <w:sz w:val="16"/>
                  <w:szCs w:val="16"/>
                  <w:color w:val="0000FF"/>
                </w:rPr>
                <w:t>December 1, 2005</w:t>
              </w:r>
            </w:hyperlink>
          </w:p>
        </w:tc>
        <w:tc>
          <w:tcPr>
            <w:tcW w:w="4200" w:type="dxa"/>
            <w:vAlign w:val="bottom"/>
            <w:gridSpan w:val="9"/>
          </w:tcPr>
          <w:p>
            <w:pPr>
              <w:spacing w:after="0"/>
              <w:rPr>
                <w:rFonts w:ascii="Arial" w:cs="Arial" w:eastAsia="Arial" w:hAnsi="Arial"/>
                <w:sz w:val="16"/>
                <w:szCs w:val="16"/>
                <w:color w:val="0000FF"/>
              </w:rPr>
            </w:pPr>
            <w:hyperlink r:id="rId31">
              <w:r>
                <w:rPr>
                  <w:rFonts w:ascii="Arial" w:cs="Arial" w:eastAsia="Arial" w:hAnsi="Arial"/>
                  <w:sz w:val="16"/>
                  <w:szCs w:val="16"/>
                  <w:color w:val="0000FF"/>
                </w:rPr>
                <w:t>1-3548 (March 31, 2006, Form 10-Q)</w:t>
              </w:r>
            </w:hyperlink>
          </w:p>
        </w:tc>
        <w:tc>
          <w:tcPr>
            <w:tcW w:w="260" w:type="dxa"/>
            <w:vAlign w:val="bottom"/>
            <w:gridSpan w:val="2"/>
          </w:tcPr>
          <w:p>
            <w:pPr>
              <w:spacing w:after="0"/>
              <w:rPr>
                <w:rFonts w:ascii="Arial" w:cs="Arial" w:eastAsia="Arial" w:hAnsi="Arial"/>
                <w:sz w:val="16"/>
                <w:szCs w:val="16"/>
                <w:color w:val="0000FF"/>
              </w:rPr>
            </w:pPr>
            <w:hyperlink r:id="rId31">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2">
              <w:r>
                <w:rPr>
                  <w:rFonts w:ascii="Arial" w:cs="Arial" w:eastAsia="Arial" w:hAnsi="Arial"/>
                  <w:sz w:val="16"/>
                  <w:szCs w:val="16"/>
                  <w:color w:val="0000FF"/>
                </w:rPr>
                <w:t>Twenty-sixth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2">
              <w:r>
                <w:rPr>
                  <w:rFonts w:ascii="Arial" w:cs="Arial" w:eastAsia="Arial" w:hAnsi="Arial"/>
                  <w:sz w:val="16"/>
                  <w:szCs w:val="16"/>
                  <w:color w:val="0000FF"/>
                </w:rPr>
                <w:t>October 1, 2006</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2">
              <w:r>
                <w:rPr>
                  <w:rFonts w:ascii="Arial" w:cs="Arial" w:eastAsia="Arial" w:hAnsi="Arial"/>
                  <w:sz w:val="16"/>
                  <w:szCs w:val="16"/>
                  <w:color w:val="0000FF"/>
                </w:rPr>
                <w:t>1-3548 (2006 Form 10-K)</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32">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3">
              <w:r>
                <w:rPr>
                  <w:rFonts w:ascii="Arial" w:cs="Arial" w:eastAsia="Arial" w:hAnsi="Arial"/>
                  <w:sz w:val="16"/>
                  <w:szCs w:val="16"/>
                  <w:color w:val="0000FF"/>
                </w:rPr>
                <w:t>Twenty-seventh</w:t>
              </w:r>
            </w:hyperlink>
          </w:p>
        </w:tc>
        <w:tc>
          <w:tcPr>
            <w:tcW w:w="2200" w:type="dxa"/>
            <w:vAlign w:val="bottom"/>
            <w:gridSpan w:val="13"/>
          </w:tcPr>
          <w:p>
            <w:pPr>
              <w:ind w:left="400"/>
              <w:spacing w:after="0"/>
              <w:rPr>
                <w:rFonts w:ascii="Arial" w:cs="Arial" w:eastAsia="Arial" w:hAnsi="Arial"/>
                <w:sz w:val="16"/>
                <w:szCs w:val="16"/>
                <w:color w:val="0000FF"/>
              </w:rPr>
            </w:pPr>
            <w:hyperlink r:id="rId33">
              <w:r>
                <w:rPr>
                  <w:rFonts w:ascii="Arial" w:cs="Arial" w:eastAsia="Arial" w:hAnsi="Arial"/>
                  <w:sz w:val="16"/>
                  <w:szCs w:val="16"/>
                  <w:color w:val="0000FF"/>
                </w:rPr>
                <w:t>February 1, 2008</w:t>
              </w:r>
            </w:hyperlink>
          </w:p>
        </w:tc>
        <w:tc>
          <w:tcPr>
            <w:tcW w:w="4200" w:type="dxa"/>
            <w:vAlign w:val="bottom"/>
            <w:gridSpan w:val="9"/>
          </w:tcPr>
          <w:p>
            <w:pPr>
              <w:spacing w:after="0"/>
              <w:rPr>
                <w:rFonts w:ascii="Arial" w:cs="Arial" w:eastAsia="Arial" w:hAnsi="Arial"/>
                <w:sz w:val="16"/>
                <w:szCs w:val="16"/>
                <w:color w:val="0000FF"/>
              </w:rPr>
            </w:pPr>
            <w:hyperlink r:id="rId33">
              <w:r>
                <w:rPr>
                  <w:rFonts w:ascii="Arial" w:cs="Arial" w:eastAsia="Arial" w:hAnsi="Arial"/>
                  <w:sz w:val="16"/>
                  <w:szCs w:val="16"/>
                  <w:color w:val="0000FF"/>
                </w:rPr>
                <w:t>1-3548 (2007 Form 10-K)</w:t>
              </w:r>
            </w:hyperlink>
          </w:p>
        </w:tc>
        <w:tc>
          <w:tcPr>
            <w:tcW w:w="1920" w:type="dxa"/>
            <w:vAlign w:val="bottom"/>
            <w:gridSpan w:val="8"/>
          </w:tcPr>
          <w:p>
            <w:pPr>
              <w:spacing w:after="0"/>
              <w:rPr>
                <w:rFonts w:ascii="Arial" w:cs="Arial" w:eastAsia="Arial" w:hAnsi="Arial"/>
                <w:sz w:val="16"/>
                <w:szCs w:val="16"/>
                <w:color w:val="0000FF"/>
              </w:rPr>
            </w:pPr>
            <w:hyperlink r:id="rId33">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4">
              <w:r>
                <w:rPr>
                  <w:rFonts w:ascii="Arial" w:cs="Arial" w:eastAsia="Arial" w:hAnsi="Arial"/>
                  <w:sz w:val="16"/>
                  <w:szCs w:val="16"/>
                  <w:color w:val="0000FF"/>
                </w:rPr>
                <w:t>Twenty-eighth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4">
              <w:r>
                <w:rPr>
                  <w:rFonts w:ascii="Arial" w:cs="Arial" w:eastAsia="Arial" w:hAnsi="Arial"/>
                  <w:sz w:val="16"/>
                  <w:szCs w:val="16"/>
                  <w:color w:val="0000FF"/>
                </w:rPr>
                <w:t>May 1, 2008</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4">
              <w:r>
                <w:rPr>
                  <w:rFonts w:ascii="Arial" w:cs="Arial" w:eastAsia="Arial" w:hAnsi="Arial"/>
                  <w:sz w:val="16"/>
                  <w:szCs w:val="16"/>
                  <w:color w:val="0000FF"/>
                </w:rPr>
                <w:t>1-3548 (June 30, 2008,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34">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5">
              <w:r>
                <w:rPr>
                  <w:rFonts w:ascii="Arial" w:cs="Arial" w:eastAsia="Arial" w:hAnsi="Arial"/>
                  <w:sz w:val="16"/>
                  <w:szCs w:val="16"/>
                  <w:color w:val="0000FF"/>
                </w:rPr>
                <w:t>Twenty-ninth</w:t>
              </w:r>
            </w:hyperlink>
          </w:p>
        </w:tc>
        <w:tc>
          <w:tcPr>
            <w:tcW w:w="2200" w:type="dxa"/>
            <w:vAlign w:val="bottom"/>
            <w:gridSpan w:val="13"/>
          </w:tcPr>
          <w:p>
            <w:pPr>
              <w:ind w:left="400"/>
              <w:spacing w:after="0"/>
              <w:rPr>
                <w:rFonts w:ascii="Arial" w:cs="Arial" w:eastAsia="Arial" w:hAnsi="Arial"/>
                <w:sz w:val="16"/>
                <w:szCs w:val="16"/>
                <w:color w:val="0000FF"/>
              </w:rPr>
            </w:pPr>
            <w:hyperlink r:id="rId35">
              <w:r>
                <w:rPr>
                  <w:rFonts w:ascii="Arial" w:cs="Arial" w:eastAsia="Arial" w:hAnsi="Arial"/>
                  <w:sz w:val="16"/>
                  <w:szCs w:val="16"/>
                  <w:color w:val="0000FF"/>
                </w:rPr>
                <w:t>November 1, 2008</w:t>
              </w:r>
            </w:hyperlink>
          </w:p>
        </w:tc>
        <w:tc>
          <w:tcPr>
            <w:tcW w:w="4200" w:type="dxa"/>
            <w:vAlign w:val="bottom"/>
            <w:gridSpan w:val="9"/>
          </w:tcPr>
          <w:p>
            <w:pPr>
              <w:spacing w:after="0"/>
              <w:rPr>
                <w:rFonts w:ascii="Arial" w:cs="Arial" w:eastAsia="Arial" w:hAnsi="Arial"/>
                <w:sz w:val="16"/>
                <w:szCs w:val="16"/>
                <w:color w:val="0000FF"/>
              </w:rPr>
            </w:pPr>
            <w:hyperlink r:id="rId35">
              <w:r>
                <w:rPr>
                  <w:rFonts w:ascii="Arial" w:cs="Arial" w:eastAsia="Arial" w:hAnsi="Arial"/>
                  <w:sz w:val="16"/>
                  <w:szCs w:val="16"/>
                  <w:color w:val="0000FF"/>
                </w:rPr>
                <w:t>1-3548 (2008 Form 10-K)</w:t>
              </w:r>
            </w:hyperlink>
          </w:p>
        </w:tc>
        <w:tc>
          <w:tcPr>
            <w:tcW w:w="1920" w:type="dxa"/>
            <w:vAlign w:val="bottom"/>
            <w:gridSpan w:val="8"/>
          </w:tcPr>
          <w:p>
            <w:pPr>
              <w:spacing w:after="0"/>
              <w:rPr>
                <w:rFonts w:ascii="Arial" w:cs="Arial" w:eastAsia="Arial" w:hAnsi="Arial"/>
                <w:sz w:val="16"/>
                <w:szCs w:val="16"/>
                <w:color w:val="0000FF"/>
              </w:rPr>
            </w:pPr>
            <w:hyperlink r:id="rId35">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6">
              <w:r>
                <w:rPr>
                  <w:rFonts w:ascii="Arial" w:cs="Arial" w:eastAsia="Arial" w:hAnsi="Arial"/>
                  <w:sz w:val="16"/>
                  <w:szCs w:val="16"/>
                  <w:color w:val="0000FF"/>
                </w:rPr>
                <w:t>Thirtieth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6">
              <w:r>
                <w:rPr>
                  <w:rFonts w:ascii="Arial" w:cs="Arial" w:eastAsia="Arial" w:hAnsi="Arial"/>
                  <w:sz w:val="16"/>
                  <w:szCs w:val="16"/>
                  <w:color w:val="0000FF"/>
                </w:rPr>
                <w:t>January 1, 2009</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6">
              <w:r>
                <w:rPr>
                  <w:rFonts w:ascii="Arial" w:cs="Arial" w:eastAsia="Arial" w:hAnsi="Arial"/>
                  <w:sz w:val="16"/>
                  <w:szCs w:val="16"/>
                  <w:color w:val="0000FF"/>
                </w:rPr>
                <w:t>1-3548 (2008 Form 10-K)</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36">
              <w:r>
                <w:rPr>
                  <w:rFonts w:ascii="Arial" w:cs="Arial" w:eastAsia="Arial" w:hAnsi="Arial"/>
                  <w:sz w:val="16"/>
                  <w:szCs w:val="16"/>
                  <w:color w:val="0000FF"/>
                </w:rPr>
                <w:t>4(a)</w:t>
              </w:r>
              <w:r>
                <w:rPr>
                  <w:rFonts w:ascii="Arial" w:cs="Arial" w:eastAsia="Arial" w:hAnsi="Arial"/>
                  <w:sz w:val="16"/>
                  <w:szCs w:val="16"/>
                  <w:u w:val="single" w:color="auto"/>
                  <w:color w:val="0000FF"/>
                </w:rPr>
                <w:t>4</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7">
              <w:r>
                <w:rPr>
                  <w:rFonts w:ascii="Arial" w:cs="Arial" w:eastAsia="Arial" w:hAnsi="Arial"/>
                  <w:sz w:val="16"/>
                  <w:szCs w:val="16"/>
                  <w:color w:val="0000FF"/>
                </w:rPr>
                <w:t>Thirty-first</w:t>
              </w:r>
            </w:hyperlink>
          </w:p>
        </w:tc>
        <w:tc>
          <w:tcPr>
            <w:tcW w:w="2200" w:type="dxa"/>
            <w:vAlign w:val="bottom"/>
            <w:gridSpan w:val="13"/>
          </w:tcPr>
          <w:p>
            <w:pPr>
              <w:ind w:left="400"/>
              <w:spacing w:after="0"/>
              <w:rPr>
                <w:rFonts w:ascii="Arial" w:cs="Arial" w:eastAsia="Arial" w:hAnsi="Arial"/>
                <w:sz w:val="16"/>
                <w:szCs w:val="16"/>
                <w:color w:val="0000FF"/>
              </w:rPr>
            </w:pPr>
            <w:hyperlink r:id="rId37">
              <w:r>
                <w:rPr>
                  <w:rFonts w:ascii="Arial" w:cs="Arial" w:eastAsia="Arial" w:hAnsi="Arial"/>
                  <w:sz w:val="16"/>
                  <w:szCs w:val="16"/>
                  <w:color w:val="0000FF"/>
                </w:rPr>
                <w:t>February 1, 2010</w:t>
              </w:r>
            </w:hyperlink>
          </w:p>
        </w:tc>
        <w:tc>
          <w:tcPr>
            <w:tcW w:w="4200" w:type="dxa"/>
            <w:vAlign w:val="bottom"/>
            <w:gridSpan w:val="9"/>
          </w:tcPr>
          <w:p>
            <w:pPr>
              <w:spacing w:after="0"/>
              <w:rPr>
                <w:rFonts w:ascii="Arial" w:cs="Arial" w:eastAsia="Arial" w:hAnsi="Arial"/>
                <w:sz w:val="16"/>
                <w:szCs w:val="16"/>
                <w:color w:val="0000FF"/>
              </w:rPr>
            </w:pPr>
            <w:hyperlink r:id="rId37">
              <w:r>
                <w:rPr>
                  <w:rFonts w:ascii="Arial" w:cs="Arial" w:eastAsia="Arial" w:hAnsi="Arial"/>
                  <w:sz w:val="16"/>
                  <w:szCs w:val="16"/>
                  <w:color w:val="0000FF"/>
                </w:rPr>
                <w:t>1-3548 (March 31, 2010, Form 10-Q)</w:t>
              </w:r>
            </w:hyperlink>
          </w:p>
        </w:tc>
        <w:tc>
          <w:tcPr>
            <w:tcW w:w="260" w:type="dxa"/>
            <w:vAlign w:val="bottom"/>
            <w:gridSpan w:val="2"/>
          </w:tcPr>
          <w:p>
            <w:pPr>
              <w:spacing w:after="0"/>
              <w:rPr>
                <w:rFonts w:ascii="Arial" w:cs="Arial" w:eastAsia="Arial" w:hAnsi="Arial"/>
                <w:sz w:val="16"/>
                <w:szCs w:val="16"/>
                <w:color w:val="0000FF"/>
              </w:rPr>
            </w:pPr>
            <w:hyperlink r:id="rId37">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8">
              <w:r>
                <w:rPr>
                  <w:rFonts w:ascii="Arial" w:cs="Arial" w:eastAsia="Arial" w:hAnsi="Arial"/>
                  <w:sz w:val="16"/>
                  <w:szCs w:val="16"/>
                  <w:color w:val="0000FF"/>
                </w:rPr>
                <w:t>Thirty-second</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8">
              <w:r>
                <w:rPr>
                  <w:rFonts w:ascii="Arial" w:cs="Arial" w:eastAsia="Arial" w:hAnsi="Arial"/>
                  <w:sz w:val="16"/>
                  <w:szCs w:val="16"/>
                  <w:color w:val="0000FF"/>
                </w:rPr>
                <w:t>August 1, 2010</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8">
              <w:r>
                <w:rPr>
                  <w:rFonts w:ascii="Arial" w:cs="Arial" w:eastAsia="Arial" w:hAnsi="Arial"/>
                  <w:sz w:val="16"/>
                  <w:szCs w:val="16"/>
                  <w:color w:val="0000FF"/>
                </w:rPr>
                <w:t>1-3548 (Sept. 30, 2010,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38">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9">
              <w:r>
                <w:rPr>
                  <w:rFonts w:ascii="Arial" w:cs="Arial" w:eastAsia="Arial" w:hAnsi="Arial"/>
                  <w:sz w:val="16"/>
                  <w:szCs w:val="16"/>
                  <w:color w:val="0000FF"/>
                </w:rPr>
                <w:t>Thirty-third</w:t>
              </w:r>
            </w:hyperlink>
          </w:p>
        </w:tc>
        <w:tc>
          <w:tcPr>
            <w:tcW w:w="2200" w:type="dxa"/>
            <w:vAlign w:val="bottom"/>
            <w:gridSpan w:val="13"/>
          </w:tcPr>
          <w:p>
            <w:pPr>
              <w:ind w:left="400"/>
              <w:spacing w:after="0"/>
              <w:rPr>
                <w:rFonts w:ascii="Arial" w:cs="Arial" w:eastAsia="Arial" w:hAnsi="Arial"/>
                <w:sz w:val="16"/>
                <w:szCs w:val="16"/>
                <w:color w:val="0000FF"/>
              </w:rPr>
            </w:pPr>
            <w:hyperlink r:id="rId39">
              <w:r>
                <w:rPr>
                  <w:rFonts w:ascii="Arial" w:cs="Arial" w:eastAsia="Arial" w:hAnsi="Arial"/>
                  <w:sz w:val="16"/>
                  <w:szCs w:val="16"/>
                  <w:color w:val="0000FF"/>
                </w:rPr>
                <w:t>July 1, 2012</w:t>
              </w:r>
            </w:hyperlink>
          </w:p>
        </w:tc>
        <w:tc>
          <w:tcPr>
            <w:tcW w:w="4200" w:type="dxa"/>
            <w:vAlign w:val="bottom"/>
            <w:gridSpan w:val="9"/>
          </w:tcPr>
          <w:p>
            <w:pPr>
              <w:spacing w:after="0"/>
              <w:rPr>
                <w:rFonts w:ascii="Arial" w:cs="Arial" w:eastAsia="Arial" w:hAnsi="Arial"/>
                <w:sz w:val="16"/>
                <w:szCs w:val="16"/>
                <w:color w:val="0000FF"/>
              </w:rPr>
            </w:pPr>
            <w:hyperlink r:id="rId39">
              <w:r>
                <w:rPr>
                  <w:rFonts w:ascii="Arial" w:cs="Arial" w:eastAsia="Arial" w:hAnsi="Arial"/>
                  <w:sz w:val="16"/>
                  <w:szCs w:val="16"/>
                  <w:color w:val="0000FF"/>
                </w:rPr>
                <w:t>1-3548 (July 2, 2012, Form 8-K)</w:t>
              </w:r>
            </w:hyperlink>
          </w:p>
        </w:tc>
        <w:tc>
          <w:tcPr>
            <w:tcW w:w="260" w:type="dxa"/>
            <w:vAlign w:val="bottom"/>
            <w:gridSpan w:val="2"/>
          </w:tcPr>
          <w:p>
            <w:pPr>
              <w:spacing w:after="0"/>
              <w:rPr>
                <w:rFonts w:ascii="Arial" w:cs="Arial" w:eastAsia="Arial" w:hAnsi="Arial"/>
                <w:sz w:val="16"/>
                <w:szCs w:val="16"/>
                <w:color w:val="0000FF"/>
              </w:rPr>
            </w:pPr>
            <w:hyperlink r:id="rId39">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1"/>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0">
              <w:r>
                <w:rPr>
                  <w:rFonts w:ascii="Arial" w:cs="Arial" w:eastAsia="Arial" w:hAnsi="Arial"/>
                  <w:sz w:val="16"/>
                  <w:szCs w:val="16"/>
                  <w:color w:val="0000FF"/>
                </w:rPr>
                <w:t>Thirty-fourth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0">
              <w:r>
                <w:rPr>
                  <w:rFonts w:ascii="Arial" w:cs="Arial" w:eastAsia="Arial" w:hAnsi="Arial"/>
                  <w:sz w:val="16"/>
                  <w:szCs w:val="16"/>
                  <w:color w:val="0000FF"/>
                </w:rPr>
                <w:t>April 1, 2013</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0">
              <w:r>
                <w:rPr>
                  <w:rFonts w:ascii="Arial" w:cs="Arial" w:eastAsia="Arial" w:hAnsi="Arial"/>
                  <w:sz w:val="16"/>
                  <w:szCs w:val="16"/>
                  <w:color w:val="0000FF"/>
                </w:rPr>
                <w:t>1-3548 (April 2, 2013, Form 8-K)</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0">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1">
              <w:r>
                <w:rPr>
                  <w:rFonts w:ascii="Arial" w:cs="Arial" w:eastAsia="Arial" w:hAnsi="Arial"/>
                  <w:sz w:val="16"/>
                  <w:szCs w:val="16"/>
                  <w:color w:val="0000FF"/>
                </w:rPr>
                <w:t>Thirty-fifth</w:t>
              </w:r>
            </w:hyperlink>
          </w:p>
        </w:tc>
        <w:tc>
          <w:tcPr>
            <w:tcW w:w="2200" w:type="dxa"/>
            <w:vAlign w:val="bottom"/>
            <w:gridSpan w:val="13"/>
          </w:tcPr>
          <w:p>
            <w:pPr>
              <w:ind w:left="400"/>
              <w:spacing w:after="0"/>
              <w:rPr>
                <w:rFonts w:ascii="Arial" w:cs="Arial" w:eastAsia="Arial" w:hAnsi="Arial"/>
                <w:sz w:val="16"/>
                <w:szCs w:val="16"/>
                <w:color w:val="0000FF"/>
              </w:rPr>
            </w:pPr>
            <w:hyperlink r:id="rId41">
              <w:r>
                <w:rPr>
                  <w:rFonts w:ascii="Arial" w:cs="Arial" w:eastAsia="Arial" w:hAnsi="Arial"/>
                  <w:sz w:val="16"/>
                  <w:szCs w:val="16"/>
                  <w:color w:val="0000FF"/>
                </w:rPr>
                <w:t>March 1, 2014</w:t>
              </w:r>
            </w:hyperlink>
          </w:p>
        </w:tc>
        <w:tc>
          <w:tcPr>
            <w:tcW w:w="4200" w:type="dxa"/>
            <w:vAlign w:val="bottom"/>
            <w:gridSpan w:val="9"/>
          </w:tcPr>
          <w:p>
            <w:pPr>
              <w:spacing w:after="0"/>
              <w:rPr>
                <w:rFonts w:ascii="Arial" w:cs="Arial" w:eastAsia="Arial" w:hAnsi="Arial"/>
                <w:sz w:val="16"/>
                <w:szCs w:val="16"/>
                <w:color w:val="0000FF"/>
              </w:rPr>
            </w:pPr>
            <w:hyperlink r:id="rId41">
              <w:r>
                <w:rPr>
                  <w:rFonts w:ascii="Arial" w:cs="Arial" w:eastAsia="Arial" w:hAnsi="Arial"/>
                  <w:sz w:val="16"/>
                  <w:szCs w:val="16"/>
                  <w:color w:val="0000FF"/>
                </w:rPr>
                <w:t>1-3548 (March 31, 2014, Form 10-Q)</w:t>
              </w:r>
            </w:hyperlink>
          </w:p>
        </w:tc>
        <w:tc>
          <w:tcPr>
            <w:tcW w:w="260" w:type="dxa"/>
            <w:vAlign w:val="bottom"/>
            <w:gridSpan w:val="2"/>
          </w:tcPr>
          <w:p>
            <w:pPr>
              <w:spacing w:after="0"/>
              <w:rPr>
                <w:rFonts w:ascii="Arial" w:cs="Arial" w:eastAsia="Arial" w:hAnsi="Arial"/>
                <w:sz w:val="16"/>
                <w:szCs w:val="16"/>
                <w:color w:val="0000FF"/>
              </w:rPr>
            </w:pPr>
            <w:hyperlink r:id="rId41">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1"/>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2">
              <w:r>
                <w:rPr>
                  <w:rFonts w:ascii="Arial" w:cs="Arial" w:eastAsia="Arial" w:hAnsi="Arial"/>
                  <w:sz w:val="16"/>
                  <w:szCs w:val="16"/>
                  <w:color w:val="0000FF"/>
                </w:rPr>
                <w:t>Thirty-sixth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2">
              <w:r>
                <w:rPr>
                  <w:rFonts w:ascii="Arial" w:cs="Arial" w:eastAsia="Arial" w:hAnsi="Arial"/>
                  <w:sz w:val="16"/>
                  <w:szCs w:val="16"/>
                  <w:color w:val="0000FF"/>
                </w:rPr>
                <w:t>June 1, 2014</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2">
              <w:r>
                <w:rPr>
                  <w:rFonts w:ascii="Arial" w:cs="Arial" w:eastAsia="Arial" w:hAnsi="Arial"/>
                  <w:sz w:val="16"/>
                  <w:szCs w:val="16"/>
                  <w:color w:val="0000FF"/>
                </w:rPr>
                <w:t>1-3548 (June 30, 2014,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2">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3">
              <w:r>
                <w:rPr>
                  <w:rFonts w:ascii="Arial" w:cs="Arial" w:eastAsia="Arial" w:hAnsi="Arial"/>
                  <w:sz w:val="16"/>
                  <w:szCs w:val="16"/>
                  <w:color w:val="0000FF"/>
                </w:rPr>
                <w:t>Thirty-seventh</w:t>
              </w:r>
            </w:hyperlink>
          </w:p>
        </w:tc>
        <w:tc>
          <w:tcPr>
            <w:tcW w:w="2200" w:type="dxa"/>
            <w:vAlign w:val="bottom"/>
            <w:gridSpan w:val="13"/>
          </w:tcPr>
          <w:p>
            <w:pPr>
              <w:ind w:left="400"/>
              <w:spacing w:after="0"/>
              <w:rPr>
                <w:rFonts w:ascii="Arial" w:cs="Arial" w:eastAsia="Arial" w:hAnsi="Arial"/>
                <w:sz w:val="16"/>
                <w:szCs w:val="16"/>
                <w:color w:val="0000FF"/>
              </w:rPr>
            </w:pPr>
            <w:hyperlink r:id="rId43">
              <w:r>
                <w:rPr>
                  <w:rFonts w:ascii="Arial" w:cs="Arial" w:eastAsia="Arial" w:hAnsi="Arial"/>
                  <w:sz w:val="16"/>
                  <w:szCs w:val="16"/>
                  <w:color w:val="0000FF"/>
                </w:rPr>
                <w:t>September 1, 2014</w:t>
              </w:r>
            </w:hyperlink>
          </w:p>
        </w:tc>
        <w:tc>
          <w:tcPr>
            <w:tcW w:w="4200" w:type="dxa"/>
            <w:vAlign w:val="bottom"/>
            <w:gridSpan w:val="9"/>
          </w:tcPr>
          <w:p>
            <w:pPr>
              <w:spacing w:after="0"/>
              <w:rPr>
                <w:rFonts w:ascii="Arial" w:cs="Arial" w:eastAsia="Arial" w:hAnsi="Arial"/>
                <w:sz w:val="16"/>
                <w:szCs w:val="16"/>
                <w:color w:val="0000FF"/>
              </w:rPr>
            </w:pPr>
            <w:hyperlink r:id="rId43">
              <w:r>
                <w:rPr>
                  <w:rFonts w:ascii="Arial" w:cs="Arial" w:eastAsia="Arial" w:hAnsi="Arial"/>
                  <w:sz w:val="16"/>
                  <w:szCs w:val="16"/>
                  <w:color w:val="0000FF"/>
                </w:rPr>
                <w:t>1-3548 (Sept. 30, 2014, Form 10-Q)</w:t>
              </w:r>
            </w:hyperlink>
          </w:p>
        </w:tc>
        <w:tc>
          <w:tcPr>
            <w:tcW w:w="260" w:type="dxa"/>
            <w:vAlign w:val="bottom"/>
            <w:gridSpan w:val="2"/>
          </w:tcPr>
          <w:p>
            <w:pPr>
              <w:spacing w:after="0"/>
              <w:rPr>
                <w:rFonts w:ascii="Arial" w:cs="Arial" w:eastAsia="Arial" w:hAnsi="Arial"/>
                <w:sz w:val="16"/>
                <w:szCs w:val="16"/>
                <w:color w:val="0000FF"/>
              </w:rPr>
            </w:pPr>
            <w:hyperlink r:id="rId43">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1"/>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4">
              <w:r>
                <w:rPr>
                  <w:rFonts w:ascii="Arial" w:cs="Arial" w:eastAsia="Arial" w:hAnsi="Arial"/>
                  <w:sz w:val="16"/>
                  <w:szCs w:val="16"/>
                  <w:color w:val="0000FF"/>
                </w:rPr>
                <w:t>Thirty-eighth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4">
              <w:r>
                <w:rPr>
                  <w:rFonts w:ascii="Arial" w:cs="Arial" w:eastAsia="Arial" w:hAnsi="Arial"/>
                  <w:sz w:val="16"/>
                  <w:szCs w:val="16"/>
                  <w:color w:val="0000FF"/>
                </w:rPr>
                <w:t>September 1, 2015</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4">
              <w:r>
                <w:rPr>
                  <w:rFonts w:ascii="Arial" w:cs="Arial" w:eastAsia="Arial" w:hAnsi="Arial"/>
                  <w:sz w:val="16"/>
                  <w:szCs w:val="16"/>
                  <w:color w:val="0000FF"/>
                </w:rPr>
                <w:t>1-3548 (Sept. 30, 2015, Form 10-Q)</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44">
              <w:r>
                <w:rPr>
                  <w:rFonts w:ascii="Arial" w:cs="Arial" w:eastAsia="Arial" w:hAnsi="Arial"/>
                  <w:sz w:val="16"/>
                  <w:szCs w:val="16"/>
                  <w:color w:val="0000FF"/>
                </w:rPr>
                <w:t>4(a)</w:t>
              </w:r>
            </w:hyperlink>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00"/>
          </w:cols>
          <w:pgMar w:left="240" w:top="89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891" w:right="2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99" w:lineRule="exact"/>
        <w:rPr>
          <w:sz w:val="20"/>
          <w:szCs w:val="20"/>
          <w:color w:val="auto"/>
        </w:rPr>
      </w:pPr>
    </w:p>
    <w:p>
      <w:pPr>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*4(b)1</w:t>
      </w:r>
      <w:r>
        <w:rPr>
          <w:sz w:val="20"/>
          <w:szCs w:val="20"/>
          <w:color w:val="auto"/>
        </w:rPr>
        <w:tab/>
      </w:r>
      <w:r>
        <w:rPr>
          <w:rFonts w:ascii="Arial" w:cs="Arial" w:eastAsia="Arial" w:hAnsi="Arial"/>
          <w:sz w:val="15"/>
          <w:szCs w:val="15"/>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294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Indentures to Superior Water, Light and Power Company’s Mortgage and Deed of Trust: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1200" w:type="dxa"/>
            <w:vAlign w:val="bottom"/>
            <w:gridSpan w:val="7"/>
          </w:tcPr>
          <w:p>
            <w:pPr>
              <w:spacing w:after="0"/>
              <w:rPr>
                <w:sz w:val="20"/>
                <w:szCs w:val="20"/>
                <w:color w:val="auto"/>
              </w:rPr>
            </w:pPr>
            <w:r>
              <w:rPr>
                <w:rFonts w:ascii="Arial" w:cs="Arial" w:eastAsia="Arial" w:hAnsi="Arial"/>
                <w:sz w:val="16"/>
                <w:szCs w:val="16"/>
                <w:b w:val="1"/>
                <w:bCs w:val="1"/>
                <w:color w:val="auto"/>
              </w:rPr>
              <w:t>Number</w:t>
            </w:r>
          </w:p>
        </w:tc>
        <w:tc>
          <w:tcPr>
            <w:tcW w:w="2420" w:type="dxa"/>
            <w:vAlign w:val="bottom"/>
            <w:gridSpan w:val="5"/>
          </w:tcPr>
          <w:p>
            <w:pPr>
              <w:ind w:left="620"/>
              <w:spacing w:after="0"/>
              <w:rPr>
                <w:sz w:val="20"/>
                <w:szCs w:val="20"/>
                <w:color w:val="auto"/>
              </w:rPr>
            </w:pPr>
            <w:r>
              <w:rPr>
                <w:rFonts w:ascii="Arial" w:cs="Arial" w:eastAsia="Arial" w:hAnsi="Arial"/>
                <w:sz w:val="16"/>
                <w:szCs w:val="16"/>
                <w:b w:val="1"/>
                <w:bCs w:val="1"/>
                <w:color w:val="auto"/>
              </w:rPr>
              <w:t>Dated as of</w:t>
            </w: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Reference File</w:t>
            </w:r>
          </w:p>
        </w:tc>
        <w:tc>
          <w:tcPr>
            <w:tcW w:w="19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r>
      <w:tr>
        <w:trPr>
          <w:trHeight w:val="33"/>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6"/>
                <w:szCs w:val="16"/>
                <w:color w:val="auto"/>
              </w:rPr>
              <w:t>First</w:t>
            </w:r>
          </w:p>
        </w:tc>
        <w:tc>
          <w:tcPr>
            <w:tcW w:w="242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6"/>
                <w:szCs w:val="16"/>
                <w:color w:val="auto"/>
              </w:rPr>
              <w:t>March 1, 1951</w:t>
            </w: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2-59690</w:t>
            </w:r>
          </w:p>
        </w:tc>
        <w:tc>
          <w:tcPr>
            <w:tcW w:w="25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2(d)(1)</w:t>
            </w:r>
          </w:p>
        </w:tc>
      </w:tr>
      <w:tr>
        <w:trPr>
          <w:trHeight w:val="224"/>
        </w:trPr>
        <w:tc>
          <w:tcPr>
            <w:tcW w:w="1660" w:type="dxa"/>
            <w:vAlign w:val="bottom"/>
          </w:tcPr>
          <w:p>
            <w:pPr>
              <w:spacing w:after="0"/>
              <w:rPr>
                <w:sz w:val="19"/>
                <w:szCs w:val="19"/>
                <w:color w:val="auto"/>
              </w:rPr>
            </w:pPr>
          </w:p>
        </w:tc>
        <w:tc>
          <w:tcPr>
            <w:tcW w:w="1200" w:type="dxa"/>
            <w:vAlign w:val="bottom"/>
            <w:gridSpan w:val="7"/>
          </w:tcPr>
          <w:p>
            <w:pPr>
              <w:spacing w:after="0"/>
              <w:rPr>
                <w:sz w:val="20"/>
                <w:szCs w:val="20"/>
                <w:color w:val="auto"/>
              </w:rPr>
            </w:pPr>
            <w:r>
              <w:rPr>
                <w:rFonts w:ascii="Arial" w:cs="Arial" w:eastAsia="Arial" w:hAnsi="Arial"/>
                <w:sz w:val="16"/>
                <w:szCs w:val="16"/>
                <w:color w:val="auto"/>
              </w:rPr>
              <w:t>Second</w:t>
            </w:r>
          </w:p>
        </w:tc>
        <w:tc>
          <w:tcPr>
            <w:tcW w:w="2420" w:type="dxa"/>
            <w:vAlign w:val="bottom"/>
            <w:gridSpan w:val="5"/>
          </w:tcPr>
          <w:p>
            <w:pPr>
              <w:ind w:left="620"/>
              <w:spacing w:after="0"/>
              <w:rPr>
                <w:sz w:val="20"/>
                <w:szCs w:val="20"/>
                <w:color w:val="auto"/>
              </w:rPr>
            </w:pPr>
            <w:r>
              <w:rPr>
                <w:rFonts w:ascii="Arial" w:cs="Arial" w:eastAsia="Arial" w:hAnsi="Arial"/>
                <w:sz w:val="16"/>
                <w:szCs w:val="16"/>
                <w:color w:val="auto"/>
              </w:rPr>
              <w:t>March 1, 1962</w:t>
            </w:r>
          </w:p>
        </w:tc>
        <w:tc>
          <w:tcPr>
            <w:tcW w:w="1700" w:type="dxa"/>
            <w:vAlign w:val="bottom"/>
          </w:tcPr>
          <w:p>
            <w:pPr>
              <w:spacing w:after="0"/>
              <w:rPr>
                <w:sz w:val="20"/>
                <w:szCs w:val="20"/>
                <w:color w:val="auto"/>
              </w:rPr>
            </w:pPr>
            <w:r>
              <w:rPr>
                <w:rFonts w:ascii="Arial" w:cs="Arial" w:eastAsia="Arial" w:hAnsi="Arial"/>
                <w:sz w:val="16"/>
                <w:szCs w:val="16"/>
                <w:color w:val="auto"/>
              </w:rPr>
              <w:t>2-27794</w:t>
            </w:r>
          </w:p>
        </w:tc>
        <w:tc>
          <w:tcPr>
            <w:tcW w:w="25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6"/>
                <w:szCs w:val="16"/>
                <w:color w:val="auto"/>
              </w:rPr>
              <w:t>2(d)1</w:t>
            </w:r>
          </w:p>
        </w:tc>
      </w:tr>
      <w:tr>
        <w:trPr>
          <w:trHeight w:val="33"/>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6"/>
                <w:szCs w:val="16"/>
                <w:color w:val="auto"/>
              </w:rPr>
              <w:t>Third</w:t>
            </w:r>
          </w:p>
        </w:tc>
        <w:tc>
          <w:tcPr>
            <w:tcW w:w="242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6"/>
                <w:szCs w:val="16"/>
                <w:color w:val="auto"/>
              </w:rPr>
              <w:t>July 1, 1976</w:t>
            </w: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2-57478</w:t>
            </w:r>
          </w:p>
        </w:tc>
        <w:tc>
          <w:tcPr>
            <w:tcW w:w="25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2(e)1</w:t>
            </w:r>
          </w:p>
        </w:tc>
      </w:tr>
      <w:tr>
        <w:trPr>
          <w:trHeight w:val="224"/>
        </w:trPr>
        <w:tc>
          <w:tcPr>
            <w:tcW w:w="1660" w:type="dxa"/>
            <w:vAlign w:val="bottom"/>
          </w:tcPr>
          <w:p>
            <w:pPr>
              <w:spacing w:after="0"/>
              <w:rPr>
                <w:sz w:val="19"/>
                <w:szCs w:val="19"/>
                <w:color w:val="auto"/>
              </w:rPr>
            </w:pPr>
          </w:p>
        </w:tc>
        <w:tc>
          <w:tcPr>
            <w:tcW w:w="1200" w:type="dxa"/>
            <w:vAlign w:val="bottom"/>
            <w:gridSpan w:val="7"/>
          </w:tcPr>
          <w:p>
            <w:pPr>
              <w:spacing w:after="0"/>
              <w:rPr>
                <w:sz w:val="20"/>
                <w:szCs w:val="20"/>
                <w:color w:val="auto"/>
              </w:rPr>
            </w:pPr>
            <w:r>
              <w:rPr>
                <w:rFonts w:ascii="Arial" w:cs="Arial" w:eastAsia="Arial" w:hAnsi="Arial"/>
                <w:sz w:val="16"/>
                <w:szCs w:val="16"/>
                <w:color w:val="auto"/>
              </w:rPr>
              <w:t>Fourth</w:t>
            </w:r>
          </w:p>
        </w:tc>
        <w:tc>
          <w:tcPr>
            <w:tcW w:w="2420" w:type="dxa"/>
            <w:vAlign w:val="bottom"/>
            <w:gridSpan w:val="5"/>
          </w:tcPr>
          <w:p>
            <w:pPr>
              <w:ind w:left="620"/>
              <w:spacing w:after="0"/>
              <w:rPr>
                <w:sz w:val="20"/>
                <w:szCs w:val="20"/>
                <w:color w:val="auto"/>
              </w:rPr>
            </w:pPr>
            <w:r>
              <w:rPr>
                <w:rFonts w:ascii="Arial" w:cs="Arial" w:eastAsia="Arial" w:hAnsi="Arial"/>
                <w:sz w:val="16"/>
                <w:szCs w:val="16"/>
                <w:color w:val="auto"/>
              </w:rPr>
              <w:t>March 1, 1985</w:t>
            </w:r>
          </w:p>
        </w:tc>
        <w:tc>
          <w:tcPr>
            <w:tcW w:w="1700" w:type="dxa"/>
            <w:vAlign w:val="bottom"/>
          </w:tcPr>
          <w:p>
            <w:pPr>
              <w:spacing w:after="0"/>
              <w:rPr>
                <w:sz w:val="20"/>
                <w:szCs w:val="20"/>
                <w:color w:val="auto"/>
              </w:rPr>
            </w:pPr>
            <w:r>
              <w:rPr>
                <w:rFonts w:ascii="Arial" w:cs="Arial" w:eastAsia="Arial" w:hAnsi="Arial"/>
                <w:sz w:val="16"/>
                <w:szCs w:val="16"/>
                <w:color w:val="auto"/>
              </w:rPr>
              <w:t>2-78641</w:t>
            </w:r>
          </w:p>
        </w:tc>
        <w:tc>
          <w:tcPr>
            <w:tcW w:w="25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6"/>
                <w:szCs w:val="16"/>
                <w:color w:val="auto"/>
              </w:rPr>
              <w:t>4(b)</w:t>
            </w:r>
          </w:p>
        </w:tc>
      </w:tr>
      <w:tr>
        <w:trPr>
          <w:trHeight w:val="33"/>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6"/>
                <w:szCs w:val="16"/>
                <w:color w:val="auto"/>
              </w:rPr>
              <w:t>Fifth</w:t>
            </w:r>
          </w:p>
        </w:tc>
        <w:tc>
          <w:tcPr>
            <w:tcW w:w="242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6"/>
                <w:szCs w:val="16"/>
                <w:color w:val="auto"/>
              </w:rPr>
              <w:t>December 1, 1992</w:t>
            </w: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1-3548 (1992 Form 10-K)</w:t>
            </w: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4(b)1</w:t>
            </w:r>
          </w:p>
        </w:tc>
      </w:tr>
      <w:tr>
        <w:trPr>
          <w:trHeight w:val="189"/>
        </w:trPr>
        <w:tc>
          <w:tcPr>
            <w:tcW w:w="1660" w:type="dxa"/>
            <w:vAlign w:val="bottom"/>
          </w:tcPr>
          <w:p>
            <w:pPr>
              <w:spacing w:after="0"/>
              <w:rPr>
                <w:sz w:val="16"/>
                <w:szCs w:val="16"/>
                <w:color w:val="auto"/>
              </w:rPr>
            </w:pPr>
          </w:p>
        </w:tc>
        <w:tc>
          <w:tcPr>
            <w:tcW w:w="1200" w:type="dxa"/>
            <w:vAlign w:val="bottom"/>
            <w:gridSpan w:val="7"/>
          </w:tcPr>
          <w:p>
            <w:pPr>
              <w:spacing w:after="0"/>
              <w:rPr>
                <w:rFonts w:ascii="Arial" w:cs="Arial" w:eastAsia="Arial" w:hAnsi="Arial"/>
                <w:sz w:val="16"/>
                <w:szCs w:val="16"/>
                <w:color w:val="0000FF"/>
              </w:rPr>
            </w:pPr>
            <w:hyperlink r:id="rId25">
              <w:r>
                <w:rPr>
                  <w:rFonts w:ascii="Arial" w:cs="Arial" w:eastAsia="Arial" w:hAnsi="Arial"/>
                  <w:sz w:val="16"/>
                  <w:szCs w:val="16"/>
                  <w:color w:val="0000FF"/>
                </w:rPr>
                <w:t>Sixth</w:t>
              </w:r>
            </w:hyperlink>
          </w:p>
        </w:tc>
        <w:tc>
          <w:tcPr>
            <w:tcW w:w="2420" w:type="dxa"/>
            <w:vAlign w:val="bottom"/>
            <w:gridSpan w:val="5"/>
          </w:tcPr>
          <w:p>
            <w:pPr>
              <w:ind w:left="620"/>
              <w:spacing w:after="0"/>
              <w:rPr>
                <w:rFonts w:ascii="Arial" w:cs="Arial" w:eastAsia="Arial" w:hAnsi="Arial"/>
                <w:sz w:val="16"/>
                <w:szCs w:val="16"/>
                <w:color w:val="0000FF"/>
              </w:rPr>
            </w:pPr>
            <w:hyperlink r:id="rId25">
              <w:r>
                <w:rPr>
                  <w:rFonts w:ascii="Arial" w:cs="Arial" w:eastAsia="Arial" w:hAnsi="Arial"/>
                  <w:sz w:val="16"/>
                  <w:szCs w:val="16"/>
                  <w:color w:val="0000FF"/>
                </w:rPr>
                <w:t>March 24, 1994</w:t>
              </w:r>
            </w:hyperlink>
          </w:p>
        </w:tc>
        <w:tc>
          <w:tcPr>
            <w:tcW w:w="4200" w:type="dxa"/>
            <w:vAlign w:val="bottom"/>
            <w:gridSpan w:val="2"/>
          </w:tcPr>
          <w:p>
            <w:pPr>
              <w:spacing w:after="0"/>
              <w:rPr>
                <w:rFonts w:ascii="Arial" w:cs="Arial" w:eastAsia="Arial" w:hAnsi="Arial"/>
                <w:sz w:val="16"/>
                <w:szCs w:val="16"/>
                <w:color w:val="0000FF"/>
              </w:rPr>
            </w:pPr>
            <w:hyperlink r:id="rId25">
              <w:r>
                <w:rPr>
                  <w:rFonts w:ascii="Arial" w:cs="Arial" w:eastAsia="Arial" w:hAnsi="Arial"/>
                  <w:sz w:val="16"/>
                  <w:szCs w:val="16"/>
                  <w:color w:val="0000FF"/>
                </w:rPr>
                <w:t>1-3548 (1996 Form 10-K)</w:t>
              </w:r>
            </w:hyperlink>
          </w:p>
        </w:tc>
        <w:tc>
          <w:tcPr>
            <w:tcW w:w="1920" w:type="dxa"/>
            <w:vAlign w:val="bottom"/>
            <w:gridSpan w:val="2"/>
          </w:tcPr>
          <w:p>
            <w:pPr>
              <w:spacing w:after="0"/>
              <w:rPr>
                <w:rFonts w:ascii="Arial" w:cs="Arial" w:eastAsia="Arial" w:hAnsi="Arial"/>
                <w:sz w:val="16"/>
                <w:szCs w:val="16"/>
                <w:color w:val="0000FF"/>
              </w:rPr>
            </w:pPr>
            <w:hyperlink r:id="rId25">
              <w:r>
                <w:rPr>
                  <w:rFonts w:ascii="Arial" w:cs="Arial" w:eastAsia="Arial" w:hAnsi="Arial"/>
                  <w:sz w:val="16"/>
                  <w:szCs w:val="16"/>
                  <w:color w:val="0000FF"/>
                </w:rPr>
                <w:t>4(b)</w:t>
              </w:r>
              <w:r>
                <w:rPr>
                  <w:rFonts w:ascii="Arial" w:cs="Arial" w:eastAsia="Arial" w:hAnsi="Arial"/>
                  <w:sz w:val="16"/>
                  <w:szCs w:val="16"/>
                  <w:u w:val="single" w:color="auto"/>
                  <w:color w:val="0000FF"/>
                </w:rPr>
                <w:t>1</w:t>
              </w:r>
            </w:hyperlink>
          </w:p>
        </w:tc>
      </w:tr>
      <w:tr>
        <w:trPr>
          <w:trHeight w:val="48"/>
        </w:trPr>
        <w:tc>
          <w:tcPr>
            <w:tcW w:w="16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189"/>
        </w:trPr>
        <w:tc>
          <w:tcPr>
            <w:tcW w:w="1660" w:type="dxa"/>
            <w:vAlign w:val="bottom"/>
            <w:shd w:val="clear" w:color="auto" w:fill="CCEEFF"/>
          </w:tcPr>
          <w:p>
            <w:pPr>
              <w:spacing w:after="0"/>
              <w:rPr>
                <w:sz w:val="16"/>
                <w:szCs w:val="16"/>
                <w:color w:val="auto"/>
              </w:rPr>
            </w:pPr>
          </w:p>
        </w:tc>
        <w:tc>
          <w:tcPr>
            <w:tcW w:w="520" w:type="dxa"/>
            <w:vAlign w:val="bottom"/>
            <w:gridSpan w:val="5"/>
            <w:shd w:val="clear" w:color="auto" w:fill="CCEEFF"/>
          </w:tcPr>
          <w:p>
            <w:pPr>
              <w:spacing w:after="0"/>
              <w:rPr>
                <w:rFonts w:ascii="Arial" w:cs="Arial" w:eastAsia="Arial" w:hAnsi="Arial"/>
                <w:sz w:val="16"/>
                <w:szCs w:val="16"/>
                <w:color w:val="0000FF"/>
                <w:w w:val="85"/>
              </w:rPr>
            </w:pPr>
            <w:hyperlink r:id="rId25">
              <w:r>
                <w:rPr>
                  <w:rFonts w:ascii="Arial" w:cs="Arial" w:eastAsia="Arial" w:hAnsi="Arial"/>
                  <w:sz w:val="16"/>
                  <w:szCs w:val="16"/>
                  <w:color w:val="0000FF"/>
                  <w:w w:val="85"/>
                </w:rPr>
                <w:t>Seventh</w:t>
              </w:r>
            </w:hyperlink>
          </w:p>
        </w:tc>
        <w:tc>
          <w:tcPr>
            <w:tcW w:w="680" w:type="dxa"/>
            <w:vAlign w:val="bottom"/>
            <w:gridSpan w:val="2"/>
            <w:shd w:val="clear" w:color="auto" w:fill="CCEEFF"/>
          </w:tcPr>
          <w:p>
            <w:pPr>
              <w:spacing w:after="0"/>
              <w:rPr>
                <w:sz w:val="16"/>
                <w:szCs w:val="16"/>
                <w:color w:val="auto"/>
              </w:rPr>
            </w:pPr>
          </w:p>
        </w:tc>
        <w:tc>
          <w:tcPr>
            <w:tcW w:w="2420" w:type="dxa"/>
            <w:vAlign w:val="bottom"/>
            <w:gridSpan w:val="5"/>
            <w:shd w:val="clear" w:color="auto" w:fill="CCEEFF"/>
          </w:tcPr>
          <w:p>
            <w:pPr>
              <w:ind w:left="620"/>
              <w:spacing w:after="0"/>
              <w:rPr>
                <w:rFonts w:ascii="Arial" w:cs="Arial" w:eastAsia="Arial" w:hAnsi="Arial"/>
                <w:sz w:val="16"/>
                <w:szCs w:val="16"/>
                <w:color w:val="0000FF"/>
              </w:rPr>
            </w:pPr>
            <w:hyperlink r:id="rId25">
              <w:r>
                <w:rPr>
                  <w:rFonts w:ascii="Arial" w:cs="Arial" w:eastAsia="Arial" w:hAnsi="Arial"/>
                  <w:sz w:val="16"/>
                  <w:szCs w:val="16"/>
                  <w:color w:val="0000FF"/>
                </w:rPr>
                <w:t>November 1, 1994</w:t>
              </w:r>
            </w:hyperlink>
          </w:p>
        </w:tc>
        <w:tc>
          <w:tcPr>
            <w:tcW w:w="4200" w:type="dxa"/>
            <w:vAlign w:val="bottom"/>
            <w:gridSpan w:val="2"/>
            <w:shd w:val="clear" w:color="auto" w:fill="CCEEFF"/>
          </w:tcPr>
          <w:p>
            <w:pPr>
              <w:spacing w:after="0"/>
              <w:rPr>
                <w:rFonts w:ascii="Arial" w:cs="Arial" w:eastAsia="Arial" w:hAnsi="Arial"/>
                <w:sz w:val="16"/>
                <w:szCs w:val="16"/>
                <w:color w:val="0000FF"/>
              </w:rPr>
            </w:pPr>
            <w:hyperlink r:id="rId25">
              <w:r>
                <w:rPr>
                  <w:rFonts w:ascii="Arial" w:cs="Arial" w:eastAsia="Arial" w:hAnsi="Arial"/>
                  <w:sz w:val="16"/>
                  <w:szCs w:val="16"/>
                  <w:color w:val="0000FF"/>
                </w:rPr>
                <w:t>1-3548 (1996 Form 10-K)</w:t>
              </w:r>
            </w:hyperlink>
          </w:p>
        </w:tc>
        <w:tc>
          <w:tcPr>
            <w:tcW w:w="1920" w:type="dxa"/>
            <w:vAlign w:val="bottom"/>
            <w:gridSpan w:val="2"/>
            <w:shd w:val="clear" w:color="auto" w:fill="CCEEFF"/>
          </w:tcPr>
          <w:p>
            <w:pPr>
              <w:spacing w:after="0"/>
              <w:rPr>
                <w:rFonts w:ascii="Arial" w:cs="Arial" w:eastAsia="Arial" w:hAnsi="Arial"/>
                <w:sz w:val="16"/>
                <w:szCs w:val="16"/>
                <w:color w:val="0000FF"/>
              </w:rPr>
            </w:pPr>
            <w:hyperlink r:id="rId25">
              <w:r>
                <w:rPr>
                  <w:rFonts w:ascii="Arial" w:cs="Arial" w:eastAsia="Arial" w:hAnsi="Arial"/>
                  <w:sz w:val="16"/>
                  <w:szCs w:val="16"/>
                  <w:color w:val="0000FF"/>
                </w:rPr>
                <w:t>4(b)</w:t>
              </w:r>
              <w:r>
                <w:rPr>
                  <w:rFonts w:ascii="Arial" w:cs="Arial" w:eastAsia="Arial" w:hAnsi="Arial"/>
                  <w:sz w:val="16"/>
                  <w:szCs w:val="16"/>
                  <w:u w:val="single" w:color="auto"/>
                  <w:color w:val="0000FF"/>
                </w:rPr>
                <w:t>2</w:t>
              </w:r>
            </w:hyperlink>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189"/>
        </w:trPr>
        <w:tc>
          <w:tcPr>
            <w:tcW w:w="1660" w:type="dxa"/>
            <w:vAlign w:val="bottom"/>
          </w:tcPr>
          <w:p>
            <w:pPr>
              <w:spacing w:after="0"/>
              <w:rPr>
                <w:sz w:val="16"/>
                <w:szCs w:val="16"/>
                <w:color w:val="auto"/>
              </w:rPr>
            </w:pPr>
          </w:p>
        </w:tc>
        <w:tc>
          <w:tcPr>
            <w:tcW w:w="520" w:type="dxa"/>
            <w:vAlign w:val="bottom"/>
            <w:gridSpan w:val="5"/>
          </w:tcPr>
          <w:p>
            <w:pPr>
              <w:spacing w:after="0"/>
              <w:rPr>
                <w:rFonts w:ascii="Arial" w:cs="Arial" w:eastAsia="Arial" w:hAnsi="Arial"/>
                <w:sz w:val="16"/>
                <w:szCs w:val="16"/>
                <w:color w:val="0000FF"/>
              </w:rPr>
            </w:pPr>
            <w:hyperlink r:id="rId25">
              <w:r>
                <w:rPr>
                  <w:rFonts w:ascii="Arial" w:cs="Arial" w:eastAsia="Arial" w:hAnsi="Arial"/>
                  <w:sz w:val="16"/>
                  <w:szCs w:val="16"/>
                  <w:color w:val="0000FF"/>
                </w:rPr>
                <w:t>Eighth</w:t>
              </w:r>
            </w:hyperlink>
          </w:p>
        </w:tc>
        <w:tc>
          <w:tcPr>
            <w:tcW w:w="680" w:type="dxa"/>
            <w:vAlign w:val="bottom"/>
            <w:gridSpan w:val="2"/>
          </w:tcPr>
          <w:p>
            <w:pPr>
              <w:spacing w:after="0"/>
              <w:rPr>
                <w:sz w:val="16"/>
                <w:szCs w:val="16"/>
                <w:color w:val="auto"/>
              </w:rPr>
            </w:pPr>
          </w:p>
        </w:tc>
        <w:tc>
          <w:tcPr>
            <w:tcW w:w="2420" w:type="dxa"/>
            <w:vAlign w:val="bottom"/>
            <w:gridSpan w:val="5"/>
          </w:tcPr>
          <w:p>
            <w:pPr>
              <w:ind w:left="620"/>
              <w:spacing w:after="0"/>
              <w:rPr>
                <w:rFonts w:ascii="Arial" w:cs="Arial" w:eastAsia="Arial" w:hAnsi="Arial"/>
                <w:sz w:val="16"/>
                <w:szCs w:val="16"/>
                <w:color w:val="0000FF"/>
              </w:rPr>
            </w:pPr>
            <w:hyperlink r:id="rId25">
              <w:r>
                <w:rPr>
                  <w:rFonts w:ascii="Arial" w:cs="Arial" w:eastAsia="Arial" w:hAnsi="Arial"/>
                  <w:sz w:val="16"/>
                  <w:szCs w:val="16"/>
                  <w:color w:val="0000FF"/>
                </w:rPr>
                <w:t>January 1, 1997</w:t>
              </w:r>
            </w:hyperlink>
          </w:p>
        </w:tc>
        <w:tc>
          <w:tcPr>
            <w:tcW w:w="4200" w:type="dxa"/>
            <w:vAlign w:val="bottom"/>
            <w:gridSpan w:val="2"/>
          </w:tcPr>
          <w:p>
            <w:pPr>
              <w:spacing w:after="0"/>
              <w:rPr>
                <w:rFonts w:ascii="Arial" w:cs="Arial" w:eastAsia="Arial" w:hAnsi="Arial"/>
                <w:sz w:val="16"/>
                <w:szCs w:val="16"/>
                <w:color w:val="0000FF"/>
              </w:rPr>
            </w:pPr>
            <w:hyperlink r:id="rId25">
              <w:r>
                <w:rPr>
                  <w:rFonts w:ascii="Arial" w:cs="Arial" w:eastAsia="Arial" w:hAnsi="Arial"/>
                  <w:sz w:val="16"/>
                  <w:szCs w:val="16"/>
                  <w:color w:val="0000FF"/>
                </w:rPr>
                <w:t>1-3548 (1996 Form 10-K)</w:t>
              </w:r>
            </w:hyperlink>
          </w:p>
        </w:tc>
        <w:tc>
          <w:tcPr>
            <w:tcW w:w="1920" w:type="dxa"/>
            <w:vAlign w:val="bottom"/>
            <w:gridSpan w:val="2"/>
          </w:tcPr>
          <w:p>
            <w:pPr>
              <w:spacing w:after="0"/>
              <w:rPr>
                <w:rFonts w:ascii="Arial" w:cs="Arial" w:eastAsia="Arial" w:hAnsi="Arial"/>
                <w:sz w:val="16"/>
                <w:szCs w:val="16"/>
                <w:color w:val="0000FF"/>
              </w:rPr>
            </w:pPr>
            <w:hyperlink r:id="rId25">
              <w:r>
                <w:rPr>
                  <w:rFonts w:ascii="Arial" w:cs="Arial" w:eastAsia="Arial" w:hAnsi="Arial"/>
                  <w:sz w:val="16"/>
                  <w:szCs w:val="16"/>
                  <w:color w:val="0000FF"/>
                </w:rPr>
                <w:t>4(b)</w:t>
              </w:r>
              <w:r>
                <w:rPr>
                  <w:rFonts w:ascii="Arial" w:cs="Arial" w:eastAsia="Arial" w:hAnsi="Arial"/>
                  <w:sz w:val="16"/>
                  <w:szCs w:val="16"/>
                  <w:u w:val="single" w:color="auto"/>
                  <w:color w:val="0000FF"/>
                </w:rPr>
                <w:t>3</w:t>
              </w:r>
            </w:hyperlink>
          </w:p>
        </w:tc>
      </w:tr>
      <w:tr>
        <w:trPr>
          <w:trHeight w:val="48"/>
        </w:trPr>
        <w:tc>
          <w:tcPr>
            <w:tcW w:w="16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189"/>
        </w:trPr>
        <w:tc>
          <w:tcPr>
            <w:tcW w:w="1660" w:type="dxa"/>
            <w:vAlign w:val="bottom"/>
            <w:shd w:val="clear" w:color="auto" w:fill="CCEEFF"/>
          </w:tcPr>
          <w:p>
            <w:pPr>
              <w:spacing w:after="0"/>
              <w:rPr>
                <w:sz w:val="16"/>
                <w:szCs w:val="16"/>
                <w:color w:val="auto"/>
              </w:rPr>
            </w:pPr>
          </w:p>
        </w:tc>
        <w:tc>
          <w:tcPr>
            <w:tcW w:w="1200" w:type="dxa"/>
            <w:vAlign w:val="bottom"/>
            <w:gridSpan w:val="7"/>
            <w:shd w:val="clear" w:color="auto" w:fill="CCEEFF"/>
          </w:tcPr>
          <w:p>
            <w:pPr>
              <w:spacing w:after="0"/>
              <w:rPr>
                <w:rFonts w:ascii="Arial" w:cs="Arial" w:eastAsia="Arial" w:hAnsi="Arial"/>
                <w:sz w:val="16"/>
                <w:szCs w:val="16"/>
                <w:color w:val="0000FF"/>
              </w:rPr>
            </w:pPr>
            <w:hyperlink r:id="rId46">
              <w:r>
                <w:rPr>
                  <w:rFonts w:ascii="Arial" w:cs="Arial" w:eastAsia="Arial" w:hAnsi="Arial"/>
                  <w:sz w:val="16"/>
                  <w:szCs w:val="16"/>
                  <w:color w:val="0000FF"/>
                </w:rPr>
                <w:t>Ninth</w:t>
              </w:r>
            </w:hyperlink>
          </w:p>
        </w:tc>
        <w:tc>
          <w:tcPr>
            <w:tcW w:w="2420" w:type="dxa"/>
            <w:vAlign w:val="bottom"/>
            <w:gridSpan w:val="5"/>
            <w:shd w:val="clear" w:color="auto" w:fill="CCEEFF"/>
          </w:tcPr>
          <w:p>
            <w:pPr>
              <w:ind w:left="620"/>
              <w:spacing w:after="0"/>
              <w:rPr>
                <w:rFonts w:ascii="Arial" w:cs="Arial" w:eastAsia="Arial" w:hAnsi="Arial"/>
                <w:sz w:val="16"/>
                <w:szCs w:val="16"/>
                <w:color w:val="0000FF"/>
              </w:rPr>
            </w:pPr>
            <w:hyperlink r:id="rId46">
              <w:r>
                <w:rPr>
                  <w:rFonts w:ascii="Arial" w:cs="Arial" w:eastAsia="Arial" w:hAnsi="Arial"/>
                  <w:sz w:val="16"/>
                  <w:szCs w:val="16"/>
                  <w:color w:val="0000FF"/>
                </w:rPr>
                <w:t>October 1, 2007</w:t>
              </w:r>
            </w:hyperlink>
          </w:p>
        </w:tc>
        <w:tc>
          <w:tcPr>
            <w:tcW w:w="4200" w:type="dxa"/>
            <w:vAlign w:val="bottom"/>
            <w:gridSpan w:val="2"/>
            <w:shd w:val="clear" w:color="auto" w:fill="CCEEFF"/>
          </w:tcPr>
          <w:p>
            <w:pPr>
              <w:spacing w:after="0"/>
              <w:rPr>
                <w:rFonts w:ascii="Arial" w:cs="Arial" w:eastAsia="Arial" w:hAnsi="Arial"/>
                <w:sz w:val="16"/>
                <w:szCs w:val="16"/>
                <w:color w:val="0000FF"/>
              </w:rPr>
            </w:pPr>
            <w:hyperlink r:id="rId46">
              <w:r>
                <w:rPr>
                  <w:rFonts w:ascii="Arial" w:cs="Arial" w:eastAsia="Arial" w:hAnsi="Arial"/>
                  <w:sz w:val="16"/>
                  <w:szCs w:val="16"/>
                  <w:color w:val="0000FF"/>
                </w:rPr>
                <w:t>1-3548 (2007 Form 10-K)</w:t>
              </w:r>
            </w:hyperlink>
          </w:p>
        </w:tc>
        <w:tc>
          <w:tcPr>
            <w:tcW w:w="1920" w:type="dxa"/>
            <w:vAlign w:val="bottom"/>
            <w:gridSpan w:val="2"/>
            <w:shd w:val="clear" w:color="auto" w:fill="CCEEFF"/>
          </w:tcPr>
          <w:p>
            <w:pPr>
              <w:spacing w:after="0"/>
              <w:rPr>
                <w:rFonts w:ascii="Arial" w:cs="Arial" w:eastAsia="Arial" w:hAnsi="Arial"/>
                <w:sz w:val="16"/>
                <w:szCs w:val="16"/>
                <w:color w:val="0000FF"/>
              </w:rPr>
            </w:pPr>
            <w:hyperlink r:id="rId46">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189"/>
        </w:trPr>
        <w:tc>
          <w:tcPr>
            <w:tcW w:w="1660" w:type="dxa"/>
            <w:vAlign w:val="bottom"/>
          </w:tcPr>
          <w:p>
            <w:pPr>
              <w:spacing w:after="0"/>
              <w:rPr>
                <w:sz w:val="16"/>
                <w:szCs w:val="16"/>
                <w:color w:val="auto"/>
              </w:rPr>
            </w:pPr>
          </w:p>
        </w:tc>
        <w:tc>
          <w:tcPr>
            <w:tcW w:w="1200" w:type="dxa"/>
            <w:vAlign w:val="bottom"/>
            <w:gridSpan w:val="7"/>
          </w:tcPr>
          <w:p>
            <w:pPr>
              <w:spacing w:after="0"/>
              <w:rPr>
                <w:rFonts w:ascii="Arial" w:cs="Arial" w:eastAsia="Arial" w:hAnsi="Arial"/>
                <w:sz w:val="16"/>
                <w:szCs w:val="16"/>
                <w:color w:val="0000FF"/>
              </w:rPr>
            </w:pPr>
            <w:hyperlink r:id="rId47">
              <w:r>
                <w:rPr>
                  <w:rFonts w:ascii="Arial" w:cs="Arial" w:eastAsia="Arial" w:hAnsi="Arial"/>
                  <w:sz w:val="16"/>
                  <w:szCs w:val="16"/>
                  <w:color w:val="0000FF"/>
                </w:rPr>
                <w:t>Tenth</w:t>
              </w:r>
            </w:hyperlink>
          </w:p>
        </w:tc>
        <w:tc>
          <w:tcPr>
            <w:tcW w:w="2420" w:type="dxa"/>
            <w:vAlign w:val="bottom"/>
            <w:gridSpan w:val="5"/>
          </w:tcPr>
          <w:p>
            <w:pPr>
              <w:ind w:left="620"/>
              <w:spacing w:after="0"/>
              <w:rPr>
                <w:rFonts w:ascii="Arial" w:cs="Arial" w:eastAsia="Arial" w:hAnsi="Arial"/>
                <w:sz w:val="16"/>
                <w:szCs w:val="16"/>
                <w:color w:val="0000FF"/>
              </w:rPr>
            </w:pPr>
            <w:hyperlink r:id="rId47">
              <w:r>
                <w:rPr>
                  <w:rFonts w:ascii="Arial" w:cs="Arial" w:eastAsia="Arial" w:hAnsi="Arial"/>
                  <w:sz w:val="16"/>
                  <w:szCs w:val="16"/>
                  <w:color w:val="0000FF"/>
                </w:rPr>
                <w:t>October 1, 2007</w:t>
              </w:r>
            </w:hyperlink>
          </w:p>
        </w:tc>
        <w:tc>
          <w:tcPr>
            <w:tcW w:w="4200" w:type="dxa"/>
            <w:vAlign w:val="bottom"/>
            <w:gridSpan w:val="2"/>
          </w:tcPr>
          <w:p>
            <w:pPr>
              <w:spacing w:after="0"/>
              <w:rPr>
                <w:rFonts w:ascii="Arial" w:cs="Arial" w:eastAsia="Arial" w:hAnsi="Arial"/>
                <w:sz w:val="16"/>
                <w:szCs w:val="16"/>
                <w:color w:val="0000FF"/>
              </w:rPr>
            </w:pPr>
            <w:hyperlink r:id="rId47">
              <w:r>
                <w:rPr>
                  <w:rFonts w:ascii="Arial" w:cs="Arial" w:eastAsia="Arial" w:hAnsi="Arial"/>
                  <w:sz w:val="16"/>
                  <w:szCs w:val="16"/>
                  <w:color w:val="0000FF"/>
                </w:rPr>
                <w:t>1-3548 (2007 Form 10-K)</w:t>
              </w:r>
            </w:hyperlink>
          </w:p>
        </w:tc>
        <w:tc>
          <w:tcPr>
            <w:tcW w:w="1920" w:type="dxa"/>
            <w:vAlign w:val="bottom"/>
            <w:gridSpan w:val="2"/>
          </w:tcPr>
          <w:p>
            <w:pPr>
              <w:spacing w:after="0"/>
              <w:rPr>
                <w:rFonts w:ascii="Arial" w:cs="Arial" w:eastAsia="Arial" w:hAnsi="Arial"/>
                <w:sz w:val="16"/>
                <w:szCs w:val="16"/>
                <w:color w:val="0000FF"/>
              </w:rPr>
            </w:pPr>
            <w:hyperlink r:id="rId47">
              <w:r>
                <w:rPr>
                  <w:rFonts w:ascii="Arial" w:cs="Arial" w:eastAsia="Arial" w:hAnsi="Arial"/>
                  <w:sz w:val="16"/>
                  <w:szCs w:val="16"/>
                  <w:color w:val="0000FF"/>
                </w:rPr>
                <w:t>4(c)</w:t>
              </w:r>
              <w:r>
                <w:rPr>
                  <w:rFonts w:ascii="Arial" w:cs="Arial" w:eastAsia="Arial" w:hAnsi="Arial"/>
                  <w:sz w:val="16"/>
                  <w:szCs w:val="16"/>
                  <w:u w:val="single" w:color="auto"/>
                  <w:color w:val="0000FF"/>
                </w:rPr>
                <w:t>4</w:t>
              </w:r>
            </w:hyperlink>
          </w:p>
        </w:tc>
      </w:tr>
      <w:tr>
        <w:trPr>
          <w:trHeight w:val="48"/>
        </w:trPr>
        <w:tc>
          <w:tcPr>
            <w:tcW w:w="16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189"/>
        </w:trPr>
        <w:tc>
          <w:tcPr>
            <w:tcW w:w="1660" w:type="dxa"/>
            <w:vAlign w:val="bottom"/>
            <w:shd w:val="clear" w:color="auto" w:fill="CCEEFF"/>
          </w:tcPr>
          <w:p>
            <w:pPr>
              <w:spacing w:after="0"/>
              <w:rPr>
                <w:sz w:val="16"/>
                <w:szCs w:val="16"/>
                <w:color w:val="auto"/>
              </w:rPr>
            </w:pPr>
          </w:p>
        </w:tc>
        <w:tc>
          <w:tcPr>
            <w:tcW w:w="580" w:type="dxa"/>
            <w:vAlign w:val="bottom"/>
            <w:gridSpan w:val="6"/>
            <w:shd w:val="clear" w:color="auto" w:fill="CCEEFF"/>
          </w:tcPr>
          <w:p>
            <w:pPr>
              <w:spacing w:after="0"/>
              <w:rPr>
                <w:rFonts w:ascii="Arial" w:cs="Arial" w:eastAsia="Arial" w:hAnsi="Arial"/>
                <w:sz w:val="16"/>
                <w:szCs w:val="16"/>
                <w:color w:val="0000FF"/>
                <w:w w:val="89"/>
              </w:rPr>
            </w:pPr>
            <w:hyperlink r:id="rId48">
              <w:r>
                <w:rPr>
                  <w:rFonts w:ascii="Arial" w:cs="Arial" w:eastAsia="Arial" w:hAnsi="Arial"/>
                  <w:sz w:val="16"/>
                  <w:szCs w:val="16"/>
                  <w:color w:val="0000FF"/>
                  <w:w w:val="89"/>
                </w:rPr>
                <w:t>Eleventh</w:t>
              </w:r>
            </w:hyperlink>
          </w:p>
        </w:tc>
        <w:tc>
          <w:tcPr>
            <w:tcW w:w="620" w:type="dxa"/>
            <w:vAlign w:val="bottom"/>
            <w:shd w:val="clear" w:color="auto" w:fill="CCEEFF"/>
          </w:tcPr>
          <w:p>
            <w:pPr>
              <w:spacing w:after="0"/>
              <w:rPr>
                <w:sz w:val="16"/>
                <w:szCs w:val="16"/>
                <w:color w:val="auto"/>
              </w:rPr>
            </w:pPr>
          </w:p>
        </w:tc>
        <w:tc>
          <w:tcPr>
            <w:tcW w:w="2420" w:type="dxa"/>
            <w:vAlign w:val="bottom"/>
            <w:gridSpan w:val="5"/>
            <w:shd w:val="clear" w:color="auto" w:fill="CCEEFF"/>
          </w:tcPr>
          <w:p>
            <w:pPr>
              <w:ind w:left="620"/>
              <w:spacing w:after="0"/>
              <w:rPr>
                <w:rFonts w:ascii="Arial" w:cs="Arial" w:eastAsia="Arial" w:hAnsi="Arial"/>
                <w:sz w:val="16"/>
                <w:szCs w:val="16"/>
                <w:color w:val="0000FF"/>
              </w:rPr>
            </w:pPr>
            <w:hyperlink r:id="rId48">
              <w:r>
                <w:rPr>
                  <w:rFonts w:ascii="Arial" w:cs="Arial" w:eastAsia="Arial" w:hAnsi="Arial"/>
                  <w:sz w:val="16"/>
                  <w:szCs w:val="16"/>
                  <w:color w:val="0000FF"/>
                </w:rPr>
                <w:t>December 1, 2008</w:t>
              </w:r>
            </w:hyperlink>
          </w:p>
        </w:tc>
        <w:tc>
          <w:tcPr>
            <w:tcW w:w="4200" w:type="dxa"/>
            <w:vAlign w:val="bottom"/>
            <w:gridSpan w:val="2"/>
            <w:shd w:val="clear" w:color="auto" w:fill="CCEEFF"/>
          </w:tcPr>
          <w:p>
            <w:pPr>
              <w:spacing w:after="0"/>
              <w:rPr>
                <w:rFonts w:ascii="Arial" w:cs="Arial" w:eastAsia="Arial" w:hAnsi="Arial"/>
                <w:sz w:val="16"/>
                <w:szCs w:val="16"/>
                <w:color w:val="0000FF"/>
              </w:rPr>
            </w:pPr>
            <w:hyperlink r:id="rId48">
              <w:r>
                <w:rPr>
                  <w:rFonts w:ascii="Arial" w:cs="Arial" w:eastAsia="Arial" w:hAnsi="Arial"/>
                  <w:sz w:val="16"/>
                  <w:szCs w:val="16"/>
                  <w:color w:val="0000FF"/>
                </w:rPr>
                <w:t>1-3548 (2008 Form 10-K)</w:t>
              </w:r>
            </w:hyperlink>
          </w:p>
        </w:tc>
        <w:tc>
          <w:tcPr>
            <w:tcW w:w="1920" w:type="dxa"/>
            <w:vAlign w:val="bottom"/>
            <w:gridSpan w:val="2"/>
            <w:shd w:val="clear" w:color="auto" w:fill="CCEEFF"/>
          </w:tcPr>
          <w:p>
            <w:pPr>
              <w:spacing w:after="0"/>
              <w:rPr>
                <w:rFonts w:ascii="Arial" w:cs="Arial" w:eastAsia="Arial" w:hAnsi="Arial"/>
                <w:sz w:val="16"/>
                <w:szCs w:val="16"/>
                <w:color w:val="0000FF"/>
              </w:rPr>
            </w:pPr>
            <w:hyperlink r:id="rId48">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189"/>
        </w:trPr>
        <w:tc>
          <w:tcPr>
            <w:tcW w:w="1660" w:type="dxa"/>
            <w:vAlign w:val="bottom"/>
          </w:tcPr>
          <w:p>
            <w:pPr>
              <w:spacing w:after="0"/>
              <w:rPr>
                <w:sz w:val="16"/>
                <w:szCs w:val="16"/>
                <w:color w:val="auto"/>
              </w:rPr>
            </w:pPr>
          </w:p>
        </w:tc>
        <w:tc>
          <w:tcPr>
            <w:tcW w:w="500" w:type="dxa"/>
            <w:vAlign w:val="bottom"/>
            <w:gridSpan w:val="4"/>
          </w:tcPr>
          <w:p>
            <w:pPr>
              <w:spacing w:after="0" w:line="169" w:lineRule="exact"/>
              <w:rPr>
                <w:rFonts w:ascii="Arial" w:cs="Arial" w:eastAsia="Arial" w:hAnsi="Arial"/>
                <w:sz w:val="16"/>
                <w:szCs w:val="16"/>
                <w:color w:val="0000FF"/>
                <w:w w:val="92"/>
              </w:rPr>
            </w:pPr>
            <w:hyperlink r:id="rId49">
              <w:r>
                <w:rPr>
                  <w:rFonts w:ascii="Arial" w:cs="Arial" w:eastAsia="Arial" w:hAnsi="Arial"/>
                  <w:sz w:val="16"/>
                  <w:szCs w:val="16"/>
                  <w:color w:val="0000FF"/>
                  <w:w w:val="92"/>
                </w:rPr>
                <w:t>Twelfth</w:t>
              </w:r>
            </w:hyperlink>
          </w:p>
        </w:tc>
        <w:tc>
          <w:tcPr>
            <w:tcW w:w="8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2420" w:type="dxa"/>
            <w:vAlign w:val="bottom"/>
            <w:gridSpan w:val="5"/>
          </w:tcPr>
          <w:p>
            <w:pPr>
              <w:ind w:left="620"/>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December 2, 2013</w:t>
              </w:r>
            </w:hyperlink>
          </w:p>
        </w:tc>
        <w:tc>
          <w:tcPr>
            <w:tcW w:w="4200" w:type="dxa"/>
            <w:vAlign w:val="bottom"/>
            <w:gridSpan w:val="2"/>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1-3548 (2013 Form 10-K)</w:t>
              </w:r>
            </w:hyperlink>
          </w:p>
        </w:tc>
        <w:tc>
          <w:tcPr>
            <w:tcW w:w="1920" w:type="dxa"/>
            <w:vAlign w:val="bottom"/>
            <w:gridSpan w:val="2"/>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27"/>
        </w:trPr>
        <w:tc>
          <w:tcPr>
            <w:tcW w:w="16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shd w:val="clear" w:color="auto" w:fill="0000FF"/>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5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p>
      <w:pPr>
        <w:spacing w:after="0" w:line="71" w:lineRule="exact"/>
        <w:rPr>
          <w:sz w:val="20"/>
          <w:szCs w:val="20"/>
          <w:color w:val="auto"/>
        </w:rPr>
      </w:pPr>
    </w:p>
    <w:p>
      <w:pPr>
        <w:ind w:left="40"/>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*4(c)</w:t>
        </w:r>
      </w:hyperlink>
    </w:p>
    <w:p>
      <w:pPr>
        <w:spacing w:after="0" w:line="200" w:lineRule="exact"/>
        <w:rPr>
          <w:sz w:val="20"/>
          <w:szCs w:val="20"/>
          <w:color w:val="auto"/>
        </w:rPr>
      </w:pPr>
    </w:p>
    <w:p>
      <w:pPr>
        <w:spacing w:after="0" w:line="237" w:lineRule="exact"/>
        <w:rPr>
          <w:sz w:val="20"/>
          <w:szCs w:val="20"/>
          <w:color w:val="auto"/>
        </w:rPr>
      </w:pPr>
    </w:p>
    <w:p>
      <w:pPr>
        <w:ind w:left="40"/>
        <w:spacing w:after="0"/>
        <w:rPr>
          <w:rFonts w:ascii="Arial" w:cs="Arial" w:eastAsia="Arial" w:hAnsi="Arial"/>
          <w:sz w:val="15"/>
          <w:szCs w:val="15"/>
          <w:u w:val="single" w:color="auto"/>
          <w:color w:val="0000FF"/>
        </w:rPr>
      </w:pPr>
      <w:hyperlink r:id="rId52">
        <w:r>
          <w:rPr>
            <w:rFonts w:ascii="Arial" w:cs="Arial" w:eastAsia="Arial" w:hAnsi="Arial"/>
            <w:sz w:val="15"/>
            <w:szCs w:val="15"/>
            <w:u w:val="single" w:color="auto"/>
            <w:color w:val="0000FF"/>
          </w:rPr>
          <w:t>*4(d)</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rFonts w:ascii="Arial" w:cs="Arial" w:eastAsia="Arial" w:hAnsi="Arial"/>
          <w:sz w:val="15"/>
          <w:szCs w:val="15"/>
          <w:u w:val="single" w:color="auto"/>
          <w:color w:val="0000FF"/>
        </w:rPr>
      </w:pPr>
      <w:hyperlink r:id="rId53">
        <w:r>
          <w:rPr>
            <w:rFonts w:ascii="Arial" w:cs="Arial" w:eastAsia="Arial" w:hAnsi="Arial"/>
            <w:sz w:val="15"/>
            <w:szCs w:val="15"/>
            <w:u w:val="single" w:color="auto"/>
            <w:color w:val="0000FF"/>
          </w:rPr>
          <w:t>*4(e)</w:t>
        </w:r>
      </w:hyperlink>
    </w:p>
    <w:p>
      <w:pPr>
        <w:spacing w:after="0" w:line="287" w:lineRule="exact"/>
        <w:rPr>
          <w:sz w:val="20"/>
          <w:szCs w:val="20"/>
          <w:color w:val="auto"/>
        </w:rPr>
      </w:pPr>
    </w:p>
    <w:p>
      <w:pPr>
        <w:ind w:left="40"/>
        <w:spacing w:after="0"/>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*4(f)</w:t>
        </w:r>
      </w:hyperlink>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40" w:hanging="311"/>
        <w:spacing w:after="0" w:line="213" w:lineRule="auto"/>
        <w:rPr>
          <w:rFonts w:ascii="Arial" w:cs="Arial" w:eastAsia="Arial" w:hAnsi="Arial"/>
          <w:sz w:val="16"/>
          <w:szCs w:val="16"/>
          <w:u w:val="single" w:color="auto"/>
          <w:color w:val="0000FF"/>
        </w:rPr>
      </w:pPr>
      <w:hyperlink r:id="rId51"/>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51">
        <w:r>
          <w:rPr>
            <w:rFonts w:ascii="Arial" w:cs="Arial" w:eastAsia="Arial" w:hAnsi="Arial"/>
            <w:sz w:val="16"/>
            <w:szCs w:val="16"/>
            <w:u w:val="single" w:color="auto"/>
            <w:color w:val="0000FF"/>
          </w:rPr>
          <w:t>Note Purchase Agreement, dated as of June 8, 2007, between ALLETE and Thrivent Financial for Lutherans and The Northwestern Mutual Life</w:t>
        </w:r>
      </w:hyperlink>
      <w:r>
        <w:rPr>
          <w:rFonts w:ascii="Arial" w:cs="Arial" w:eastAsia="Arial" w:hAnsi="Arial"/>
          <w:sz w:val="16"/>
          <w:szCs w:val="16"/>
          <w:color w:val="0000FF"/>
        </w:rPr>
        <w:t xml:space="preserve"> </w:t>
      </w:r>
      <w:hyperlink r:id="rId51">
        <w:r>
          <w:rPr>
            <w:rFonts w:ascii="Arial" w:cs="Arial" w:eastAsia="Arial" w:hAnsi="Arial"/>
            <w:sz w:val="16"/>
            <w:szCs w:val="16"/>
            <w:u w:val="single" w:color="auto"/>
            <w:color w:val="0000FF"/>
          </w:rPr>
          <w:t>Insurance Company (filed as Exhibit 10(a) to the June 30, 2007, Form 10-Q, File No. 1-3548).</w:t>
        </w:r>
      </w:hyperlink>
    </w:p>
    <w:p>
      <w:pPr>
        <w:spacing w:after="0" w:line="131" w:lineRule="exact"/>
        <w:rPr>
          <w:rFonts w:ascii="Arial" w:cs="Arial" w:eastAsia="Arial" w:hAnsi="Arial"/>
          <w:sz w:val="16"/>
          <w:szCs w:val="16"/>
          <w:u w:val="single" w:color="auto"/>
          <w:color w:val="0000FF"/>
        </w:rPr>
      </w:pPr>
    </w:p>
    <w:p>
      <w:pPr>
        <w:ind w:right="40" w:hanging="311"/>
        <w:spacing w:after="0" w:line="225" w:lineRule="auto"/>
        <w:rPr>
          <w:rFonts w:ascii="Arial" w:cs="Arial" w:eastAsia="Arial" w:hAnsi="Arial"/>
          <w:sz w:val="16"/>
          <w:szCs w:val="16"/>
          <w:u w:val="single" w:color="auto"/>
          <w:color w:val="0000FF"/>
        </w:rPr>
      </w:pPr>
      <w:hyperlink r:id="rId52"/>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52">
        <w:r>
          <w:rPr>
            <w:rFonts w:ascii="Arial" w:cs="Arial" w:eastAsia="Arial" w:hAnsi="Arial"/>
            <w:sz w:val="16"/>
            <w:szCs w:val="16"/>
            <w:u w:val="single" w:color="auto"/>
            <w:color w:val="0000FF"/>
          </w:rPr>
          <w:t>Term Loan Agreement dated as of August 25, 2015, among ALLETE, as Borrower, the Lenders party hereto, JPMorgan Chase Bank, N.A., as</w:t>
        </w:r>
      </w:hyperlink>
      <w:r>
        <w:rPr>
          <w:rFonts w:ascii="Arial" w:cs="Arial" w:eastAsia="Arial" w:hAnsi="Arial"/>
          <w:sz w:val="16"/>
          <w:szCs w:val="16"/>
          <w:color w:val="0000FF"/>
        </w:rPr>
        <w:t xml:space="preserve"> </w:t>
      </w:r>
      <w:hyperlink r:id="rId52">
        <w:r>
          <w:rPr>
            <w:rFonts w:ascii="Arial" w:cs="Arial" w:eastAsia="Arial" w:hAnsi="Arial"/>
            <w:sz w:val="16"/>
            <w:szCs w:val="16"/>
            <w:u w:val="single" w:color="auto"/>
            <w:color w:val="0000FF"/>
          </w:rPr>
          <w:t>Administrative Agent, and J.P. Morgan Securities LLC, as Sole Lead Arranger and Sole Book Runner (filed as Exhibit 4 to the August 28, 2015,</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Form 8-K, File No. 1-3548).</w:t>
        </w:r>
      </w:hyperlink>
    </w:p>
    <w:p>
      <w:pPr>
        <w:spacing w:after="0" w:line="133" w:lineRule="exact"/>
        <w:rPr>
          <w:rFonts w:ascii="Arial" w:cs="Arial" w:eastAsia="Arial" w:hAnsi="Arial"/>
          <w:sz w:val="16"/>
          <w:szCs w:val="16"/>
          <w:u w:val="single" w:color="auto"/>
          <w:color w:val="0000FF"/>
        </w:rPr>
      </w:pPr>
    </w:p>
    <w:p>
      <w:pPr>
        <w:ind w:right="40" w:hanging="311"/>
        <w:spacing w:after="0" w:line="29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53">
        <w:r>
          <w:rPr>
            <w:rFonts w:ascii="Arial" w:cs="Arial" w:eastAsia="Arial" w:hAnsi="Arial"/>
            <w:sz w:val="16"/>
            <w:szCs w:val="16"/>
            <w:u w:val="single" w:color="auto"/>
            <w:color w:val="0000FF"/>
          </w:rPr>
          <w:t>Note Purchase and Guarantee Agreement dated as of November 5, 2015, among Armenia Mountain Wind LLC, AMW I Holding, LLC and the</w:t>
        </w:r>
      </w:hyperlink>
      <w:r>
        <w:rPr>
          <w:rFonts w:ascii="Arial" w:cs="Arial" w:eastAsia="Arial" w:hAnsi="Arial"/>
          <w:sz w:val="16"/>
          <w:szCs w:val="16"/>
          <w:color w:val="auto"/>
        </w:rPr>
        <w:t xml:space="preserve"> </w:t>
      </w:r>
      <w:hyperlink r:id="rId53">
        <w:r>
          <w:rPr>
            <w:rFonts w:ascii="Arial" w:cs="Arial" w:eastAsia="Arial" w:hAnsi="Arial"/>
            <w:sz w:val="16"/>
            <w:szCs w:val="16"/>
            <w:u w:val="single" w:color="auto"/>
            <w:color w:val="0000FF"/>
          </w:rPr>
          <w:t>purchasers named therein (filed as Exhibit 4 to the November 12, 2015, Form 8-K, File No. 1-3548).</w:t>
        </w:r>
      </w:hyperlink>
    </w:p>
    <w:p>
      <w:pPr>
        <w:spacing w:after="0" w:line="9" w:lineRule="exact"/>
        <w:rPr>
          <w:rFonts w:ascii="Arial" w:cs="Arial" w:eastAsia="Arial" w:hAnsi="Arial"/>
          <w:sz w:val="16"/>
          <w:szCs w:val="16"/>
          <w:u w:val="single" w:color="auto"/>
          <w:color w:val="0000FF"/>
        </w:rPr>
      </w:pPr>
    </w:p>
    <w:p>
      <w:pPr>
        <w:ind w:right="40" w:hanging="311"/>
        <w:spacing w:after="0" w:line="225" w:lineRule="auto"/>
        <w:rPr>
          <w:rFonts w:ascii="Arial" w:cs="Arial" w:eastAsia="Arial" w:hAnsi="Arial"/>
          <w:sz w:val="16"/>
          <w:szCs w:val="16"/>
          <w:u w:val="single" w:color="auto"/>
          <w:color w:val="0000FF"/>
        </w:rPr>
      </w:pPr>
      <w:hyperlink r:id="rId54"/>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54">
        <w:r>
          <w:rPr>
            <w:rFonts w:ascii="Arial" w:cs="Arial" w:eastAsia="Arial" w:hAnsi="Arial"/>
            <w:sz w:val="16"/>
            <w:szCs w:val="16"/>
            <w:u w:val="single" w:color="auto"/>
            <w:color w:val="0000FF"/>
          </w:rPr>
          <w:t>Note Purchase Agreement, dated December 8, 2016, between ALLETE and Hartford Investment Management Company, Northwestern Mutual</w:t>
        </w:r>
      </w:hyperlink>
      <w:r>
        <w:rPr>
          <w:rFonts w:ascii="Arial" w:cs="Arial" w:eastAsia="Arial" w:hAnsi="Arial"/>
          <w:sz w:val="16"/>
          <w:szCs w:val="16"/>
          <w:color w:val="0000FF"/>
        </w:rPr>
        <w:t xml:space="preserve"> </w:t>
      </w:r>
      <w:hyperlink r:id="rId54">
        <w:r>
          <w:rPr>
            <w:rFonts w:ascii="Arial" w:cs="Arial" w:eastAsia="Arial" w:hAnsi="Arial"/>
            <w:sz w:val="16"/>
            <w:szCs w:val="16"/>
            <w:u w:val="single" w:color="auto"/>
            <w:color w:val="0000FF"/>
          </w:rPr>
          <w:t>Investment Management Company, The Northwestern Mutual Life Insurance Company and Nationwide Life insurance Company (filed as Exhibit 4</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to the December 12, 2016, Form 8-K,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-1048385</wp:posOffset>
            </wp:positionH>
            <wp:positionV relativeFrom="paragraph">
              <wp:posOffset>-739775</wp:posOffset>
            </wp:positionV>
            <wp:extent cx="722947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117" w:lineRule="exact"/>
        <w:rPr>
          <w:rFonts w:ascii="Arial" w:cs="Arial" w:eastAsia="Arial" w:hAnsi="Arial"/>
          <w:sz w:val="16"/>
          <w:szCs w:val="16"/>
          <w:color w:val="0000FF"/>
        </w:rPr>
      </w:pPr>
    </w:p>
    <w:p>
      <w:pPr>
        <w:sectPr>
          <w:pgSz w:w="11900" w:h="16838" w:orient="portrait"/>
          <w:cols w:equalWidth="0" w:num="2">
            <w:col w:w="940" w:space="720"/>
            <w:col w:w="9740"/>
          </w:cols>
          <w:pgMar w:left="240" w:top="891" w:right="25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980" w:type="dxa"/>
            <w:vAlign w:val="bottom"/>
            <w:gridSpan w:val="6"/>
            <w:shd w:val="clear" w:color="auto" w:fill="CCEEFF"/>
          </w:tcPr>
          <w:p>
            <w:pPr>
              <w:ind w:left="40"/>
              <w:spacing w:after="0"/>
              <w:rPr>
                <w:rFonts w:ascii="Arial" w:cs="Arial" w:eastAsia="Arial" w:hAnsi="Arial"/>
                <w:sz w:val="16"/>
                <w:szCs w:val="16"/>
                <w:color w:val="0000FF"/>
              </w:rPr>
            </w:pPr>
            <w:hyperlink r:id="rId56">
              <w:r>
                <w:rPr>
                  <w:rFonts w:ascii="Arial" w:cs="Arial" w:eastAsia="Arial" w:hAnsi="Arial"/>
                  <w:sz w:val="16"/>
                  <w:szCs w:val="16"/>
                  <w:color w:val="0000FF"/>
                </w:rPr>
                <w:t>*4(g)</w:t>
              </w:r>
            </w:hyperlink>
          </w:p>
        </w:tc>
        <w:tc>
          <w:tcPr>
            <w:tcW w:w="680" w:type="dxa"/>
            <w:vAlign w:val="bottom"/>
            <w:shd w:val="clear" w:color="auto" w:fill="CCEEFF"/>
          </w:tcPr>
          <w:p>
            <w:pPr>
              <w:spacing w:after="0"/>
              <w:rPr>
                <w:sz w:val="16"/>
                <w:szCs w:val="16"/>
                <w:color w:val="auto"/>
              </w:rPr>
            </w:pPr>
          </w:p>
        </w:tc>
        <w:tc>
          <w:tcPr>
            <w:tcW w:w="9700" w:type="dxa"/>
            <w:vAlign w:val="bottom"/>
            <w:gridSpan w:val="10"/>
            <w:vMerge w:val="restart"/>
            <w:shd w:val="clear" w:color="auto" w:fill="CCEEFF"/>
          </w:tcPr>
          <w:p>
            <w:pPr>
              <w:spacing w:after="0"/>
              <w:rPr>
                <w:rFonts w:ascii="Arial" w:cs="Arial" w:eastAsia="Arial" w:hAnsi="Arial"/>
                <w:sz w:val="16"/>
                <w:szCs w:val="16"/>
                <w:color w:val="0000FF"/>
                <w:w w:val="96"/>
              </w:rPr>
            </w:pPr>
            <w:hyperlink r:id="rId56">
              <w:r>
                <w:rPr>
                  <w:rFonts w:ascii="Arial" w:cs="Arial" w:eastAsia="Arial" w:hAnsi="Arial"/>
                  <w:sz w:val="16"/>
                  <w:szCs w:val="16"/>
                  <w:color w:val="0000FF"/>
                  <w:w w:val="96"/>
                </w:rPr>
                <w:t>Term Loan Agreement dated as of August 25, 2017, among ALLETE, as Borrower, the Lenders party hereto, JPMorgan Chase Bank, N.A., as</w:t>
              </w:r>
            </w:hyperlink>
          </w:p>
        </w:tc>
        <w:tc>
          <w:tcPr>
            <w:tcW w:w="40" w:type="dxa"/>
            <w:vAlign w:val="bottom"/>
            <w:tcBorders>
              <w:left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bottom w:val="single" w:sz="8" w:color="CCEEFF"/>
            </w:tcBorders>
            <w:shd w:val="clear" w:color="auto" w:fill="CCEEFF"/>
          </w:tcPr>
          <w:p>
            <w:pPr>
              <w:spacing w:after="0"/>
              <w:rPr>
                <w:sz w:val="5"/>
                <w:szCs w:val="5"/>
                <w:color w:val="auto"/>
              </w:rPr>
            </w:pPr>
          </w:p>
        </w:tc>
        <w:tc>
          <w:tcPr>
            <w:tcW w:w="340" w:type="dxa"/>
            <w:vAlign w:val="bottom"/>
            <w:tcBorders>
              <w:top w:val="single" w:sz="8" w:color="0000FF"/>
              <w:bottom w:val="single" w:sz="8" w:color="CCEEFF"/>
            </w:tcBorders>
            <w:shd w:val="clear" w:color="auto" w:fill="CCEEFF"/>
          </w:tcPr>
          <w:p>
            <w:pPr>
              <w:spacing w:after="0"/>
              <w:rPr>
                <w:sz w:val="5"/>
                <w:szCs w:val="5"/>
                <w:color w:val="auto"/>
              </w:rPr>
            </w:pPr>
          </w:p>
        </w:tc>
        <w:tc>
          <w:tcPr>
            <w:tcW w:w="80" w:type="dxa"/>
            <w:vAlign w:val="bottom"/>
            <w:tcBorders>
              <w:top w:val="single" w:sz="8" w:color="CCEEFF"/>
              <w:bottom w:val="single" w:sz="8" w:color="CCEEFF"/>
            </w:tcBorders>
            <w:shd w:val="clear" w:color="auto" w:fill="CCEEFF"/>
          </w:tcPr>
          <w:p>
            <w:pPr>
              <w:spacing w:after="0"/>
              <w:rPr>
                <w:sz w:val="5"/>
                <w:szCs w:val="5"/>
                <w:color w:val="auto"/>
              </w:rPr>
            </w:pPr>
          </w:p>
        </w:tc>
        <w:tc>
          <w:tcPr>
            <w:tcW w:w="80" w:type="dxa"/>
            <w:vAlign w:val="bottom"/>
            <w:tcBorders>
              <w:top w:val="single" w:sz="8" w:color="CCEEFF"/>
              <w:bottom w:val="single" w:sz="8" w:color="CCEEFF"/>
            </w:tcBorders>
            <w:shd w:val="clear" w:color="auto" w:fill="CCEEFF"/>
          </w:tcPr>
          <w:p>
            <w:pPr>
              <w:spacing w:after="0"/>
              <w:rPr>
                <w:sz w:val="5"/>
                <w:szCs w:val="5"/>
                <w:color w:val="auto"/>
              </w:rPr>
            </w:pPr>
          </w:p>
        </w:tc>
        <w:tc>
          <w:tcPr>
            <w:tcW w:w="100" w:type="dxa"/>
            <w:vAlign w:val="bottom"/>
            <w:tcBorders>
              <w:top w:val="single" w:sz="8" w:color="CCEEFF"/>
              <w:bottom w:val="single" w:sz="8" w:color="CCEEFF"/>
            </w:tcBorders>
            <w:shd w:val="clear" w:color="auto" w:fill="CCEEFF"/>
          </w:tcPr>
          <w:p>
            <w:pPr>
              <w:spacing w:after="0"/>
              <w:rPr>
                <w:sz w:val="5"/>
                <w:szCs w:val="5"/>
                <w:color w:val="auto"/>
              </w:rPr>
            </w:pPr>
          </w:p>
        </w:tc>
        <w:tc>
          <w:tcPr>
            <w:tcW w:w="340" w:type="dxa"/>
            <w:vAlign w:val="bottom"/>
            <w:tcBorders>
              <w:top w:val="single" w:sz="8" w:color="CCEEFF"/>
              <w:bottom w:val="single" w:sz="8" w:color="CCEEFF"/>
            </w:tcBorders>
            <w:shd w:val="clear" w:color="auto" w:fill="CCEEFF"/>
          </w:tcPr>
          <w:p>
            <w:pPr>
              <w:spacing w:after="0"/>
              <w:rPr>
                <w:sz w:val="5"/>
                <w:szCs w:val="5"/>
                <w:color w:val="auto"/>
              </w:rPr>
            </w:pPr>
          </w:p>
        </w:tc>
        <w:tc>
          <w:tcPr>
            <w:tcW w:w="680" w:type="dxa"/>
            <w:vAlign w:val="bottom"/>
            <w:tcBorders>
              <w:top w:val="single" w:sz="8" w:color="CCEEFF"/>
              <w:bottom w:val="single" w:sz="8" w:color="CCEEFF"/>
            </w:tcBorders>
            <w:shd w:val="clear" w:color="auto" w:fill="CCEEFF"/>
          </w:tcPr>
          <w:p>
            <w:pPr>
              <w:spacing w:after="0"/>
              <w:rPr>
                <w:sz w:val="5"/>
                <w:szCs w:val="5"/>
                <w:color w:val="auto"/>
              </w:rPr>
            </w:pPr>
          </w:p>
        </w:tc>
        <w:tc>
          <w:tcPr>
            <w:tcW w:w="9700" w:type="dxa"/>
            <w:vAlign w:val="bottom"/>
            <w:tcBorders>
              <w:top w:val="single" w:sz="8" w:color="CCEEFF"/>
              <w:bottom w:val="single" w:sz="8" w:color="0000FF"/>
            </w:tcBorders>
            <w:gridSpan w:val="10"/>
            <w:vMerge w:val="continue"/>
            <w:shd w:val="clear" w:color="auto" w:fill="CCEEFF"/>
          </w:tcPr>
          <w:p>
            <w:pPr>
              <w:spacing w:after="0"/>
              <w:rPr>
                <w:sz w:val="5"/>
                <w:szCs w:val="5"/>
                <w:color w:val="auto"/>
              </w:rPr>
            </w:pPr>
          </w:p>
        </w:tc>
        <w:tc>
          <w:tcPr>
            <w:tcW w:w="40" w:type="dxa"/>
            <w:vAlign w:val="bottom"/>
            <w:tcBorders>
              <w:top w:val="single" w:sz="8" w:color="CCEEFF"/>
              <w:left w:val="single" w:sz="8" w:color="CCEEFF"/>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740" w:type="dxa"/>
            <w:vAlign w:val="bottom"/>
            <w:gridSpan w:val="11"/>
            <w:shd w:val="clear" w:color="auto" w:fill="CCEEFF"/>
          </w:tcPr>
          <w:p>
            <w:pPr>
              <w:spacing w:after="0" w:line="183" w:lineRule="exact"/>
              <w:rPr>
                <w:rFonts w:ascii="Arial" w:cs="Arial" w:eastAsia="Arial" w:hAnsi="Arial"/>
                <w:sz w:val="16"/>
                <w:szCs w:val="16"/>
                <w:color w:val="0000FF"/>
                <w:w w:val="97"/>
              </w:rPr>
            </w:pPr>
            <w:hyperlink r:id="rId56">
              <w:r>
                <w:rPr>
                  <w:rFonts w:ascii="Arial" w:cs="Arial" w:eastAsia="Arial" w:hAnsi="Arial"/>
                  <w:sz w:val="16"/>
                  <w:szCs w:val="16"/>
                  <w:color w:val="0000FF"/>
                  <w:w w:val="97"/>
                </w:rPr>
                <w:t>Administrative Agent, Bank of America, N.A., as Syndication Agent, and JPMorgan Chase Bank, N.A., as Sole Lead Arranger and Sole Book</w:t>
              </w:r>
            </w:hyperlink>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10"/>
            <w:shd w:val="clear" w:color="auto" w:fill="CCEEFF"/>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Runner (filed as Exhibit 4 to the September 30, 2017, Form 10-Q, File No. 1-3548).</w:t>
              </w:r>
            </w:hyperlink>
          </w:p>
        </w:tc>
        <w:tc>
          <w:tcPr>
            <w:tcW w:w="4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7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680" w:type="dxa"/>
            <w:vAlign w:val="bottom"/>
            <w:tcBorders>
              <w:top w:val="single" w:sz="8" w:color="0000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2280" w:type="dxa"/>
            <w:vAlign w:val="bottom"/>
            <w:tcBorders>
              <w:top w:val="single" w:sz="8" w:color="0000FF"/>
            </w:tcBorders>
            <w:shd w:val="clear" w:color="auto" w:fill="CCEEFF"/>
          </w:tcPr>
          <w:p>
            <w:pPr>
              <w:spacing w:after="0"/>
              <w:rPr>
                <w:sz w:val="11"/>
                <w:szCs w:val="11"/>
                <w:color w:val="auto"/>
              </w:rPr>
            </w:pPr>
          </w:p>
        </w:tc>
        <w:tc>
          <w:tcPr>
            <w:tcW w:w="3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80" w:type="dxa"/>
            <w:vAlign w:val="bottom"/>
            <w:gridSpan w:val="6"/>
          </w:tcPr>
          <w:p>
            <w:pPr>
              <w:ind w:left="40"/>
              <w:spacing w:after="0"/>
              <w:rPr>
                <w:rFonts w:ascii="Arial" w:cs="Arial" w:eastAsia="Arial" w:hAnsi="Arial"/>
                <w:sz w:val="16"/>
                <w:szCs w:val="16"/>
                <w:color w:val="0000FF"/>
              </w:rPr>
            </w:pPr>
            <w:hyperlink r:id="rId57">
              <w:r>
                <w:rPr>
                  <w:rFonts w:ascii="Arial" w:cs="Arial" w:eastAsia="Arial" w:hAnsi="Arial"/>
                  <w:sz w:val="16"/>
                  <w:szCs w:val="16"/>
                  <w:color w:val="0000FF"/>
                </w:rPr>
                <w:t>*10(a)</w:t>
              </w:r>
            </w:hyperlink>
          </w:p>
        </w:tc>
        <w:tc>
          <w:tcPr>
            <w:tcW w:w="10420" w:type="dxa"/>
            <w:vAlign w:val="bottom"/>
            <w:gridSpan w:val="12"/>
          </w:tcPr>
          <w:p>
            <w:pPr>
              <w:ind w:left="360"/>
              <w:spacing w:after="0"/>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57">
              <w:r>
                <w:rPr>
                  <w:rFonts w:ascii="Arial" w:cs="Arial" w:eastAsia="Arial" w:hAnsi="Arial"/>
                  <w:sz w:val="16"/>
                  <w:szCs w:val="16"/>
                  <w:color w:val="0000FF"/>
                  <w:w w:val="99"/>
                </w:rPr>
                <w:t>Power Purchase and Sale Agreement, dated as of May 29, 1998, between Minnesota Power, Inc. (now ALLETE) and Square Butte Electric</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70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Cooperative (filed as Exhibit 10 to the June 30, 1998, Form 10-Q, File No. 1-3548).</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280" w:type="dxa"/>
            <w:vAlign w:val="bottom"/>
            <w:tcBorders>
              <w:top w:val="single" w:sz="8" w:color="0000FF"/>
            </w:tcBorders>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shd w:val="clear" w:color="auto" w:fill="CCEEFF"/>
          </w:tcPr>
          <w:p>
            <w:pPr>
              <w:ind w:left="40"/>
              <w:spacing w:after="0"/>
              <w:rPr>
                <w:rFonts w:ascii="Arial" w:cs="Arial" w:eastAsia="Arial" w:hAnsi="Arial"/>
                <w:sz w:val="16"/>
                <w:szCs w:val="16"/>
                <w:color w:val="0000FF"/>
              </w:rPr>
            </w:pPr>
            <w:hyperlink r:id="rId58">
              <w:r>
                <w:rPr>
                  <w:rFonts w:ascii="Arial" w:cs="Arial" w:eastAsia="Arial" w:hAnsi="Arial"/>
                  <w:sz w:val="16"/>
                  <w:szCs w:val="16"/>
                  <w:color w:val="0000FF"/>
                </w:rPr>
                <w:t>*10(b)</w:t>
              </w:r>
            </w:hyperlink>
          </w:p>
        </w:tc>
        <w:tc>
          <w:tcPr>
            <w:tcW w:w="10420" w:type="dxa"/>
            <w:vAlign w:val="bottom"/>
            <w:gridSpan w:val="12"/>
            <w:shd w:val="clear" w:color="auto" w:fill="CCEEFF"/>
          </w:tcPr>
          <w:p>
            <w:pPr>
              <w:ind w:left="360"/>
              <w:spacing w:after="0"/>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58">
              <w:r>
                <w:rPr>
                  <w:rFonts w:ascii="Arial" w:cs="Arial" w:eastAsia="Arial" w:hAnsi="Arial"/>
                  <w:sz w:val="16"/>
                  <w:szCs w:val="16"/>
                  <w:color w:val="0000FF"/>
                  <w:w w:val="99"/>
                </w:rPr>
                <w:t>Credit Agreement dated as of November 4, 2013 among ALLETE, as Borrower, the lenders party thereto, JPMorgan Chase Bank, N.A., as</w:t>
              </w:r>
            </w:hyperlink>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700" w:type="dxa"/>
            <w:vAlign w:val="bottom"/>
            <w:tcBorders>
              <w:bottom w:val="single" w:sz="8" w:color="0000FF"/>
            </w:tcBorders>
            <w:gridSpan w:val="10"/>
            <w:shd w:val="clear" w:color="auto" w:fill="CCEEFF"/>
          </w:tcPr>
          <w:p>
            <w:pPr>
              <w:spacing w:after="0" w:line="183" w:lineRule="exact"/>
              <w:rPr>
                <w:rFonts w:ascii="Arial" w:cs="Arial" w:eastAsia="Arial" w:hAnsi="Arial"/>
                <w:sz w:val="16"/>
                <w:szCs w:val="16"/>
                <w:color w:val="0000FF"/>
                <w:w w:val="93"/>
              </w:rPr>
            </w:pPr>
            <w:hyperlink r:id="rId58">
              <w:r>
                <w:rPr>
                  <w:rFonts w:ascii="Arial" w:cs="Arial" w:eastAsia="Arial" w:hAnsi="Arial"/>
                  <w:sz w:val="16"/>
                  <w:szCs w:val="16"/>
                  <w:color w:val="0000FF"/>
                  <w:w w:val="93"/>
                </w:rPr>
                <w:t>Administrative Agent, and J.P. Morgan Securities LLC, as Sole Lead Arranger and Sole Book Runner (filed as Exhibit 10 to the November 4, 2013,</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740" w:type="dxa"/>
            <w:vAlign w:val="bottom"/>
            <w:gridSpan w:val="11"/>
            <w:shd w:val="clear" w:color="auto" w:fill="CCEEFF"/>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Form 8-K, File No. 1-3548).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tcPr>
          <w:p>
            <w:pPr>
              <w:ind w:left="40"/>
              <w:spacing w:after="0"/>
              <w:rPr>
                <w:rFonts w:ascii="Arial" w:cs="Arial" w:eastAsia="Arial" w:hAnsi="Arial"/>
                <w:sz w:val="16"/>
                <w:szCs w:val="16"/>
                <w:color w:val="0000FF"/>
              </w:rPr>
            </w:pPr>
            <w:hyperlink r:id="rId59">
              <w:r>
                <w:rPr>
                  <w:rFonts w:ascii="Arial" w:cs="Arial" w:eastAsia="Arial" w:hAnsi="Arial"/>
                  <w:sz w:val="16"/>
                  <w:szCs w:val="16"/>
                  <w:color w:val="0000FF"/>
                </w:rPr>
                <w:t>*10(c)1</w:t>
              </w:r>
            </w:hyperlink>
          </w:p>
        </w:tc>
        <w:tc>
          <w:tcPr>
            <w:tcW w:w="10420" w:type="dxa"/>
            <w:vAlign w:val="bottom"/>
            <w:gridSpan w:val="12"/>
          </w:tcPr>
          <w:p>
            <w:pPr>
              <w:ind w:left="36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59">
              <w:r>
                <w:rPr>
                  <w:rFonts w:ascii="Arial" w:cs="Arial" w:eastAsia="Arial" w:hAnsi="Arial"/>
                  <w:sz w:val="16"/>
                  <w:szCs w:val="16"/>
                  <w:color w:val="0000FF"/>
                  <w:w w:val="97"/>
                </w:rPr>
                <w:t>Financing Agreement between Collier County Industrial Development Authority and ALLETE dated as of July 1, 2006 (filed as Exhibit 10(b)1 to</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70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59">
              <w:r>
                <w:rPr>
                  <w:rFonts w:ascii="Arial" w:cs="Arial" w:eastAsia="Arial" w:hAnsi="Arial"/>
                  <w:sz w:val="16"/>
                  <w:szCs w:val="16"/>
                  <w:color w:val="0000FF"/>
                </w:rPr>
                <w:t>the June 30, 2006, Form 10-Q, File No. 1-3548).</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28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shd w:val="clear" w:color="auto" w:fill="CCEEFF"/>
          </w:tcPr>
          <w:p>
            <w:pPr>
              <w:ind w:left="40"/>
              <w:spacing w:after="0"/>
              <w:rPr>
                <w:rFonts w:ascii="Arial" w:cs="Arial" w:eastAsia="Arial" w:hAnsi="Arial"/>
                <w:sz w:val="16"/>
                <w:szCs w:val="16"/>
                <w:color w:val="0000FF"/>
              </w:rPr>
            </w:pPr>
            <w:hyperlink r:id="rId60">
              <w:r>
                <w:rPr>
                  <w:rFonts w:ascii="Arial" w:cs="Arial" w:eastAsia="Arial" w:hAnsi="Arial"/>
                  <w:sz w:val="16"/>
                  <w:szCs w:val="16"/>
                  <w:color w:val="0000FF"/>
                </w:rPr>
                <w:t>*10(c)2</w:t>
              </w:r>
            </w:hyperlink>
          </w:p>
        </w:tc>
        <w:tc>
          <w:tcPr>
            <w:tcW w:w="10420" w:type="dxa"/>
            <w:vAlign w:val="bottom"/>
            <w:gridSpan w:val="12"/>
            <w:shd w:val="clear" w:color="auto" w:fill="CCEEFF"/>
          </w:tcPr>
          <w:p>
            <w:pPr>
              <w:ind w:left="36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60">
              <w:r>
                <w:rPr>
                  <w:rFonts w:ascii="Arial" w:cs="Arial" w:eastAsia="Arial" w:hAnsi="Arial"/>
                  <w:sz w:val="16"/>
                  <w:szCs w:val="16"/>
                  <w:color w:val="0000FF"/>
                  <w:w w:val="97"/>
                </w:rPr>
                <w:t>Amended and Restated Letter of Credit Agreement, dated as of June 3, 2011, among ALLETE, the participating banks and Wells Fargo Bank,</w:t>
              </w:r>
            </w:hyperlink>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10"/>
            <w:shd w:val="clear" w:color="auto" w:fill="CCEEFF"/>
          </w:tcPr>
          <w:p>
            <w:pPr>
              <w:spacing w:after="0" w:line="183" w:lineRule="exact"/>
              <w:rPr>
                <w:rFonts w:ascii="Arial" w:cs="Arial" w:eastAsia="Arial" w:hAnsi="Arial"/>
                <w:sz w:val="16"/>
                <w:szCs w:val="16"/>
                <w:color w:val="0000FF"/>
                <w:w w:val="99"/>
              </w:rPr>
            </w:pPr>
            <w:hyperlink r:id="rId60">
              <w:r>
                <w:rPr>
                  <w:rFonts w:ascii="Arial" w:cs="Arial" w:eastAsia="Arial" w:hAnsi="Arial"/>
                  <w:sz w:val="16"/>
                  <w:szCs w:val="16"/>
                  <w:color w:val="0000FF"/>
                  <w:w w:val="99"/>
                </w:rPr>
                <w:t>National Association, as Administrative Agent and Issuing Bank (filed as Exhibit 10(b) to the June 30, 2011, Form 10-Q, File No. 1-3548).</w:t>
              </w:r>
            </w:hyperlink>
          </w:p>
        </w:tc>
        <w:tc>
          <w:tcPr>
            <w:tcW w:w="4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280" w:type="dxa"/>
            <w:vAlign w:val="bottom"/>
            <w:tcBorders>
              <w:top w:val="single" w:sz="8" w:color="0000FF"/>
            </w:tcBorders>
            <w:shd w:val="clear" w:color="auto" w:fill="CCEEFF"/>
          </w:tcPr>
          <w:p>
            <w:pPr>
              <w:spacing w:after="0"/>
              <w:rPr>
                <w:sz w:val="4"/>
                <w:szCs w:val="4"/>
                <w:color w:val="auto"/>
              </w:rPr>
            </w:pPr>
          </w:p>
        </w:tc>
        <w:tc>
          <w:tcPr>
            <w:tcW w:w="35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tcPr>
          <w:p>
            <w:pPr>
              <w:ind w:left="40"/>
              <w:spacing w:after="0"/>
              <w:rPr>
                <w:rFonts w:ascii="Arial" w:cs="Arial" w:eastAsia="Arial" w:hAnsi="Arial"/>
                <w:sz w:val="16"/>
                <w:szCs w:val="16"/>
                <w:color w:val="0000FF"/>
              </w:rPr>
            </w:pPr>
            <w:hyperlink r:id="rId61">
              <w:r>
                <w:rPr>
                  <w:rFonts w:ascii="Arial" w:cs="Arial" w:eastAsia="Arial" w:hAnsi="Arial"/>
                  <w:sz w:val="16"/>
                  <w:szCs w:val="16"/>
                  <w:color w:val="0000FF"/>
                </w:rPr>
                <w:t>*10(c)3</w:t>
              </w:r>
            </w:hyperlink>
          </w:p>
        </w:tc>
        <w:tc>
          <w:tcPr>
            <w:tcW w:w="10420" w:type="dxa"/>
            <w:vAlign w:val="bottom"/>
            <w:gridSpan w:val="12"/>
          </w:tcPr>
          <w:p>
            <w:pPr>
              <w:ind w:left="36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61">
              <w:r>
                <w:rPr>
                  <w:rFonts w:ascii="Arial" w:cs="Arial" w:eastAsia="Arial" w:hAnsi="Arial"/>
                  <w:sz w:val="16"/>
                  <w:szCs w:val="16"/>
                  <w:color w:val="0000FF"/>
                  <w:w w:val="93"/>
                </w:rPr>
                <w:t>First Amendment to Amended and Restated Letter of Credit Agreement, dated as of June 1, 2013, between ALLETE and Wells Fargo Bank, National</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5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740" w:type="dxa"/>
            <w:vAlign w:val="bottom"/>
            <w:gridSpan w:val="11"/>
          </w:tcPr>
          <w:p>
            <w:pPr>
              <w:spacing w:after="0" w:line="183" w:lineRule="exact"/>
              <w:rPr>
                <w:rFonts w:ascii="Arial" w:cs="Arial" w:eastAsia="Arial" w:hAnsi="Arial"/>
                <w:sz w:val="16"/>
                <w:szCs w:val="16"/>
                <w:color w:val="0000FF"/>
                <w:w w:val="93"/>
              </w:rPr>
            </w:pPr>
            <w:hyperlink r:id="rId61">
              <w:r>
                <w:rPr>
                  <w:rFonts w:ascii="Arial" w:cs="Arial" w:eastAsia="Arial" w:hAnsi="Arial"/>
                  <w:sz w:val="16"/>
                  <w:szCs w:val="16"/>
                  <w:color w:val="0000FF"/>
                  <w:w w:val="93"/>
                </w:rPr>
                <w:t>Association, as Issuing Bank, Administrative Agent and Sole Participating Bank (filed as Exhibit 10(b) to the June 30, 2013, Form 10-Q, File No. 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3"/>
          </w:tcPr>
          <w:p>
            <w:pPr>
              <w:ind w:left="680"/>
              <w:spacing w:after="0" w:line="183" w:lineRule="exact"/>
              <w:rPr>
                <w:rFonts w:ascii="Arial" w:cs="Arial" w:eastAsia="Arial" w:hAnsi="Arial"/>
                <w:sz w:val="16"/>
                <w:szCs w:val="16"/>
                <w:color w:val="0000FF"/>
              </w:rPr>
            </w:pPr>
            <w:hyperlink r:id="rId61">
              <w:r>
                <w:rPr>
                  <w:rFonts w:ascii="Arial" w:cs="Arial" w:eastAsia="Arial" w:hAnsi="Arial"/>
                  <w:sz w:val="16"/>
                  <w:szCs w:val="16"/>
                  <w:color w:val="0000FF"/>
                </w:rPr>
                <w:t>3548).</w:t>
              </w:r>
            </w:hyperlink>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shd w:val="clear" w:color="auto" w:fill="CCEEFF"/>
          </w:tcPr>
          <w:p>
            <w:pPr>
              <w:ind w:left="40"/>
              <w:spacing w:after="0"/>
              <w:rPr>
                <w:rFonts w:ascii="Arial" w:cs="Arial" w:eastAsia="Arial" w:hAnsi="Arial"/>
                <w:sz w:val="16"/>
                <w:szCs w:val="16"/>
                <w:color w:val="0000FF"/>
              </w:rPr>
            </w:pPr>
            <w:hyperlink r:id="rId62">
              <w:r>
                <w:rPr>
                  <w:rFonts w:ascii="Arial" w:cs="Arial" w:eastAsia="Arial" w:hAnsi="Arial"/>
                  <w:sz w:val="16"/>
                  <w:szCs w:val="16"/>
                  <w:color w:val="0000FF"/>
                </w:rPr>
                <w:t>*10(d)</w:t>
              </w:r>
            </w:hyperlink>
          </w:p>
        </w:tc>
        <w:tc>
          <w:tcPr>
            <w:tcW w:w="10420" w:type="dxa"/>
            <w:vAlign w:val="bottom"/>
            <w:gridSpan w:val="12"/>
            <w:shd w:val="clear" w:color="auto" w:fill="CCEEFF"/>
          </w:tcPr>
          <w:p>
            <w:pPr>
              <w:ind w:left="360"/>
              <w:spacing w:after="0"/>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62">
              <w:r>
                <w:rPr>
                  <w:rFonts w:ascii="Arial" w:cs="Arial" w:eastAsia="Arial" w:hAnsi="Arial"/>
                  <w:sz w:val="16"/>
                  <w:szCs w:val="16"/>
                  <w:color w:val="0000FF"/>
                  <w:w w:val="94"/>
                </w:rPr>
                <w:t>Agreement dated December 16, 2005, among ALLETE, Wisconsin Public Service Corporation and WPS Investments, LLC (filed as Exhibit 10(g) to</w:t>
              </w:r>
            </w:hyperlink>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10"/>
            <w:shd w:val="clear" w:color="auto" w:fill="CCEEFF"/>
          </w:tcPr>
          <w:p>
            <w:pPr>
              <w:spacing w:after="0" w:line="183" w:lineRule="exact"/>
              <w:rPr>
                <w:rFonts w:ascii="Arial" w:cs="Arial" w:eastAsia="Arial" w:hAnsi="Arial"/>
                <w:sz w:val="16"/>
                <w:szCs w:val="16"/>
                <w:color w:val="0000FF"/>
              </w:rPr>
            </w:pPr>
            <w:hyperlink r:id="rId62">
              <w:r>
                <w:rPr>
                  <w:rFonts w:ascii="Arial" w:cs="Arial" w:eastAsia="Arial" w:hAnsi="Arial"/>
                  <w:sz w:val="16"/>
                  <w:szCs w:val="16"/>
                  <w:color w:val="0000FF"/>
                </w:rPr>
                <w:t>the 2009 Form 10-K, File No. 1-3548).</w:t>
              </w:r>
            </w:hyperlink>
          </w:p>
        </w:tc>
        <w:tc>
          <w:tcPr>
            <w:tcW w:w="4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tcPr>
          <w:p>
            <w:pPr>
              <w:ind w:left="40"/>
              <w:spacing w:after="0"/>
              <w:rPr>
                <w:rFonts w:ascii="Arial" w:cs="Arial" w:eastAsia="Arial" w:hAnsi="Arial"/>
                <w:sz w:val="16"/>
                <w:szCs w:val="16"/>
                <w:color w:val="0000FF"/>
              </w:rPr>
            </w:pPr>
            <w:hyperlink r:id="rId63">
              <w:r>
                <w:rPr>
                  <w:rFonts w:ascii="Arial" w:cs="Arial" w:eastAsia="Arial" w:hAnsi="Arial"/>
                  <w:sz w:val="16"/>
                  <w:szCs w:val="16"/>
                  <w:color w:val="0000FF"/>
                </w:rPr>
                <w:t>+*10(e)1</w:t>
              </w:r>
            </w:hyperlink>
          </w:p>
        </w:tc>
        <w:tc>
          <w:tcPr>
            <w:tcW w:w="680" w:type="dxa"/>
            <w:vAlign w:val="bottom"/>
          </w:tcPr>
          <w:p>
            <w:pPr>
              <w:spacing w:after="0"/>
              <w:rPr>
                <w:sz w:val="16"/>
                <w:szCs w:val="16"/>
                <w:color w:val="auto"/>
              </w:rPr>
            </w:pPr>
          </w:p>
        </w:tc>
        <w:tc>
          <w:tcPr>
            <w:tcW w:w="9740" w:type="dxa"/>
            <w:vAlign w:val="bottom"/>
            <w:gridSpan w:val="11"/>
          </w:tcPr>
          <w:p>
            <w:pPr>
              <w:spacing w:after="0"/>
              <w:rPr>
                <w:rFonts w:ascii="Arial" w:cs="Arial" w:eastAsia="Arial" w:hAnsi="Arial"/>
                <w:sz w:val="16"/>
                <w:szCs w:val="16"/>
                <w:color w:val="0000FF"/>
                <w:w w:val="94"/>
              </w:rPr>
            </w:pPr>
            <w:hyperlink r:id="rId63">
              <w:r>
                <w:rPr>
                  <w:rFonts w:ascii="Arial" w:cs="Arial" w:eastAsia="Arial" w:hAnsi="Arial"/>
                  <w:sz w:val="16"/>
                  <w:szCs w:val="16"/>
                  <w:color w:val="0000FF"/>
                  <w:w w:val="94"/>
                </w:rPr>
                <w:t>ALLETE Executive Annual Incentive Plan, as amended and restated, effective January 1, 2011 (filed as Exhibit 10(h)1 to the 2010 Form 10-K, File</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70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63">
              <w:r>
                <w:rPr>
                  <w:rFonts w:ascii="Arial" w:cs="Arial" w:eastAsia="Arial" w:hAnsi="Arial"/>
                  <w:sz w:val="16"/>
                  <w:szCs w:val="16"/>
                  <w:color w:val="0000FF"/>
                </w:rPr>
                <w:t>No. 1-3548).</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80" w:type="dxa"/>
            <w:vAlign w:val="bottom"/>
            <w:gridSpan w:val="6"/>
            <w:shd w:val="clear" w:color="auto" w:fill="CCEEFF"/>
          </w:tcPr>
          <w:p>
            <w:pPr>
              <w:ind w:left="40"/>
              <w:spacing w:after="0"/>
              <w:rPr>
                <w:rFonts w:ascii="Arial" w:cs="Arial" w:eastAsia="Arial" w:hAnsi="Arial"/>
                <w:sz w:val="16"/>
                <w:szCs w:val="16"/>
                <w:color w:val="0000FF"/>
              </w:rPr>
            </w:pPr>
            <w:hyperlink r:id="rId64">
              <w:r>
                <w:rPr>
                  <w:rFonts w:ascii="Arial" w:cs="Arial" w:eastAsia="Arial" w:hAnsi="Arial"/>
                  <w:sz w:val="16"/>
                  <w:szCs w:val="16"/>
                  <w:color w:val="0000FF"/>
                </w:rPr>
                <w:t>+*10(e)2</w:t>
              </w:r>
            </w:hyperlink>
          </w:p>
        </w:tc>
        <w:tc>
          <w:tcPr>
            <w:tcW w:w="10420" w:type="dxa"/>
            <w:vAlign w:val="bottom"/>
            <w:gridSpan w:val="12"/>
            <w:shd w:val="clear" w:color="auto" w:fill="CCEEFF"/>
          </w:tcPr>
          <w:p>
            <w:pPr>
              <w:ind w:left="360"/>
              <w:spacing w:after="0" w:line="184" w:lineRule="exact"/>
              <w:rPr>
                <w:rFonts w:ascii="Arial" w:cs="Arial" w:eastAsia="Arial" w:hAnsi="Arial"/>
                <w:sz w:val="16"/>
                <w:szCs w:val="16"/>
                <w:color w:val="auto"/>
              </w:rPr>
            </w:pPr>
            <w:r>
              <w:rPr>
                <w:rFonts w:ascii="Arial" w:cs="Arial" w:eastAsia="Arial" w:hAnsi="Arial"/>
                <w:sz w:val="16"/>
                <w:szCs w:val="16"/>
                <w:color w:val="auto"/>
              </w:rPr>
              <w:t xml:space="preserve">—  </w:t>
            </w:r>
            <w:hyperlink r:id="rId64">
              <w:r>
                <w:rPr>
                  <w:rFonts w:ascii="Arial" w:cs="Arial" w:eastAsia="Arial" w:hAnsi="Arial"/>
                  <w:sz w:val="16"/>
                  <w:szCs w:val="16"/>
                  <w:color w:val="0000FF"/>
                </w:rPr>
                <w:t>ALLETE Executive Annual Incentive Plan Form of Award Effective 2014 (filed as Exhibit 10(e)6 to the 2013 Form 10</w:t>
              </w:r>
              <w:r>
                <w:rPr>
                  <w:rFonts w:ascii="MS PGothic" w:cs="MS PGothic" w:eastAsia="MS PGothic" w:hAnsi="MS PGothic"/>
                  <w:sz w:val="16"/>
                  <w:szCs w:val="16"/>
                  <w:color w:val="0000FF"/>
                </w:rPr>
                <w:t>‑</w:t>
              </w:r>
              <w:r>
                <w:rPr>
                  <w:rFonts w:ascii="Arial" w:cs="Arial" w:eastAsia="Arial" w:hAnsi="Arial"/>
                  <w:sz w:val="16"/>
                  <w:szCs w:val="16"/>
                  <w:color w:val="0000FF"/>
                </w:rPr>
                <w:t>K, File No. 1-3548).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280" w:type="dxa"/>
            <w:vAlign w:val="bottom"/>
            <w:tcBorders>
              <w:top w:val="single" w:sz="8" w:color="0000FF"/>
            </w:tcBorders>
            <w:shd w:val="clear" w:color="auto" w:fill="CCEEFF"/>
          </w:tcPr>
          <w:p>
            <w:pPr>
              <w:spacing w:after="0"/>
              <w:rPr>
                <w:sz w:val="4"/>
                <w:szCs w:val="4"/>
                <w:color w:val="auto"/>
              </w:rPr>
            </w:pPr>
          </w:p>
        </w:tc>
        <w:tc>
          <w:tcPr>
            <w:tcW w:w="35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tcPr>
          <w:p>
            <w:pPr>
              <w:ind w:left="40"/>
              <w:spacing w:after="0"/>
              <w:rPr>
                <w:rFonts w:ascii="Arial" w:cs="Arial" w:eastAsia="Arial" w:hAnsi="Arial"/>
                <w:sz w:val="16"/>
                <w:szCs w:val="16"/>
                <w:color w:val="0000FF"/>
              </w:rPr>
            </w:pPr>
            <w:hyperlink r:id="rId65">
              <w:r>
                <w:rPr>
                  <w:rFonts w:ascii="Arial" w:cs="Arial" w:eastAsia="Arial" w:hAnsi="Arial"/>
                  <w:sz w:val="16"/>
                  <w:szCs w:val="16"/>
                  <w:color w:val="0000FF"/>
                </w:rPr>
                <w:t>+*10(e)3</w:t>
              </w:r>
            </w:hyperlink>
          </w:p>
        </w:tc>
        <w:tc>
          <w:tcPr>
            <w:tcW w:w="10420" w:type="dxa"/>
            <w:vAlign w:val="bottom"/>
            <w:gridSpan w:val="12"/>
          </w:tcPr>
          <w:p>
            <w:pPr>
              <w:ind w:left="360"/>
              <w:spacing w:after="0" w:line="184" w:lineRule="exact"/>
              <w:rPr>
                <w:rFonts w:ascii="Arial" w:cs="Arial" w:eastAsia="Arial" w:hAnsi="Arial"/>
                <w:sz w:val="16"/>
                <w:szCs w:val="16"/>
                <w:color w:val="auto"/>
              </w:rPr>
            </w:pPr>
            <w:r>
              <w:rPr>
                <w:rFonts w:ascii="Arial" w:cs="Arial" w:eastAsia="Arial" w:hAnsi="Arial"/>
                <w:sz w:val="16"/>
                <w:szCs w:val="16"/>
                <w:color w:val="auto"/>
              </w:rPr>
              <w:t xml:space="preserve">—  </w:t>
            </w:r>
            <w:hyperlink r:id="rId65">
              <w:r>
                <w:rPr>
                  <w:rFonts w:ascii="Arial" w:cs="Arial" w:eastAsia="Arial" w:hAnsi="Arial"/>
                  <w:sz w:val="16"/>
                  <w:szCs w:val="16"/>
                  <w:color w:val="0000FF"/>
                </w:rPr>
                <w:t>ALLETE Executive Annual Incentive Plan Form of Award Effective 2015 (filed as Exhibit 10(e)6 to the 2014 Form 10</w:t>
              </w:r>
              <w:r>
                <w:rPr>
                  <w:rFonts w:ascii="MS PGothic" w:cs="MS PGothic" w:eastAsia="MS PGothic" w:hAnsi="MS PGothic"/>
                  <w:sz w:val="16"/>
                  <w:szCs w:val="16"/>
                  <w:color w:val="0000FF"/>
                </w:rPr>
                <w:t>‑</w:t>
              </w:r>
              <w:r>
                <w:rPr>
                  <w:rFonts w:ascii="Arial" w:cs="Arial" w:eastAsia="Arial" w:hAnsi="Arial"/>
                  <w:sz w:val="16"/>
                  <w:szCs w:val="16"/>
                  <w:color w:val="0000FF"/>
                </w:rPr>
                <w:t>K, File No. 1-3548).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280" w:type="dxa"/>
            <w:vAlign w:val="bottom"/>
            <w:tcBorders>
              <w:top w:val="single" w:sz="8" w:color="0000FF"/>
            </w:tcBorders>
          </w:tcPr>
          <w:p>
            <w:pPr>
              <w:spacing w:after="0"/>
              <w:rPr>
                <w:sz w:val="4"/>
                <w:szCs w:val="4"/>
                <w:color w:val="auto"/>
              </w:rPr>
            </w:pPr>
          </w:p>
        </w:tc>
        <w:tc>
          <w:tcPr>
            <w:tcW w:w="35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shd w:val="clear" w:color="auto" w:fill="CCEEFF"/>
          </w:tcPr>
          <w:p>
            <w:pPr>
              <w:ind w:left="40"/>
              <w:spacing w:after="0"/>
              <w:rPr>
                <w:rFonts w:ascii="Arial" w:cs="Arial" w:eastAsia="Arial" w:hAnsi="Arial"/>
                <w:sz w:val="16"/>
                <w:szCs w:val="16"/>
                <w:color w:val="0000FF"/>
              </w:rPr>
            </w:pPr>
            <w:hyperlink r:id="rId66">
              <w:r>
                <w:rPr>
                  <w:rFonts w:ascii="Arial" w:cs="Arial" w:eastAsia="Arial" w:hAnsi="Arial"/>
                  <w:sz w:val="16"/>
                  <w:szCs w:val="16"/>
                  <w:color w:val="0000FF"/>
                </w:rPr>
                <w:t>+*10(e)4</w:t>
              </w:r>
            </w:hyperlink>
          </w:p>
        </w:tc>
        <w:tc>
          <w:tcPr>
            <w:tcW w:w="10420" w:type="dxa"/>
            <w:vAlign w:val="bottom"/>
            <w:gridSpan w:val="12"/>
            <w:shd w:val="clear" w:color="auto" w:fill="CCEEFF"/>
          </w:tcPr>
          <w:p>
            <w:pPr>
              <w:ind w:left="360"/>
              <w:spacing w:after="0" w:line="184" w:lineRule="exact"/>
              <w:rPr>
                <w:rFonts w:ascii="Arial" w:cs="Arial" w:eastAsia="Arial" w:hAnsi="Arial"/>
                <w:sz w:val="16"/>
                <w:szCs w:val="16"/>
                <w:color w:val="auto"/>
              </w:rPr>
            </w:pPr>
            <w:r>
              <w:rPr>
                <w:rFonts w:ascii="Arial" w:cs="Arial" w:eastAsia="Arial" w:hAnsi="Arial"/>
                <w:sz w:val="16"/>
                <w:szCs w:val="16"/>
                <w:color w:val="auto"/>
              </w:rPr>
              <w:t xml:space="preserve">—  </w:t>
            </w:r>
            <w:hyperlink r:id="rId66">
              <w:r>
                <w:rPr>
                  <w:rFonts w:ascii="Arial" w:cs="Arial" w:eastAsia="Arial" w:hAnsi="Arial"/>
                  <w:sz w:val="16"/>
                  <w:szCs w:val="16"/>
                  <w:color w:val="0000FF"/>
                </w:rPr>
                <w:t>ALLETE Executive Annual Incentive Plan Form of Award Effective 2016 (filed as Exhibit 10(e)6 to the 2015 Form 10</w:t>
              </w:r>
              <w:r>
                <w:rPr>
                  <w:rFonts w:ascii="MS PGothic" w:cs="MS PGothic" w:eastAsia="MS PGothic" w:hAnsi="MS PGothic"/>
                  <w:sz w:val="16"/>
                  <w:szCs w:val="16"/>
                  <w:color w:val="0000FF"/>
                </w:rPr>
                <w:t>‑</w:t>
              </w:r>
              <w:r>
                <w:rPr>
                  <w:rFonts w:ascii="Arial" w:cs="Arial" w:eastAsia="Arial" w:hAnsi="Arial"/>
                  <w:sz w:val="16"/>
                  <w:szCs w:val="16"/>
                  <w:color w:val="0000FF"/>
                </w:rPr>
                <w:t>K, File No. 1-3548).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280" w:type="dxa"/>
            <w:vAlign w:val="bottom"/>
            <w:tcBorders>
              <w:top w:val="single" w:sz="8" w:color="0000FF"/>
            </w:tcBorders>
            <w:shd w:val="clear" w:color="auto" w:fill="CCEEFF"/>
          </w:tcPr>
          <w:p>
            <w:pPr>
              <w:spacing w:after="0"/>
              <w:rPr>
                <w:sz w:val="4"/>
                <w:szCs w:val="4"/>
                <w:color w:val="auto"/>
              </w:rPr>
            </w:pPr>
          </w:p>
        </w:tc>
        <w:tc>
          <w:tcPr>
            <w:tcW w:w="35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tcPr>
          <w:p>
            <w:pPr>
              <w:ind w:left="40"/>
              <w:spacing w:after="0"/>
              <w:rPr>
                <w:rFonts w:ascii="Arial" w:cs="Arial" w:eastAsia="Arial" w:hAnsi="Arial"/>
                <w:sz w:val="16"/>
                <w:szCs w:val="16"/>
                <w:color w:val="0000FF"/>
              </w:rPr>
            </w:pPr>
            <w:hyperlink r:id="rId67">
              <w:r>
                <w:rPr>
                  <w:rFonts w:ascii="Arial" w:cs="Arial" w:eastAsia="Arial" w:hAnsi="Arial"/>
                  <w:sz w:val="16"/>
                  <w:szCs w:val="16"/>
                  <w:color w:val="0000FF"/>
                </w:rPr>
                <w:t>+*10(e)5</w:t>
              </w:r>
            </w:hyperlink>
          </w:p>
        </w:tc>
        <w:tc>
          <w:tcPr>
            <w:tcW w:w="10420" w:type="dxa"/>
            <w:vAlign w:val="bottom"/>
            <w:gridSpan w:val="12"/>
          </w:tcPr>
          <w:p>
            <w:pPr>
              <w:ind w:left="36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67">
              <w:r>
                <w:rPr>
                  <w:rFonts w:ascii="Arial" w:cs="Arial" w:eastAsia="Arial" w:hAnsi="Arial"/>
                  <w:sz w:val="16"/>
                  <w:szCs w:val="16"/>
                  <w:color w:val="0000FF"/>
                </w:rPr>
                <w:t>ALLETE Executive Annual Incentive Plan Form of Award Effective 2017 (filed as Exhibit 10(e)6 to the 2016 Form 10-K, File No. 1-3548).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280" w:type="dxa"/>
            <w:vAlign w:val="bottom"/>
            <w:tcBorders>
              <w:top w:val="single" w:sz="8" w:color="0000FF"/>
            </w:tcBorders>
          </w:tcPr>
          <w:p>
            <w:pPr>
              <w:spacing w:after="0"/>
              <w:rPr>
                <w:sz w:val="4"/>
                <w:szCs w:val="4"/>
                <w:color w:val="auto"/>
              </w:rPr>
            </w:pPr>
          </w:p>
        </w:tc>
        <w:tc>
          <w:tcPr>
            <w:tcW w:w="35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gridSpan w:val="6"/>
            <w:shd w:val="clear" w:color="auto" w:fill="CCEEFF"/>
          </w:tcPr>
          <w:p>
            <w:pPr>
              <w:ind w:left="40"/>
              <w:spacing w:after="0"/>
              <w:rPr>
                <w:rFonts w:ascii="Arial" w:cs="Arial" w:eastAsia="Arial" w:hAnsi="Arial"/>
                <w:sz w:val="16"/>
                <w:szCs w:val="16"/>
                <w:color w:val="0000FF"/>
              </w:rPr>
            </w:pPr>
            <w:hyperlink r:id="rId68">
              <w:r>
                <w:rPr>
                  <w:rFonts w:ascii="Arial" w:cs="Arial" w:eastAsia="Arial" w:hAnsi="Arial"/>
                  <w:sz w:val="16"/>
                  <w:szCs w:val="16"/>
                  <w:color w:val="0000FF"/>
                </w:rPr>
                <w:t>+*10(e)6</w:t>
              </w:r>
            </w:hyperlink>
          </w:p>
        </w:tc>
        <w:tc>
          <w:tcPr>
            <w:tcW w:w="10420" w:type="dxa"/>
            <w:vAlign w:val="bottom"/>
            <w:gridSpan w:val="12"/>
            <w:shd w:val="clear" w:color="auto" w:fill="CCEEFF"/>
          </w:tcPr>
          <w:p>
            <w:pPr>
              <w:ind w:left="360"/>
              <w:spacing w:after="0"/>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68">
              <w:r>
                <w:rPr>
                  <w:rFonts w:ascii="Arial" w:cs="Arial" w:eastAsia="Arial" w:hAnsi="Arial"/>
                  <w:sz w:val="16"/>
                  <w:szCs w:val="16"/>
                  <w:color w:val="0000FF"/>
                  <w:w w:val="94"/>
                </w:rPr>
                <w:t>ALLETE Executive Annual Incentive Plan Form of Award Superior Water, Light and Power Effective 2017 (filed as Exhibit 10(e)7 to the 2016 Form</w:t>
              </w:r>
            </w:hyperlink>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10"/>
            <w:shd w:val="clear" w:color="auto" w:fill="CCEEFF"/>
          </w:tcPr>
          <w:p>
            <w:pPr>
              <w:spacing w:after="0" w:line="183" w:lineRule="exact"/>
              <w:rPr>
                <w:rFonts w:ascii="Arial" w:cs="Arial" w:eastAsia="Arial" w:hAnsi="Arial"/>
                <w:sz w:val="16"/>
                <w:szCs w:val="16"/>
                <w:color w:val="0000FF"/>
              </w:rPr>
            </w:pPr>
            <w:hyperlink r:id="rId68">
              <w:r>
                <w:rPr>
                  <w:rFonts w:ascii="Arial" w:cs="Arial" w:eastAsia="Arial" w:hAnsi="Arial"/>
                  <w:sz w:val="16"/>
                  <w:szCs w:val="16"/>
                  <w:color w:val="0000FF"/>
                </w:rPr>
                <w:t>10-K, File No. 1-3548).</w:t>
              </w:r>
            </w:hyperlink>
          </w:p>
        </w:tc>
        <w:tc>
          <w:tcPr>
            <w:tcW w:w="4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891"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891" w:right="2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99" w:lineRule="exact"/>
        <w:rPr>
          <w:sz w:val="20"/>
          <w:szCs w:val="20"/>
          <w:color w:val="auto"/>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+*10(f)1</w:t>
        </w:r>
      </w:hyperlink>
      <w:r>
        <w:rPr>
          <w:rFonts w:ascii="Arial" w:cs="Arial" w:eastAsia="Arial" w:hAnsi="Arial"/>
          <w:sz w:val="16"/>
          <w:szCs w:val="16"/>
          <w:color w:val="0000FF"/>
        </w:rPr>
        <w:tab/>
        <w:t xml:space="preserve">— </w:t>
      </w:r>
      <w:hyperlink r:id="rId69">
        <w:r>
          <w:rPr>
            <w:rFonts w:ascii="Arial" w:cs="Arial" w:eastAsia="Arial" w:hAnsi="Arial"/>
            <w:sz w:val="16"/>
            <w:szCs w:val="16"/>
            <w:u w:val="single" w:color="auto"/>
            <w:color w:val="0000FF"/>
          </w:rPr>
          <w:t>ALLETE and Affiliated Companies Supplemental Executive Retirement Plan (SERP I), as amended and restated, effective January 1, 2009 (filed as</w:t>
        </w:r>
      </w:hyperlink>
      <w:r>
        <w:rPr>
          <w:rFonts w:ascii="Arial" w:cs="Arial" w:eastAsia="Arial" w:hAnsi="Arial"/>
          <w:sz w:val="16"/>
          <w:szCs w:val="16"/>
          <w:color w:val="0000FF"/>
        </w:rPr>
        <w:t xml:space="preserve"> </w:t>
      </w:r>
      <w:hyperlink r:id="rId69">
        <w:r>
          <w:rPr>
            <w:rFonts w:ascii="Arial" w:cs="Arial" w:eastAsia="Arial" w:hAnsi="Arial"/>
            <w:sz w:val="16"/>
            <w:szCs w:val="16"/>
            <w:u w:val="single" w:color="auto"/>
            <w:color w:val="0000FF"/>
          </w:rPr>
          <w:t>Exhibit 10(i)4 to the 2008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+*10(f)2</w:t>
        </w:r>
      </w:hyperlink>
      <w:r>
        <w:rPr>
          <w:rFonts w:ascii="Arial" w:cs="Arial" w:eastAsia="Arial" w:hAnsi="Arial"/>
          <w:sz w:val="16"/>
          <w:szCs w:val="16"/>
          <w:color w:val="0000FF"/>
        </w:rPr>
        <w:tab/>
        <w:t xml:space="preserve">— </w:t>
      </w:r>
      <w:hyperlink r:id="rId71">
        <w:r>
          <w:rPr>
            <w:rFonts w:ascii="Arial" w:cs="Arial" w:eastAsia="Arial" w:hAnsi="Arial"/>
            <w:sz w:val="16"/>
            <w:szCs w:val="16"/>
            <w:u w:val="single" w:color="auto"/>
            <w:color w:val="0000FF"/>
          </w:rPr>
          <w:t>Amendment to the ALLETE and Affiliated Companies Supplemental Executive Retirement Plan (SERP I), effective January 1, 2011 (filed as Exhibit</w:t>
        </w:r>
      </w:hyperlink>
      <w:r>
        <w:rPr>
          <w:rFonts w:ascii="Arial" w:cs="Arial" w:eastAsia="Arial" w:hAnsi="Arial"/>
          <w:sz w:val="16"/>
          <w:szCs w:val="16"/>
          <w:color w:val="0000FF"/>
        </w:rPr>
        <w:t xml:space="preserve"> </w:t>
      </w:r>
      <w:hyperlink r:id="rId71">
        <w:r>
          <w:rPr>
            <w:rFonts w:ascii="Arial" w:cs="Arial" w:eastAsia="Arial" w:hAnsi="Arial"/>
            <w:sz w:val="16"/>
            <w:szCs w:val="16"/>
            <w:u w:val="single" w:color="auto"/>
            <w:color w:val="0000FF"/>
          </w:rPr>
          <w:t>10(i)2 to the 2010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+*10(f)3</w:t>
        </w:r>
      </w:hyperlink>
      <w:r>
        <w:rPr>
          <w:rFonts w:ascii="Arial" w:cs="Arial" w:eastAsia="Arial" w:hAnsi="Arial"/>
          <w:sz w:val="16"/>
          <w:szCs w:val="16"/>
          <w:color w:val="0000FF"/>
        </w:rPr>
        <w:tab/>
        <w:t xml:space="preserve">— </w:t>
      </w:r>
      <w:hyperlink r:id="rId72">
        <w:r>
          <w:rPr>
            <w:rFonts w:ascii="Arial" w:cs="Arial" w:eastAsia="Arial" w:hAnsi="Arial"/>
            <w:sz w:val="16"/>
            <w:szCs w:val="16"/>
            <w:u w:val="single" w:color="auto"/>
            <w:color w:val="0000FF"/>
          </w:rPr>
          <w:t>ALLETE and Affiliated Companies Supplemental Executive Retirement Plan II (SERP II), as amended and restated, effective January 1, 2015 (filed</w:t>
        </w:r>
      </w:hyperlink>
      <w:r>
        <w:rPr>
          <w:rFonts w:ascii="Arial" w:cs="Arial" w:eastAsia="Arial" w:hAnsi="Arial"/>
          <w:sz w:val="16"/>
          <w:szCs w:val="16"/>
          <w:color w:val="0000FF"/>
        </w:rPr>
        <w:t xml:space="preserve"> </w:t>
      </w:r>
      <w:hyperlink r:id="rId72">
        <w:r>
          <w:rPr>
            <w:rFonts w:ascii="Arial" w:cs="Arial" w:eastAsia="Arial" w:hAnsi="Arial"/>
            <w:sz w:val="16"/>
            <w:szCs w:val="16"/>
            <w:u w:val="single" w:color="auto"/>
            <w:color w:val="0000FF"/>
          </w:rPr>
          <w:t>as Exhibit 10(f)3 to the 2014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4">
        <w:r>
          <w:rPr>
            <w:rFonts w:ascii="Arial" w:cs="Arial" w:eastAsia="Arial" w:hAnsi="Arial"/>
            <w:sz w:val="16"/>
            <w:szCs w:val="16"/>
            <w:u w:val="single" w:color="auto"/>
            <w:color w:val="0000FF"/>
          </w:rPr>
          <w:t>+*10(g)</w:t>
        </w:r>
      </w:hyperlink>
      <w:r>
        <w:rPr>
          <w:rFonts w:ascii="Arial" w:cs="Arial" w:eastAsia="Arial" w:hAnsi="Arial"/>
          <w:sz w:val="16"/>
          <w:szCs w:val="16"/>
          <w:color w:val="0000FF"/>
        </w:rPr>
        <w:tab/>
        <w:t xml:space="preserve">— </w:t>
      </w:r>
      <w:hyperlink r:id="rId74">
        <w:r>
          <w:rPr>
            <w:rFonts w:ascii="Arial" w:cs="Arial" w:eastAsia="Arial" w:hAnsi="Arial"/>
            <w:sz w:val="16"/>
            <w:szCs w:val="16"/>
            <w:u w:val="single" w:color="auto"/>
            <w:color w:val="0000FF"/>
          </w:rPr>
          <w:t>ALLETE Deferred Compensation Trust Agreement, as amended and restated, effective December 15, 2012 (filed as Exhibit 10(j) to the 2012 Form</w:t>
        </w:r>
      </w:hyperlink>
      <w:r>
        <w:rPr>
          <w:rFonts w:ascii="Arial" w:cs="Arial" w:eastAsia="Arial" w:hAnsi="Arial"/>
          <w:sz w:val="16"/>
          <w:szCs w:val="16"/>
          <w:color w:val="0000FF"/>
        </w:rPr>
        <w:t xml:space="preserve"> </w:t>
      </w:r>
      <w:hyperlink r:id="rId74">
        <w:r>
          <w:rPr>
            <w:rFonts w:ascii="Arial" w:cs="Arial" w:eastAsia="Arial" w:hAnsi="Arial"/>
            <w:sz w:val="16"/>
            <w:szCs w:val="16"/>
            <w:u w:val="single" w:color="auto"/>
            <w:color w:val="0000FF"/>
          </w:rPr>
          <w:t>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+*10(h)1</w:t>
        </w:r>
      </w:hyperlink>
      <w:r>
        <w:rPr>
          <w:rFonts w:ascii="Arial" w:cs="Arial" w:eastAsia="Arial" w:hAnsi="Arial"/>
          <w:sz w:val="16"/>
          <w:szCs w:val="16"/>
          <w:color w:val="0000FF"/>
        </w:rPr>
        <w:tab/>
        <w:t xml:space="preserve">— </w:t>
      </w:r>
      <w:hyperlink r:id="rId75">
        <w:r>
          <w:rPr>
            <w:rFonts w:ascii="Arial" w:cs="Arial" w:eastAsia="Arial" w:hAnsi="Arial"/>
            <w:sz w:val="16"/>
            <w:szCs w:val="16"/>
            <w:u w:val="single" w:color="auto"/>
            <w:color w:val="0000FF"/>
          </w:rPr>
          <w:t>ALLETE Executive Long-Term Incentive Compensation Plan as amended and restated effective January 1, 2006 (filed as Exhibit 10 to the May 16,</w:t>
        </w:r>
      </w:hyperlink>
      <w:r>
        <w:rPr>
          <w:rFonts w:ascii="Arial" w:cs="Arial" w:eastAsia="Arial" w:hAnsi="Arial"/>
          <w:sz w:val="16"/>
          <w:szCs w:val="16"/>
          <w:color w:val="0000FF"/>
        </w:rPr>
        <w:t xml:space="preserve"> </w:t>
      </w:r>
      <w:hyperlink r:id="rId75">
        <w:r>
          <w:rPr>
            <w:rFonts w:ascii="Arial" w:cs="Arial" w:eastAsia="Arial" w:hAnsi="Arial"/>
            <w:sz w:val="16"/>
            <w:szCs w:val="16"/>
            <w:u w:val="single" w:color="auto"/>
            <w:color w:val="0000FF"/>
          </w:rPr>
          <w:t>2005, Form 8-K,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7">
        <w:r>
          <w:rPr>
            <w:rFonts w:ascii="Arial" w:cs="Arial" w:eastAsia="Arial" w:hAnsi="Arial"/>
            <w:sz w:val="16"/>
            <w:szCs w:val="16"/>
            <w:u w:val="single" w:color="auto"/>
            <w:color w:val="0000FF"/>
          </w:rPr>
          <w:t>+*10(h)2</w:t>
        </w:r>
      </w:hyperlink>
      <w:r>
        <w:rPr>
          <w:rFonts w:ascii="Arial" w:cs="Arial" w:eastAsia="Arial" w:hAnsi="Arial"/>
          <w:sz w:val="16"/>
          <w:szCs w:val="16"/>
          <w:color w:val="0000FF"/>
        </w:rPr>
        <w:tab/>
        <w:t xml:space="preserve">— </w:t>
      </w:r>
      <w:hyperlink r:id="rId77">
        <w:r>
          <w:rPr>
            <w:rFonts w:ascii="Arial" w:cs="Arial" w:eastAsia="Arial" w:hAnsi="Arial"/>
            <w:sz w:val="16"/>
            <w:szCs w:val="16"/>
            <w:u w:val="single" w:color="auto"/>
            <w:color w:val="0000FF"/>
          </w:rPr>
          <w:t>Amendment to the ALLETE Executive Long-Term Incentive Compensation Plan, effective January 1, 2011 (filed as Exhibit 10(m)2 to the 2010</w:t>
        </w:r>
      </w:hyperlink>
      <w:r>
        <w:rPr>
          <w:rFonts w:ascii="Arial" w:cs="Arial" w:eastAsia="Arial" w:hAnsi="Arial"/>
          <w:sz w:val="16"/>
          <w:szCs w:val="16"/>
          <w:color w:val="0000FF"/>
        </w:rPr>
        <w:t xml:space="preserve"> </w:t>
      </w:r>
      <w:hyperlink r:id="rId77">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+*10(h)3</w:t>
        </w:r>
      </w:hyperlink>
      <w:r>
        <w:rPr>
          <w:rFonts w:ascii="Arial" w:cs="Arial" w:eastAsia="Arial" w:hAnsi="Arial"/>
          <w:sz w:val="16"/>
          <w:szCs w:val="16"/>
          <w:color w:val="0000FF"/>
        </w:rPr>
        <w:tab/>
        <w:t xml:space="preserve">— </w:t>
      </w:r>
      <w:hyperlink r:id="rId78">
        <w:r>
          <w:rPr>
            <w:rFonts w:ascii="Arial" w:cs="Arial" w:eastAsia="Arial" w:hAnsi="Arial"/>
            <w:sz w:val="16"/>
            <w:szCs w:val="16"/>
            <w:u w:val="single" w:color="auto"/>
            <w:color w:val="0000FF"/>
          </w:rPr>
          <w:t>Form of ALLETE Executive Long-Term Incentive Compensation Plan Performance Share Grant Effective 2012 (filed as Exhibit 10(m)12 to the</w:t>
        </w:r>
      </w:hyperlink>
      <w:r>
        <w:rPr>
          <w:rFonts w:ascii="Arial" w:cs="Arial" w:eastAsia="Arial" w:hAnsi="Arial"/>
          <w:sz w:val="16"/>
          <w:szCs w:val="16"/>
          <w:color w:val="0000FF"/>
        </w:rPr>
        <w:t xml:space="preserve"> </w:t>
      </w:r>
      <w:hyperlink r:id="rId78">
        <w:r>
          <w:rPr>
            <w:rFonts w:ascii="Arial" w:cs="Arial" w:eastAsia="Arial" w:hAnsi="Arial"/>
            <w:sz w:val="16"/>
            <w:szCs w:val="16"/>
            <w:u w:val="single" w:color="auto"/>
            <w:color w:val="0000FF"/>
          </w:rPr>
          <w:t>2011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+*10(h)4</w:t>
        </w:r>
      </w:hyperlink>
      <w:r>
        <w:rPr>
          <w:rFonts w:ascii="Arial" w:cs="Arial" w:eastAsia="Arial" w:hAnsi="Arial"/>
          <w:sz w:val="16"/>
          <w:szCs w:val="16"/>
          <w:color w:val="0000FF"/>
        </w:rPr>
        <w:tab/>
        <w:t xml:space="preserve">— </w:t>
      </w:r>
      <w:hyperlink r:id="rId80">
        <w:r>
          <w:rPr>
            <w:rFonts w:ascii="Arial" w:cs="Arial" w:eastAsia="Arial" w:hAnsi="Arial"/>
            <w:sz w:val="16"/>
            <w:szCs w:val="16"/>
            <w:u w:val="single" w:color="auto"/>
            <w:color w:val="0000FF"/>
          </w:rPr>
          <w:t>Form of ALLETE Executive Long-Term Incentive Compensation Plan Restricted Stock Unit Grant Effective 2012 (filed as Exhibit 10(m)13 to the</w:t>
        </w:r>
      </w:hyperlink>
      <w:r>
        <w:rPr>
          <w:rFonts w:ascii="Arial" w:cs="Arial" w:eastAsia="Arial" w:hAnsi="Arial"/>
          <w:sz w:val="16"/>
          <w:szCs w:val="16"/>
          <w:color w:val="0000FF"/>
        </w:rPr>
        <w:t xml:space="preserve"> </w:t>
      </w:r>
      <w:hyperlink r:id="rId80">
        <w:r>
          <w:rPr>
            <w:rFonts w:ascii="Arial" w:cs="Arial" w:eastAsia="Arial" w:hAnsi="Arial"/>
            <w:sz w:val="16"/>
            <w:szCs w:val="16"/>
            <w:u w:val="single" w:color="auto"/>
            <w:color w:val="0000FF"/>
          </w:rPr>
          <w:t>2011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+*10(h)5</w:t>
        </w:r>
      </w:hyperlink>
      <w:r>
        <w:rPr>
          <w:rFonts w:ascii="Arial" w:cs="Arial" w:eastAsia="Arial" w:hAnsi="Arial"/>
          <w:sz w:val="16"/>
          <w:szCs w:val="16"/>
          <w:color w:val="0000FF"/>
        </w:rPr>
        <w:tab/>
        <w:t xml:space="preserve">— </w:t>
      </w:r>
      <w:hyperlink r:id="rId81">
        <w:r>
          <w:rPr>
            <w:rFonts w:ascii="Arial" w:cs="Arial" w:eastAsia="Arial" w:hAnsi="Arial"/>
            <w:sz w:val="16"/>
            <w:szCs w:val="16"/>
            <w:u w:val="single" w:color="auto"/>
            <w:color w:val="0000FF"/>
          </w:rPr>
          <w:t>Form of ALLETE Executive Long-Term Incentive Compensation Plan Performance Share Grant Effective 2013 (filed as Exhibit 10(k)14 to the 2012</w:t>
        </w:r>
      </w:hyperlink>
      <w:r>
        <w:rPr>
          <w:rFonts w:ascii="Arial" w:cs="Arial" w:eastAsia="Arial" w:hAnsi="Arial"/>
          <w:sz w:val="16"/>
          <w:szCs w:val="16"/>
          <w:color w:val="0000FF"/>
        </w:rPr>
        <w:t xml:space="preserve"> </w:t>
      </w:r>
      <w:hyperlink r:id="rId81">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+*10(h)6</w:t>
        </w:r>
      </w:hyperlink>
      <w:r>
        <w:rPr>
          <w:rFonts w:ascii="Arial" w:cs="Arial" w:eastAsia="Arial" w:hAnsi="Arial"/>
          <w:sz w:val="16"/>
          <w:szCs w:val="16"/>
          <w:color w:val="0000FF"/>
        </w:rPr>
        <w:tab/>
        <w:t xml:space="preserve">— </w:t>
      </w:r>
      <w:hyperlink r:id="rId83">
        <w:r>
          <w:rPr>
            <w:rFonts w:ascii="Arial" w:cs="Arial" w:eastAsia="Arial" w:hAnsi="Arial"/>
            <w:sz w:val="16"/>
            <w:szCs w:val="16"/>
            <w:u w:val="single" w:color="auto"/>
            <w:color w:val="0000FF"/>
          </w:rPr>
          <w:t>Form of ALLETE Executive Long-Term Incentive Compensation Plan Restricted Stock Unit Grant Effective 2013 (filed as Exhibit 10(k)15 to the</w:t>
        </w:r>
      </w:hyperlink>
      <w:r>
        <w:rPr>
          <w:rFonts w:ascii="Arial" w:cs="Arial" w:eastAsia="Arial" w:hAnsi="Arial"/>
          <w:sz w:val="16"/>
          <w:szCs w:val="16"/>
          <w:color w:val="0000FF"/>
        </w:rPr>
        <w:t xml:space="preserve"> </w:t>
      </w:r>
      <w:hyperlink r:id="rId83">
        <w:r>
          <w:rPr>
            <w:rFonts w:ascii="Arial" w:cs="Arial" w:eastAsia="Arial" w:hAnsi="Arial"/>
            <w:sz w:val="16"/>
            <w:szCs w:val="16"/>
            <w:u w:val="single" w:color="auto"/>
            <w:color w:val="0000FF"/>
          </w:rPr>
          <w:t>2012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4">
        <w:r>
          <w:rPr>
            <w:rFonts w:ascii="Arial" w:cs="Arial" w:eastAsia="Arial" w:hAnsi="Arial"/>
            <w:sz w:val="16"/>
            <w:szCs w:val="16"/>
            <w:u w:val="single" w:color="auto"/>
            <w:color w:val="0000FF"/>
          </w:rPr>
          <w:t>+*10(h)7</w:t>
        </w:r>
      </w:hyperlink>
      <w:r>
        <w:rPr>
          <w:rFonts w:ascii="Arial" w:cs="Arial" w:eastAsia="Arial" w:hAnsi="Arial"/>
          <w:sz w:val="16"/>
          <w:szCs w:val="16"/>
          <w:color w:val="0000FF"/>
        </w:rPr>
        <w:tab/>
        <w:t xml:space="preserve">— </w:t>
      </w:r>
      <w:hyperlink r:id="rId84">
        <w:r>
          <w:rPr>
            <w:rFonts w:ascii="Arial" w:cs="Arial" w:eastAsia="Arial" w:hAnsi="Arial"/>
            <w:sz w:val="16"/>
            <w:szCs w:val="16"/>
            <w:u w:val="single" w:color="auto"/>
            <w:color w:val="0000FF"/>
          </w:rPr>
          <w:t>Form of ALLETE Executive Long-Term Incentive Compensation Plan Performance Share Grant Effective 2014 (filed as Exhibit 10(j)14 to the 2013</w:t>
        </w:r>
      </w:hyperlink>
      <w:r>
        <w:rPr>
          <w:rFonts w:ascii="Arial" w:cs="Arial" w:eastAsia="Arial" w:hAnsi="Arial"/>
          <w:sz w:val="16"/>
          <w:szCs w:val="16"/>
          <w:color w:val="0000FF"/>
        </w:rPr>
        <w:t xml:space="preserve"> </w:t>
      </w:r>
      <w:hyperlink r:id="rId84">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+*10(h)8</w:t>
        </w:r>
      </w:hyperlink>
      <w:r>
        <w:rPr>
          <w:rFonts w:ascii="Arial" w:cs="Arial" w:eastAsia="Arial" w:hAnsi="Arial"/>
          <w:sz w:val="16"/>
          <w:szCs w:val="16"/>
          <w:color w:val="0000FF"/>
        </w:rPr>
        <w:tab/>
        <w:t xml:space="preserve">— </w:t>
      </w:r>
      <w:hyperlink r:id="rId86">
        <w:r>
          <w:rPr>
            <w:rFonts w:ascii="Arial" w:cs="Arial" w:eastAsia="Arial" w:hAnsi="Arial"/>
            <w:sz w:val="16"/>
            <w:szCs w:val="16"/>
            <w:u w:val="single" w:color="auto"/>
            <w:color w:val="0000FF"/>
          </w:rPr>
          <w:t>Form of ALLETE Executive Long-Term Incentive Compensation Plan Restricted Stock Unit Grant Effective 2014 (filed as Exhibit 10(j)15 to the</w:t>
        </w:r>
      </w:hyperlink>
      <w:r>
        <w:rPr>
          <w:rFonts w:ascii="Arial" w:cs="Arial" w:eastAsia="Arial" w:hAnsi="Arial"/>
          <w:sz w:val="16"/>
          <w:szCs w:val="16"/>
          <w:color w:val="0000FF"/>
        </w:rPr>
        <w:t xml:space="preserve"> </w:t>
      </w:r>
      <w:hyperlink r:id="rId86">
        <w:r>
          <w:rPr>
            <w:rFonts w:ascii="Arial" w:cs="Arial" w:eastAsia="Arial" w:hAnsi="Arial"/>
            <w:sz w:val="16"/>
            <w:szCs w:val="16"/>
            <w:u w:val="single" w:color="auto"/>
            <w:color w:val="0000FF"/>
          </w:rPr>
          <w:t>2013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+*10(h)9</w:t>
        </w:r>
      </w:hyperlink>
      <w:r>
        <w:rPr>
          <w:rFonts w:ascii="Arial" w:cs="Arial" w:eastAsia="Arial" w:hAnsi="Arial"/>
          <w:sz w:val="16"/>
          <w:szCs w:val="16"/>
          <w:color w:val="0000FF"/>
        </w:rPr>
        <w:tab/>
        <w:t xml:space="preserve">— </w:t>
      </w:r>
      <w:hyperlink r:id="rId87">
        <w:r>
          <w:rPr>
            <w:rFonts w:ascii="Arial" w:cs="Arial" w:eastAsia="Arial" w:hAnsi="Arial"/>
            <w:sz w:val="16"/>
            <w:szCs w:val="16"/>
            <w:u w:val="single" w:color="auto"/>
            <w:color w:val="0000FF"/>
          </w:rPr>
          <w:t>Form of ALLETE Executive Long-Term Incentive Compensation Plan Performance Share Grant Effective 2015 (filed as Exhibit 10(j)16 to the 2014</w:t>
        </w:r>
      </w:hyperlink>
      <w:r>
        <w:rPr>
          <w:rFonts w:ascii="Arial" w:cs="Arial" w:eastAsia="Arial" w:hAnsi="Arial"/>
          <w:sz w:val="16"/>
          <w:szCs w:val="16"/>
          <w:color w:val="0000FF"/>
        </w:rPr>
        <w:t xml:space="preserve"> </w:t>
      </w:r>
      <w:hyperlink r:id="rId87">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+*10(h)10</w:t>
        </w:r>
      </w:hyperlink>
      <w:r>
        <w:rPr>
          <w:rFonts w:ascii="Arial" w:cs="Arial" w:eastAsia="Arial" w:hAnsi="Arial"/>
          <w:sz w:val="16"/>
          <w:szCs w:val="16"/>
          <w:color w:val="0000FF"/>
        </w:rPr>
        <w:tab/>
        <w:t xml:space="preserve">— </w:t>
      </w:r>
      <w:hyperlink r:id="rId89">
        <w:r>
          <w:rPr>
            <w:rFonts w:ascii="Arial" w:cs="Arial" w:eastAsia="Arial" w:hAnsi="Arial"/>
            <w:sz w:val="16"/>
            <w:szCs w:val="16"/>
            <w:u w:val="single" w:color="auto"/>
            <w:color w:val="0000FF"/>
          </w:rPr>
          <w:t>Form of ALLETE Executive Long-Term Incentive Compensation Plan Restricted Stock Unit Grant Effective 2015 (filed as Exhibit 10(j)17 to the</w:t>
        </w:r>
      </w:hyperlink>
      <w:r>
        <w:rPr>
          <w:rFonts w:ascii="Arial" w:cs="Arial" w:eastAsia="Arial" w:hAnsi="Arial"/>
          <w:sz w:val="16"/>
          <w:szCs w:val="16"/>
          <w:color w:val="0000FF"/>
        </w:rPr>
        <w:t xml:space="preserve"> </w:t>
      </w:r>
      <w:hyperlink r:id="rId89">
        <w:r>
          <w:rPr>
            <w:rFonts w:ascii="Arial" w:cs="Arial" w:eastAsia="Arial" w:hAnsi="Arial"/>
            <w:sz w:val="16"/>
            <w:szCs w:val="16"/>
            <w:u w:val="single" w:color="auto"/>
            <w:color w:val="0000FF"/>
          </w:rPr>
          <w:t>2014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+*10(i)1</w:t>
        </w:r>
      </w:hyperlink>
      <w:r>
        <w:rPr>
          <w:rFonts w:ascii="Arial" w:cs="Arial" w:eastAsia="Arial" w:hAnsi="Arial"/>
          <w:sz w:val="16"/>
          <w:szCs w:val="16"/>
          <w:color w:val="0000FF"/>
        </w:rPr>
        <w:tab/>
        <w:t xml:space="preserve">— </w:t>
      </w:r>
      <w:hyperlink r:id="rId90">
        <w:r>
          <w:rPr>
            <w:rFonts w:ascii="Arial" w:cs="Arial" w:eastAsia="Arial" w:hAnsi="Arial"/>
            <w:sz w:val="16"/>
            <w:szCs w:val="16"/>
            <w:u w:val="single" w:color="auto"/>
            <w:color w:val="0000FF"/>
          </w:rPr>
          <w:t>ALLETE Executive Long-Term Incentive Compensation Plan effective January 1, 2016 (filed November 6, 2015, as Exhibit 99 to Form S-8, File</w:t>
        </w:r>
      </w:hyperlink>
      <w:r>
        <w:rPr>
          <w:rFonts w:ascii="Arial" w:cs="Arial" w:eastAsia="Arial" w:hAnsi="Arial"/>
          <w:sz w:val="16"/>
          <w:szCs w:val="16"/>
          <w:color w:val="0000FF"/>
        </w:rPr>
        <w:t xml:space="preserve"> </w:t>
      </w:r>
      <w:hyperlink r:id="rId90">
        <w:r>
          <w:rPr>
            <w:rFonts w:ascii="Arial" w:cs="Arial" w:eastAsia="Arial" w:hAnsi="Arial"/>
            <w:sz w:val="16"/>
            <w:szCs w:val="16"/>
            <w:u w:val="single" w:color="auto"/>
            <w:color w:val="0000FF"/>
          </w:rPr>
          <w:t>No. 333-207846).</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+*10(i)2</w:t>
        </w:r>
      </w:hyperlink>
      <w:r>
        <w:rPr>
          <w:rFonts w:ascii="Arial" w:cs="Arial" w:eastAsia="Arial" w:hAnsi="Arial"/>
          <w:sz w:val="16"/>
          <w:szCs w:val="16"/>
          <w:color w:val="0000FF"/>
        </w:rPr>
        <w:tab/>
        <w:t xml:space="preserve">— </w:t>
      </w:r>
      <w:hyperlink r:id="rId92">
        <w:r>
          <w:rPr>
            <w:rFonts w:ascii="Arial" w:cs="Arial" w:eastAsia="Arial" w:hAnsi="Arial"/>
            <w:sz w:val="16"/>
            <w:szCs w:val="16"/>
            <w:u w:val="single" w:color="auto"/>
            <w:color w:val="0000FF"/>
          </w:rPr>
          <w:t>Form of ALLETE Executive Long-Term Incentive Compensation Plan Restricted Stock Unit Grant Effective 2016 (filed as Exhibit 10(k)3 to the</w:t>
        </w:r>
      </w:hyperlink>
      <w:r>
        <w:rPr>
          <w:rFonts w:ascii="Arial" w:cs="Arial" w:eastAsia="Arial" w:hAnsi="Arial"/>
          <w:sz w:val="16"/>
          <w:szCs w:val="16"/>
          <w:color w:val="0000FF"/>
        </w:rPr>
        <w:t xml:space="preserve"> </w:t>
      </w:r>
      <w:hyperlink r:id="rId92">
        <w:r>
          <w:rPr>
            <w:rFonts w:ascii="Arial" w:cs="Arial" w:eastAsia="Arial" w:hAnsi="Arial"/>
            <w:sz w:val="16"/>
            <w:szCs w:val="16"/>
            <w:u w:val="single" w:color="auto"/>
            <w:color w:val="0000FF"/>
          </w:rPr>
          <w:t>2015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+*10(i)3</w:t>
        </w:r>
      </w:hyperlink>
      <w:r>
        <w:rPr>
          <w:rFonts w:ascii="Arial" w:cs="Arial" w:eastAsia="Arial" w:hAnsi="Arial"/>
          <w:sz w:val="16"/>
          <w:szCs w:val="16"/>
          <w:color w:val="0000FF"/>
        </w:rPr>
        <w:tab/>
        <w:t xml:space="preserve">— </w:t>
      </w:r>
      <w:hyperlink r:id="rId93">
        <w:r>
          <w:rPr>
            <w:rFonts w:ascii="Arial" w:cs="Arial" w:eastAsia="Arial" w:hAnsi="Arial"/>
            <w:sz w:val="16"/>
            <w:szCs w:val="16"/>
            <w:u w:val="single" w:color="auto"/>
            <w:color w:val="0000FF"/>
          </w:rPr>
          <w:t>Form of ALLETE Executive Long-Term Incentive Compensation Plan Performance Share Grant Effective 2016 (filed as Exhibit 10(k)2 to the 2015</w:t>
        </w:r>
      </w:hyperlink>
      <w:r>
        <w:rPr>
          <w:rFonts w:ascii="Arial" w:cs="Arial" w:eastAsia="Arial" w:hAnsi="Arial"/>
          <w:sz w:val="16"/>
          <w:szCs w:val="16"/>
          <w:color w:val="0000FF"/>
        </w:rPr>
        <w:t xml:space="preserve"> </w:t>
      </w:r>
      <w:hyperlink r:id="rId93">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+*10(i)4</w:t>
        </w:r>
      </w:hyperlink>
      <w:r>
        <w:rPr>
          <w:rFonts w:ascii="Arial" w:cs="Arial" w:eastAsia="Arial" w:hAnsi="Arial"/>
          <w:sz w:val="16"/>
          <w:szCs w:val="16"/>
          <w:color w:val="0000FF"/>
        </w:rPr>
        <w:tab/>
        <w:t xml:space="preserve">— </w:t>
      </w:r>
      <w:hyperlink r:id="rId95">
        <w:r>
          <w:rPr>
            <w:rFonts w:ascii="Arial" w:cs="Arial" w:eastAsia="Arial" w:hAnsi="Arial"/>
            <w:sz w:val="16"/>
            <w:szCs w:val="16"/>
            <w:u w:val="single" w:color="auto"/>
            <w:color w:val="0000FF"/>
          </w:rPr>
          <w:t>Form of ALLETE Executive Long-Term Incentive Compensation Plan Cash Award Effective 2017 (filed as Exhibit 10(i)4 to the 2016 Form 10-K,</w:t>
        </w:r>
      </w:hyperlink>
      <w:r>
        <w:rPr>
          <w:rFonts w:ascii="Arial" w:cs="Arial" w:eastAsia="Arial" w:hAnsi="Arial"/>
          <w:sz w:val="16"/>
          <w:szCs w:val="16"/>
          <w:color w:val="0000FF"/>
        </w:rPr>
        <w:t xml:space="preserve"> </w:t>
      </w:r>
      <w:hyperlink r:id="rId95">
        <w:r>
          <w:rPr>
            <w:rFonts w:ascii="Arial" w:cs="Arial" w:eastAsia="Arial" w:hAnsi="Arial"/>
            <w:sz w:val="16"/>
            <w:szCs w:val="16"/>
            <w:u w:val="single" w:color="auto"/>
            <w:color w:val="0000FF"/>
          </w:rPr>
          <w:t>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+*10(i)5</w:t>
        </w:r>
      </w:hyperlink>
      <w:r>
        <w:rPr>
          <w:rFonts w:ascii="Arial" w:cs="Arial" w:eastAsia="Arial" w:hAnsi="Arial"/>
          <w:sz w:val="16"/>
          <w:szCs w:val="16"/>
          <w:color w:val="0000FF"/>
        </w:rPr>
        <w:tab/>
        <w:t xml:space="preserve">— </w:t>
      </w:r>
      <w:hyperlink r:id="rId96">
        <w:r>
          <w:rPr>
            <w:rFonts w:ascii="Arial" w:cs="Arial" w:eastAsia="Arial" w:hAnsi="Arial"/>
            <w:sz w:val="16"/>
            <w:szCs w:val="16"/>
            <w:u w:val="single" w:color="auto"/>
            <w:color w:val="0000FF"/>
          </w:rPr>
          <w:t>Form of ALLETE Executive Long-Term Incentive Compensation Plan Restricted Stock Unit Grant Effective 2017 (filed as Exhibit 10(i)5 to the</w:t>
        </w:r>
      </w:hyperlink>
      <w:r>
        <w:rPr>
          <w:rFonts w:ascii="Arial" w:cs="Arial" w:eastAsia="Arial" w:hAnsi="Arial"/>
          <w:sz w:val="16"/>
          <w:szCs w:val="16"/>
          <w:color w:val="0000FF"/>
        </w:rPr>
        <w:t xml:space="preserve"> </w:t>
      </w:r>
      <w:hyperlink r:id="rId96">
        <w:r>
          <w:rPr>
            <w:rFonts w:ascii="Arial" w:cs="Arial" w:eastAsia="Arial" w:hAnsi="Arial"/>
            <w:sz w:val="16"/>
            <w:szCs w:val="16"/>
            <w:u w:val="single" w:color="auto"/>
            <w:color w:val="0000FF"/>
          </w:rPr>
          <w:t>2016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+*10(i)6</w:t>
        </w:r>
      </w:hyperlink>
      <w:r>
        <w:rPr>
          <w:rFonts w:ascii="Arial" w:cs="Arial" w:eastAsia="Arial" w:hAnsi="Arial"/>
          <w:sz w:val="16"/>
          <w:szCs w:val="16"/>
          <w:color w:val="0000FF"/>
        </w:rPr>
        <w:tab/>
        <w:t xml:space="preserve">— </w:t>
      </w:r>
      <w:hyperlink r:id="rId98">
        <w:r>
          <w:rPr>
            <w:rFonts w:ascii="Arial" w:cs="Arial" w:eastAsia="Arial" w:hAnsi="Arial"/>
            <w:sz w:val="16"/>
            <w:szCs w:val="16"/>
            <w:u w:val="single" w:color="auto"/>
            <w:color w:val="0000FF"/>
          </w:rPr>
          <w:t>Form of ALLETE Executive Long-Term Incentive Compensation Plan Performance Share Grant Effective 2017 (filed as Exhibit 10(i)6 to the 2016</w:t>
        </w:r>
      </w:hyperlink>
      <w:r>
        <w:rPr>
          <w:rFonts w:ascii="Arial" w:cs="Arial" w:eastAsia="Arial" w:hAnsi="Arial"/>
          <w:sz w:val="16"/>
          <w:szCs w:val="16"/>
          <w:color w:val="0000FF"/>
        </w:rPr>
        <w:t xml:space="preserve"> </w:t>
      </w:r>
      <w:hyperlink r:id="rId98">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+10(i)7</w:t>
      </w:r>
      <w:r>
        <w:rPr>
          <w:sz w:val="20"/>
          <w:szCs w:val="20"/>
          <w:color w:val="auto"/>
        </w:rPr>
        <w:tab/>
      </w:r>
      <w:r>
        <w:rPr>
          <w:rFonts w:ascii="Arial" w:cs="Arial" w:eastAsia="Arial" w:hAnsi="Arial"/>
          <w:sz w:val="16"/>
          <w:szCs w:val="16"/>
          <w:color w:val="auto"/>
        </w:rPr>
        <w:t>—</w:t>
      </w:r>
      <w:r>
        <w:rPr>
          <w:sz w:val="20"/>
          <w:szCs w:val="20"/>
          <w:color w:val="auto"/>
        </w:rPr>
        <w:tab/>
      </w:r>
      <w:hyperlink w:anchor="page145">
        <w:r>
          <w:rPr>
            <w:rFonts w:ascii="Arial" w:cs="Arial" w:eastAsia="Arial" w:hAnsi="Arial"/>
            <w:sz w:val="15"/>
            <w:szCs w:val="15"/>
            <w:u w:val="single" w:color="auto"/>
            <w:color w:val="0000FF"/>
          </w:rPr>
          <w:t>Form of ALLETE Executive Long-Term Incentive Compensation Plan Restricted Stock Unit Grant Effective 2018.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9">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+10(i)8</w:t>
      </w:r>
      <w:r>
        <w:rPr>
          <w:sz w:val="20"/>
          <w:szCs w:val="20"/>
          <w:color w:val="auto"/>
        </w:rPr>
        <w:tab/>
      </w:r>
      <w:r>
        <w:rPr>
          <w:rFonts w:ascii="Arial" w:cs="Arial" w:eastAsia="Arial" w:hAnsi="Arial"/>
          <w:sz w:val="16"/>
          <w:szCs w:val="16"/>
          <w:color w:val="auto"/>
        </w:rPr>
        <w:t>—</w:t>
      </w:r>
      <w:r>
        <w:rPr>
          <w:sz w:val="20"/>
          <w:szCs w:val="20"/>
          <w:color w:val="auto"/>
        </w:rPr>
        <w:tab/>
      </w:r>
      <w:hyperlink w:anchor="page154">
        <w:r>
          <w:rPr>
            <w:rFonts w:ascii="Arial" w:cs="Arial" w:eastAsia="Arial" w:hAnsi="Arial"/>
            <w:sz w:val="14"/>
            <w:szCs w:val="14"/>
            <w:u w:val="single" w:color="auto"/>
            <w:color w:val="0000FF"/>
          </w:rPr>
          <w:t>Form of ALLETE Executive Long-Term Incentive Compensation Plan Performance Share Grant Effective 2018.</w:t>
        </w:r>
      </w:hyperlink>
    </w:p>
    <w:p>
      <w:pPr>
        <w:spacing w:after="0" w:line="73"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+*10(j)1</w:t>
        </w:r>
      </w:hyperlink>
      <w:r>
        <w:rPr>
          <w:rFonts w:ascii="Arial" w:cs="Arial" w:eastAsia="Arial" w:hAnsi="Arial"/>
          <w:sz w:val="16"/>
          <w:szCs w:val="16"/>
          <w:color w:val="0000FF"/>
        </w:rPr>
        <w:tab/>
        <w:t xml:space="preserve">— </w:t>
      </w:r>
      <w:hyperlink r:id="rId100">
        <w:r>
          <w:rPr>
            <w:rFonts w:ascii="Arial" w:cs="Arial" w:eastAsia="Arial" w:hAnsi="Arial"/>
            <w:sz w:val="16"/>
            <w:szCs w:val="16"/>
            <w:u w:val="single" w:color="auto"/>
            <w:color w:val="0000FF"/>
          </w:rPr>
          <w:t>Amended and Restated ALLETE Non-Employee Director Stock Plan, effective May 15, 2013 (filed as Exhibit 10(a) to the June 30, 2013, Form 10-</w:t>
        </w:r>
      </w:hyperlink>
      <w:hyperlink r:id="rId100">
        <w:r>
          <w:rPr>
            <w:rFonts w:ascii="Arial" w:cs="Arial" w:eastAsia="Arial" w:hAnsi="Arial"/>
            <w:sz w:val="16"/>
            <w:szCs w:val="16"/>
            <w:u w:val="single" w:color="auto"/>
            <w:color w:val="0000FF"/>
          </w:rPr>
          <w:t>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+*10(k)1</w:t>
        </w:r>
      </w:hyperlink>
      <w:r>
        <w:rPr>
          <w:rFonts w:ascii="Arial" w:cs="Arial" w:eastAsia="Arial" w:hAnsi="Arial"/>
          <w:sz w:val="16"/>
          <w:szCs w:val="16"/>
          <w:color w:val="0000FF"/>
        </w:rPr>
        <w:tab/>
        <w:t xml:space="preserve">— </w:t>
      </w:r>
      <w:hyperlink r:id="rId102">
        <w:r>
          <w:rPr>
            <w:rFonts w:ascii="Arial" w:cs="Arial" w:eastAsia="Arial" w:hAnsi="Arial"/>
            <w:sz w:val="16"/>
            <w:szCs w:val="16"/>
            <w:u w:val="single" w:color="auto"/>
            <w:color w:val="0000FF"/>
          </w:rPr>
          <w:t>ALLETE Non-Employee Director Compensation Summary effective January 1, 2015 (filed as Exhibit 10(l)5 to the 2014 Form 10-K, File No. 1-</w:t>
        </w:r>
      </w:hyperlink>
      <w:hyperlink r:id="rId102">
        <w:r>
          <w:rPr>
            <w:rFonts w:ascii="Arial" w:cs="Arial" w:eastAsia="Arial" w:hAnsi="Arial"/>
            <w:sz w:val="16"/>
            <w:szCs w:val="16"/>
            <w:u w:val="single" w:color="auto"/>
            <w:color w:val="0000FF"/>
          </w:rPr>
          <w:t>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+*10(k)2</w:t>
        </w:r>
      </w:hyperlink>
      <w:r>
        <w:rPr>
          <w:rFonts w:ascii="Arial" w:cs="Arial" w:eastAsia="Arial" w:hAnsi="Arial"/>
          <w:sz w:val="16"/>
          <w:szCs w:val="16"/>
          <w:color w:val="0000FF"/>
        </w:rPr>
        <w:tab/>
        <w:t xml:space="preserve">— </w:t>
      </w:r>
      <w:hyperlink r:id="rId103">
        <w:r>
          <w:rPr>
            <w:rFonts w:ascii="Arial" w:cs="Arial" w:eastAsia="Arial" w:hAnsi="Arial"/>
            <w:sz w:val="16"/>
            <w:szCs w:val="16"/>
            <w:u w:val="single" w:color="auto"/>
            <w:color w:val="0000FF"/>
          </w:rPr>
          <w:t>ALLETE Non-Employee Director Compensation Summary effective January 1, 2017 (filed as Exhibit 10(k)3 to the 2016 Form 10-K, File No. 1-</w:t>
        </w:r>
      </w:hyperlink>
      <w:hyperlink r:id="rId103">
        <w:r>
          <w:rPr>
            <w:rFonts w:ascii="Arial" w:cs="Arial" w:eastAsia="Arial" w:hAnsi="Arial"/>
            <w:sz w:val="16"/>
            <w:szCs w:val="16"/>
            <w:u w:val="single" w:color="auto"/>
            <w:color w:val="0000FF"/>
          </w:rPr>
          <w:t>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+*10(l)1</w:t>
        </w:r>
      </w:hyperlink>
      <w:r>
        <w:rPr>
          <w:rFonts w:ascii="Arial" w:cs="Arial" w:eastAsia="Arial" w:hAnsi="Arial"/>
          <w:sz w:val="16"/>
          <w:szCs w:val="16"/>
          <w:color w:val="0000FF"/>
        </w:rPr>
        <w:tab/>
        <w:t xml:space="preserve">— </w:t>
      </w:r>
      <w:hyperlink r:id="rId105">
        <w:r>
          <w:rPr>
            <w:rFonts w:ascii="Arial" w:cs="Arial" w:eastAsia="Arial" w:hAnsi="Arial"/>
            <w:sz w:val="16"/>
            <w:szCs w:val="16"/>
            <w:u w:val="single" w:color="auto"/>
            <w:color w:val="0000FF"/>
          </w:rPr>
          <w:t>Minnesota Power (now ALLETE) Non-Employee Director Compensation Deferral Plan Amended and Restated, effective January 1, 1990 (filed as</w:t>
        </w:r>
      </w:hyperlink>
      <w:r>
        <w:rPr>
          <w:rFonts w:ascii="Arial" w:cs="Arial" w:eastAsia="Arial" w:hAnsi="Arial"/>
          <w:sz w:val="16"/>
          <w:szCs w:val="16"/>
          <w:color w:val="0000FF"/>
        </w:rPr>
        <w:t xml:space="preserve"> </w:t>
      </w:r>
      <w:hyperlink r:id="rId105">
        <w:r>
          <w:rPr>
            <w:rFonts w:ascii="Arial" w:cs="Arial" w:eastAsia="Arial" w:hAnsi="Arial"/>
            <w:sz w:val="16"/>
            <w:szCs w:val="16"/>
            <w:u w:val="single" w:color="auto"/>
            <w:color w:val="0000FF"/>
          </w:rPr>
          <w:t>Exhibit 10(ac) to the 2002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+*10(l)2</w:t>
        </w:r>
      </w:hyperlink>
      <w:r>
        <w:rPr>
          <w:rFonts w:ascii="Arial" w:cs="Arial" w:eastAsia="Arial" w:hAnsi="Arial"/>
          <w:sz w:val="16"/>
          <w:szCs w:val="16"/>
          <w:color w:val="0000FF"/>
        </w:rPr>
        <w:tab/>
        <w:t xml:space="preserve">— </w:t>
      </w:r>
      <w:hyperlink r:id="rId106">
        <w:r>
          <w:rPr>
            <w:rFonts w:ascii="Arial" w:cs="Arial" w:eastAsia="Arial" w:hAnsi="Arial"/>
            <w:sz w:val="16"/>
            <w:szCs w:val="16"/>
            <w:u w:val="single" w:color="auto"/>
            <w:color w:val="0000FF"/>
          </w:rPr>
          <w:t>October 2003 Amendment to the Minnesota Power (now ALLETE) Non-Employee Director Compensation Deferral Plan (filed as Exhibit 10(aa)2 to</w:t>
        </w:r>
      </w:hyperlink>
      <w:r>
        <w:rPr>
          <w:rFonts w:ascii="Arial" w:cs="Arial" w:eastAsia="Arial" w:hAnsi="Arial"/>
          <w:sz w:val="16"/>
          <w:szCs w:val="16"/>
          <w:color w:val="0000FF"/>
        </w:rPr>
        <w:t xml:space="preserve"> </w:t>
      </w:r>
      <w:hyperlink r:id="rId106">
        <w:r>
          <w:rPr>
            <w:rFonts w:ascii="Arial" w:cs="Arial" w:eastAsia="Arial" w:hAnsi="Arial"/>
            <w:sz w:val="16"/>
            <w:szCs w:val="16"/>
            <w:u w:val="single" w:color="auto"/>
            <w:color w:val="0000FF"/>
          </w:rPr>
          <w:t>the 2003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+*10(l)3</w:t>
        </w:r>
      </w:hyperlink>
      <w:r>
        <w:rPr>
          <w:rFonts w:ascii="Arial" w:cs="Arial" w:eastAsia="Arial" w:hAnsi="Arial"/>
          <w:sz w:val="16"/>
          <w:szCs w:val="16"/>
          <w:color w:val="0000FF"/>
        </w:rPr>
        <w:tab/>
        <w:t xml:space="preserve">— </w:t>
      </w:r>
      <w:hyperlink r:id="rId108">
        <w:r>
          <w:rPr>
            <w:rFonts w:ascii="Arial" w:cs="Arial" w:eastAsia="Arial" w:hAnsi="Arial"/>
            <w:sz w:val="16"/>
            <w:szCs w:val="16"/>
            <w:u w:val="single" w:color="auto"/>
            <w:color w:val="0000FF"/>
          </w:rPr>
          <w:t>January 2005 Amendment to the ALLETE Non-Employee Director Compensation Deferral Plan (filed as Exhibit 10(c) to the March 31, 2005, Form</w:t>
        </w:r>
      </w:hyperlink>
      <w:r>
        <w:rPr>
          <w:rFonts w:ascii="Arial" w:cs="Arial" w:eastAsia="Arial" w:hAnsi="Arial"/>
          <w:sz w:val="16"/>
          <w:szCs w:val="16"/>
          <w:color w:val="0000FF"/>
        </w:rPr>
        <w:t xml:space="preserve"> </w:t>
      </w:r>
      <w:hyperlink r:id="rId108">
        <w:r>
          <w:rPr>
            <w:rFonts w:ascii="Arial" w:cs="Arial" w:eastAsia="Arial" w:hAnsi="Arial"/>
            <w:sz w:val="16"/>
            <w:szCs w:val="16"/>
            <w:u w:val="single" w:color="auto"/>
            <w:color w:val="0000FF"/>
          </w:rPr>
          <w:t>10-Q,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+*10(l)4</w:t>
        </w:r>
      </w:hyperlink>
      <w:r>
        <w:rPr>
          <w:rFonts w:ascii="Arial" w:cs="Arial" w:eastAsia="Arial" w:hAnsi="Arial"/>
          <w:sz w:val="16"/>
          <w:szCs w:val="16"/>
          <w:color w:val="0000FF"/>
        </w:rPr>
        <w:tab/>
        <w:t xml:space="preserve">— </w:t>
      </w:r>
      <w:hyperlink r:id="rId109">
        <w:r>
          <w:rPr>
            <w:rFonts w:ascii="Arial" w:cs="Arial" w:eastAsia="Arial" w:hAnsi="Arial"/>
            <w:sz w:val="16"/>
            <w:szCs w:val="16"/>
            <w:u w:val="single" w:color="auto"/>
            <w:color w:val="0000FF"/>
          </w:rPr>
          <w:t>October 2006 Amendment to the ALLETE Non-Employee Director Compensation Deferral Plan (filed as Exhibit 10(d) to the September 30, 2006,</w:t>
        </w:r>
      </w:hyperlink>
      <w:r>
        <w:rPr>
          <w:rFonts w:ascii="Arial" w:cs="Arial" w:eastAsia="Arial" w:hAnsi="Arial"/>
          <w:sz w:val="16"/>
          <w:szCs w:val="16"/>
          <w:color w:val="0000FF"/>
        </w:rPr>
        <w:t xml:space="preserve"> </w:t>
      </w:r>
      <w:hyperlink r:id="rId109">
        <w:r>
          <w:rPr>
            <w:rFonts w:ascii="Arial" w:cs="Arial" w:eastAsia="Arial" w:hAnsi="Arial"/>
            <w:sz w:val="16"/>
            <w:szCs w:val="16"/>
            <w:u w:val="single" w:color="auto"/>
            <w:color w:val="0000FF"/>
          </w:rPr>
          <w:t>Form 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+*10(l)5</w:t>
        </w:r>
      </w:hyperlink>
      <w:r>
        <w:rPr>
          <w:rFonts w:ascii="Arial" w:cs="Arial" w:eastAsia="Arial" w:hAnsi="Arial"/>
          <w:sz w:val="16"/>
          <w:szCs w:val="16"/>
          <w:color w:val="0000FF"/>
        </w:rPr>
        <w:tab/>
        <w:t xml:space="preserve">— </w:t>
      </w:r>
      <w:hyperlink r:id="rId111">
        <w:r>
          <w:rPr>
            <w:rFonts w:ascii="Arial" w:cs="Arial" w:eastAsia="Arial" w:hAnsi="Arial"/>
            <w:sz w:val="16"/>
            <w:szCs w:val="16"/>
            <w:u w:val="single" w:color="auto"/>
            <w:color w:val="0000FF"/>
          </w:rPr>
          <w:t>July 2012 Amendment to the ALLETE Non-Employee Director Compensation Deferral Plan (filed as Exhibit 10(n)5 to the 2012 Form 10-K, File</w:t>
        </w:r>
      </w:hyperlink>
      <w:r>
        <w:rPr>
          <w:rFonts w:ascii="Arial" w:cs="Arial" w:eastAsia="Arial" w:hAnsi="Arial"/>
          <w:sz w:val="16"/>
          <w:szCs w:val="16"/>
          <w:color w:val="0000FF"/>
        </w:rPr>
        <w:t xml:space="preserve"> </w:t>
      </w:r>
      <w:hyperlink r:id="rId111">
        <w:r>
          <w:rPr>
            <w:rFonts w:ascii="Arial" w:cs="Arial" w:eastAsia="Arial" w:hAnsi="Arial"/>
            <w:sz w:val="16"/>
            <w:szCs w:val="16"/>
            <w:u w:val="single" w:color="auto"/>
            <w:color w:val="0000FF"/>
          </w:rPr>
          <w:t>No. 1-3548).</w:t>
        </w:r>
      </w:hyperlink>
    </w:p>
    <w:p>
      <w:pPr>
        <w:sectPr>
          <w:pgSz w:w="11900" w:h="16838" w:orient="portrait"/>
          <w:cols w:equalWidth="0" w:num="1">
            <w:col w:w="11360"/>
          </w:cols>
          <w:pgMar w:left="240" w:top="891" w:right="299" w:bottom="1058" w:gutter="0" w:footer="0" w:header="0"/>
        </w:sectPr>
      </w:pPr>
    </w:p>
    <w:p>
      <w:pPr>
        <w:spacing w:after="0" w:line="222" w:lineRule="exact"/>
        <w:rPr>
          <w:rFonts w:ascii="Arial" w:cs="Arial" w:eastAsia="Arial" w:hAnsi="Arial"/>
          <w:sz w:val="16"/>
          <w:szCs w:val="16"/>
          <w:color w:val="0000FF"/>
        </w:rPr>
      </w:pPr>
    </w:p>
    <w:p>
      <w:pPr>
        <w:jc w:val="center"/>
        <w:ind w:right="-59"/>
        <w:spacing w:after="0"/>
        <w:rPr>
          <w:sz w:val="20"/>
          <w:szCs w:val="20"/>
          <w:color w:val="auto"/>
        </w:rPr>
      </w:pPr>
      <w:r>
        <w:rPr>
          <w:rFonts w:ascii="Arial" w:cs="Arial" w:eastAsia="Arial" w:hAnsi="Arial"/>
          <w:sz w:val="17"/>
          <w:szCs w:val="17"/>
          <w:color w:val="auto"/>
        </w:rPr>
        <w:t>ALLETE, Inc. 2017 Form 10-K</w:t>
      </w:r>
    </w:p>
    <w:p>
      <w:pPr>
        <w:spacing w:after="0" w:line="35" w:lineRule="exact"/>
        <w:rPr>
          <w:rFonts w:ascii="Arial" w:cs="Arial" w:eastAsia="Arial" w:hAnsi="Arial"/>
          <w:sz w:val="16"/>
          <w:szCs w:val="16"/>
          <w:color w:val="0000FF"/>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891" w:right="299" w:bottom="1058"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r:id="rId112">
              <w:r>
                <w:rPr>
                  <w:rFonts w:ascii="Arial" w:cs="Arial" w:eastAsia="Arial" w:hAnsi="Arial"/>
                  <w:sz w:val="16"/>
                  <w:szCs w:val="16"/>
                  <w:color w:val="0000FF"/>
                </w:rPr>
                <w:t>+*10(m)1</w:t>
              </w:r>
            </w:hyperlink>
          </w:p>
        </w:tc>
        <w:tc>
          <w:tcPr>
            <w:tcW w:w="10380" w:type="dxa"/>
            <w:vAlign w:val="bottom"/>
            <w:gridSpan w:val="11"/>
          </w:tcPr>
          <w:p>
            <w:pPr>
              <w:ind w:left="3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12">
              <w:r>
                <w:rPr>
                  <w:rFonts w:ascii="Arial" w:cs="Arial" w:eastAsia="Arial" w:hAnsi="Arial"/>
                  <w:sz w:val="16"/>
                  <w:szCs w:val="16"/>
                  <w:color w:val="0000FF"/>
                  <w:w w:val="97"/>
                </w:rPr>
                <w:t>ALLETE Non-Employee Director Compensation Deferral Plan II, effective May 1, 2009 (filed as Exhibit 10(a) to the June 30, 2009, Form 10-Q,</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380" w:type="dxa"/>
            <w:vAlign w:val="bottom"/>
            <w:gridSpan w:val="11"/>
          </w:tcPr>
          <w:p>
            <w:pPr>
              <w:ind w:left="640"/>
              <w:spacing w:after="0" w:line="183" w:lineRule="exact"/>
              <w:rPr>
                <w:rFonts w:ascii="Arial" w:cs="Arial" w:eastAsia="Arial" w:hAnsi="Arial"/>
                <w:sz w:val="16"/>
                <w:szCs w:val="16"/>
                <w:color w:val="0000FF"/>
              </w:rPr>
            </w:pPr>
            <w:hyperlink r:id="rId112">
              <w:r>
                <w:rPr>
                  <w:rFonts w:ascii="Arial" w:cs="Arial" w:eastAsia="Arial" w:hAnsi="Arial"/>
                  <w:sz w:val="16"/>
                  <w:szCs w:val="16"/>
                  <w:color w:val="0000FF"/>
                </w:rPr>
                <w:t>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rPr>
                <w:rFonts w:ascii="Arial" w:cs="Arial" w:eastAsia="Arial" w:hAnsi="Arial"/>
                <w:sz w:val="16"/>
                <w:szCs w:val="16"/>
                <w:color w:val="0000FF"/>
              </w:rPr>
            </w:pPr>
            <w:hyperlink r:id="rId113">
              <w:r>
                <w:rPr>
                  <w:rFonts w:ascii="Arial" w:cs="Arial" w:eastAsia="Arial" w:hAnsi="Arial"/>
                  <w:sz w:val="16"/>
                  <w:szCs w:val="16"/>
                  <w:color w:val="0000FF"/>
                </w:rPr>
                <w:t>+*10(m)2</w:t>
              </w:r>
            </w:hyperlink>
          </w:p>
        </w:tc>
        <w:tc>
          <w:tcPr>
            <w:tcW w:w="10380" w:type="dxa"/>
            <w:vAlign w:val="bottom"/>
            <w:gridSpan w:val="11"/>
            <w:shd w:val="clear" w:color="auto" w:fill="CCEEFF"/>
          </w:tcPr>
          <w:p>
            <w:pPr>
              <w:ind w:left="320"/>
              <w:spacing w:after="0"/>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13">
              <w:r>
                <w:rPr>
                  <w:rFonts w:ascii="Arial" w:cs="Arial" w:eastAsia="Arial" w:hAnsi="Arial"/>
                  <w:sz w:val="16"/>
                  <w:szCs w:val="16"/>
                  <w:color w:val="0000FF"/>
                  <w:w w:val="96"/>
                </w:rPr>
                <w:t>ALLETE Non-Employee Director Compensation Deferral Plan II, as amended and restated, effective July 24, 2012 (filed as Exhibit 10(o)2 to the</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380" w:type="dxa"/>
            <w:vAlign w:val="bottom"/>
            <w:gridSpan w:val="11"/>
            <w:shd w:val="clear" w:color="auto" w:fill="CCEEFF"/>
          </w:tcPr>
          <w:p>
            <w:pPr>
              <w:ind w:left="640"/>
              <w:spacing w:after="0" w:line="183" w:lineRule="exact"/>
              <w:rPr>
                <w:rFonts w:ascii="Arial" w:cs="Arial" w:eastAsia="Arial" w:hAnsi="Arial"/>
                <w:sz w:val="16"/>
                <w:szCs w:val="16"/>
                <w:color w:val="0000FF"/>
              </w:rPr>
            </w:pPr>
            <w:hyperlink r:id="rId113">
              <w:r>
                <w:rPr>
                  <w:rFonts w:ascii="Arial" w:cs="Arial" w:eastAsia="Arial" w:hAnsi="Arial"/>
                  <w:sz w:val="16"/>
                  <w:szCs w:val="16"/>
                  <w:color w:val="0000FF"/>
                </w:rPr>
                <w:t>2012 Form 10-K,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520" w:type="dxa"/>
            <w:vAlign w:val="bottom"/>
            <w:gridSpan w:val="3"/>
          </w:tcPr>
          <w:p>
            <w:pPr>
              <w:spacing w:after="0"/>
              <w:rPr>
                <w:rFonts w:ascii="Arial" w:cs="Arial" w:eastAsia="Arial" w:hAnsi="Arial"/>
                <w:sz w:val="16"/>
                <w:szCs w:val="16"/>
                <w:color w:val="0000FF"/>
                <w:w w:val="94"/>
              </w:rPr>
            </w:pPr>
            <w:hyperlink r:id="rId114">
              <w:r>
                <w:rPr>
                  <w:rFonts w:ascii="Arial" w:cs="Arial" w:eastAsia="Arial" w:hAnsi="Arial"/>
                  <w:sz w:val="16"/>
                  <w:szCs w:val="16"/>
                  <w:color w:val="0000FF"/>
                  <w:w w:val="94"/>
                </w:rPr>
                <w:t>+*10(n)</w:t>
              </w:r>
            </w:hyperlink>
          </w:p>
        </w:tc>
        <w:tc>
          <w:tcPr>
            <w:tcW w:w="460" w:type="dxa"/>
            <w:vAlign w:val="bottom"/>
            <w:gridSpan w:val="2"/>
          </w:tcPr>
          <w:p>
            <w:pPr>
              <w:spacing w:after="0"/>
              <w:rPr>
                <w:sz w:val="16"/>
                <w:szCs w:val="16"/>
                <w:color w:val="auto"/>
              </w:rPr>
            </w:pPr>
          </w:p>
        </w:tc>
        <w:tc>
          <w:tcPr>
            <w:tcW w:w="10380" w:type="dxa"/>
            <w:vAlign w:val="bottom"/>
            <w:gridSpan w:val="11"/>
          </w:tcPr>
          <w:p>
            <w:pPr>
              <w:ind w:left="32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114">
              <w:r>
                <w:rPr>
                  <w:rFonts w:ascii="Arial" w:cs="Arial" w:eastAsia="Arial" w:hAnsi="Arial"/>
                  <w:sz w:val="16"/>
                  <w:szCs w:val="16"/>
                  <w:color w:val="0000FF"/>
                  <w:w w:val="93"/>
                </w:rPr>
                <w:t>ALLETE Non-Employee Director Compensation Trust Agreement, as amended and restated, effective December 15, 2012 (filed as Exhibit 10(p)2 to</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380" w:type="dxa"/>
            <w:vAlign w:val="bottom"/>
            <w:gridSpan w:val="11"/>
          </w:tcPr>
          <w:p>
            <w:pPr>
              <w:ind w:left="640"/>
              <w:spacing w:after="0" w:line="183" w:lineRule="exact"/>
              <w:rPr>
                <w:rFonts w:ascii="Arial" w:cs="Arial" w:eastAsia="Arial" w:hAnsi="Arial"/>
                <w:sz w:val="16"/>
                <w:szCs w:val="16"/>
                <w:color w:val="0000FF"/>
              </w:rPr>
            </w:pPr>
            <w:hyperlink r:id="rId114">
              <w:r>
                <w:rPr>
                  <w:rFonts w:ascii="Arial" w:cs="Arial" w:eastAsia="Arial" w:hAnsi="Arial"/>
                  <w:sz w:val="16"/>
                  <w:szCs w:val="16"/>
                  <w:color w:val="0000FF"/>
                </w:rPr>
                <w:t>the 2012 Form 10-K,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520" w:type="dxa"/>
            <w:vAlign w:val="bottom"/>
            <w:gridSpan w:val="3"/>
            <w:shd w:val="clear" w:color="auto" w:fill="CCEEFF"/>
          </w:tcPr>
          <w:p>
            <w:pPr>
              <w:spacing w:after="0"/>
              <w:rPr>
                <w:rFonts w:ascii="Arial" w:cs="Arial" w:eastAsia="Arial" w:hAnsi="Arial"/>
                <w:sz w:val="16"/>
                <w:szCs w:val="16"/>
                <w:color w:val="0000FF"/>
                <w:w w:val="94"/>
              </w:rPr>
            </w:pPr>
            <w:hyperlink r:id="rId115">
              <w:r>
                <w:rPr>
                  <w:rFonts w:ascii="Arial" w:cs="Arial" w:eastAsia="Arial" w:hAnsi="Arial"/>
                  <w:sz w:val="16"/>
                  <w:szCs w:val="16"/>
                  <w:color w:val="0000FF"/>
                  <w:w w:val="94"/>
                </w:rPr>
                <w:t>+*10(o)</w:t>
              </w:r>
            </w:hyperlink>
          </w:p>
        </w:tc>
        <w:tc>
          <w:tcPr>
            <w:tcW w:w="460" w:type="dxa"/>
            <w:vAlign w:val="bottom"/>
            <w:gridSpan w:val="2"/>
            <w:shd w:val="clear" w:color="auto" w:fill="CCEEFF"/>
          </w:tcPr>
          <w:p>
            <w:pPr>
              <w:spacing w:after="0"/>
              <w:rPr>
                <w:sz w:val="16"/>
                <w:szCs w:val="16"/>
                <w:color w:val="auto"/>
              </w:rPr>
            </w:pPr>
          </w:p>
        </w:tc>
        <w:tc>
          <w:tcPr>
            <w:tcW w:w="10380" w:type="dxa"/>
            <w:vAlign w:val="bottom"/>
            <w:gridSpan w:val="11"/>
            <w:shd w:val="clear" w:color="auto" w:fill="CCEEFF"/>
          </w:tcPr>
          <w:p>
            <w:pPr>
              <w:ind w:left="32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115">
              <w:r>
                <w:rPr>
                  <w:rFonts w:ascii="Arial" w:cs="Arial" w:eastAsia="Arial" w:hAnsi="Arial"/>
                  <w:sz w:val="16"/>
                  <w:szCs w:val="16"/>
                  <w:color w:val="0000FF"/>
                  <w:w w:val="93"/>
                </w:rPr>
                <w:t>ALLETE and Affiliated Companies Change in Control Severance Plan, as amended and restated, effective January 19, 2011 (filed as Exhibit 10(q) to</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380" w:type="dxa"/>
            <w:vAlign w:val="bottom"/>
            <w:gridSpan w:val="11"/>
            <w:shd w:val="clear" w:color="auto" w:fill="CCEEFF"/>
          </w:tcPr>
          <w:p>
            <w:pPr>
              <w:ind w:left="640"/>
              <w:spacing w:after="0" w:line="183" w:lineRule="exact"/>
              <w:rPr>
                <w:rFonts w:ascii="Arial" w:cs="Arial" w:eastAsia="Arial" w:hAnsi="Arial"/>
                <w:sz w:val="16"/>
                <w:szCs w:val="16"/>
                <w:color w:val="0000FF"/>
              </w:rPr>
            </w:pPr>
            <w:hyperlink r:id="rId115">
              <w:r>
                <w:rPr>
                  <w:rFonts w:ascii="Arial" w:cs="Arial" w:eastAsia="Arial" w:hAnsi="Arial"/>
                  <w:sz w:val="16"/>
                  <w:szCs w:val="16"/>
                  <w:color w:val="0000FF"/>
                </w:rPr>
                <w:t>the 2010 Form 10-K,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380" w:type="dxa"/>
            <w:vAlign w:val="bottom"/>
            <w:gridSpan w:val="3"/>
          </w:tcPr>
          <w:p>
            <w:pPr>
              <w:ind w:left="40"/>
              <w:spacing w:after="0"/>
              <w:rPr>
                <w:rFonts w:ascii="Arial" w:cs="Arial" w:eastAsia="Arial" w:hAnsi="Arial"/>
                <w:sz w:val="16"/>
                <w:szCs w:val="16"/>
                <w:color w:val="0000FF"/>
              </w:rPr>
            </w:pPr>
            <w:hyperlink w:anchor="page163">
              <w:r>
                <w:rPr>
                  <w:rFonts w:ascii="Arial" w:cs="Arial" w:eastAsia="Arial" w:hAnsi="Arial"/>
                  <w:sz w:val="16"/>
                  <w:szCs w:val="16"/>
                  <w:color w:val="0000FF"/>
                </w:rPr>
                <w:t>12</w:t>
              </w:r>
            </w:hyperlink>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380" w:type="dxa"/>
            <w:vAlign w:val="bottom"/>
            <w:gridSpan w:val="11"/>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63">
              <w:r>
                <w:rPr>
                  <w:rFonts w:ascii="Arial" w:cs="Arial" w:eastAsia="Arial" w:hAnsi="Arial"/>
                  <w:sz w:val="16"/>
                  <w:szCs w:val="16"/>
                  <w:color w:val="0000FF"/>
                </w:rPr>
                <w:t>Computation of Ratios of Earnings to Fixed Charges.</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380" w:type="dxa"/>
            <w:vAlign w:val="bottom"/>
            <w:gridSpan w:val="3"/>
            <w:shd w:val="clear" w:color="auto" w:fill="CCEEFF"/>
          </w:tcPr>
          <w:p>
            <w:pPr>
              <w:ind w:left="40"/>
              <w:spacing w:after="0"/>
              <w:rPr>
                <w:rFonts w:ascii="Arial" w:cs="Arial" w:eastAsia="Arial" w:hAnsi="Arial"/>
                <w:sz w:val="16"/>
                <w:szCs w:val="16"/>
                <w:color w:val="0000FF"/>
              </w:rPr>
            </w:pPr>
            <w:hyperlink w:anchor="page164">
              <w:r>
                <w:rPr>
                  <w:rFonts w:ascii="Arial" w:cs="Arial" w:eastAsia="Arial" w:hAnsi="Arial"/>
                  <w:sz w:val="16"/>
                  <w:szCs w:val="16"/>
                  <w:color w:val="0000FF"/>
                </w:rPr>
                <w:t>21</w:t>
              </w:r>
            </w:hyperlink>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380" w:type="dxa"/>
            <w:vAlign w:val="bottom"/>
            <w:gridSpan w:val="11"/>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64">
              <w:r>
                <w:rPr>
                  <w:rFonts w:ascii="Arial" w:cs="Arial" w:eastAsia="Arial" w:hAnsi="Arial"/>
                  <w:sz w:val="16"/>
                  <w:szCs w:val="16"/>
                  <w:color w:val="0000FF"/>
                </w:rPr>
                <w:t>Subsidiaries of the Registrant.</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380" w:type="dxa"/>
            <w:vAlign w:val="bottom"/>
            <w:gridSpan w:val="3"/>
          </w:tcPr>
          <w:p>
            <w:pPr>
              <w:ind w:left="40"/>
              <w:spacing w:after="0"/>
              <w:rPr>
                <w:rFonts w:ascii="Arial" w:cs="Arial" w:eastAsia="Arial" w:hAnsi="Arial"/>
                <w:sz w:val="16"/>
                <w:szCs w:val="16"/>
                <w:color w:val="0000FF"/>
              </w:rPr>
            </w:pPr>
            <w:hyperlink w:anchor="page166">
              <w:r>
                <w:rPr>
                  <w:rFonts w:ascii="Arial" w:cs="Arial" w:eastAsia="Arial" w:hAnsi="Arial"/>
                  <w:sz w:val="16"/>
                  <w:szCs w:val="16"/>
                  <w:color w:val="0000FF"/>
                </w:rPr>
                <w:t>23</w:t>
              </w:r>
            </w:hyperlink>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380" w:type="dxa"/>
            <w:vAlign w:val="bottom"/>
            <w:gridSpan w:val="11"/>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66">
              <w:r>
                <w:rPr>
                  <w:rFonts w:ascii="Arial" w:cs="Arial" w:eastAsia="Arial" w:hAnsi="Arial"/>
                  <w:sz w:val="16"/>
                  <w:szCs w:val="16"/>
                  <w:color w:val="0000FF"/>
                </w:rPr>
                <w:t>Consent of Independent Registered Public Accounting Firm.</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rFonts w:ascii="Arial" w:cs="Arial" w:eastAsia="Arial" w:hAnsi="Arial"/>
                <w:sz w:val="16"/>
                <w:szCs w:val="16"/>
                <w:color w:val="0000FF"/>
                <w:w w:val="85"/>
              </w:rPr>
            </w:pPr>
            <w:hyperlink w:anchor="page167">
              <w:r>
                <w:rPr>
                  <w:rFonts w:ascii="Arial" w:cs="Arial" w:eastAsia="Arial" w:hAnsi="Arial"/>
                  <w:sz w:val="16"/>
                  <w:szCs w:val="16"/>
                  <w:color w:val="0000FF"/>
                  <w:w w:val="85"/>
                </w:rPr>
                <w:t>31(a)</w:t>
              </w:r>
            </w:hyperlink>
          </w:p>
        </w:tc>
        <w:tc>
          <w:tcPr>
            <w:tcW w:w="640" w:type="dxa"/>
            <w:vAlign w:val="bottom"/>
            <w:gridSpan w:val="3"/>
            <w:shd w:val="clear" w:color="auto" w:fill="CCEEFF"/>
          </w:tcPr>
          <w:p>
            <w:pPr>
              <w:spacing w:after="0"/>
              <w:rPr>
                <w:sz w:val="16"/>
                <w:szCs w:val="16"/>
                <w:color w:val="auto"/>
              </w:rPr>
            </w:pPr>
          </w:p>
        </w:tc>
        <w:tc>
          <w:tcPr>
            <w:tcW w:w="10380" w:type="dxa"/>
            <w:vAlign w:val="bottom"/>
            <w:gridSpan w:val="11"/>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67">
              <w:r>
                <w:rPr>
                  <w:rFonts w:ascii="Arial" w:cs="Arial" w:eastAsia="Arial" w:hAnsi="Arial"/>
                  <w:sz w:val="16"/>
                  <w:szCs w:val="16"/>
                  <w:color w:val="0000FF"/>
                </w:rPr>
                <w:t>Rule 13a-14(a)/15d-14(a) Certification by the Chief Executive Officer Pursuant to Section 302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5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w:anchor="page168">
              <w:r>
                <w:rPr>
                  <w:rFonts w:ascii="Arial" w:cs="Arial" w:eastAsia="Arial" w:hAnsi="Arial"/>
                  <w:sz w:val="16"/>
                  <w:szCs w:val="16"/>
                  <w:color w:val="0000FF"/>
                </w:rPr>
                <w:t>31(b)</w:t>
              </w:r>
            </w:hyperlink>
          </w:p>
        </w:tc>
        <w:tc>
          <w:tcPr>
            <w:tcW w:w="10380" w:type="dxa"/>
            <w:vAlign w:val="bottom"/>
            <w:gridSpan w:val="11"/>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68">
              <w:r>
                <w:rPr>
                  <w:rFonts w:ascii="Arial" w:cs="Arial" w:eastAsia="Arial" w:hAnsi="Arial"/>
                  <w:sz w:val="16"/>
                  <w:szCs w:val="16"/>
                  <w:color w:val="0000FF"/>
                </w:rPr>
                <w:t>Rule 13a-14(a)/15d-14(a) Certification by the Chief Financial Officer Pursuant to Section 302 of the Sarbanes-Oxley Act of 2002.</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1" w:lineRule="exact"/>
        <w:rPr>
          <w:sz w:val="20"/>
          <w:szCs w:val="20"/>
          <w:color w:val="auto"/>
        </w:rPr>
      </w:pPr>
    </w:p>
    <w:p>
      <w:pPr>
        <w:ind w:left="1660" w:right="40" w:hanging="1625"/>
        <w:spacing w:after="0" w:line="293" w:lineRule="auto"/>
        <w:tabs>
          <w:tab w:leader="none" w:pos="1349" w:val="left"/>
        </w:tabs>
        <w:numPr>
          <w:ilvl w:val="0"/>
          <w:numId w:val="20"/>
        </w:numPr>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w:anchor="page169">
        <w:r>
          <w:rPr>
            <w:rFonts w:ascii="Arial" w:cs="Arial" w:eastAsia="Arial" w:hAnsi="Arial"/>
            <w:sz w:val="16"/>
            <w:szCs w:val="16"/>
            <w:u w:val="single" w:color="auto"/>
            <w:color w:val="0000FF"/>
          </w:rPr>
          <w:t>Section 1350 Certification of Annual Report by the Chief Executive Officer and Chief Financial Officer Pursuant to Section 906 of the Sarbanes-</w:t>
        </w:r>
      </w:hyperlink>
      <w:hyperlink w:anchor="page169">
        <w:r>
          <w:rPr>
            <w:rFonts w:ascii="Arial" w:cs="Arial" w:eastAsia="Arial" w:hAnsi="Arial"/>
            <w:sz w:val="16"/>
            <w:szCs w:val="16"/>
            <w:u w:val="single" w:color="auto"/>
            <w:color w:val="0000FF"/>
          </w:rPr>
          <w:t>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29475" cy="54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7">
                      <a:extLst>
                        <a:ext uri="{28A0092B-C50C-407E-A947-70E740481C1C}"/>
                      </a:extLst>
                    </a:blip>
                    <a:srcRect/>
                    <a:stretch>
                      <a:fillRect/>
                    </a:stretch>
                  </pic:blipFill>
                  <pic:spPr bwMode="auto">
                    <a:xfrm>
                      <a:off x="0" y="0"/>
                      <a:ext cx="7229475" cy="548640"/>
                    </a:xfrm>
                    <a:prstGeom prst="rect">
                      <a:avLst/>
                    </a:prstGeom>
                    <a:noFill/>
                  </pic:spPr>
                </pic:pic>
              </a:graphicData>
            </a:graphic>
          </wp:anchor>
        </w:drawing>
      </w:r>
    </w:p>
    <w:p>
      <w:pPr>
        <w:spacing w:after="0" w:line="243" w:lineRule="exact"/>
        <w:rPr>
          <w:rFonts w:ascii="Arial" w:cs="Arial" w:eastAsia="Arial" w:hAnsi="Arial"/>
          <w:sz w:val="16"/>
          <w:szCs w:val="16"/>
          <w:u w:val="single" w:color="auto"/>
          <w:color w:val="0000FF"/>
        </w:rPr>
      </w:pPr>
    </w:p>
    <w:p>
      <w:pPr>
        <w:ind w:left="1660" w:right="40" w:hanging="1625"/>
        <w:spacing w:after="0" w:line="275" w:lineRule="auto"/>
        <w:tabs>
          <w:tab w:leader="none" w:pos="1349" w:val="left"/>
        </w:tabs>
        <w:numPr>
          <w:ilvl w:val="0"/>
          <w:numId w:val="21"/>
        </w:numPr>
        <w:rPr>
          <w:rFonts w:ascii="Arial" w:cs="Arial" w:eastAsia="Arial" w:hAnsi="Arial"/>
          <w:sz w:val="16"/>
          <w:szCs w:val="16"/>
          <w:b w:val="1"/>
          <w:bCs w:val="1"/>
          <w:u w:val="single" w:color="auto"/>
          <w:color w:val="0000FF"/>
        </w:rPr>
      </w:pPr>
      <w:r>
        <w:rPr>
          <w:rFonts w:ascii="Arial" w:cs="Arial" w:eastAsia="Arial" w:hAnsi="Arial"/>
          <w:sz w:val="16"/>
          <w:szCs w:val="16"/>
          <w:color w:val="auto"/>
        </w:rPr>
        <w:t xml:space="preserve">— </w:t>
      </w:r>
      <w:hyperlink w:anchor="page171">
        <w:r>
          <w:rPr>
            <w:rFonts w:ascii="Arial" w:cs="Arial" w:eastAsia="Arial" w:hAnsi="Arial"/>
            <w:sz w:val="16"/>
            <w:szCs w:val="16"/>
            <w:b w:val="1"/>
            <w:bCs w:val="1"/>
            <w:u w:val="single" w:color="auto"/>
            <w:color w:val="0000FF"/>
          </w:rPr>
          <w:t>ALLETE News Release dated February 15, 2018, announcing earnings for the year ended December 31, 2017. (This exhibit has been</w:t>
        </w:r>
      </w:hyperlink>
      <w:r>
        <w:rPr>
          <w:rFonts w:ascii="Arial" w:cs="Arial" w:eastAsia="Arial" w:hAnsi="Arial"/>
          <w:sz w:val="16"/>
          <w:szCs w:val="16"/>
          <w:color w:val="auto"/>
        </w:rPr>
        <w:t xml:space="preserve"> </w:t>
      </w:r>
      <w:hyperlink w:anchor="page171">
        <w:r>
          <w:rPr>
            <w:rFonts w:ascii="Arial" w:cs="Arial" w:eastAsia="Arial" w:hAnsi="Arial"/>
            <w:sz w:val="16"/>
            <w:szCs w:val="16"/>
            <w:b w:val="1"/>
            <w:bCs w:val="1"/>
            <w:u w:val="single" w:color="auto"/>
            <w:color w:val="0000FF"/>
          </w:rPr>
          <w:t>furnished and shall not be deemed “filed” for purposes of Section 18 of the Securities Exchange Act of 1934, nor shall it be deemed</w:t>
        </w:r>
      </w:hyperlink>
      <w:r>
        <w:rPr>
          <w:rFonts w:ascii="Arial" w:cs="Arial" w:eastAsia="Arial" w:hAnsi="Arial"/>
          <w:sz w:val="16"/>
          <w:szCs w:val="16"/>
          <w:b w:val="1"/>
          <w:bCs w:val="1"/>
          <w:u w:val="single" w:color="auto"/>
          <w:color w:val="0000FF"/>
        </w:rPr>
        <w:t xml:space="preserve"> </w:t>
      </w:r>
      <w:hyperlink w:anchor="page171">
        <w:r>
          <w:rPr>
            <w:rFonts w:ascii="Arial" w:cs="Arial" w:eastAsia="Arial" w:hAnsi="Arial"/>
            <w:sz w:val="16"/>
            <w:szCs w:val="16"/>
            <w:b w:val="1"/>
            <w:bCs w:val="1"/>
            <w:u w:val="single" w:color="auto"/>
            <w:color w:val="0000FF"/>
          </w:rPr>
          <w:t>incorporated by reference in any filing under the Securities Act of 1933, except as shall be expressly set forth by specific reference in such</w:t>
        </w:r>
      </w:hyperlink>
      <w:r>
        <w:rPr>
          <w:rFonts w:ascii="Arial" w:cs="Arial" w:eastAsia="Arial" w:hAnsi="Arial"/>
          <w:sz w:val="16"/>
          <w:szCs w:val="16"/>
          <w:b w:val="1"/>
          <w:bCs w:val="1"/>
          <w:u w:val="single" w:color="auto"/>
          <w:color w:val="0000FF"/>
        </w:rPr>
        <w:t xml:space="preserve"> </w:t>
      </w:r>
      <w:hyperlink w:anchor="page171">
        <w:r>
          <w:rPr>
            <w:rFonts w:ascii="Arial" w:cs="Arial" w:eastAsia="Arial" w:hAnsi="Arial"/>
            <w:sz w:val="16"/>
            <w:szCs w:val="16"/>
            <w:b w:val="1"/>
            <w:bCs w:val="1"/>
            <w:u w:val="single" w:color="auto"/>
            <w:color w:val="0000FF"/>
          </w:rPr>
          <w:t>filing.)</w:t>
        </w:r>
      </w:hyperlink>
    </w:p>
    <w:p>
      <w:pPr>
        <w:spacing w:after="0" w:line="25"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06"/>
        </w:trPr>
        <w:tc>
          <w:tcPr>
            <w:tcW w:w="1000" w:type="dxa"/>
            <w:vAlign w:val="bottom"/>
          </w:tcPr>
          <w:p>
            <w:pPr>
              <w:ind w:left="40"/>
              <w:spacing w:after="0"/>
              <w:rPr>
                <w:sz w:val="20"/>
                <w:szCs w:val="20"/>
                <w:color w:val="auto"/>
              </w:rPr>
            </w:pPr>
            <w:r>
              <w:rPr>
                <w:rFonts w:ascii="Arial" w:cs="Arial" w:eastAsia="Arial" w:hAnsi="Arial"/>
                <w:sz w:val="16"/>
                <w:szCs w:val="16"/>
                <w:color w:val="auto"/>
              </w:rPr>
              <w:t>101.INS</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Instance</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Schema</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101.CAL</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Calculation</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Definition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101.LAB</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Label</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24"/>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XBRL Presentation</w:t>
            </w:r>
          </w:p>
        </w:tc>
      </w:tr>
      <w:tr>
        <w:trPr>
          <w:trHeight w:val="33"/>
        </w:trPr>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20" w:type="dxa"/>
            <w:vAlign w:val="bottom"/>
            <w:shd w:val="clear" w:color="auto" w:fill="CCEEFF"/>
          </w:tcPr>
          <w:p>
            <w:pPr>
              <w:spacing w:after="0"/>
              <w:rPr>
                <w:sz w:val="2"/>
                <w:szCs w:val="2"/>
                <w:color w:val="auto"/>
              </w:rPr>
            </w:pPr>
          </w:p>
        </w:tc>
      </w:tr>
    </w:tbl>
    <w:p>
      <w:pPr>
        <w:spacing w:after="0" w:line="229"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8"/>
          <w:szCs w:val="18"/>
          <w:color w:val="auto"/>
        </w:rPr>
        <w:t>ALLETE, Inc. 2017 Form 10-K</w:t>
      </w:r>
    </w:p>
    <w:p>
      <w:pPr>
        <w:spacing w:after="0" w:line="23"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89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ALLETE or its subsidiaries are obligors under various long-term debt instruments including, but not limited to, the following:</w:t>
      </w:r>
    </w:p>
    <w:p>
      <w:pPr>
        <w:spacing w:after="0" w:line="225"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$38,995,000 original principal amount, of City of Cohasset, Minnesota, Variable Rate Demand Revenue Refunding Bonds (ALLETE, formerly Minnesota Power &amp; Light Company, Project) Series 1997A ($13,500,000 remaining principal balance);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$27,800,000 of Collier County Industrial Development Authority, Industrial Development Variable Rate Demand Refunding Revenue Bonds Series 2006;</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$6,370,000 of City of Superior, Wisconsin, Collateralized Utility Revenue Refunding Bonds Series 2007A;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$6,130,000 of City of Superior, Wisconsin, Collateralized Utility Revenue Bonds Series 2007B.</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Item 601(b)(4)(iii) of Regulation S-K, these long-term debt instruments are not filed as exhibits because the total amount of debt authorized under each of these omitted instruments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29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37" w:lineRule="exact"/>
        <w:rPr>
          <w:sz w:val="20"/>
          <w:szCs w:val="20"/>
          <w:color w:val="auto"/>
        </w:rPr>
      </w:pPr>
    </w:p>
    <w:p>
      <w:pPr>
        <w:ind w:left="620" w:hanging="585"/>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02"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President,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52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Title</w:t>
            </w:r>
          </w:p>
        </w:tc>
        <w:tc>
          <w:tcPr>
            <w:tcW w:w="22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4"/>
              </w:rPr>
              <w:t>/s/ Alan R. Hodnik</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2"/>
              </w:rPr>
              <w:t>Chairman, President, Chief Executive Officer and Director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15,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90"/>
              <w:spacing w:after="0"/>
              <w:rPr>
                <w:sz w:val="20"/>
                <w:szCs w:val="20"/>
                <w:color w:val="auto"/>
              </w:rPr>
            </w:pPr>
            <w:r>
              <w:rPr>
                <w:rFonts w:ascii="Arial" w:cs="Arial" w:eastAsia="Arial" w:hAnsi="Arial"/>
                <w:sz w:val="18"/>
                <w:szCs w:val="18"/>
                <w:color w:val="auto"/>
                <w:w w:val="94"/>
              </w:rPr>
              <w:t>(Principal Executive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6"/>
              </w:rPr>
              <w:t>Alan R. Hodnik</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2"/>
              </w:rPr>
              <w:t>Senior Vice President and Chief Financial Officer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15,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110"/>
              <w:spacing w:after="0"/>
              <w:rPr>
                <w:sz w:val="20"/>
                <w:szCs w:val="20"/>
                <w:color w:val="auto"/>
              </w:rPr>
            </w:pPr>
            <w:r>
              <w:rPr>
                <w:rFonts w:ascii="Arial" w:cs="Arial" w:eastAsia="Arial" w:hAnsi="Arial"/>
                <w:sz w:val="18"/>
                <w:szCs w:val="18"/>
                <w:color w:val="auto"/>
                <w:w w:val="94"/>
              </w:rPr>
              <w:t>(Principal Financial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3"/>
              </w:rPr>
              <w:t>Vice President, Controller and Chief Accounting Officer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15, 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90"/>
              <w:spacing w:after="0"/>
              <w:rPr>
                <w:sz w:val="20"/>
                <w:szCs w:val="20"/>
                <w:color w:val="auto"/>
              </w:rPr>
            </w:pPr>
            <w:r>
              <w:rPr>
                <w:rFonts w:ascii="Arial" w:cs="Arial" w:eastAsia="Arial" w:hAnsi="Arial"/>
                <w:sz w:val="18"/>
                <w:szCs w:val="18"/>
                <w:color w:val="auto"/>
                <w:w w:val="95"/>
              </w:rPr>
              <w:t>(Principal Accounting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60" w:type="dxa"/>
            <w:vAlign w:val="bottom"/>
          </w:tcPr>
          <w:p>
            <w:pPr>
              <w:spacing w:after="0"/>
              <w:rPr>
                <w:sz w:val="24"/>
                <w:szCs w:val="24"/>
                <w:color w:val="auto"/>
              </w:rPr>
            </w:pPr>
          </w:p>
        </w:tc>
        <w:tc>
          <w:tcPr>
            <w:tcW w:w="5520" w:type="dxa"/>
            <w:vAlign w:val="bottom"/>
          </w:tcPr>
          <w:p>
            <w:pPr>
              <w:jc w:val="center"/>
              <w:ind w:right="1330"/>
              <w:spacing w:after="0"/>
              <w:rPr>
                <w:sz w:val="20"/>
                <w:szCs w:val="20"/>
                <w:color w:val="auto"/>
              </w:rPr>
            </w:pPr>
            <w:r>
              <w:rPr>
                <w:rFonts w:ascii="Arial" w:cs="Arial" w:eastAsia="Arial" w:hAnsi="Arial"/>
                <w:sz w:val="18"/>
                <w:szCs w:val="18"/>
                <w:color w:val="auto"/>
                <w:w w:val="95"/>
              </w:rPr>
              <w:t>ALLETE, Inc. 2017 Form 10-K</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5520" w:type="dxa"/>
            <w:vAlign w:val="bottom"/>
          </w:tcPr>
          <w:p>
            <w:pPr>
              <w:jc w:val="right"/>
              <w:ind w:right="3290"/>
              <w:spacing w:after="0"/>
              <w:rPr>
                <w:sz w:val="20"/>
                <w:szCs w:val="20"/>
                <w:color w:val="auto"/>
              </w:rPr>
            </w:pPr>
            <w:r>
              <w:rPr>
                <w:rFonts w:ascii="Arial" w:cs="Arial" w:eastAsia="Arial" w:hAnsi="Arial"/>
                <w:sz w:val="18"/>
                <w:szCs w:val="18"/>
                <w:color w:val="auto"/>
              </w:rPr>
              <w:t>71</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6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64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Kathryn W. Dindo</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Sidney W. Emery,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Sidney W. Emery,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George G. Goldfarb</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/s/ James S. Haines,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James S. Haines,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James J. Hoolihan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James J. Hoolihan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Heidi E. Jimmerson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Heidi E. Jimmerson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Madeleine W. Ludlow</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Susan K. Nestegard</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Susan K. Nestegard</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Douglas C. Neve</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Douglas C. Neve</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7"/>
              </w:rPr>
              <w:t>/s/ Robert P. Powers</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7"/>
              </w:rPr>
              <w:t>Robert P. Powers</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Leonard C. Rodman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2018</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Leonard C. Rodman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88"/>
        </w:trPr>
        <w:tc>
          <w:tcPr>
            <w:tcW w:w="3660" w:type="dxa"/>
            <w:vAlign w:val="bottom"/>
          </w:tcPr>
          <w:p>
            <w:pPr>
              <w:spacing w:after="0"/>
              <w:rPr>
                <w:sz w:val="24"/>
                <w:szCs w:val="24"/>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95"/>
              </w:rPr>
              <w:t>ALLETE, Inc. 2017 Form 10-K</w:t>
            </w:r>
          </w:p>
        </w:tc>
        <w:tc>
          <w:tcPr>
            <w:tcW w:w="312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89"/>
              </w:rPr>
              <w:t>72</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702" w:right="239" w:bottom="1440" w:gutter="0" w:footer="0" w:header="0"/>
        </w:sectPr>
      </w:pPr>
    </w:p>
    <w:bookmarkStart w:id="73" w:name="page74"/>
    <w:bookmarkEnd w:id="7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ALLETE, Inc. and its subsidiaries as of December 31, 2017 and 2016, and the related consolidated statements of income, comprehensive income, equity and cash flows for each of the three years in the period ended December 31, 2017, including the related notes and schedule of valuation and qualifying accounts and reserves for each of the three years in the period ended December 31, 2017 appearing under Item 15(a)(2)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702" w:right="27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 (Continued)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70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$98.9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Accounts Receivable (Less Allowance of $2.1 and $3.1)</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135.1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122.5</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95.9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37.6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3,822.4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3,741.2</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384.7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118.7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135.6</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53.1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225.9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107.7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$5,080.0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$4,876.9</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$136.3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50.0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17.6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Other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83.2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351.2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399.5</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1,439.2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1,370.4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230.5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532.0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125.8</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191.8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267.1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322.7</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3,011.8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2,983.9</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11)</w:t>
            </w:r>
          </w:p>
        </w:tc>
        <w:tc>
          <w:tcPr>
            <w:tcW w:w="1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w w:val="97"/>
              </w:rPr>
              <w:t>Common Stock Without Par Value, 80.0 Shares Authorized, 51.1 and 49.6 Shares Issued and Outstanding</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1,401.4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1,295.3</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689.4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625.9</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2,068.2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1,893.0</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$5,080.0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$4,876.9</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02"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$1,063.8</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$1,000.7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$991.2</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355.5</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339.0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495.2</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1,419.3</w:t>
            </w:r>
          </w:p>
        </w:tc>
        <w:tc>
          <w:tcPr>
            <w:tcW w:w="15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1,339.7</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1,486.4</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396.9</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339.9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336.0</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 Services – 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71.2</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65.2</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Cost of Sales – Non-utility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147.8</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137.7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294.4</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and Maintenance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339.9</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334.1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177.5</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195.8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170.0</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56.9</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53.8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1,189.5</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1,116.2</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229.8</w:t>
            </w:r>
          </w:p>
        </w:tc>
        <w:tc>
          <w:tcPr>
            <w:tcW w:w="15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223.5</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210.7</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(67.8)</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(70.3)</w:t>
            </w:r>
          </w:p>
        </w:tc>
        <w:tc>
          <w:tcPr>
            <w:tcW w:w="108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Earnings in ATC</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22.5</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18.5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3.9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(42.9)</w:t>
            </w:r>
          </w:p>
        </w:tc>
        <w:tc>
          <w:tcPr>
            <w:tcW w:w="1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(47.9)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186.9</w:t>
            </w:r>
          </w:p>
        </w:tc>
        <w:tc>
          <w:tcPr>
            <w:tcW w:w="15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175.6</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166.8</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14.7</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172.2</w:t>
            </w:r>
          </w:p>
        </w:tc>
        <w:tc>
          <w:tcPr>
            <w:tcW w:w="15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155.8</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$172.2</w:t>
            </w:r>
          </w:p>
        </w:tc>
        <w:tc>
          <w:tcPr>
            <w:tcW w:w="15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$155.3</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$141.1</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Basic</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50.8</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49.3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51.0</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49.5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$3.39</w:t>
            </w:r>
          </w:p>
        </w:tc>
        <w:tc>
          <w:tcPr>
            <w:tcW w:w="15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$3.15</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$3.38</w:t>
            </w:r>
          </w:p>
        </w:tc>
        <w:tc>
          <w:tcPr>
            <w:tcW w:w="15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$2.14</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$2.08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02"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Comprehensive Income</w:t>
            </w:r>
          </w:p>
        </w:tc>
        <w:tc>
          <w:tcPr>
            <w:tcW w:w="2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5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$172.2</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r>
      <w:tr>
        <w:trPr>
          <w:trHeight w:val="237"/>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80"/>
              <w:spacing w:after="0"/>
              <w:rPr>
                <w:sz w:val="20"/>
                <w:szCs w:val="20"/>
                <w:color w:val="auto"/>
              </w:rPr>
            </w:pPr>
            <w:r>
              <w:rPr>
                <w:rFonts w:ascii="Arial" w:cs="Arial" w:eastAsia="Arial" w:hAnsi="Arial"/>
                <w:sz w:val="18"/>
                <w:szCs w:val="18"/>
                <w:color w:val="auto"/>
              </w:rPr>
              <w:t>Net of Income Tax Expense (Benefit) of $0.7, $(0.2) and $(0.3)</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0.9</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2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80"/>
              <w:spacing w:after="0"/>
              <w:rPr>
                <w:sz w:val="20"/>
                <w:szCs w:val="20"/>
                <w:color w:val="auto"/>
              </w:rPr>
            </w:pPr>
            <w:r>
              <w:rPr>
                <w:rFonts w:ascii="Arial" w:cs="Arial" w:eastAsia="Arial" w:hAnsi="Arial"/>
                <w:sz w:val="18"/>
                <w:szCs w:val="18"/>
                <w:color w:val="auto"/>
              </w:rPr>
              <w:t>Net of Income Tax Expense of $–, $– and $0.1</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80"/>
              <w:spacing w:after="0"/>
              <w:rPr>
                <w:sz w:val="20"/>
                <w:szCs w:val="20"/>
                <w:color w:val="auto"/>
              </w:rPr>
            </w:pPr>
            <w:r>
              <w:rPr>
                <w:rFonts w:ascii="Arial" w:cs="Arial" w:eastAsia="Arial" w:hAnsi="Arial"/>
                <w:sz w:val="18"/>
                <w:szCs w:val="18"/>
                <w:color w:val="auto"/>
              </w:rPr>
              <w:t>Net of Income Tax Expense (Benefit) of $2.2, $(2.4) and $(2.2)</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4.7</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5.6</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177.8</w:t>
            </w: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152.1</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w:t>
            </w:r>
          </w:p>
        </w:tc>
      </w:tr>
      <w:tr>
        <w:trPr>
          <w:trHeight w:val="27"/>
        </w:trPr>
        <w:tc>
          <w:tcPr>
            <w:tcW w:w="6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$177.8</w:t>
            </w: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$151.6</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$137.7</w:t>
            </w:r>
          </w:p>
        </w:tc>
      </w:tr>
      <w:tr>
        <w:trPr>
          <w:trHeight w:val="27"/>
        </w:trPr>
        <w:tc>
          <w:tcPr>
            <w:tcW w:w="6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02"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2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6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$172.2</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$155.8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$141.5</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Income from Equity Investments – Net of Dividends</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(5.7)</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Real Estate</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Deferred Fuel Adjustment Clause Charge</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19.5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Sales of Investments and Property, Plant and Equipment</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171.9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190.6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165.9</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PSAs</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Amortization of Other Intangible Assets and Other Assets</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10.2</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14.4</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Share-Based and ESOP Compensation Expense</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6.6</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5.1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Other Postretirement Benefit Expense</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Interim Rate Refund</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32.3</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66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11.9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13.3</w:t>
            </w: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Prepayments and Other</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(5.3)</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66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(7.5)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6.5</w:t>
            </w: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Plans</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(1.7)</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(6.3)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(31.7)</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11.1</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6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from Operating Activities</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402.9</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332.0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(8.6)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(9.4)</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 of Subsidiaries – Net of Cash Acquired</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Investment in ATC</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(5.4)</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to Other Investments</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(208.5)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(265.6)</w:t>
            </w:r>
          </w:p>
        </w:tc>
        <w:tc>
          <w:tcPr>
            <w:tcW w:w="1060" w:type="dxa"/>
            <w:vAlign w:val="bottom"/>
          </w:tcPr>
          <w:p>
            <w:pPr>
              <w:jc w:val="right"/>
              <w:spacing w:after="0"/>
              <w:rPr>
                <w:sz w:val="20"/>
                <w:szCs w:val="20"/>
                <w:color w:val="auto"/>
              </w:rPr>
            </w:pPr>
            <w:r>
              <w:rPr>
                <w:rFonts w:ascii="Arial" w:cs="Arial" w:eastAsia="Arial" w:hAnsi="Arial"/>
                <w:sz w:val="18"/>
                <w:szCs w:val="18"/>
                <w:color w:val="auto"/>
              </w:rPr>
              <w:t>(286.8)</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Changes in Restricted Cash</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(4.0)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for Investing Activities</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(229.0)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(276.2)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(618.8)</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86.0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30.9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131.5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324.5</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Restricted Cash</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Changes in Notes Payable</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Long-Term Debt</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(189.6)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Acquisition of Non-Controlling Interest</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(8.0)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Contingent Consideration Payments</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(108.7)</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(102.7)</w:t>
            </w:r>
          </w:p>
        </w:tc>
        <w:tc>
          <w:tcPr>
            <w:tcW w:w="106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7"/>
        </w:trPr>
        <w:tc>
          <w:tcPr>
            <w:tcW w:w="6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2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66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from (for) Financing Activities</w:t>
            </w:r>
          </w:p>
        </w:tc>
        <w:tc>
          <w:tcPr>
            <w:tcW w:w="22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(102.5)</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(125.3)</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r>
      <w:tr>
        <w:trPr>
          <w:trHeight w:val="27"/>
        </w:trPr>
        <w:tc>
          <w:tcPr>
            <w:tcW w:w="66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71.4</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(69.5)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27.5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97.0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145.8</w:t>
            </w:r>
          </w:p>
        </w:tc>
      </w:tr>
      <w:tr>
        <w:trPr>
          <w:trHeight w:val="27"/>
        </w:trPr>
        <w:tc>
          <w:tcPr>
            <w:tcW w:w="66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$98.9</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$27.5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0"/>
        </w:trPr>
        <w:tc>
          <w:tcPr>
            <w:tcW w:w="66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ectPr>
          <w:pgSz w:w="11900" w:h="16838" w:orient="portrait"/>
          <w:cols w:equalWidth="0" w:num="1">
            <w:col w:w="11420"/>
          </w:cols>
          <w:pgMar w:left="240" w:top="702" w:right="239" w:bottom="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9019"/>
          </w:cols>
          <w:pgMar w:left="1440" w:top="125"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ALLETE Consolidated Statement of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center"/>
              <w:ind w:right="91"/>
              <w:spacing w:after="0"/>
              <w:rPr>
                <w:sz w:val="20"/>
                <w:szCs w:val="20"/>
                <w:color w:val="auto"/>
              </w:rPr>
            </w:pPr>
            <w:r>
              <w:rPr>
                <w:rFonts w:ascii="Arial" w:cs="Arial" w:eastAsia="Arial" w:hAnsi="Arial"/>
                <w:sz w:val="16"/>
                <w:szCs w:val="16"/>
                <w:b w:val="1"/>
                <w:bCs w:val="1"/>
                <w:color w:val="auto"/>
                <w:w w:val="91"/>
              </w:rPr>
              <w:t>Accumulated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center"/>
              <w:ind w:right="71"/>
              <w:spacing w:after="0"/>
              <w:rPr>
                <w:sz w:val="20"/>
                <w:szCs w:val="20"/>
                <w:color w:val="auto"/>
              </w:rPr>
            </w:pPr>
            <w:r>
              <w:rPr>
                <w:rFonts w:ascii="Arial" w:cs="Arial" w:eastAsia="Arial" w:hAnsi="Arial"/>
                <w:sz w:val="16"/>
                <w:szCs w:val="16"/>
                <w:b w:val="1"/>
                <w:bCs w:val="1"/>
                <w:color w:val="auto"/>
                <w:w w:val="98"/>
              </w:rPr>
              <w:t>Other</w:t>
            </w:r>
          </w:p>
        </w:tc>
        <w:tc>
          <w:tcPr>
            <w:tcW w:w="1140" w:type="dxa"/>
            <w:vAlign w:val="bottom"/>
          </w:tcPr>
          <w:p>
            <w:pPr>
              <w:jc w:val="center"/>
              <w:ind w:right="111"/>
              <w:spacing w:after="0"/>
              <w:rPr>
                <w:sz w:val="20"/>
                <w:szCs w:val="20"/>
                <w:color w:val="auto"/>
              </w:rPr>
            </w:pPr>
            <w:r>
              <w:rPr>
                <w:rFonts w:ascii="Arial" w:cs="Arial" w:eastAsia="Arial" w:hAnsi="Arial"/>
                <w:sz w:val="16"/>
                <w:szCs w:val="16"/>
                <w:b w:val="1"/>
                <w:bCs w:val="1"/>
                <w:color w:val="auto"/>
                <w:w w:val="94"/>
              </w:rPr>
              <w:t>Unearned</w:t>
            </w:r>
          </w:p>
        </w:tc>
        <w:tc>
          <w:tcPr>
            <w:tcW w:w="10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Non-Controlling</w:t>
            </w:r>
          </w:p>
        </w:tc>
      </w:tr>
      <w:tr>
        <w:trPr>
          <w:trHeight w:val="203"/>
        </w:trPr>
        <w:tc>
          <w:tcPr>
            <w:tcW w:w="4120" w:type="dxa"/>
            <w:vAlign w:val="bottom"/>
          </w:tcPr>
          <w:p>
            <w:pPr>
              <w:spacing w:after="0"/>
              <w:rPr>
                <w:sz w:val="17"/>
                <w:szCs w:val="17"/>
                <w:color w:val="auto"/>
              </w:rPr>
            </w:pPr>
          </w:p>
        </w:tc>
        <w:tc>
          <w:tcPr>
            <w:tcW w:w="116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Retained</w:t>
            </w:r>
          </w:p>
        </w:tc>
        <w:tc>
          <w:tcPr>
            <w:tcW w:w="15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Comprehensive</w:t>
            </w:r>
          </w:p>
        </w:tc>
        <w:tc>
          <w:tcPr>
            <w:tcW w:w="1140" w:type="dxa"/>
            <w:vAlign w:val="bottom"/>
          </w:tcPr>
          <w:p>
            <w:pPr>
              <w:jc w:val="center"/>
              <w:ind w:right="111"/>
              <w:spacing w:after="0"/>
              <w:rPr>
                <w:sz w:val="20"/>
                <w:szCs w:val="20"/>
                <w:color w:val="auto"/>
              </w:rPr>
            </w:pPr>
            <w:r>
              <w:rPr>
                <w:rFonts w:ascii="Arial" w:cs="Arial" w:eastAsia="Arial" w:hAnsi="Arial"/>
                <w:sz w:val="16"/>
                <w:szCs w:val="16"/>
                <w:b w:val="1"/>
                <w:bCs w:val="1"/>
                <w:color w:val="auto"/>
                <w:w w:val="94"/>
              </w:rPr>
              <w:t>ESOP</w:t>
            </w:r>
          </w:p>
        </w:tc>
        <w:tc>
          <w:tcPr>
            <w:tcW w:w="1020" w:type="dxa"/>
            <w:vAlign w:val="bottom"/>
          </w:tcPr>
          <w:p>
            <w:pPr>
              <w:jc w:val="right"/>
              <w:ind w:right="151"/>
              <w:spacing w:after="0"/>
              <w:rPr>
                <w:sz w:val="20"/>
                <w:szCs w:val="20"/>
                <w:color w:val="auto"/>
              </w:rPr>
            </w:pPr>
            <w:r>
              <w:rPr>
                <w:rFonts w:ascii="Arial" w:cs="Arial" w:eastAsia="Arial" w:hAnsi="Arial"/>
                <w:sz w:val="16"/>
                <w:szCs w:val="16"/>
                <w:b w:val="1"/>
                <w:bCs w:val="1"/>
                <w:color w:val="auto"/>
              </w:rPr>
              <w:t>Common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Interest in</w:t>
            </w:r>
          </w:p>
        </w:tc>
      </w:tr>
      <w:tr>
        <w:trPr>
          <w:trHeight w:val="210"/>
        </w:trPr>
        <w:tc>
          <w:tcPr>
            <w:tcW w:w="412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Earnings</w:t>
            </w:r>
          </w:p>
        </w:tc>
        <w:tc>
          <w:tcPr>
            <w:tcW w:w="1500" w:type="dxa"/>
            <w:vAlign w:val="bottom"/>
          </w:tcPr>
          <w:p>
            <w:pPr>
              <w:jc w:val="center"/>
              <w:ind w:right="91"/>
              <w:spacing w:after="0"/>
              <w:rPr>
                <w:sz w:val="20"/>
                <w:szCs w:val="20"/>
                <w:color w:val="auto"/>
              </w:rPr>
            </w:pPr>
            <w:r>
              <w:rPr>
                <w:rFonts w:ascii="Arial" w:cs="Arial" w:eastAsia="Arial" w:hAnsi="Arial"/>
                <w:sz w:val="16"/>
                <w:szCs w:val="16"/>
                <w:b w:val="1"/>
                <w:bCs w:val="1"/>
                <w:color w:val="auto"/>
                <w:w w:val="85"/>
              </w:rPr>
              <w:t>Loss</w:t>
            </w:r>
          </w:p>
        </w:tc>
        <w:tc>
          <w:tcPr>
            <w:tcW w:w="1140" w:type="dxa"/>
            <w:vAlign w:val="bottom"/>
          </w:tcPr>
          <w:p>
            <w:pPr>
              <w:jc w:val="center"/>
              <w:ind w:right="111"/>
              <w:spacing w:after="0"/>
              <w:rPr>
                <w:sz w:val="20"/>
                <w:szCs w:val="20"/>
                <w:color w:val="auto"/>
              </w:rPr>
            </w:pPr>
            <w:r>
              <w:rPr>
                <w:rFonts w:ascii="Arial" w:cs="Arial" w:eastAsia="Arial" w:hAnsi="Arial"/>
                <w:sz w:val="16"/>
                <w:szCs w:val="16"/>
                <w:b w:val="1"/>
                <w:bCs w:val="1"/>
                <w:color w:val="auto"/>
                <w:w w:val="86"/>
              </w:rPr>
              <w:t>Shares</w:t>
            </w: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Stock</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Subsidiaries</w:t>
            </w:r>
          </w:p>
        </w:tc>
      </w:tr>
      <w:tr>
        <w:trPr>
          <w:trHeight w:val="33"/>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$1,611.2</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$530.1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$1,107.6</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141.1</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Securities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Defined Benefit Pension and Other Postretirement</w:t>
            </w:r>
          </w:p>
        </w:tc>
        <w:tc>
          <w:tcPr>
            <w:tcW w:w="1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138.1</w:t>
            </w: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Pr>
          <w:p>
            <w:pPr>
              <w:jc w:val="right"/>
              <w:spacing w:after="0"/>
              <w:rPr>
                <w:sz w:val="20"/>
                <w:szCs w:val="20"/>
                <w:color w:val="auto"/>
              </w:rPr>
            </w:pPr>
            <w:r>
              <w:rPr>
                <w:rFonts w:ascii="Arial" w:cs="Arial" w:eastAsia="Arial" w:hAnsi="Arial"/>
                <w:sz w:val="18"/>
                <w:szCs w:val="18"/>
                <w:color w:val="auto"/>
              </w:rPr>
              <w:t>(97.9)</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(97.9)</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 Earned</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7.2</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2015</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1,822.4</w:t>
            </w: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573.3</w:t>
            </w: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(24.5)</w:t>
            </w:r>
          </w:p>
        </w:tc>
        <w:tc>
          <w:tcPr>
            <w:tcW w:w="11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1,271.4</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155.8</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155.3</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Defined Benefit Pension and Other Postretirement</w:t>
            </w:r>
          </w:p>
        </w:tc>
        <w:tc>
          <w:tcPr>
            <w:tcW w:w="1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152.1</w:t>
            </w: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Retired</w:t>
            </w: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(102.7)</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1,893.0</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625.9</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1,295.3</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172.2</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Securities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0.9</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2"/>
              </w:rPr>
              <w:t>Defined Benefit Pension and Other Postretirement</w:t>
            </w: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Plans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w:t>
            </w:r>
          </w:p>
        </w:tc>
        <w:tc>
          <w:tcPr>
            <w:tcW w:w="1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106.1</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106.1</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(108.7)</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$2,068.2</w:t>
            </w: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$689.4</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w:t>
            </w:r>
          </w:p>
        </w:tc>
        <w:tc>
          <w:tcPr>
            <w:tcW w:w="11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$1,401.4</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02"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Our Consolidated Financial Statements include the accounts of ALLETE and all of our majority</w:t>
      </w:r>
      <w:r>
        <w:rPr>
          <w:rFonts w:ascii="MS PGothic" w:cs="MS PGothic" w:eastAsia="MS PGothic" w:hAnsi="MS PGothic"/>
          <w:sz w:val="16"/>
          <w:szCs w:val="16"/>
          <w:color w:val="auto"/>
        </w:rPr>
        <w:t>‑</w:t>
      </w:r>
      <w:r>
        <w:rPr>
          <w:rFonts w:ascii="Arial" w:cs="Arial" w:eastAsia="Arial" w:hAnsi="Arial"/>
          <w:sz w:val="16"/>
          <w:szCs w:val="16"/>
          <w:color w:val="auto"/>
        </w:rPr>
        <w:t>owned subsidiary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material intercompany balances and transactions have been eliminated in consolidation.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329"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BNI Energy, ALLETE Properties, other business development and corporate expenditures, unallocated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a small amount of non-rate base generation, approximately 5,000 acres of land in Minnesota, and earnings on cash and investments.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BNI Energy mines and sells lignite coal to two North Dakota mine-mouth generating units, one of which is Square Butte. In 2017, Square Butte supplied 50 percent (227.5 MW) of its output to Minnesota Power under long-term contracts. (See Note 11. Commitments, Guarantees and Contingencies.)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ALLETE Properties represents our legacy Florida real estate investment. Our strategy related to the real estate assets of ALLETE Properties is to sell individual parcels over time, but incorporates the possibility of a bulk sale of our entire real estate portfolio. Proceeds from a bulk sale would be strategically deployed to support growth in ALLETE Clean Energy and U.S. Water Services, collectively our energy infrastructure and related services businesses. ALLETE Properties will continue to maintain key entitlements and infrastructure without making additional investments or acquisitions. (See Note 8.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 consider all investments purchased with original maturities of three months or less to be cash equivalents.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02"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68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7680" w:type="dxa"/>
            <w:vAlign w:val="bottom"/>
          </w:tcPr>
          <w:p>
            <w:pPr>
              <w:ind w:left="280"/>
              <w:spacing w:after="0"/>
              <w:rPr>
                <w:sz w:val="20"/>
                <w:szCs w:val="20"/>
                <w:color w:val="auto"/>
              </w:rPr>
            </w:pPr>
            <w:r>
              <w:rPr>
                <w:rFonts w:ascii="Arial" w:cs="Arial" w:eastAsia="Arial" w:hAnsi="Arial"/>
                <w:sz w:val="18"/>
                <w:szCs w:val="18"/>
                <w:b w:val="1"/>
                <w:bCs w:val="1"/>
                <w:color w:val="auto"/>
              </w:rPr>
              <w:t>Consolidated Statement of Cash Flows</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$64.5</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$68.2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$0.4</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$0.5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Deferred Income Taxes Resulting from the TCJA</w:t>
            </w:r>
          </w:p>
        </w:tc>
        <w:tc>
          <w:tcPr>
            <w:tcW w:w="1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Increase in Regulatory Assets</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$80.9</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Investment in ATC</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$(27.9)</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Decrease in Deferred Income Taxes</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$(353.6)</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Regulatory Liabilities</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$393.6</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Increase (Decrease) in Accounts Payable for Capital Additions to Property, Plant and Equipment</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$67.2</w:t>
            </w: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Capitalized Asset Retirement Costs</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$(15.6)</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Camp Ripley Solar Financing</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Pension Plans</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$13.5</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7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Received for Land Inventory</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80"/>
              <w:spacing w:after="0"/>
              <w:rPr>
                <w:sz w:val="20"/>
                <w:szCs w:val="20"/>
                <w:color w:val="auto"/>
              </w:rPr>
            </w:pPr>
            <w:r>
              <w:rPr>
                <w:rFonts w:ascii="Arial" w:cs="Arial" w:eastAsia="Arial" w:hAnsi="Arial"/>
                <w:sz w:val="18"/>
                <w:szCs w:val="18"/>
                <w:color w:val="auto"/>
              </w:rPr>
              <w:t>Long-Term Finance Receivable for Land Inventory</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$12.0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Consolidated Balance Sheet net of an allowance for doubtful accounts. The allowance is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our evaluation of the receivable portfolio under current conditions, overall portfolio quality, review of specific situations and such other factors that, in our judgment, deserve recognition in estimating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1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Billed</w:t>
            </w:r>
          </w:p>
        </w:tc>
        <w:tc>
          <w:tcPr>
            <w:tcW w:w="4120" w:type="dxa"/>
            <w:vAlign w:val="bottom"/>
          </w:tcPr>
          <w:p>
            <w:pPr>
              <w:jc w:val="right"/>
              <w:ind w:right="450"/>
              <w:spacing w:after="0"/>
              <w:rPr>
                <w:sz w:val="20"/>
                <w:szCs w:val="20"/>
                <w:color w:val="auto"/>
              </w:rPr>
            </w:pPr>
            <w:r>
              <w:rPr>
                <w:rFonts w:ascii="Arial" w:cs="Arial" w:eastAsia="Arial" w:hAnsi="Arial"/>
                <w:sz w:val="18"/>
                <w:szCs w:val="18"/>
                <w:color w:val="auto"/>
              </w:rPr>
              <w:t>$112.6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6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4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24.6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412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1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4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$135.1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r>
      <w:tr>
        <w:trPr>
          <w:trHeight w:val="20"/>
        </w:trPr>
        <w:tc>
          <w:tcPr>
            <w:tcW w:w="614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We are subject to concentration of credit risk primarily as a result of accounts receivable. Minnesota Power sells electricity to</w:t>
      </w:r>
      <w:r>
        <w:rPr>
          <w:rFonts w:ascii="Arial" w:cs="Arial" w:eastAsia="Arial" w:hAnsi="Arial"/>
          <w:sz w:val="18"/>
          <w:szCs w:val="18"/>
          <w:b w:val="1"/>
          <w:bCs w:val="1"/>
          <w:color w:val="auto"/>
        </w:rPr>
        <w:t xml:space="preserve"> </w:t>
      </w:r>
      <w:r>
        <w:rPr>
          <w:rFonts w:ascii="Arial" w:cs="Arial" w:eastAsia="Arial" w:hAnsi="Arial"/>
          <w:sz w:val="18"/>
          <w:szCs w:val="18"/>
          <w:color w:val="auto"/>
        </w:rPr>
        <w:t>nine Large Power Customers. Receivables from these customers totaled $13.8 million as of December 31, 2017 ($9.5 million as of December 31, 2016).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One of these customers accounted for 10 percent of consolidated operating revenue in 2017 (8 percent in 2016 and in 2015).</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Long-Term Finance Receivables. </w:t>
      </w:r>
      <w:r>
        <w:rPr>
          <w:rFonts w:ascii="Arial" w:cs="Arial" w:eastAsia="Arial" w:hAnsi="Arial"/>
          <w:sz w:val="17"/>
          <w:szCs w:val="17"/>
          <w:color w:val="auto"/>
        </w:rPr>
        <w:t>Long-term finance receivables relating to our real estate operations are collateralized by property sold, accrue interest at</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0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Available-for-sale securities are recorded at fair value with unrealized gains and losses included in accumulated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comprehensive income (loss), net of tax. Unrealized losses that are other than temporary are recognized in earnings. We use the specific identification method as the basis for determining the cost of securities sold. Our policy is to review available-for-sale securities for other than temporary impairment on a quarterly basis by assessing such factors as share price trends and the impact of overall market conditions. (See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and Note 8. Investments.)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and ALLETE Clean Energy</w:t>
      </w:r>
      <w:r>
        <w:rPr>
          <w:rFonts w:ascii="Arial" w:cs="Arial" w:eastAsia="Arial" w:hAnsi="Arial"/>
          <w:sz w:val="18"/>
          <w:szCs w:val="18"/>
          <w:b w:val="1"/>
          <w:bCs w:val="1"/>
          <w:color w:val="auto"/>
        </w:rPr>
        <w:t xml:space="preserve"> </w:t>
      </w:r>
      <w:r>
        <w:rPr>
          <w:rFonts w:ascii="Arial" w:cs="Arial" w:eastAsia="Arial" w:hAnsi="Arial"/>
          <w:sz w:val="18"/>
          <w:szCs w:val="18"/>
          <w:color w:val="auto"/>
        </w:rPr>
        <w:t>segments are carried at an average cost or first-in, first-out basis. Inventories in our U.S. Water Services segment and Corporate and Other operations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3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34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$34.8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2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460" w:type="dxa"/>
            <w:vAlign w:val="bottom"/>
          </w:tcPr>
          <w:p>
            <w:pPr>
              <w:jc w:val="right"/>
              <w:ind w:right="490"/>
              <w:spacing w:after="0"/>
              <w:rPr>
                <w:sz w:val="20"/>
                <w:szCs w:val="20"/>
                <w:color w:val="auto"/>
              </w:rPr>
            </w:pPr>
            <w:r>
              <w:rPr>
                <w:rFonts w:ascii="Arial" w:cs="Arial" w:eastAsia="Arial" w:hAnsi="Arial"/>
                <w:sz w:val="18"/>
                <w:szCs w:val="18"/>
                <w:color w:val="auto"/>
              </w:rPr>
              <w:t>46.5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460" w:type="dxa"/>
            <w:vAlign w:val="bottom"/>
          </w:tcPr>
          <w:p>
            <w:pPr>
              <w:jc w:val="right"/>
              <w:ind w:right="490"/>
              <w:spacing w:after="0"/>
              <w:rPr>
                <w:sz w:val="20"/>
                <w:szCs w:val="20"/>
                <w:color w:val="auto"/>
              </w:rPr>
            </w:pPr>
            <w:r>
              <w:rPr>
                <w:rFonts w:ascii="Arial" w:cs="Arial" w:eastAsia="Arial" w:hAnsi="Arial"/>
                <w:sz w:val="18"/>
                <w:szCs w:val="18"/>
                <w:color w:val="auto"/>
              </w:rPr>
              <w:t>4.2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2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46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3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$95.9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00"/>
        </w:trPr>
        <w:tc>
          <w:tcPr>
            <w:tcW w:w="20" w:type="dxa"/>
            <w:vAlign w:val="bottom"/>
          </w:tcPr>
          <w:p>
            <w:pPr>
              <w:spacing w:after="0"/>
              <w:rPr>
                <w:sz w:val="17"/>
                <w:szCs w:val="17"/>
                <w:color w:val="auto"/>
              </w:rPr>
            </w:pPr>
          </w:p>
        </w:tc>
        <w:tc>
          <w:tcPr>
            <w:tcW w:w="68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442"/>
        </w:trPr>
        <w:tc>
          <w:tcPr>
            <w:tcW w:w="20" w:type="dxa"/>
            <w:vAlign w:val="bottom"/>
          </w:tcPr>
          <w:p>
            <w:pPr>
              <w:spacing w:after="0"/>
              <w:rPr>
                <w:sz w:val="24"/>
                <w:szCs w:val="24"/>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Prepayments and Other Current Assets</w:t>
            </w: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34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Fuel Adjustment Clause </w:t>
            </w:r>
            <w:r>
              <w:rPr>
                <w:rFonts w:ascii="Arial" w:cs="Arial" w:eastAsia="Arial" w:hAnsi="Arial"/>
                <w:sz w:val="16"/>
                <w:szCs w:val="16"/>
                <w:i w:val="1"/>
                <w:iCs w:val="1"/>
                <w:color w:val="auto"/>
              </w:rPr>
              <w:t>(a)</w:t>
            </w:r>
          </w:p>
        </w:tc>
        <w:tc>
          <w:tcPr>
            <w:tcW w:w="3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2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6"/>
                <w:szCs w:val="16"/>
                <w:i w:val="1"/>
                <w:iCs w:val="1"/>
                <w:color w:val="auto"/>
              </w:rPr>
              <w:t>(b)</w:t>
            </w:r>
          </w:p>
        </w:tc>
        <w:tc>
          <w:tcPr>
            <w:tcW w:w="3460" w:type="dxa"/>
            <w:vAlign w:val="bottom"/>
          </w:tcPr>
          <w:p>
            <w:pPr>
              <w:jc w:val="right"/>
              <w:ind w:right="490"/>
              <w:spacing w:after="0"/>
              <w:rPr>
                <w:sz w:val="20"/>
                <w:szCs w:val="20"/>
                <w:color w:val="auto"/>
              </w:rPr>
            </w:pPr>
            <w:r>
              <w:rPr>
                <w:rFonts w:ascii="Arial" w:cs="Arial" w:eastAsia="Arial" w:hAnsi="Arial"/>
                <w:sz w:val="18"/>
                <w:szCs w:val="18"/>
                <w:color w:val="auto"/>
              </w:rPr>
              <w:t>$2.6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35.0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20" w:type="dxa"/>
            <w:vAlign w:val="bottom"/>
          </w:tcPr>
          <w:p>
            <w:pPr>
              <w:spacing w:after="0"/>
              <w:rPr>
                <w:sz w:val="20"/>
                <w:szCs w:val="20"/>
                <w:color w:val="auto"/>
              </w:rPr>
            </w:pPr>
          </w:p>
        </w:tc>
        <w:tc>
          <w:tcPr>
            <w:tcW w:w="6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Prepayments and Other Current Assets</w:t>
            </w:r>
          </w:p>
        </w:tc>
        <w:tc>
          <w:tcPr>
            <w:tcW w:w="34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$37.6</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At a hearing on January 18, 2018, the MPUC disallowed recovery of Minnesota Power’s regulatory asset for deferred fuel adjustment clause costs resulting in a $19.5 million pre-tax charge to Fuel, Purchased Power and Gas – Utility in 2017.</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an ALLETE Clean Energy loan agreement and collateral deposits required for U.S. Water Services’ standby letters of credit.</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recorded at original cost and are reported on the Consolidated Balance Sheet net of</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depreciation. Expenditures for additions, significant replacements, improvements and major plant overhauls are capitalized; maintenance and repair costs are expensed as incurred. Gains or losses on property, plant and equipment in our U.S. Water Services segment and Corporate and Other operations are recognized when they are retired or otherwise disposed. When property, plant and equipment in our Regulated Operations and ALLETE Clean Energy segments are retired or otherwise disposed, no gain or loss is recognized in accordance with the accounting standards for component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0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believe that long-standing ratemaking practices approved by applicable state and federal regulatory commissions allow for the recovery of the remaining book value of retired plant assets. In 2015, Minnesota Power retired Taconite Harbor Unit 3 and converted Laskin to operate on natural gas which were actions included in Minnesota Power’s MPUC-approved 2013 IRP. In a July 2016 order, the MPUC approved Minnesota Power’s 2015 IRP with modifications. The 2015 IRP contains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in September 2016, and the ceasing of coal-fired operations at Taconite Harbor in 2020. (See Note 4. Regulatory Matters.) The MPUC order for the 2015 IRP also directed Minnesota Power to retire Boswell Units 1 and 2 no later than 2022. In October 2016, Minnesota Power announced that Boswell Units 1 and 2 will be retired in 2018. We do not expect to record any impairment charge as a result of the retirement of Taconite Harbor Unit 3, the ceasing of coal-fired operations at Taconite Harbor Units 1 and 2, or the conversion of Laskin to operate on natural gas.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legacy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Real Estate Assets. </w:t>
      </w:r>
      <w:r>
        <w:rPr>
          <w:rFonts w:ascii="Arial" w:cs="Arial" w:eastAsia="Arial" w:hAnsi="Arial"/>
          <w:sz w:val="18"/>
          <w:szCs w:val="18"/>
          <w:color w:val="auto"/>
        </w:rPr>
        <w:t>In recent years, market conditions for real estate in Florida have required us to review our land inventories for impairment. In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reevaluated its strategy related to the real estate assets of ALLETE Properties in response to market conditions and transaction activity. The revised strategy incorporated the possibility of a bulk sale of its entire portfolio. Proceeds from a bulk sale would be strategically deployed to support growth in ALLETE Clean Energy and U.S. Water Services, collectively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implementing the revised strategy, management evaluated its impairment analysis for its real estate assets using updated assumptions to determine estimated future net cash flows on an undiscounted basis. Estimated fair values were based upon current market data and pricing for individual parcels. Our impairment analysis incorporates a probability-weighted approach considering the alternative courses of sales noted above.</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results of the 2015 undiscounted cash flow analysis, the undiscounted future net cash flows were not adequate to recover the carrying value of the real estate assets leading to an adjustment of carrying value to estimated fair value. Estimated fair value was derived using Level 3 inputs, including current market interest in the property for a bulk sale of its entire portfolio, and discounted cash flow analysis of estimated selling price for sales over time. As a result, a non-cash impairment charge of $36.3 million was recorded in 2015 to reduce the carrying value of the real estate to its estimated fair value.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and 2016, our qualitative assessments indicated that the cash flows were adequate to recover the carrying value of ALLETE Properties real estate assets. As a result, no impairment was recorded in 2017 or 2016.</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Derivatives. </w:t>
      </w:r>
      <w:r>
        <w:rPr>
          <w:rFonts w:ascii="Arial" w:cs="Arial" w:eastAsia="Arial" w:hAnsi="Arial"/>
          <w:sz w:val="17"/>
          <w:szCs w:val="17"/>
          <w:color w:val="auto"/>
        </w:rPr>
        <w:t>ALLETE is exposed to certain risks relating to its business operations that can be managed through the use of derivative instruments. ALLETE</w:t>
      </w:r>
      <w:r>
        <w:rPr>
          <w:rFonts w:ascii="Arial" w:cs="Arial" w:eastAsia="Arial" w:hAnsi="Arial"/>
          <w:sz w:val="17"/>
          <w:szCs w:val="17"/>
          <w:b w:val="1"/>
          <w:bCs w:val="1"/>
          <w:color w:val="auto"/>
        </w:rPr>
        <w:t xml:space="preserve"> </w:t>
      </w:r>
      <w:r>
        <w:rPr>
          <w:rFonts w:ascii="Arial" w:cs="Arial" w:eastAsia="Arial" w:hAnsi="Arial"/>
          <w:sz w:val="17"/>
          <w:szCs w:val="17"/>
          <w:color w:val="auto"/>
        </w:rPr>
        <w:t>may enter into derivative instruments to manage those risks including interest rate risk related to certain variable-rate borrowings.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16. Employee Stock and Incentive Plans.)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0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Goodwill is assessed annually in the fourth quarter for impairment and whenever an event occurs or circumstances change that would indicate the carrying amount may be impaired. Impairment testing for goodwill is done at the reporting unit level.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2016 annual impairment analysis, the Company recognized a non-cash impairment charge of $3.3 million for ALLETE Clean Energy’s goodwill primarily related to the acquisition of Storm Lake II in 2014. The charge, which is presented within Operating Expenses – Other in the Consolidated Statement of Income, eliminated all recognized goodwill for the ALLETE Clean Energy reporting unit.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of our annual goodwill impairment testing in 2017, the U.S. Water Services reporting unit had positive equity and the Company elected to bypass the qualitative assessment of goodwill for impairment, proceeding directly to the two-step impairment test. In performing Step 1 of the impairment test, we compared the fair value of the reporting unit to its carrying value including goodwill. If the carrying value including goodwill were to exceed the fair value of a reporting unit, Step 2 of the impairment test would be performed. Step 2 of the impairment test requires the carrying value of goodwill to be reduced to its fair value, if lower, as of the test date.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U.S. Water Services</w:t>
      </w:r>
      <w:r>
        <w:rPr>
          <w:rFonts w:ascii="Arial" w:cs="Arial" w:eastAsia="Arial" w:hAnsi="Arial"/>
          <w:sz w:val="16"/>
          <w:szCs w:val="16"/>
          <w:color w:val="auto"/>
        </w:rPr>
        <w:t>. For Step 1 of the impairment test, we estimated the reporting unit's fair value using standard valuation techniques, including techniques which use estimates of projected future results and cash flows to be generated by the reporting unit. Such techniques generally include a terminal value that utilizes a growth rate on debt-free cash flows. These cash flow valuations involve a number of estimates that require broad assumptions and significant judgment by management regarding future performance. Our annual impairment test in 2017 indicated that the estimated fair value of U.S. Water Services exceeded its carrying value, and therefore no impairment existed (none in 2016 or in 2015). The fair value of the reporting unit was determined using a discounted cash flow model, using significant assumptions which included a discount rate of 10.75 percent, cash flow forecasts through 2022, annual revenue growth rates ranging from 7 percent to 9 percent, excluding 13 percent of revenue growth in 2018 related to the year over year impact of the acquisition of Tonka Water, and a terminal growth rate of 4.0 percent. Forecasted annual revenue growth assumes an increase in market share and growth in the industry.</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Intangible assets include customer relationships, patents, non-compete agreements, land easements, trademarks and trade names.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with definite lives consist of customer relationships, which are amortized using an attrition model, and patents, non-compete agreements, land easements and certain trade names, which are amortized on a straight-line basis with estimated remaining useful lives ranging from approximately 1 year to approximately 20 years. We review definite-lived intangible assets for impairment whenever events or circumstances indicate that the carrying amount of an asset may not be recoverable. 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 consist of trademarks and certain trade names, which are tested for impairment annually in the fourth quarter and whenever an event occurs or circumstances change that would indicate that the carrying amount may be impaired. Impairment is calculated as the excess of the asset’s carrying amount over its fair value. Fair value is generally determined using a discounted cash flow analysis. Our annual impairment test in 2017 indicated that the estimated fair value of trademarks and trade names exceeded the asset carrying values. As a result, no impairment existed in 2017 (none in 2016 or in 2015).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0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0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Payment </w:t>
            </w:r>
            <w:r>
              <w:rPr>
                <w:rFonts w:ascii="Arial" w:cs="Arial" w:eastAsia="Arial" w:hAnsi="Arial"/>
                <w:sz w:val="16"/>
                <w:szCs w:val="16"/>
                <w:i w:val="1"/>
                <w:iCs w:val="1"/>
                <w:color w:val="auto"/>
              </w:rPr>
              <w:t>(a)</w:t>
            </w:r>
          </w:p>
        </w:tc>
        <w:tc>
          <w:tcPr>
            <w:tcW w:w="22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$27.5</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 xml:space="preserve">Finance Receivable </w:t>
            </w:r>
            <w:r>
              <w:rPr>
                <w:rFonts w:ascii="Arial" w:cs="Arial" w:eastAsia="Arial" w:hAnsi="Arial"/>
                <w:sz w:val="16"/>
                <w:szCs w:val="16"/>
                <w:i w:val="1"/>
                <w:iCs w:val="1"/>
                <w:color w:val="auto"/>
              </w:rPr>
              <w:t>(b)</w:t>
            </w:r>
          </w:p>
        </w:tc>
        <w:tc>
          <w:tcPr>
            <w:tcW w:w="2280" w:type="dxa"/>
            <w:vAlign w:val="bottom"/>
          </w:tcPr>
          <w:p>
            <w:pPr>
              <w:jc w:val="right"/>
              <w:ind w:right="450"/>
              <w:spacing w:after="0"/>
              <w:rPr>
                <w:sz w:val="20"/>
                <w:szCs w:val="20"/>
                <w:color w:val="auto"/>
              </w:rPr>
            </w:pPr>
            <w:r>
              <w:rPr>
                <w:rFonts w:ascii="Arial" w:cs="Arial" w:eastAsia="Arial" w:hAnsi="Arial"/>
                <w:sz w:val="18"/>
                <w:szCs w:val="18"/>
                <w:color w:val="auto"/>
              </w:rPr>
              <w:t>11.0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6"/>
                <w:szCs w:val="16"/>
                <w:i w:val="1"/>
                <w:iCs w:val="1"/>
                <w:color w:val="auto"/>
              </w:rPr>
              <w:t>(c)</w:t>
            </w:r>
          </w:p>
        </w:tc>
        <w:tc>
          <w:tcPr>
            <w:tcW w:w="22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Pr>
          <w:p>
            <w:pPr>
              <w:jc w:val="right"/>
              <w:ind w:right="450"/>
              <w:spacing w:after="0"/>
              <w:rPr>
                <w:sz w:val="20"/>
                <w:szCs w:val="20"/>
                <w:color w:val="auto"/>
              </w:rPr>
            </w:pPr>
            <w:r>
              <w:rPr>
                <w:rFonts w:ascii="Arial" w:cs="Arial" w:eastAsia="Arial" w:hAnsi="Arial"/>
                <w:sz w:val="18"/>
                <w:szCs w:val="18"/>
                <w:color w:val="auto"/>
              </w:rPr>
              <w:t>60.6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80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22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$107.7</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r>
      <w:tr>
        <w:trPr>
          <w:trHeight w:val="20"/>
        </w:trPr>
        <w:tc>
          <w:tcPr>
            <w:tcW w:w="80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Payment includes a payment made to Cliffs as part of a long-term PSA between Minnesota Power and Silver Bay Power. The contract payment is being amortized over the term of the PSA. (See Note 11. Commitments, Guarantees and Contingencies.)</w:t>
      </w:r>
    </w:p>
    <w:p>
      <w:pPr>
        <w:jc w:val="both"/>
        <w:ind w:left="340" w:hanging="332"/>
        <w:spacing w:after="0" w:line="263" w:lineRule="auto"/>
        <w:tabs>
          <w:tab w:leader="none" w:pos="340" w:val="left"/>
        </w:tabs>
        <w:numPr>
          <w:ilvl w:val="0"/>
          <w:numId w:val="26"/>
        </w:numPr>
        <w:rPr>
          <w:rFonts w:ascii="Arial" w:cs="Arial" w:eastAsia="Arial" w:hAnsi="Arial"/>
          <w:sz w:val="15"/>
          <w:szCs w:val="15"/>
          <w:i w:val="1"/>
          <w:iCs w:val="1"/>
          <w:color w:val="auto"/>
        </w:rPr>
      </w:pPr>
      <w:r>
        <w:rPr>
          <w:rFonts w:ascii="Arial" w:cs="Arial" w:eastAsia="Arial" w:hAnsi="Arial"/>
          <w:sz w:val="15"/>
          <w:szCs w:val="15"/>
          <w:i w:val="1"/>
          <w:iCs w:val="1"/>
          <w:color w:val="auto"/>
        </w:rPr>
        <w:t>In 2016, ALLETE Properties sold its Ormond Crossings project and Lake Swamp wetland mitigation bank for consideration of approximately $21 million. The consideration included a down payment in the form of 0.1 million shares of ALLETE common stock with a value of $8.0 million. The remaining purchase price will be paid under the terms of a finance receivable due over a five-year period which bears interest at market rates and is collateralized by the property sold.</w:t>
      </w:r>
    </w:p>
    <w:p>
      <w:pPr>
        <w:ind w:left="340" w:hanging="332"/>
        <w:spacing w:after="0" w:line="257"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an ALLETE Clean Energy loan agreement and PSAs, and deposits from SWL&amp;P customers in aid of future capital expenditures.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$24.5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58.7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$83.2</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453"/>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$122.7</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PSAs</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89.5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113.8</w:t>
            </w: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49.5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$267.1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r>
      <w:tr>
        <w:trPr>
          <w:trHeight w:val="20"/>
        </w:trPr>
        <w:tc>
          <w:tcPr>
            <w:tcW w:w="59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resulting from the U.S. Water Services acquisition. (See Note 6. Acquisitions and Note 9. Fair Value.)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 that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11. Commitments, Guarantees and Contingencies.)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0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Regulated Operations </w:t>
      </w:r>
      <w:r>
        <w:rPr>
          <w:rFonts w:ascii="Arial" w:cs="Arial" w:eastAsia="Arial" w:hAnsi="Arial"/>
          <w:sz w:val="17"/>
          <w:szCs w:val="17"/>
          <w:color w:val="auto"/>
        </w:rPr>
        <w:t>utility rates are under the jurisdiction of Minnesota, Wisconsin and federal regulatory authorities. Customers are billed on a cycle basis.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accrued for services provided but not yet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transmission, renewable, and environmental improvement expenditures. Previously, fuel and purchased power expense was deferred to match the period in which the revenue for fuel and purchased power expense was billed to customers with the deferred fuel costs recognized as a regulatory asset. At a hearing on January 18, 2018, the MPUC disallowed recovery of Minnesota Power’s regulatory asset for deferred fuel adjustment clause costs due to the anticipated adoption of a forward-looking fuel adjustment clause methodology resulting in a $19.5 million pre-tax charge to Fuel, Purchased Power and Gas – Utility in 2017. As a result of the MPUC hearing, fuel and purchased power costs above or below the base levels in rate schedules are no longer deferred.</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cost recovery riders (transmission, renewable and environmental improvement) is accounted for in accordance with GAAP for alternative revenue programs. These standards allow for recognizing revenue under an alternative revenue program if the program is established by an order from the utility’s regulatory authority, the order allows automatic adjustment of future rates, the amount of the revenue recognized is objectively determinable and probable of recovery, and the revenue will be collected within 24 months following the end of the annual period in which it is recognized. Revenue recognized using the alternative revenue program guidance is included in Operating Revenue – Utility on the Consolidated Statement of Income and Regulatory Assets on the Consolidated Balance Sheet until it is subsequently collected from customers.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participates in MISO. MISO transactions are accounted for on a net hourly basis in each of the day-ahead and real-time markets. Minnesota Power records net sales in Operating Revenue – Utility and net purchases in Fuel, Purchased Power and Gas – Utility expense on the Consolidated Statement of Income.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recognizes revenue from the sale of energy from PSAs under various durations. Revenue is recognized when delivered to an agreed</w:t>
      </w:r>
      <w:r>
        <w:rPr>
          <w:rFonts w:ascii="Arial" w:cs="Arial" w:eastAsia="Arial" w:hAnsi="Arial"/>
          <w:sz w:val="16"/>
          <w:szCs w:val="16"/>
          <w:i w:val="1"/>
          <w:iCs w:val="1"/>
          <w:color w:val="auto"/>
        </w:rPr>
        <w:t xml:space="preserve"> </w:t>
      </w:r>
      <w:r>
        <w:rPr>
          <w:rFonts w:ascii="Arial" w:cs="Arial" w:eastAsia="Arial" w:hAnsi="Arial"/>
          <w:sz w:val="16"/>
          <w:szCs w:val="16"/>
          <w:color w:val="auto"/>
        </w:rPr>
        <w:t>upon point or production is curtailed at the request of its customers at specified prices. As part of its acquisitions of wind energy facilities, ALLETE Clean Energy has assumed various PSAs that were above or below estimated market prices at the time of acquisition and amortizes the resulting differences between contract prices and estimated market prices to Operating Revenue – Non-utility on the Consolidated Statement of Income. In 2017, we recognized $23.6 million of non-cash revenue amortization relating to the difference between contract prices and estimated market prices as an increase in Operating Revenue – Non-utility ($22.3 million in 2016; $23.2 million in 2015). Revenue from the construction and sale of wind energy facilities to others will be recognized at a point in time, or over time, as performance obligations are satisfied based on the terms of each specific agreement.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U.S. Water Services </w:t>
      </w:r>
      <w:r>
        <w:rPr>
          <w:rFonts w:ascii="Arial" w:cs="Arial" w:eastAsia="Arial" w:hAnsi="Arial"/>
          <w:sz w:val="17"/>
          <w:szCs w:val="17"/>
          <w:color w:val="auto"/>
        </w:rPr>
        <w:t>recognizes revenue from the sale of products when the earnings process is complete. This generally occurs when products are shipped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in accordance with the contract or purchase order, ownership and risk of loss have passed to the customer, collectibility is reasonably assured, and pricing is fixed and determinable. Revenue from services is recognized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BNI Energy recognizes coal sales when delivered at the cost of production plus a specified profit per ton of coal delivered.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records full profit recognition on sales of real estate upon closing, provided that cash collections are at least 20 percent of the contract price and the other requirements under the guidance for sales of real estate are met. Certain contracts with customers allow us to receive participation revenue from land sales to third parties if various formula-based criteria are achieved.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02"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Operating Expenses – Other</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6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Real Estate </w:t>
            </w:r>
            <w:r>
              <w:rPr>
                <w:rFonts w:ascii="Arial" w:cs="Arial" w:eastAsia="Arial" w:hAnsi="Arial"/>
                <w:sz w:val="16"/>
                <w:szCs w:val="16"/>
                <w:i w:val="1"/>
                <w:iCs w:val="1"/>
                <w:color w:val="auto"/>
              </w:rPr>
              <w:t>(a)</w:t>
            </w:r>
          </w:p>
        </w:tc>
        <w:tc>
          <w:tcPr>
            <w:tcW w:w="1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43"/>
        </w:trPr>
        <w:tc>
          <w:tcPr>
            <w:tcW w:w="20" w:type="dxa"/>
            <w:vAlign w:val="bottom"/>
          </w:tcPr>
          <w:p>
            <w:pPr>
              <w:spacing w:after="0"/>
              <w:rPr>
                <w:sz w:val="21"/>
                <w:szCs w:val="21"/>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 xml:space="preserve">Impairment of Goodwill </w:t>
            </w:r>
            <w:r>
              <w:rPr>
                <w:rFonts w:ascii="Arial" w:cs="Arial" w:eastAsia="Arial" w:hAnsi="Arial"/>
                <w:sz w:val="16"/>
                <w:szCs w:val="16"/>
                <w:i w:val="1"/>
                <w:iCs w:val="1"/>
                <w:color w:val="auto"/>
              </w:rPr>
              <w:t>(b)</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Change in Fair Value of Contingent Consideration </w:t>
            </w:r>
            <w:r>
              <w:rPr>
                <w:rFonts w:ascii="Arial" w:cs="Arial" w:eastAsia="Arial" w:hAnsi="Arial"/>
                <w:sz w:val="16"/>
                <w:szCs w:val="16"/>
                <w:i w:val="1"/>
                <w:iCs w:val="1"/>
                <w:color w:val="auto"/>
              </w:rPr>
              <w:t>(c)</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$(0.7)</w:t>
            </w:r>
          </w:p>
        </w:tc>
        <w:tc>
          <w:tcPr>
            <w:tcW w:w="1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Operating Expenses – Other</w:t>
            </w: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$(0.7)</w:t>
            </w:r>
          </w:p>
        </w:tc>
        <w:tc>
          <w:tcPr>
            <w:tcW w:w="16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$(10.3)</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7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722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i w:val="1"/>
                <w:iCs w:val="1"/>
                <w:color w:val="auto"/>
              </w:rPr>
              <w:t>(a)  See Impairment of Long-Lived Assets.</w:t>
            </w:r>
          </w:p>
        </w:tc>
        <w:tc>
          <w:tcPr>
            <w:tcW w:w="14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189"/>
        </w:trPr>
        <w:tc>
          <w:tcPr>
            <w:tcW w:w="7240" w:type="dxa"/>
            <w:vAlign w:val="bottom"/>
            <w:gridSpan w:val="2"/>
          </w:tcPr>
          <w:p>
            <w:pPr>
              <w:spacing w:after="0"/>
              <w:rPr>
                <w:sz w:val="20"/>
                <w:szCs w:val="20"/>
                <w:color w:val="auto"/>
              </w:rPr>
            </w:pPr>
            <w:r>
              <w:rPr>
                <w:rFonts w:ascii="Arial" w:cs="Arial" w:eastAsia="Arial" w:hAnsi="Arial"/>
                <w:sz w:val="16"/>
                <w:szCs w:val="16"/>
                <w:i w:val="1"/>
                <w:iCs w:val="1"/>
                <w:color w:val="auto"/>
              </w:rPr>
              <w:t>(b)  See Goodwill and Intangible Assets.</w:t>
            </w:r>
          </w:p>
        </w:tc>
        <w:tc>
          <w:tcPr>
            <w:tcW w:w="1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7240" w:type="dxa"/>
            <w:vAlign w:val="bottom"/>
            <w:gridSpan w:val="2"/>
          </w:tcPr>
          <w:p>
            <w:pPr>
              <w:spacing w:after="0"/>
              <w:rPr>
                <w:sz w:val="20"/>
                <w:szCs w:val="20"/>
                <w:color w:val="auto"/>
              </w:rPr>
            </w:pPr>
            <w:r>
              <w:rPr>
                <w:rFonts w:ascii="Arial" w:cs="Arial" w:eastAsia="Arial" w:hAnsi="Arial"/>
                <w:sz w:val="16"/>
                <w:szCs w:val="16"/>
                <w:i w:val="1"/>
                <w:iCs w:val="1"/>
                <w:color w:val="auto"/>
              </w:rPr>
              <w:t>(c)  See Note 9. Fair Value.</w:t>
            </w:r>
          </w:p>
        </w:tc>
        <w:tc>
          <w:tcPr>
            <w:tcW w:w="1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19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method which approximates the effective interest method.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as well as combined and separate state income tax returns. We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GAAP for uncertainty in income taxes, we are required to recognize in our financial statements the largest tax benefit of a tax position that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to be sustained on audit, based solely on the technical merits of the position as of the reporting date. The term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means more than 50 percent likely. (See Note 13. Income Tax Expense.)</w:t>
      </w:r>
    </w:p>
    <w:p>
      <w:pPr>
        <w:spacing w:after="0" w:line="20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Tax Cuts and Jobs Act of 2017</w:t>
      </w:r>
      <w:r>
        <w:rPr>
          <w:rFonts w:ascii="Arial" w:cs="Arial" w:eastAsia="Arial" w:hAnsi="Arial"/>
          <w:sz w:val="17"/>
          <w:szCs w:val="17"/>
          <w:color w:val="auto"/>
        </w:rPr>
        <w:t>. On December 22, 2017, the TCJA was enacted into law. The TCJA has significantly changed the U.S. Internal Revenue Code</w:t>
      </w:r>
      <w:r>
        <w:rPr>
          <w:rFonts w:ascii="Arial" w:cs="Arial" w:eastAsia="Arial" w:hAnsi="Arial"/>
          <w:sz w:val="17"/>
          <w:szCs w:val="17"/>
          <w:i w:val="1"/>
          <w:iCs w:val="1"/>
          <w:color w:val="auto"/>
        </w:rPr>
        <w:t xml:space="preserve"> </w:t>
      </w:r>
      <w:r>
        <w:rPr>
          <w:rFonts w:ascii="Arial" w:cs="Arial" w:eastAsia="Arial" w:hAnsi="Arial"/>
          <w:sz w:val="17"/>
          <w:szCs w:val="17"/>
          <w:color w:val="auto"/>
        </w:rPr>
        <w:t>(IRC) and the taxation of corporations. The more significant provisions that impact our Company include a reduction in the corporate federal income tax rate from 35 percent to 21 percent, and provisions related to our regulated utilities which generally allow for the continued deductibility of interest expense, the elimination of full expensing for property acquired after September 27, 2017, and the continuation of normalization requirements for accelerated tax depreciation taken by regulated utilities. The TCJA allows for full expensing for property and imposes an interest expense limitation on non</w:t>
      </w:r>
      <w:r>
        <w:rPr>
          <w:rFonts w:ascii="MS PGothic" w:cs="MS PGothic" w:eastAsia="MS PGothic" w:hAnsi="MS PGothic"/>
          <w:sz w:val="17"/>
          <w:szCs w:val="17"/>
          <w:color w:val="auto"/>
        </w:rPr>
        <w:t>‑</w:t>
      </w:r>
      <w:r>
        <w:rPr>
          <w:rFonts w:ascii="Arial" w:cs="Arial" w:eastAsia="Arial" w:hAnsi="Arial"/>
          <w:sz w:val="17"/>
          <w:szCs w:val="17"/>
          <w:color w:val="auto"/>
        </w:rPr>
        <w:t>regulated operations. The interest expense limitation is not expected to have a material impact on the Company.</w:t>
      </w: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ASC 740, the tax effects of changes in tax laws must be recognized in the period in which the law is enacted. ASC 740 requires deferred income tax assets and liabilities to be measured at the enacted tax rate expected to apply when temporary differences are to be realized or settled. Thus, as of the date of enactment, the Company’s deferred income tax assets and liabilities were remeasured based upon the new tax rate. For our Regulated Operations segment, the change in deferred income taxes was recorded as regulatory assets, regulatory liabilities and a change to our investment in ATC. The benefits of the TCJA for Minnesota Power and SWL&amp;P are expected to be passed back to customers over time primarily based upon the normalization provisions of the IRC over the life of the related property, plant and equipment with the remainder passed back based upon the determinations of regulatory authorities. The decrease in our investment in ATC is expected to be amortized into earnings over time. For our ALLETE Clean Energy and U.S. Water Services segments as well as our Corporate and Other businesses, the change in deferred income taxes is recorded in income tax expense on the Consolidated Statement of Income.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SEC staff issued guidance in Staff Accounting Bulletin 118 (SAB 118) which clarifies accounting for income taxes under ASC 740 if information is not yet available or complete, and provides for up to a one year period in which to complete the required analyses and accounting (the measurement period). SAB 118 describes three scenarios associated with a company’s status of accounting for the TCJA: (1) a company is complete with its accounting for certain effects, (2) a company is able to determine a reasonable estimate for certain effects and records that estimate as a provisional amount, or (3) a company is not able to determine a reasonable estimate and therefore continues to apply ASC 740, based on the provisions of the tax laws that were in effect immediately prior to the TCJA being enacted.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0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made a provisional estimate for the measurement and accounting of the effects of the TCJA, which have been reflected in the Consolidated Financial Statements as of December 31, 2017. The measurement and accounting of the effects of the TCJA resulted in a decrease to Income Tax Expense of $13.0 million for the year ended December 31, 2017, as well as a decrease to Deferred Income Taxes of $353.6 million, a decrease to Investment in ATC of $27.9 million, an increase to Regulatory Assets of $80.9 million and an increase to Regulatory Liabilities of $393.6 million as of December 31, 2017. The provisional amounts incorporate assumptions made based upon the Company’s current interpretation of the TCJA, and may change as the Company receives additional clarification and implementation guidance. Any adjustments recorded to the provisional amounts in 2018 will be included in income from operations as an adjustment to income tax expense.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provided for under SAB 118, the Company has not estimated the impact for items for which it cannot predict, such as guidance that has not yet been provided, or for which federal or state regulatory treatment is still uncertain. The determination of the impact of the income tax effects of these types of items will occur when more information is available to the Company.</w:t>
      </w:r>
    </w:p>
    <w:p>
      <w:pPr>
        <w:spacing w:after="0" w:line="17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Purchase Accounting. </w:t>
      </w:r>
      <w:r>
        <w:rPr>
          <w:rFonts w:ascii="Arial" w:cs="Arial" w:eastAsia="Arial" w:hAnsi="Arial"/>
          <w:sz w:val="16"/>
          <w:szCs w:val="16"/>
          <w:color w:val="auto"/>
        </w:rPr>
        <w:t>In accordance with the authoritative accounting guidance, the purchase price of an acquired business is generally allocated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acquired and liabilities assumed at their estimated fair values on the date of acquisition. Any unallocated purchase price amount is recognized as goodwill on the Consolidated Balance Sheet if it exceeds the estimated fair value and as a bargain purchase gain on the Consolidated Income Statement if it is below the estimated fair value. Determining the fair value of assets acquired and liabilities assumed requires management’s judgment, and the utilization of independent valuation experts as well as the use of significant estimates and assumptions with respect to the timing and amounts of future cash inflows and outflows, discount rates, market prices and asset lives, among other items. The judgments made in the determination of the estimated fair value assigned to the assets acquired and liabilities assumed, as well as the estimated useful life of each asset and the duration of each liability, can materially impact the financial statements in periods after acquisition, such as through depreciation and amortization expense. (See Note 6.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Simplifying the Measurement of Inventory. </w:t>
      </w:r>
      <w:r>
        <w:rPr>
          <w:rFonts w:ascii="Arial" w:cs="Arial" w:eastAsia="Arial" w:hAnsi="Arial"/>
          <w:sz w:val="17"/>
          <w:szCs w:val="17"/>
          <w:color w:val="auto"/>
        </w:rPr>
        <w:t>In 2015, the FASB issued an accounting standards update which requires entities that measure inventory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first-in, first-out or average cost methods to measure inventory at the lower of cost or net realizable value. Net realizable value is defined as estimated selling price in the ordinary course of business less reasonably predictable costs of completion, disposal and transportation. This accounting guidance was adopted in the first quarter of 2017 and did not have a material impact on our Consolidated Financial Statements.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In March 2016, the FASB issued guidance to simplify the accounting for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by requiring all excess tax benefits and deficiencies to be recognized in income tax expense or benefit in earnings, thus eliminating the requirement to classify the excess tax benefit and deficiencies as additional paid-in capital. Under the new guidance, an entity makes an accounting policy election to either estimate the expected forfeiture awards or account for forfeitures as they occur. This accounting guidance was adopted in the first quarter of 2017. The adoption of this guidance is expected to result in a less than $1 million impact to income tax expense (benefit) annually.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Clarifying the Definition of a Business. </w:t>
      </w:r>
      <w:r>
        <w:rPr>
          <w:rFonts w:ascii="Arial" w:cs="Arial" w:eastAsia="Arial" w:hAnsi="Arial"/>
          <w:sz w:val="18"/>
          <w:szCs w:val="18"/>
          <w:color w:val="auto"/>
        </w:rPr>
        <w:t>In January 2017, the FASB issued clarifying guidance on the definition of a business and provided additional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to assist with evaluating whether transactions are to be accounted for as an acquisition or disposal of a group of assets or a business. The clarifying guidance will also impact other areas including the accounting for goodwill and consolidation. This accounting guidance was adopted in the first quarter of 2017 and did not have an impact on our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0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Stock Compensation: Scope of Modification Accounting. </w:t>
      </w:r>
      <w:r>
        <w:rPr>
          <w:rFonts w:ascii="Arial" w:cs="Arial" w:eastAsia="Arial" w:hAnsi="Arial"/>
          <w:sz w:val="16"/>
          <w:szCs w:val="16"/>
          <w:color w:val="auto"/>
        </w:rPr>
        <w:t>In May 2017, the FASB issued additional clarifying guidance regarding circumstances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terms or conditions of share-based payment awards require an entity to apply modification accounting under ASC 718. The guidance provides specific situations that would be excluded from effects of a modification including if the fair value, vesting conditions, and classification are the same before and after modification. The amendments in this update will be applied prospectively to awards modified on or after adoption. This accounting guidance was adopted by the Company in the second quarter of 2017 and did not have an impact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Improving the Presentation of Net Periodic Pension Cost and Net Periodic Postretirement Benefit Cost. </w:t>
      </w:r>
      <w:r>
        <w:rPr>
          <w:rFonts w:ascii="Arial" w:cs="Arial" w:eastAsia="Arial" w:hAnsi="Arial"/>
          <w:sz w:val="18"/>
          <w:szCs w:val="18"/>
          <w:color w:val="auto"/>
        </w:rPr>
        <w:t>In March 2017, the FASB issued guidance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presentation of net periodic pension and postretirement benefit costs. Under the revised guidance of ASC 715, an entity shall present the service cost component of the net periodic benefit cost in the same income statement line as other employee compensation costs arising from services rendered during the period. The guidance also allows only the service cost component of the periodic cost to be eligible for capitalization. The standard will be applied retrospectively for income statement presentation, and prospectively for capitalization of service cost components. We do not expect there to be a material impact on the Consolidated Financial Statements with the adoption of the updated guidance which is effective for the Company beginning in the first quarter of 2018.</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2014, the FASB issued amended revenue recognition guidance that clarifies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by providing a single comprehensive model to determine the measurement of revenue and timing of recognition. The guidance requires an entity to recognize revenue in a manner that depicts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As of December 31, 2017, the Company has reviewed all of its revenue streams and contracts for its regulated, energy infrastructure and related services, and corporate and other businesses, completing the evaluations of the impact of this new guidance. Based on these evaluations, the Company has determined the new guidance does not materially alter the amount or timing of revenue recognition from the current methodology nor does it have a material transition adjustment upon adoption. Additionally, management does not expect the recognition of any assets from the costs to obtain a contract. Management continues to draft and refine the additional disclosures needed to meet the requirements of the new standard following adoption. The Company will adopt and implement the new guidance on a modified retrospective basis which requires application of standards to all contracts with customers effective January 1, 2018, with the cumulative impact on contracts with performance obligations not yet satisfied as of December 31, 2017, recognized as an adjustment to Retained Earnings on the Consolidated Balance Sheet.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an accounting standard update which revises the existing guidance for leases. Under the revised guidance, lessees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new guidance. As of December 31, 2017, ALLETE expects to make $79.9 million in minimum lease payments due in future years (undiscounted). The revised guidance is effective for the Company beginning in the first quarter of 2019 with early adoption permitted. We are currently evaluating the impact of the revised lease guidance on our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0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In January 2016, the FASB issued an accounting standard update which requires entities to measure their investments at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any changes in fair value in net income unless the investments qualify for the practicability exception. The practicability exception will be available for equity investments that do not have readily determinable fair values. The updated guidance is effective for the Company beginning in the first quarter of 2018 and will result in a cumulative-effect adjustment to Retained Earnings on the Consolidated Balance Sheet in the fiscal year of adoption. We have performed a preliminary evaluation of the impact of this update, and based on that evaluation, we do not expect the adoption of the update to have a material impact on our Consolidated Financial Statements.</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Classification of Certain Cash Receipts and Cash Payments. </w:t>
      </w:r>
      <w:r>
        <w:rPr>
          <w:rFonts w:ascii="Arial" w:cs="Arial" w:eastAsia="Arial" w:hAnsi="Arial"/>
          <w:sz w:val="16"/>
          <w:szCs w:val="16"/>
          <w:color w:val="auto"/>
        </w:rPr>
        <w:t>In August 2016, the FASB issued an accounting standard update which addresses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eight specific cash flow issues: debt prepayment or debt extinguishment costs; settlement of zero</w:t>
      </w:r>
      <w:r>
        <w:rPr>
          <w:rFonts w:ascii="MS PGothic" w:cs="MS PGothic" w:eastAsia="MS PGothic" w:hAnsi="MS PGothic"/>
          <w:sz w:val="16"/>
          <w:szCs w:val="16"/>
          <w:color w:val="auto"/>
        </w:rPr>
        <w:t>‑</w:t>
      </w:r>
      <w:r>
        <w:rPr>
          <w:rFonts w:ascii="Arial" w:cs="Arial" w:eastAsia="Arial" w:hAnsi="Arial"/>
          <w:sz w:val="16"/>
          <w:szCs w:val="16"/>
          <w:color w:val="auto"/>
        </w:rPr>
        <w:t>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accounting guidance is effective for the Company beginning in the first quarter of 2018. We do not expect the adoption of the update to have a material impact on our Consolidated Statement of Cash Flows.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Statement of Cash Flows: Restricted Cash. </w:t>
      </w:r>
      <w:r>
        <w:rPr>
          <w:rFonts w:ascii="Arial" w:cs="Arial" w:eastAsia="Arial" w:hAnsi="Arial"/>
          <w:sz w:val="18"/>
          <w:szCs w:val="18"/>
          <w:color w:val="auto"/>
        </w:rPr>
        <w:t>In November 2016, the FASB issued an accounting standard update related to the presentation of restricted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accounting guidance is effective for the Company beginning in the first quarter of 2018 and will be applied retrospectively to all periods presented. The guidance will result in changes to the Company’s Consolidated Statement of Cash Flows such that restricted cash amounts will be included in the beginning-of-period and end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period cash and cash equivalents totals when adopted for our fiscal year beginning January 1, 2018. We do not expect the adoption of the update to have a material impact on our Consolidated Statement of Cash Flows.</w:t>
      </w:r>
    </w:p>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Revision of Prior Balance Sheet. </w:t>
      </w:r>
      <w:r>
        <w:rPr>
          <w:rFonts w:ascii="Arial" w:cs="Arial" w:eastAsia="Arial" w:hAnsi="Arial"/>
          <w:sz w:val="16"/>
          <w:szCs w:val="16"/>
          <w:color w:val="auto"/>
        </w:rPr>
        <w:t>During the first quarter of 2017, the Company identified an error related to the deferred income tax treatment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Wholesale and Retail Contra AFUDC Regulatory Liability. The Company evaluated the materiality of the error and concluded that it was not material to any previously issued historical financial statements. The Company has revised its Consolidated Balance Sheet as of December 31, 2016, by decreasing Regulatory Assets and Deferred Income Taxes by $29.5 million. The correction had no impact on our Consolidated Statement of Income.</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Reclassification of Prior Income Statement. </w:t>
      </w:r>
      <w:r>
        <w:rPr>
          <w:rFonts w:ascii="Arial" w:cs="Arial" w:eastAsia="Arial" w:hAnsi="Arial"/>
          <w:sz w:val="16"/>
          <w:szCs w:val="16"/>
          <w:color w:val="auto"/>
        </w:rPr>
        <w:t>Beginning with the second quarter of 2017, the Company enhanced its presentation of Operating Revenue and</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Operating Expenses on the Consolidated Statement of Income by presenting the caption Operating Revenue separately as Operating Revenue – Utility and Operating Revenue – Non-utility. In conformity with the current presentation, we now present $1,007.7 million and $991.2 million of Operating Revenue as Operating Revenue – Utility for the years ended December 31, 2016, and 2015, respectively, as it is generated from our regulated utility operations. Non-utility revenue of $339.0 million and $495.2 million for the years ended December 31, 2016, and 2015 respectively, is now presented as Operating Revenue – Non-utility. In addition, the captions Fuel and Purchased Power and Cost of Sales have been updated to Fuel, Purchased Power and Gas – Utility and Cost of Sales – Non-utility. As a result, we have reclassified $7.0 million relating to the cost of gas sales at SWL&amp;P from the historic caption Cost of Sales to Fuel, Purchased Power and Gas – Utility for the year ended December 31, 2016, and $7.9 million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0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2. PROPERTY, PLANT AND EQUIPMENT</w:t>
            </w: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9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Operations</w:t>
            </w:r>
          </w:p>
        </w:tc>
        <w:tc>
          <w:tcPr>
            <w:tcW w:w="29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$4,523.7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$4,437.0</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121.6</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Pr>
          <w:p>
            <w:pPr>
              <w:jc w:val="right"/>
              <w:ind w:right="370"/>
              <w:spacing w:after="0"/>
              <w:rPr>
                <w:sz w:val="20"/>
                <w:szCs w:val="20"/>
                <w:color w:val="auto"/>
              </w:rPr>
            </w:pPr>
            <w:r>
              <w:rPr>
                <w:rFonts w:ascii="Arial" w:cs="Arial" w:eastAsia="Arial" w:hAnsi="Arial"/>
                <w:sz w:val="18"/>
                <w:szCs w:val="18"/>
                <w:color w:val="auto"/>
              </w:rPr>
              <w:t>(1,520.5)</w:t>
            </w:r>
          </w:p>
        </w:tc>
        <w:tc>
          <w:tcPr>
            <w:tcW w:w="1180" w:type="dxa"/>
            <w:vAlign w:val="bottom"/>
          </w:tcPr>
          <w:p>
            <w:pPr>
              <w:jc w:val="right"/>
              <w:spacing w:after="0"/>
              <w:rPr>
                <w:sz w:val="20"/>
                <w:szCs w:val="20"/>
                <w:color w:val="auto"/>
              </w:rPr>
            </w:pPr>
            <w:r>
              <w:rPr>
                <w:rFonts w:ascii="Arial" w:cs="Arial" w:eastAsia="Arial" w:hAnsi="Arial"/>
                <w:sz w:val="18"/>
                <w:szCs w:val="18"/>
                <w:color w:val="auto"/>
              </w:rPr>
              <w:t>(1,426.1)</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Regulated Operations – Net</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3,124.8</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3,095.1</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ALLETE Clean Energy</w:t>
            </w:r>
          </w:p>
        </w:tc>
        <w:tc>
          <w:tcPr>
            <w:tcW w:w="29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482.5</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w:t>
            </w: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Construction Work in Progress</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144.9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101.0</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(60.8)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ALLETE Clean Energy – Net</w:t>
            </w:r>
          </w:p>
        </w:tc>
        <w:tc>
          <w:tcPr>
            <w:tcW w:w="2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566.6</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532.3</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Water Services</w:t>
            </w:r>
          </w:p>
        </w:tc>
        <w:tc>
          <w:tcPr>
            <w:tcW w:w="29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24.8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U.S. Water Services – Net</w:t>
            </w:r>
          </w:p>
        </w:tc>
        <w:tc>
          <w:tcPr>
            <w:tcW w:w="2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14.4</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29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204.7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179.8</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5.0</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Pr>
          <w:p>
            <w:pPr>
              <w:jc w:val="right"/>
              <w:ind w:right="370"/>
              <w:spacing w:after="0"/>
              <w:rPr>
                <w:sz w:val="20"/>
                <w:szCs w:val="20"/>
                <w:color w:val="auto"/>
              </w:rPr>
            </w:pPr>
            <w:r>
              <w:rPr>
                <w:rFonts w:ascii="Arial" w:cs="Arial" w:eastAsia="Arial" w:hAnsi="Arial"/>
                <w:sz w:val="18"/>
                <w:szCs w:val="18"/>
                <w:color w:val="auto"/>
              </w:rPr>
              <w:t>(93.1)</w:t>
            </w: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and Other – Net</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116.6</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Property, Plant and Equipment – Net</w:t>
            </w:r>
          </w:p>
        </w:tc>
        <w:tc>
          <w:tcPr>
            <w:tcW w:w="2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$3,822.4</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$3,741.2</w:t>
            </w:r>
          </w:p>
        </w:tc>
      </w:tr>
      <w:tr>
        <w:trPr>
          <w:trHeight w:val="27"/>
        </w:trPr>
        <w:tc>
          <w:tcPr>
            <w:tcW w:w="732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Primarily includes BNI Energy and a small amount of non-rate base generation.</w:t>
            </w:r>
          </w:p>
        </w:tc>
        <w:tc>
          <w:tcPr>
            <w:tcW w:w="29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2700" w:type="dxa"/>
            <w:vAlign w:val="bottom"/>
            <w:tcBorders>
              <w:top w:val="single" w:sz="8" w:color="auto"/>
              <w:bottom w:val="single" w:sz="8" w:color="CCEEFF"/>
            </w:tcBorders>
            <w:shd w:val="clear" w:color="auto" w:fill="CCEEFF"/>
          </w:tcPr>
          <w:p>
            <w:pPr>
              <w:spacing w:after="0"/>
              <w:rPr>
                <w:sz w:val="22"/>
                <w:szCs w:val="22"/>
                <w:color w:val="auto"/>
              </w:rPr>
            </w:pPr>
          </w:p>
        </w:tc>
        <w:tc>
          <w:tcPr>
            <w:tcW w:w="3880" w:type="dxa"/>
            <w:vAlign w:val="bottom"/>
            <w:tcBorders>
              <w:top w:val="single" w:sz="8" w:color="auto"/>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288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5 to 35 years</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Generation</w:t>
            </w:r>
          </w:p>
        </w:tc>
        <w:tc>
          <w:tcPr>
            <w:tcW w:w="2700" w:type="dxa"/>
            <w:vAlign w:val="bottom"/>
          </w:tcPr>
          <w:p>
            <w:pPr>
              <w:ind w:left="380"/>
              <w:spacing w:after="0"/>
              <w:rPr>
                <w:sz w:val="20"/>
                <w:szCs w:val="20"/>
                <w:color w:val="auto"/>
              </w:rPr>
            </w:pPr>
            <w:r>
              <w:rPr>
                <w:rFonts w:ascii="Arial" w:cs="Arial" w:eastAsia="Arial" w:hAnsi="Arial"/>
                <w:sz w:val="18"/>
                <w:szCs w:val="18"/>
                <w:color w:val="auto"/>
              </w:rPr>
              <w:t>5 to 50 years</w:t>
            </w:r>
          </w:p>
        </w:tc>
        <w:tc>
          <w:tcPr>
            <w:tcW w:w="3880" w:type="dxa"/>
            <w:vAlign w:val="bottom"/>
          </w:tcPr>
          <w:p>
            <w:pPr>
              <w:ind w:left="1320"/>
              <w:spacing w:after="0"/>
              <w:rPr>
                <w:sz w:val="20"/>
                <w:szCs w:val="20"/>
                <w:color w:val="auto"/>
              </w:rPr>
            </w:pPr>
            <w:r>
              <w:rPr>
                <w:rFonts w:ascii="Arial" w:cs="Arial" w:eastAsia="Arial" w:hAnsi="Arial"/>
                <w:sz w:val="18"/>
                <w:szCs w:val="18"/>
                <w:color w:val="auto"/>
              </w:rPr>
              <w:t>U.S. Water Services</w:t>
            </w:r>
          </w:p>
        </w:tc>
        <w:tc>
          <w:tcPr>
            <w:tcW w:w="2880" w:type="dxa"/>
            <w:vAlign w:val="bottom"/>
          </w:tcPr>
          <w:p>
            <w:pPr>
              <w:ind w:left="620"/>
              <w:spacing w:after="0"/>
              <w:rPr>
                <w:sz w:val="20"/>
                <w:szCs w:val="20"/>
                <w:color w:val="auto"/>
              </w:rPr>
            </w:pPr>
            <w:r>
              <w:rPr>
                <w:rFonts w:ascii="Arial" w:cs="Arial" w:eastAsia="Arial" w:hAnsi="Arial"/>
                <w:sz w:val="18"/>
                <w:szCs w:val="18"/>
                <w:color w:val="auto"/>
              </w:rPr>
              <w:t>3 to 39 years</w:t>
            </w:r>
          </w:p>
        </w:tc>
      </w:tr>
      <w:tr>
        <w:trPr>
          <w:trHeight w:val="27"/>
        </w:trPr>
        <w:tc>
          <w:tcPr>
            <w:tcW w:w="1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44 to 67 years</w:t>
            </w:r>
          </w:p>
        </w:tc>
        <w:tc>
          <w:tcPr>
            <w:tcW w:w="38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Corporate and Other</w:t>
            </w:r>
          </w:p>
        </w:tc>
        <w:tc>
          <w:tcPr>
            <w:tcW w:w="2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 to 50 years</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2700" w:type="dxa"/>
            <w:vAlign w:val="bottom"/>
          </w:tcPr>
          <w:p>
            <w:pPr>
              <w:ind w:left="380"/>
              <w:spacing w:after="0"/>
              <w:rPr>
                <w:sz w:val="20"/>
                <w:szCs w:val="20"/>
                <w:color w:val="auto"/>
              </w:rPr>
            </w:pPr>
            <w:r>
              <w:rPr>
                <w:rFonts w:ascii="Arial" w:cs="Arial" w:eastAsia="Arial" w:hAnsi="Arial"/>
                <w:sz w:val="18"/>
                <w:szCs w:val="18"/>
                <w:color w:val="auto"/>
              </w:rPr>
              <w:t>18 to 65 years</w:t>
            </w:r>
          </w:p>
        </w:tc>
        <w:tc>
          <w:tcPr>
            <w:tcW w:w="3880" w:type="dxa"/>
            <w:vAlign w:val="bottom"/>
          </w:tcPr>
          <w:p>
            <w:pPr>
              <w:spacing w:after="0"/>
              <w:rPr>
                <w:sz w:val="21"/>
                <w:szCs w:val="21"/>
                <w:color w:val="auto"/>
              </w:rPr>
            </w:pPr>
          </w:p>
        </w:tc>
        <w:tc>
          <w:tcPr>
            <w:tcW w:w="2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ALLETE Clean Energy’s Property, Plant and Equipment consists primarily of WTGs with estimated useful lives ranging from 30 years to 35 years.</w:t>
      </w:r>
    </w:p>
    <w:p>
      <w:pPr>
        <w:spacing w:after="0" w:line="213"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w:t>
      </w:r>
      <w:r>
        <w:rPr>
          <w:rFonts w:ascii="MS PGothic" w:cs="MS PGothic" w:eastAsia="MS PGothic" w:hAnsi="MS PGothic"/>
          <w:sz w:val="16"/>
          <w:szCs w:val="16"/>
          <w:color w:val="auto"/>
        </w:rPr>
        <w:t>‑</w:t>
      </w:r>
      <w:r>
        <w:rPr>
          <w:rFonts w:ascii="Arial" w:cs="Arial" w:eastAsia="Arial" w:hAnsi="Arial"/>
          <w:sz w:val="16"/>
          <w:szCs w:val="16"/>
          <w:color w:val="auto"/>
        </w:rPr>
        <w:t>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0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Conditional asset retirement obligations have been identified for treated wood poles and remaining polychlorinated biphenyl and asbestos-containing assets; however, removal liabilities have not been recognized because they are considered immaterial to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0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2. PROPERTY, PLANT AND EQUIPMENT (Continued)</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2015</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2016</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2017</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0"/>
        </w:trPr>
        <w:tc>
          <w:tcPr>
            <w:tcW w:w="6740" w:type="dxa"/>
            <w:vAlign w:val="bottom"/>
            <w:shd w:val="clear" w:color="auto" w:fill="000000"/>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JOINTLY-OWNED FACILITIES AND PROJECTS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Boswell Unit 4. </w:t>
      </w:r>
      <w:r>
        <w:rPr>
          <w:rFonts w:ascii="Arial" w:cs="Arial" w:eastAsia="Arial" w:hAnsi="Arial"/>
          <w:sz w:val="17"/>
          <w:szCs w:val="17"/>
          <w:color w:val="auto"/>
        </w:rPr>
        <w:t>Minnesota Power owns 80 percent of the 585 MW Boswell Unit 4. While Minnesota Power operates the plant, certain decisions about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CapX2020. </w:t>
      </w:r>
      <w:r>
        <w:rPr>
          <w:rFonts w:ascii="Arial" w:cs="Arial" w:eastAsia="Arial" w:hAnsi="Arial"/>
          <w:sz w:val="17"/>
          <w:szCs w:val="17"/>
          <w:color w:val="auto"/>
        </w:rPr>
        <w:t>Minnesota Power was a participant in the CapX2020 initiative which represented an effort to ensure electric transmission and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reliability in Minnesota and the surrounding region for the future. CapX2020, which consisted of electric cooperatives and municipal and investor-owned utilities, including Minnesota’s largest transmission owners, assessed the transmission system and projected growth in customer demand for electricity through 2020. Minnesota Power participated in three CapX2020 projects which were completed and placed in service in 2011, 2012 and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Power’s investments in jointly-owned facilities and projects and the related ownership percentages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Construction Work in</w:t>
            </w:r>
          </w:p>
        </w:tc>
        <w:tc>
          <w:tcPr>
            <w:tcW w:w="1400" w:type="dxa"/>
            <w:vAlign w:val="bottom"/>
          </w:tcPr>
          <w:p>
            <w:pPr>
              <w:spacing w:after="0"/>
              <w:rPr>
                <w:sz w:val="18"/>
                <w:szCs w:val="18"/>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Regulated Utility Plant</w:t>
            </w:r>
          </w:p>
        </w:tc>
        <w:tc>
          <w:tcPr>
            <w:tcW w:w="3040" w:type="dxa"/>
            <w:vAlign w:val="bottom"/>
          </w:tcPr>
          <w:p>
            <w:pPr>
              <w:jc w:val="right"/>
              <w:ind w:right="210"/>
              <w:spacing w:after="0"/>
              <w:rPr>
                <w:sz w:val="20"/>
                <w:szCs w:val="20"/>
                <w:color w:val="auto"/>
              </w:rPr>
            </w:pPr>
            <w:r>
              <w:rPr>
                <w:rFonts w:ascii="Arial" w:cs="Arial" w:eastAsia="Arial" w:hAnsi="Arial"/>
                <w:sz w:val="18"/>
                <w:szCs w:val="18"/>
                <w:b w:val="1"/>
                <w:bCs w:val="1"/>
                <w:color w:val="auto"/>
              </w:rPr>
              <w:t>Plant in Service</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Depreciation</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Progress</w:t>
            </w: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 Ownership</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30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$668.2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CapX2020 Projects</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101.0</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9.3 - 14.7</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$769.2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30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$668.1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CapX2020 Projects</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101.2</w:t>
            </w: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9.3 - 14.7</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$769.3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44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REGULATORY MATTERS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MPUC, Minnesota Power also recognizes revenue under cost recovery riders for transmission, renewable and environmental investments and expenditures. (See </w:t>
      </w:r>
      <w:r>
        <w:rPr>
          <w:rFonts w:ascii="Arial" w:cs="Arial" w:eastAsia="Arial" w:hAnsi="Arial"/>
          <w:sz w:val="18"/>
          <w:szCs w:val="18"/>
          <w:i w:val="1"/>
          <w:iCs w:val="1"/>
          <w:color w:val="auto"/>
        </w:rPr>
        <w:t>Transmission Cost Recovery Rider, Renewable Cost Recovery Rider</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Revenue from cost recovery riders was $96.9 million in 2017 ($97.1 million in 2016; $89.6 million in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02"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As a result of working with intervenors and further developments as the rate review progressed, Minnesota Power’s final rate request was adjusted to approximately $49 million on an annualized basis. At a hearing on January 18, 2018, the MPUC made determinations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will be fully offset by the recognition of a corresponding reserve. As a result of the MPUC’s decisions on January 18, 2018, Minnesota Power has recorded a reserve for an interim rate refund of approximately $32 million as of December 31, 2017. The MPUC also disallowed recovery of Minnesota Power’s regulatory asset for deferred fuel adjustment clause costs due to the anticipated adoption of a forward-looking fuel adjustment clause methodology resulting in a $19.5 million pre-tax charge to Fuel, Purchased Power and Gas – Utility in 2017. An order from the MPUC setting forth the effective date of final rates is expected by March 12, 2018. Minnesota Power will review this order for potential reconsideration of certain issues at that time.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pre-tax in 2017.</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which established that it is the energy policy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to 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order dated April 20, 2017; collection of the discount was subject to the MPUC’s review of Minnesota Power’s compliance filing implementing approval of a recovery mechanism, with the subsequent order issued on October 13, 2017, that modified the order dated April 20, 2017. During 2017, Minnesota Power provided discounts of $8.6 million which were recorded as a receivable. On September 29, 2017, Minnesota Power informed its EITE customers that it has suspended the EITE discount due to a concern that it was not revenue and cash flow neutral to Minnesota Power based on an MPUC decision at a hearing on September 7,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EITE discounts will offset interim rate refund reserves for non-EITE customers.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0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electric contract with the Nashwauk Public Utilities Commission is effective through at least December 31, 2032. No termination notice may be given for this contract prior to July 1, 2029. The wholesale electric service contracts with SWL&amp;P and another municipal customer are effective through at least February 28, 2021, and through June 30, 2019, respectively. Under the agreement with SWL&amp;P, no termination notice has been given. The other municipal customer provided a contract termination notice in June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Power’s wholesale electric contracts with 14 municipal customers are effective through at least December 31, 2024. No termination notices may be given prior to three years before maturity. These contracts include fixed capacity charges through 2018; beginning in 2019, the capacity charge will be determined using a cost-based formula methodology with limits on the annual change from the previous year’s capacity charge. The base energy charge for each year of the contract term will be set each January 1, subject to monthly adjustment, and will also be determined using a cost-based formula methodology.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in place for certain transmission investments and expenditures.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2016 order, the MPUC approved Minnesota Power’s updated customer billing rates which allows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a subsidiary of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bill factor filings.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Bison,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restoration and repair of Thomson. The cost recovery rider allows Minnesota Power to charge retail customers on a current basis for the costs of constructing certain renewable investments plus a return on the capital invested. Updated customer billing rates for the renewable cost recovery rider were approved by the MPUC in an order dated November 8, 2017.</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approximately $15 million in 2016. The North Dakota investment tax credits previously recognized as income tax credits in Corporate and Other were reversed in 2016 resulting in an $8.8 million charge to net income in 2016. In December 2016, Minnesota Power submitted a request for reconsideration with the MPUC. In an order dated February 14, 2017, the MPUC decided to reconsider its November 2016 order.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 order dated December 7, 2017, the MPUC modified its November 2016 order to allow Minnesota Power to account for North Dakota investment tax credits based on the long-standing regulatory precedents of stand-alone allocation methodology of accounting for income taxes. As a result of the favorable regulatory outcome, Minnesota Power recorded a reduction in its regulatory liability and an increase in Operating Revenue of approximately $14 million in 2017. The North Dakota investment tax credits were reestablished as income tax credits in Corporate and Other, resulting in a $7.9 million increase to net income in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Corporate and Other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0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Minnesota Power has an approved environmental improvement rider in place for investments and expenditures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implementation of the Boswell Unit 4 mercury emissions reduction plan completed in 2015. Updated customer billing rates for the environmental improvement rider were approved by the MPUC in a December 2016 order; however, in an order dated March 22, 2017, the MPUC approved a request by Minnesota Power to delay implementation of the updated rates until resolution of its 2016 general rate case. (See </w:t>
      </w:r>
      <w:r>
        <w:rPr>
          <w:rFonts w:ascii="Arial" w:cs="Arial" w:eastAsia="Arial" w:hAnsi="Arial"/>
          <w:sz w:val="16"/>
          <w:szCs w:val="16"/>
          <w:i w:val="1"/>
          <w:iCs w:val="1"/>
          <w:color w:val="auto"/>
        </w:rPr>
        <w:t>2016 Minnesota General Rate Case.)</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Fuel Adjustment Clause Reform Pilot</w:t>
      </w:r>
      <w:r>
        <w:rPr>
          <w:rFonts w:ascii="Arial" w:cs="Arial" w:eastAsia="Arial" w:hAnsi="Arial"/>
          <w:sz w:val="17"/>
          <w:szCs w:val="17"/>
          <w:color w:val="auto"/>
        </w:rPr>
        <w:t>. In an order dated December 19, 2017, the MPUC adopted a three-year pilot program to implement certain procedural</w:t>
      </w:r>
      <w:r>
        <w:rPr>
          <w:rFonts w:ascii="Arial" w:cs="Arial" w:eastAsia="Arial" w:hAnsi="Arial"/>
          <w:sz w:val="17"/>
          <w:szCs w:val="17"/>
          <w:i w:val="1"/>
          <w:iCs w:val="1"/>
          <w:color w:val="auto"/>
        </w:rPr>
        <w:t xml:space="preserve"> </w:t>
      </w:r>
      <w:r>
        <w:rPr>
          <w:rFonts w:ascii="Arial" w:cs="Arial" w:eastAsia="Arial" w:hAnsi="Arial"/>
          <w:sz w:val="17"/>
          <w:szCs w:val="17"/>
          <w:color w:val="auto"/>
        </w:rPr>
        <w:t>reforms to the Minnesota utilities’ automatic fuel adjustment clause (FAC) for fuel and purchased power. The order changes the method of accounting for all Minnesota electric utilities to a monthly budgeted, forwarded-looking FAC with an annual prudence review and true-up to actual allowed costs. The MPUC is seeking input from Minnesota electric utilities and other stakeholders on the implementation and transition accounting needed to adopt the change. The three-year pilot program is expected to begin in 2019. At a hearing on January 18, 2018, the MPUC disallowed recovery of Minnesota Power’s regulatory asset for deferred fuel adjustment clause costs due to the anticipated adoption of the forward-looking fuel adjustment clause methodology in this proceeding resulting in a $19.5 million pre-tax charge to Fuel, Purchased Power and Gas – Utility in 2017.</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Tax Cuts and Jobs Act of 2017</w:t>
      </w:r>
      <w:r>
        <w:rPr>
          <w:rFonts w:ascii="Arial" w:cs="Arial" w:eastAsia="Arial" w:hAnsi="Arial"/>
          <w:sz w:val="16"/>
          <w:szCs w:val="16"/>
          <w:color w:val="auto"/>
        </w:rPr>
        <w:t>. On December 29, 2017, the MPUC opened a docket to review the effects of the TCJA on electric and natural gas rates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in Minnesota, including the legislation’s impact on tax rates and utilities’ deferred income tax assets and liabilities. On January 19, 2018, the MPUC issued a notice of request for information and established comment periods with an initial filing required by March 2, 2018. On January 10, 2018, the PSCW also opened a docket to review the effects of this legislation and directed Wisconsin utilities to defer its impacts until further direction is provided by the PSCW. We have recorded the impact of the remeasurement of deferred income tax assets and liabilities resulting from the federal income tax rate change of the TCJA for Minnesota Power and SWL&amp;P as regulatory assets and liabilities as the benefits of the TCJA are expected to be passed back to our customers over time. (See </w:t>
      </w:r>
      <w:r>
        <w:rPr>
          <w:rFonts w:ascii="Arial" w:cs="Arial" w:eastAsia="Arial" w:hAnsi="Arial"/>
          <w:sz w:val="16"/>
          <w:szCs w:val="16"/>
          <w:i w:val="1"/>
          <w:iCs w:val="1"/>
          <w:color w:val="auto"/>
        </w:rPr>
        <w:t>Regulatory Assets and Liabilities</w:t>
      </w:r>
      <w:r>
        <w:rPr>
          <w:rFonts w:ascii="Arial" w:cs="Arial" w:eastAsia="Arial" w:hAnsi="Arial"/>
          <w:sz w:val="16"/>
          <w:szCs w:val="16"/>
          <w:color w:val="auto"/>
        </w:rPr>
        <w:t>.) The final amount and timing over which the benefits of the TCJA will be passed back to customers is expected to be determined in these dockets; however, we are unable to predict the outcome of these regulatory proceedings.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August 14, 2017, that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10.5 percent return on common equity and a 55 percent equity ratio. SWL&amp;P’s retail rates prior to August 14, 2017, were based on a 2012 PSCW retail rate order that provided for a 10.9 percent return on equity. The 2017 PSCW retail rate order authorizes SWL&amp;P to collect on average a 2.9 percent increase in rates for retail customers (3.8 percent increase in electric rates; 4.8 percent decrease in natural gas rates; and 9.8 percent increase in water rates). On an annualized basis, SWL&amp;P expects to collect additional revenue of $2.5 million.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2015, Minnesota Power filed its 2015 IRP with the MPUC which included an analysis of a variety of existing and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energy resource alternatives and a projection of customer cost impact by class. The 2015 IRP also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including the economic idling of Taconite Harbor Units 1 and 2 which occurred in September 2016, the ceasing of coal-fired operations at Taconite Harbor in 2020, and the addition of between 200 MW and 300 MW of natural gas-fired generation in the next decade. In a July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October 2016, Minnesota Power announced Boswell Units 1 and 2 will be retired in 2018.</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28, 2017, Minnesota Power submitted a resource package to the MPUC requesting approval of PPAs for the output of a 250 MW wind energy facility and a 10 MW solar energy facility as well as approval of a 250 MW natural gas energy PPA. These agreements will be subject to MPUC approval of the construction of a 525 MW to 550 MW combined-cycle natural gas-fired generating facility which will be jointly owned by Dairyland Power Cooperative and a subsidiary of ALLETE. Minnesota Power would purchase approximately 50 percent of the facility's output starting in 2025. In an order dated September 19, 2017, the MPUC approved Minnesota Power’s request to extend the next IRP filing deadline until October 1, 2019, and Minnesota Power’s request that approval for the natural gas energy PPA be decided through an administrative law judge process. The administrative law judge is expected to provide a recommendation by July 2018, and the Company anticipates a MPUC decision in the second half of 2018. The MPUC did not take any action regarding the wind and solar energy PPAs which will be refiled separately from the natural gas energy PPA.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02"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Great Northern Transmission Line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 500-kV</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transmission line between Manitoba and Minnesota’s Iron Range. 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xml:space="preserve">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$152.4 million have been incurred through December 31, 2017, of which $67.6 million has been recovered from a subsidiary of Manitoba Hydro.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In December 2016, Manitoba Hydro filed an application with the National Energy Board in Canada requesting authorization to construct and operate an international transmission line. Both provincial and federal approvals are pending. Construction of Manitoba Hydro’s hydroelectric generation facility commenced in 2014 and is anticipated to be in service by early 2021.</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Conservation Improvement Program. </w:t>
      </w:r>
      <w:r>
        <w:rPr>
          <w:rFonts w:ascii="Arial" w:cs="Arial" w:eastAsia="Arial" w:hAnsi="Arial"/>
          <w:sz w:val="17"/>
          <w:szCs w:val="17"/>
          <w:color w:val="auto"/>
        </w:rPr>
        <w:t>Minnesota requires electric utilities to spend a minimum of 1.5 percent of gross operating revenues from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state on energy CIPs each year and establish an annual energy-savings goal of 1.5 percent of annual retail energy sales. These investments are recovered from certain retail customers through a combination of the conservation cost recovery charge included in retail base rates and a conservation program adjustment, which is adjusted annually through the CIP consolidated filing. The MPUC allows utilities to accumulate, in a deferred account for future cost recovery, all CIP expenditures, any financial incentive earned for cost-effective program achievements and a carrying charge on the deferred account balance. Minnesota Power refers to its conservation programs collectively as the “Power of One”. On November 16, 2017, the Minnesota Department of Commerce approved Minnesota Power’s modified CIP triennial filing for 2017 through 2019, which outlines Minnesota Power’s CIP spending and energy-saving goals for 2017 through 2019. Minnesota Power’s CIP investment goal was $10.3 million for 2017 ($7.3 million for 2016; $7.1 million for 2015), with actual spending of $8.1 million in 2017 ($7.4 million in 2016; $6.6 million in 2015). The investment goals for 2018 and 2019 are $10.3 million and $10.5 million, respectively.</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3, 2017, Minnesota Power submitted its 2016 CIP consolidated filing, which detailed Minnesota Power’s CIP program results and requested a CIP financial incentive of $5.5 million based upon MPUC procedures. In an order dated June 22, 2017, the MPUC approved Minnesota Power’s CIP consolidated filing, including the requested CIP financial incentive which was recorded as revenue and as a regulatory asset in 2017. The approved financial incentive will be recovered through customer billing rates in 2017 and 2018. In 2016 and 2015, the CIP financial incentives recognized were $7.5 million and $6.2 million, respectively. CIP financial incentives are recognized in the period in which the MPUC approves the filing.</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2013, several customer groups located within the MISO service area filed complaints with the FERC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reduction in the base return on equity used by MISO transmission owners, including ALLETE and ATC, to 9.15 percent. In 2015, a federal administrative law judge ruled on the complaint proposing a reduction in the base return on equity to 10.32 percent, or 10.82 percent including an incentive adder for participation in a regional transmission organization. In September 2016, the FERC issued an order affirming the administrative law judge’s recommendation.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an additional complaint was filed with the FERC seeking an order to further reduce the base return on equity to 8.67 percent. In June 2016, a federal administrative law judge ruled on the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which is not expected to have a material impact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02"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b w:val="1"/>
          <w:bCs w:val="1"/>
          <w:color w:val="auto"/>
        </w:rPr>
        <w:t xml:space="preserve">Minnesota Solar Energy Standard. </w:t>
      </w:r>
      <w:r>
        <w:rPr>
          <w:rFonts w:ascii="Arial" w:cs="Arial" w:eastAsia="Arial" w:hAnsi="Arial"/>
          <w:sz w:val="16"/>
          <w:szCs w:val="16"/>
          <w:color w:val="auto"/>
        </w:rPr>
        <w:t>Minnesota law requires at least 1.5 percent of total retail electric sales, excluding sales to certain customers, to be</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generated by solar energy by the end of 2020. At least 10 percent of the 1.5 percent mandate must be met by solar energy generated by or procured from solar photovoltaic devices with a nameplate capacity of 40kW or less and community solar garden subscriptions. In a 2016 order,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July 2016 order, the MPUC approved a community solar garden project in northeastern Minnesota, which is comprised of a 1 MW solar array owned and operated by a third party with the output purchased by Minnesota Power and a 40 kW solar array that is owned and operated by Minnesota Power. Minnesota Power believes Camp Ripley and the community solar garden arrays will meet approximately one</w:t>
      </w:r>
      <w:r>
        <w:rPr>
          <w:rFonts w:ascii="MS PGothic" w:cs="MS PGothic" w:eastAsia="MS PGothic" w:hAnsi="MS PGothic"/>
          <w:sz w:val="16"/>
          <w:szCs w:val="16"/>
          <w:color w:val="auto"/>
        </w:rPr>
        <w:t>‑</w:t>
      </w:r>
      <w:r>
        <w:rPr>
          <w:rFonts w:ascii="Arial" w:cs="Arial" w:eastAsia="Arial" w:hAnsi="Arial"/>
          <w:sz w:val="16"/>
          <w:szCs w:val="16"/>
          <w:color w:val="auto"/>
        </w:rPr>
        <w:t>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The proposal to incentivize customer</w:t>
      </w:r>
      <w:r>
        <w:rPr>
          <w:rFonts w:ascii="MS PGothic" w:cs="MS PGothic" w:eastAsia="MS PGothic" w:hAnsi="MS PGothic"/>
          <w:sz w:val="16"/>
          <w:szCs w:val="16"/>
          <w:color w:val="auto"/>
        </w:rPr>
        <w:t>‑</w:t>
      </w:r>
      <w:r>
        <w:rPr>
          <w:rFonts w:ascii="Arial" w:cs="Arial" w:eastAsia="Arial" w:hAnsi="Arial"/>
          <w:sz w:val="16"/>
          <w:szCs w:val="16"/>
          <w:color w:val="auto"/>
        </w:rPr>
        <w:t>sited solar installations and the community solar garden subscriptions is expected to meet a portion of the required small scale solar mandate.</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02"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NOTE 4. REGULATORY MATTERS (Continued)</w:t>
            </w:r>
          </w:p>
        </w:tc>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3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Deferred Fuel Adjustment Clause</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7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3120" w:type="dxa"/>
            <w:vAlign w:val="bottom"/>
          </w:tcPr>
          <w:p>
            <w:pPr>
              <w:jc w:val="right"/>
              <w:ind w:right="290"/>
              <w:spacing w:after="0"/>
              <w:rPr>
                <w:sz w:val="20"/>
                <w:szCs w:val="20"/>
                <w:color w:val="auto"/>
              </w:rPr>
            </w:pPr>
            <w:r>
              <w:rPr>
                <w:rFonts w:ascii="Arial" w:cs="Arial" w:eastAsia="Arial" w:hAnsi="Arial"/>
                <w:sz w:val="18"/>
                <w:szCs w:val="18"/>
                <w:color w:val="auto"/>
              </w:rPr>
              <w:t>$220.3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226.1</w:t>
            </w: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(c)(d)</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112.8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(e)</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29.6</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(f)</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Conservation Improvement Program </w:t>
            </w:r>
            <w:r>
              <w:rPr>
                <w:rFonts w:ascii="Arial" w:cs="Arial" w:eastAsia="Arial" w:hAnsi="Arial"/>
                <w:sz w:val="16"/>
                <w:szCs w:val="16"/>
                <w:i w:val="1"/>
                <w:iCs w:val="1"/>
                <w:color w:val="auto"/>
              </w:rPr>
              <w:t>(g)</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(h)</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Assets</w:t>
            </w:r>
          </w:p>
        </w:tc>
        <w:tc>
          <w:tcPr>
            <w:tcW w:w="31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384.7</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330.1</w:t>
            </w:r>
          </w:p>
        </w:tc>
      </w:tr>
      <w:tr>
        <w:trPr>
          <w:trHeight w:val="27"/>
        </w:trPr>
        <w:tc>
          <w:tcPr>
            <w:tcW w:w="7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$384.7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(d)</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$411.2</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(i)</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57.9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(j)</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20.3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North Dakota Investment Tax Credits </w:t>
            </w:r>
            <w:r>
              <w:rPr>
                <w:rFonts w:ascii="Arial" w:cs="Arial" w:eastAsia="Arial" w:hAnsi="Arial"/>
                <w:sz w:val="16"/>
                <w:szCs w:val="16"/>
                <w:i w:val="1"/>
                <w:iCs w:val="1"/>
                <w:color w:val="auto"/>
              </w:rPr>
              <w:t>(k)</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(h)</w:t>
            </w:r>
          </w:p>
        </w:tc>
        <w:tc>
          <w:tcPr>
            <w:tcW w:w="312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1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$532.0</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2"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 At a hearing on January 18, 2018, the MPUC disallowed recovery of Minnesota Power’s regulatory asset for deferred fuel adjustment clause costs resulting in a $19.5 million pre-tax charge to Fuel, Purchased Power and Gas – Utility in 2017. (See 2016 Minnesota General Rate Case.)</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15.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 – Revision of Prior Balance Sheet.</w:t>
      </w:r>
    </w:p>
    <w:p>
      <w:pPr>
        <w:spacing w:after="0" w:line="5"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These costs represent the difference between deferred income taxes recognized for financial reporting purposes and amounts previously billed to our customers. The increase in 2017 is primarily due to the remeasurement of deferred income tax assets and liabilities for our Regulated Operations resulting from the TCJA. The benefits of the TCJA for Minnesota Power and SWL&amp;P are expected to be passed back to customers over time primarily based upon the normalization provisions of the U.S. Internal Revenue Code over the life of the related property, plant and equipment with the remainder passed back based upon the determinations of regulatory authorities. (See Note 1. Operations and Significant Accounting Policies, and Tax Cuts and Jobs Act of 2017.) The balances not related to remeasurement will decrease over the remaining life of the related temporary differences and flow through current income taxes.</w:t>
      </w:r>
    </w:p>
    <w:p>
      <w:pPr>
        <w:spacing w:after="0" w:line="2" w:lineRule="exact"/>
        <w:rPr>
          <w:rFonts w:ascii="Arial" w:cs="Arial" w:eastAsia="Arial" w:hAnsi="Arial"/>
          <w:sz w:val="16"/>
          <w:szCs w:val="16"/>
          <w:i w:val="1"/>
          <w:iCs w:val="1"/>
          <w:color w:val="auto"/>
        </w:rPr>
      </w:pPr>
    </w:p>
    <w:p>
      <w:pPr>
        <w:ind w:left="340" w:hanging="332"/>
        <w:spacing w:after="0"/>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regulatory asset represents costs of remediation for a former manufactured gas plant site located in Superior, Wisconsin, and formerly operated by SWL&amp;P. We expect recovery of these remediation costs to be allowed by the PSCW in rates over time.</w:t>
      </w:r>
    </w:p>
    <w:p>
      <w:pPr>
        <w:ind w:left="340" w:hanging="332"/>
        <w:spacing w:after="0" w:line="24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conservation improvement program regulatory asset represents CIP expenditures, any financial incentive earned for cost-effective program achievements and a carrying charge deferred for future cost recovery over the next year following MPUC approval.</w:t>
      </w:r>
    </w:p>
    <w:p>
      <w:pPr>
        <w:jc w:val="both"/>
        <w:ind w:left="340" w:hanging="332"/>
        <w:spacing w:after="0" w:line="24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and liabilities are revenues not yet collected from our customers and cash collections from our customers in excess of the revenue recognized, respectively, primarily due to capital expenditures related to Bison, investment in CapX2020 projects, the Boswell Unit 4 environmental upgrade and the GNTL, and are recognized in accordance with the accounting standards for alternative revenue programs. The cost recovery rider regulatory assets and liabilities as of December 31, 2017, will be recovered or returned within the next two years.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ind w:left="340" w:hanging="332"/>
        <w:spacing w:after="0" w:line="189" w:lineRule="exact"/>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is expected to be refunded to Minnesota Power’s regulated retail customers in the first quarter of 2019 and includes $8.6 million of EITE discounts that will be offset against interim rate refunds. (See 2016 Minnesota General Rate Case and Energy-Intensive Trade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Exposed Customer Rates.)</w:t>
      </w:r>
    </w:p>
    <w:p>
      <w:pPr>
        <w:ind w:left="340" w:hanging="332"/>
        <w:spacing w:after="0" w:line="257"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North Dakota investment tax credits expected to be realized from Bison that will be credited to Minnesota Power’s regulated retail customers through future renewable cost recovery rider fillings as the tax credits are utilized.</w:t>
      </w:r>
    </w:p>
    <w:p>
      <w:pPr>
        <w:sectPr>
          <w:pgSz w:w="11900" w:h="16838" w:orient="portrait"/>
          <w:cols w:equalWidth="0" w:num="1">
            <w:col w:w="11420"/>
          </w:cols>
          <w:pgMar w:left="240" w:top="70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02"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5. INVESTMENT IN ATC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2017, our equity investment in ATC was $118.7 million ($135.6 million as of December 31, 2016). On January 31, 2018, we invested an additional $1.6 million in ATC. In total, we expect to invest approximately $6 million throughout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ALLETE’s Investment in ATC</w:t>
            </w:r>
          </w:p>
        </w:tc>
        <w:tc>
          <w:tcPr>
            <w:tcW w:w="40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4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Beginning Balance</w:t>
            </w:r>
          </w:p>
        </w:tc>
        <w:tc>
          <w:tcPr>
            <w:tcW w:w="4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$135.6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0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4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00" w:type="dxa"/>
            <w:vAlign w:val="bottom"/>
          </w:tcPr>
          <w:p>
            <w:pPr>
              <w:jc w:val="right"/>
              <w:ind w:right="310"/>
              <w:spacing w:after="0"/>
              <w:rPr>
                <w:sz w:val="20"/>
                <w:szCs w:val="20"/>
                <w:color w:val="auto"/>
              </w:rPr>
            </w:pPr>
            <w:r>
              <w:rPr>
                <w:rFonts w:ascii="Arial" w:cs="Arial" w:eastAsia="Arial" w:hAnsi="Arial"/>
                <w:sz w:val="18"/>
                <w:szCs w:val="18"/>
                <w:color w:val="auto"/>
              </w:rPr>
              <w:t>(19.3)</w:t>
            </w: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4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Remeasurement of Deferred Income Taxes </w:t>
            </w:r>
            <w:r>
              <w:rPr>
                <w:rFonts w:ascii="Arial" w:cs="Arial" w:eastAsia="Arial" w:hAnsi="Arial"/>
                <w:sz w:val="16"/>
                <w:szCs w:val="16"/>
                <w:i w:val="1"/>
                <w:iCs w:val="1"/>
                <w:color w:val="auto"/>
              </w:rPr>
              <w:t>(a)</w:t>
            </w:r>
          </w:p>
        </w:tc>
        <w:tc>
          <w:tcPr>
            <w:tcW w:w="4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Ending Balance</w:t>
            </w:r>
          </w:p>
        </w:tc>
        <w:tc>
          <w:tcPr>
            <w:tcW w:w="4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$118.7</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Impact of the remeasurement of deferred income tax assets and liabilities resulting from the TCJA. (See Note 1. Operations and Significant Accounting Policies.)</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ATC Summarized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5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$87.7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52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4,598.9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4,312.9</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$4,686.6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$4,388.7</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3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$767.2</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$495.1</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1,790.6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52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240.3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271.5</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3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1,888.5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1,756.8</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Members’ Equity</w:t>
            </w:r>
          </w:p>
        </w:tc>
        <w:tc>
          <w:tcPr>
            <w:tcW w:w="3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$4,686.6</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$4,388.7</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5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$721.6</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$650.8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$615.8</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520" w:type="dxa"/>
            <w:vAlign w:val="bottom"/>
          </w:tcPr>
          <w:p>
            <w:pPr>
              <w:jc w:val="right"/>
              <w:ind w:right="290"/>
              <w:spacing w:after="0"/>
              <w:rPr>
                <w:sz w:val="20"/>
                <w:szCs w:val="20"/>
                <w:color w:val="auto"/>
              </w:rPr>
            </w:pPr>
            <w:r>
              <w:rPr>
                <w:rFonts w:ascii="Arial" w:cs="Arial" w:eastAsia="Arial" w:hAnsi="Arial"/>
                <w:sz w:val="18"/>
                <w:szCs w:val="18"/>
                <w:color w:val="auto"/>
              </w:rPr>
              <w:t>344.9</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322.5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319.3</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104.1</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95.5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$272.6</w:t>
            </w: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$232.8</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$200.4</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 in Net Income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$22.5</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0"/>
        </w:trPr>
        <w:tc>
          <w:tcPr>
            <w:tcW w:w="544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(See Note 4. Regulatory Matters.)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0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6.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years ended December 31, 2017,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Tonka Water. </w:t>
      </w:r>
      <w:r>
        <w:rPr>
          <w:rFonts w:ascii="Arial" w:cs="Arial" w:eastAsia="Arial" w:hAnsi="Arial"/>
          <w:sz w:val="18"/>
          <w:szCs w:val="18"/>
          <w:color w:val="auto"/>
        </w:rPr>
        <w:t>On September 1, 2017, U.S. Water Services acquired 100 percent of Tonka Water. Total consideration for the transaction was $19.2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working capital adjustment. Consideration of $19.0 million was paid in cash on the acquisition date and a working capital adjustment of $0.2 million was paid in the fourth quarter of 2017. Tonka Water is a supplier of municipal and industrial water treatment systems and will expand U.S. Water Services’ geographic and customer markets.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acquisition was accounted for as a business combination and the purchase price was allocated based on the estimated fair values of the assets acquired and the liabilities assumed at the date of acquisition. The allocation of the purchase price is subject to judgment and the preliminary estimated fair value of the assets acquired and the liabilities assumed may be adjusted when the valuation analysis is complete in subsequent periods. Preliminary estimates subject to adjustment in subsequent periods relate primarily to income tax liabilities; subsequent adjustments could impact the amount of goodwill recorded.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03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6"/>
                <w:szCs w:val="16"/>
                <w:i w:val="1"/>
                <w:iCs w:val="1"/>
                <w:color w:val="auto"/>
              </w:rPr>
              <w:t>(a)</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40" w:type="dxa"/>
            <w:vAlign w:val="bottom"/>
            <w:tcBorders>
              <w:top w:val="single" w:sz="8" w:color="auto"/>
            </w:tcBorders>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69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6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0"/>
        </w:trPr>
        <w:tc>
          <w:tcPr>
            <w:tcW w:w="692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7. Goodwill and Intangible Assets.)</w:t>
      </w:r>
    </w:p>
    <w:p>
      <w:pPr>
        <w:spacing w:after="0" w:line="22" w:lineRule="exact"/>
        <w:rPr>
          <w:rFonts w:ascii="Arial" w:cs="Arial" w:eastAsia="Arial" w:hAnsi="Arial"/>
          <w:sz w:val="16"/>
          <w:szCs w:val="16"/>
          <w:i w:val="1"/>
          <w:iCs w:val="1"/>
          <w:color w:val="auto"/>
        </w:rPr>
      </w:pPr>
    </w:p>
    <w:p>
      <w:pPr>
        <w:ind w:left="340" w:hanging="332"/>
        <w:spacing w:after="0" w:line="270"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Recognized goodwill is attributable to the assembled workforce and anticipated synergies. For tax purposes, the purchase price allocation resulted in $4.1 million of deductible goodwill.</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2017 and recorded in Operating and Maintenance on the Consolidated Statement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Acquisition of Non-Controlling Interest. </w:t>
      </w:r>
      <w:r>
        <w:rPr>
          <w:rFonts w:ascii="Arial" w:cs="Arial" w:eastAsia="Arial" w:hAnsi="Arial"/>
          <w:sz w:val="18"/>
          <w:szCs w:val="18"/>
          <w:color w:val="auto"/>
        </w:rPr>
        <w:t>In April 2016, ALLETE Clean Energy acquired the non-controlling interest in the limited liability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its Condon wind energy facility for $8.0 million. This transaction was accounted for as an equity transaction, and no gain or loss was recognized in net income or other comprehensive income. As a result of the acquisition, the Condon wind energy facility is now a wholly-owned subsidiary of ALLETE Clean Energy.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WEST. </w:t>
      </w:r>
      <w:r>
        <w:rPr>
          <w:rFonts w:ascii="Arial" w:cs="Arial" w:eastAsia="Arial" w:hAnsi="Arial"/>
          <w:sz w:val="18"/>
          <w:szCs w:val="18"/>
          <w:color w:val="auto"/>
        </w:rPr>
        <w:t>In October 2016, U.S. Water Services acquired 100 percent of Water &amp; Energy Systems Technology of Nevada, Inc. (WEST). Total consideration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was $6.7 million. Consideration of $5.9 million was paid in cash on the acquisition date, working capital adjustments of $0.2 million were paid in the first six months of 2017 and a $0.6 million payment is due in April 2018. WEST is an integrated water management company and was acquired to expand U.S. Water Services’ regional footprint in the Southwestern United States.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0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the second quarter of 2017, is shown in the following table.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114300</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top w:val="single" w:sz="8" w:color="auto"/>
            </w:tcBorders>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7.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no allocation to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2016 and recorded in Operating and Maintenance on the Consolidated Statement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 Water Services. </w:t>
      </w:r>
      <w:r>
        <w:rPr>
          <w:rFonts w:ascii="Arial" w:cs="Arial" w:eastAsia="Arial" w:hAnsi="Arial"/>
          <w:sz w:val="18"/>
          <w:szCs w:val="18"/>
          <w:color w:val="auto"/>
        </w:rPr>
        <w:t>In 2015, ALLETE acquired U.S. Water Services. Total consideration for the transaction was $202.3 million, which included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$166.6 million in cash and an estimated fair value of earnings-based contingent consideration of $35.7 million, as estimated at the date of acquisition, to be paid through 2019. The contingent consideration is presented within Other Non-Current Liabilities on the Consolidated Balance Sheet. The Consolidated Statement of Income reflects 100 percent of the results of operations for U.S. Water Services since the acquisition date as the Company has acquired 100 percent of U.S. Water Services.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02"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(c)</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(d)</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progress and finished goods inventories which were recognized as Cost of Sales within one year from the acquisition date.</w:t>
      </w:r>
    </w:p>
    <w:p>
      <w:pPr>
        <w:ind w:left="340" w:hanging="332"/>
        <w:spacing w:after="0" w:line="263" w:lineRule="auto"/>
        <w:tabs>
          <w:tab w:leader="none" w:pos="340"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was recognized as Cost of Sales within one year from the acquisition date. Also included in Other Current Assets was restricted cash of $2.1 million relating to cash pledged as collateral for standby letters of credit.</w:t>
      </w:r>
    </w:p>
    <w:p>
      <w:pPr>
        <w:ind w:left="340" w:hanging="332"/>
        <w:spacing w:after="0"/>
        <w:tabs>
          <w:tab w:leader="none" w:pos="340"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7. Goodwill and Intangible Assets.)</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$2.9 million of deductible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$3.0 million after-tax were expensed as incurred during 2015 and recorded in Operating and Maintenance on the Consolidated Statement of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Chanarambie/Viking. </w:t>
      </w:r>
      <w:r>
        <w:rPr>
          <w:rFonts w:ascii="Arial" w:cs="Arial" w:eastAsia="Arial" w:hAnsi="Arial"/>
          <w:sz w:val="18"/>
          <w:szCs w:val="18"/>
          <w:color w:val="auto"/>
        </w:rPr>
        <w:t>In 2015, ALLETE Clean Energy acquired 100 percent of wind energy facilities in southern Minnesota (Chanarambie/Viking) from EDF</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Inc. for $48.0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facilities have a combined 97.5 MW of generating capability. The wind energy facilities began commercial operations in 2003 and have PSAs in place for their entire output, which expire in 2018 (12 MW) and 2023 (85.5 MW).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0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PSAs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of goodwill. For tax purposes, the purchase price allocation resulted in no allocation to goodwill.</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$5.9 million related to the current portion of PSAs.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$0.2 million after-tax were expensed as incurred during 2015 and recorded in Operating and Maintenance on the Consolidated Statement of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Armenia Mountain. </w:t>
      </w:r>
      <w:r>
        <w:rPr>
          <w:rFonts w:ascii="Arial" w:cs="Arial" w:eastAsia="Arial" w:hAnsi="Arial"/>
          <w:sz w:val="18"/>
          <w:szCs w:val="18"/>
          <w:color w:val="auto"/>
        </w:rPr>
        <w:t>In 2015, ALLETE Clean Energy acquired 100 percent of a wind energy facility located near Troy, Pennsylvania (Armenia Mountain)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AES Corporation and a minority shareholder for $111.1 million, plus the assumption of existing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PSAs in place for its entire output, which expire in 2024.</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124460</wp:posOffset>
            </wp:positionV>
            <wp:extent cx="7212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6"/>
                <w:szCs w:val="16"/>
                <w:i w:val="1"/>
                <w:iCs w:val="1"/>
                <w:color w:val="auto"/>
              </w:rPr>
              <w:t>(a)</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(b)</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r>
      <w:tr>
        <w:trPr>
          <w:trHeight w:val="237"/>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r>
      <w:tr>
        <w:trPr>
          <w:trHeight w:val="237"/>
        </w:trPr>
        <w:tc>
          <w:tcPr>
            <w:tcW w:w="68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Assets was $1.0 million related to the current portion of PSAs and $6.0 million of restricted cash related to collateral deposits required under its loan agreement.</w:t>
      </w:r>
    </w:p>
    <w:p>
      <w:pPr>
        <w:spacing w:after="0" w:line="1" w:lineRule="exact"/>
        <w:rPr>
          <w:rFonts w:ascii="Arial" w:cs="Arial" w:eastAsia="Arial" w:hAnsi="Arial"/>
          <w:sz w:val="16"/>
          <w:szCs w:val="16"/>
          <w:i w:val="1"/>
          <w:iCs w:val="1"/>
          <w:color w:val="auto"/>
        </w:rPr>
      </w:pPr>
    </w:p>
    <w:p>
      <w:pPr>
        <w:ind w:left="340" w:right="20" w:hanging="332"/>
        <w:spacing w:after="0" w:line="290" w:lineRule="auto"/>
        <w:tabs>
          <w:tab w:leader="none" w:pos="340" w:val="left"/>
        </w:tabs>
        <w:numPr>
          <w:ilvl w:val="0"/>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Non-Current Assets was $8.2 million related to the non-current portion of PSAs, $6.1 million of restricted cash related to collateral deposits required under its loan agreements and an immaterial amount of goodwill. For tax purposes, the purchase price allocation resulted in no allocation to goodwill.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0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$1.6 million after-tax were expensed as incurred during 2015 and recorded in Operating and Maintenance on the Consolidated Statement of Income.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 and W Technologies. </w:t>
      </w:r>
      <w:r>
        <w:rPr>
          <w:rFonts w:ascii="Arial" w:cs="Arial" w:eastAsia="Arial" w:hAnsi="Arial"/>
          <w:sz w:val="16"/>
          <w:szCs w:val="16"/>
          <w:color w:val="auto"/>
        </w:rPr>
        <w:t>In 2015, U.S. Water Services acquired 100 percent of A and W Technologies, Inc. (AWT). Total consideration for the transaction was</w:t>
      </w:r>
      <w:r>
        <w:rPr>
          <w:rFonts w:ascii="Arial" w:cs="Arial" w:eastAsia="Arial" w:hAnsi="Arial"/>
          <w:sz w:val="16"/>
          <w:szCs w:val="16"/>
          <w:i w:val="1"/>
          <w:iCs w:val="1"/>
          <w:color w:val="auto"/>
        </w:rPr>
        <w:t xml:space="preserve"> </w:t>
      </w:r>
      <w:r>
        <w:rPr>
          <w:rFonts w:ascii="Arial" w:cs="Arial" w:eastAsia="Arial" w:hAnsi="Arial"/>
          <w:sz w:val="16"/>
          <w:szCs w:val="16"/>
          <w:color w:val="auto"/>
        </w:rPr>
        <w:t>$9.3 million, which included payment of $8.3 million in cash and a $1.0 million payment made in April 2017. AWT, similar to U.S. Water Services, is an integrated water management company and was acquired to expand U.S. Water Services’ regional footprint in the Southeastern United States.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124460</wp:posOffset>
            </wp:positionV>
            <wp:extent cx="7212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69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Intangible Assets include customer relationships and non-compete agreements. (See Note 7.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$4.4 million of deductible goodwill.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immaterial, expensed as incurred during 2015 and recorded in Operating and Maintenance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02"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7. GOODWILL AND INTANGIBLE ASSETS</w:t>
            </w:r>
          </w:p>
        </w:tc>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w w:val="98"/>
              </w:rPr>
              <w:t>The following table summarizes changes to goodwill by reportable segment:</w:t>
            </w:r>
          </w:p>
        </w:tc>
        <w:tc>
          <w:tcPr>
            <w:tcW w:w="1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1"/>
        </w:trPr>
        <w:tc>
          <w:tcPr>
            <w:tcW w:w="5980" w:type="dxa"/>
            <w:vAlign w:val="bottom"/>
          </w:tcPr>
          <w:p>
            <w:pPr>
              <w:spacing w:after="0"/>
              <w:rPr>
                <w:sz w:val="24"/>
                <w:szCs w:val="24"/>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rPr>
              <w:t>ALLETE Clean</w:t>
            </w: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rPr>
              <w:t>Energy</w:t>
            </w:r>
          </w:p>
        </w:tc>
        <w:tc>
          <w:tcPr>
            <w:tcW w:w="2300" w:type="dxa"/>
            <w:vAlign w:val="bottom"/>
          </w:tcPr>
          <w:p>
            <w:pPr>
              <w:jc w:val="right"/>
              <w:ind w:right="550"/>
              <w:spacing w:after="0"/>
              <w:rPr>
                <w:sz w:val="20"/>
                <w:szCs w:val="20"/>
                <w:color w:val="auto"/>
              </w:rPr>
            </w:pPr>
            <w:r>
              <w:rPr>
                <w:rFonts w:ascii="Arial" w:cs="Arial" w:eastAsia="Arial" w:hAnsi="Arial"/>
                <w:sz w:val="18"/>
                <w:szCs w:val="18"/>
                <w:b w:val="1"/>
                <w:bCs w:val="1"/>
                <w:color w:val="auto"/>
                <w:w w:val="96"/>
              </w:rPr>
              <w:t>U.S. Water Services</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5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23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$127.3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Acquired Goodwill </w:t>
            </w:r>
            <w:r>
              <w:rPr>
                <w:rFonts w:ascii="Arial" w:cs="Arial" w:eastAsia="Arial" w:hAnsi="Arial"/>
                <w:sz w:val="16"/>
                <w:szCs w:val="16"/>
                <w:i w:val="1"/>
                <w:iCs w:val="1"/>
                <w:color w:val="auto"/>
              </w:rPr>
              <w:t>(a)</w:t>
            </w:r>
          </w:p>
        </w:tc>
        <w:tc>
          <w:tcPr>
            <w:tcW w:w="1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3.9</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Impairment Charge </w:t>
            </w:r>
            <w:r>
              <w:rPr>
                <w:rFonts w:ascii="Arial" w:cs="Arial" w:eastAsia="Arial" w:hAnsi="Arial"/>
                <w:sz w:val="16"/>
                <w:szCs w:val="16"/>
                <w:i w:val="1"/>
                <w:iCs w:val="1"/>
                <w:color w:val="auto"/>
              </w:rPr>
              <w:t>(b)</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3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1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131.2</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131.2</w:t>
            </w:r>
          </w:p>
        </w:tc>
      </w:tr>
      <w:tr>
        <w:trPr>
          <w:trHeight w:val="27"/>
        </w:trPr>
        <w:tc>
          <w:tcPr>
            <w:tcW w:w="5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Acquired Goodwill </w:t>
            </w:r>
            <w:r>
              <w:rPr>
                <w:rFonts w:ascii="Arial" w:cs="Arial" w:eastAsia="Arial" w:hAnsi="Arial"/>
                <w:sz w:val="16"/>
                <w:szCs w:val="16"/>
                <w:i w:val="1"/>
                <w:iCs w:val="1"/>
                <w:color w:val="auto"/>
              </w:rPr>
              <w:t>(a)</w:t>
            </w:r>
          </w:p>
        </w:tc>
        <w:tc>
          <w:tcPr>
            <w:tcW w:w="1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16.9</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5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702" w:right="239" w:bottom="1440" w:gutter="0" w:footer="0" w:header="0"/>
        </w:sectPr>
      </w:pPr>
    </w:p>
    <w:p>
      <w:pPr>
        <w:ind w:left="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6"/>
          <w:szCs w:val="16"/>
          <w:i w:val="1"/>
          <w:iCs w:val="1"/>
          <w:color w:val="auto"/>
        </w:rPr>
        <w:t>(c)</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December 31, 2017</w:t>
      </w:r>
    </w:p>
    <w:p>
      <w:pPr>
        <w:spacing w:after="0" w:line="7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See Note 6.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0.2</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84"/>
        </w:trPr>
        <w:tc>
          <w:tcPr>
            <w:tcW w:w="8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$148.3</w:t>
            </w:r>
          </w:p>
        </w:tc>
        <w:tc>
          <w:tcPr>
            <w:tcW w:w="1160" w:type="dxa"/>
            <w:vAlign w:val="bottom"/>
          </w:tcPr>
          <w:p>
            <w:pPr>
              <w:jc w:val="right"/>
              <w:spacing w:after="0"/>
              <w:rPr>
                <w:sz w:val="20"/>
                <w:szCs w:val="20"/>
                <w:color w:val="auto"/>
              </w:rPr>
            </w:pPr>
            <w:r>
              <w:rPr>
                <w:rFonts w:ascii="Arial" w:cs="Arial" w:eastAsia="Arial" w:hAnsi="Arial"/>
                <w:sz w:val="18"/>
                <w:szCs w:val="18"/>
                <w:color w:val="auto"/>
              </w:rPr>
              <w:t>$148.3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-162560</wp:posOffset>
            </wp:positionV>
            <wp:extent cx="72466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6760" w:space="720"/>
            <w:col w:w="3940"/>
          </w:cols>
          <w:pgMar w:left="240" w:top="702" w:right="239" w:bottom="1440" w:gutter="0" w:footer="0" w:header="0"/>
          <w:type w:val="continuous"/>
        </w:sectPr>
      </w:pPr>
    </w:p>
    <w:p>
      <w:pPr>
        <w:jc w:val="both"/>
        <w:ind w:left="340" w:hanging="332"/>
        <w:spacing w:after="0" w:line="246" w:lineRule="auto"/>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The facts and circumstances that led to an impairment of ALLETE Clean Energy’s goodwill primarily relate to lower estimated energy prices in periods not under PSAs. Impairment Charge is included in Operating Expenses – Other on the Consolidated Statement of Income. (See Note 1. Operations and Significant Accounting Policies.) ALLETE Clean Energy’s goodwill was primarily related to the acquisition of Storm Lake II in 2014.</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Finalization of purchase price accounting for U.S. Water Services’ acquisition of WEST was completed in 2017 resulting in an adjustment to the goodwill recorded at the time of the initial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to intangible assets, net, for the year ended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5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140" w:type="dxa"/>
            <w:vAlign w:val="bottom"/>
          </w:tcPr>
          <w:p>
            <w:pPr>
              <w:spacing w:after="0"/>
              <w:rPr>
                <w:sz w:val="20"/>
                <w:szCs w:val="20"/>
                <w:color w:val="auto"/>
              </w:rPr>
            </w:pPr>
          </w:p>
        </w:tc>
        <w:tc>
          <w:tcPr>
            <w:tcW w:w="25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16"/>
                <w:szCs w:val="16"/>
                <w:i w:val="1"/>
                <w:iCs w:val="1"/>
                <w:color w:val="auto"/>
              </w:rPr>
              <w:t>(a)</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Amortization</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5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2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$59.3</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414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(b)</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4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2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65.6</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2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4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25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$82.2</w:t>
            </w:r>
          </w:p>
        </w:tc>
        <w:tc>
          <w:tcPr>
            <w:tcW w:w="1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$0.9</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$(5.5)</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Additions resulting from the September 1, 2017, acquisition of Tonka Water. (See Note 6. Acquisitions.)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patents, non-compete agreements, land easements and trade names with finite lives.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20 years, and developed technology and other have remaining useful lives ranging from approximately 1 year to approximately 11 years (weighted average of approximately 7 years). The weighted average remaining useful life of all definite-lived intangible assets as of December 31, 2017, is approximately 19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of intangible assets for the year ended December 31, 2017, was $5.5 million ($5.2 million in 2016; $4.0 million in 2015). Accumulated amortization was $14.8 million and $9.3 million as of December 31, 2017, and December 31, 2016, respectively. Estimated amortization expense for definite-lived intangible assets is $5.3 million in 2018, $5.0 million in 2019, $4.7 million in 2020, $4.6 million in 2021, $4.3 million in 2022 and $37.1 million thereafter.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02"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8.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December 31, 2017,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5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9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$26.4</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19.1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5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Other</w:t>
            </w: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9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$53.1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0"/>
        </w:trPr>
        <w:tc>
          <w:tcPr>
            <w:tcW w:w="594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ind w:left="340" w:hanging="332"/>
        <w:spacing w:after="0" w:line="296" w:lineRule="auto"/>
        <w:tabs>
          <w:tab w:leader="none" w:pos="340" w:val="left"/>
        </w:tabs>
        <w:numPr>
          <w:ilvl w:val="0"/>
          <w:numId w:val="37"/>
        </w:numPr>
        <w:rPr>
          <w:rFonts w:ascii="Arial" w:cs="Arial" w:eastAsia="Arial" w:hAnsi="Arial"/>
          <w:sz w:val="15"/>
          <w:szCs w:val="15"/>
          <w:i w:val="1"/>
          <w:iCs w:val="1"/>
          <w:color w:val="auto"/>
        </w:rPr>
      </w:pPr>
      <w:r>
        <w:rPr>
          <w:rFonts w:ascii="Arial" w:cs="Arial" w:eastAsia="Arial" w:hAnsi="Arial"/>
          <w:sz w:val="15"/>
          <w:szCs w:val="15"/>
          <w:i w:val="1"/>
          <w:iCs w:val="1"/>
          <w:color w:val="auto"/>
        </w:rPr>
        <w:t>As of December 31, 2017, the aggregate amount of available-for-sale corporate and governmental debt securities maturing in one year or less was $0.7 million, in one year to less than three years was $3.2 million, in three years to less than five years was $3.6 million, and in five or more years was $1.4 million.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estimated fair value. Land values are reviewed for indicators of impairment on a quarterly basis and no impairment was recorded in 2017 (none in 2016; $36.3 million in 2015). (See Note 1. Operations and Significant Accounting Policies.)</w:t>
      </w:r>
    </w:p>
    <w:p>
      <w:pPr>
        <w:spacing w:after="0" w:line="1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We account for our available-for-sale securities portfolio in accordance with the guidance for certain investments in debt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equity securities. Our available-for-sale securities portfolio consisted primarily of securities held in other postretirement plans to fund employee benefits.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and unrealized gains and losses on our available-for-sale securities were immaterial in 2017, 2016 and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the U.S. Water Services contingent consideration liability.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0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9. FAIR VALUE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2017, and December 31, 2016.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2017</w:t>
            </w:r>
          </w:p>
        </w:tc>
        <w:tc>
          <w:tcPr>
            <w:tcW w:w="80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13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$5.4</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$(9.3)</w:t>
            </w:r>
          </w:p>
        </w:tc>
        <w:tc>
          <w:tcPr>
            <w:tcW w:w="13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$(5.4)</w:t>
            </w: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438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2016</w:t>
            </w:r>
          </w:p>
        </w:tc>
        <w:tc>
          <w:tcPr>
            <w:tcW w:w="86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2</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$8.4</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$11.7</w:t>
            </w:r>
          </w:p>
        </w:tc>
        <w:tc>
          <w:tcPr>
            <w:tcW w:w="13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1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$25.0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$8.4</w:t>
            </w: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$(4.3)</w:t>
            </w: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$(25.0)</w:t>
            </w: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1"/>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02"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9. FAIR VALUE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provides a reconciliation of the beginning and ending balances of the U.S. Water Services Contingent Consideration measured at fair value using Level 3 measurements as of December 31, 2017, and December 31, 2016. The acquisition contingent consideration was recorded at the acquisition date at its estimated fair value. The acquisition date fair value was measured based on the consideration expected to be transferred, discounted to present value. The discount rate was determined at the time of measurement in accordance with generally accepted valuation methods. The fair value of the acquisition contingent consideration is remeasured to arrive at estimated fair value each reporting period with the change in fair value recognized as income or expense in the Consolidated Statement of Income. Changes to the fair value of the acquisition contingent consideration can result from changes in discount rates, timing of milestones that trigger payments, and the timing and amount of earnings estimates. Using different valuation assumptions, including earnings projections or discount rates, may result in different fair value measurements and expense (or income) in future periods. Management analyzes the fair value of the contingent liability on a quarterly basis and makes adjustments as appropriate. The acquisition contingent consideration was measured at $5.4 million as of December 31, 2017.</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58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4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Accretion </w:t>
            </w:r>
            <w:r>
              <w:rPr>
                <w:rFonts w:ascii="Arial" w:cs="Arial" w:eastAsia="Arial" w:hAnsi="Arial"/>
                <w:sz w:val="16"/>
                <w:szCs w:val="16"/>
                <w:i w:val="1"/>
                <w:iCs w:val="1"/>
                <w:color w:val="auto"/>
              </w:rPr>
              <w:t>(a)</w:t>
            </w:r>
          </w:p>
        </w:tc>
        <w:tc>
          <w:tcPr>
            <w:tcW w:w="45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7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Changes in Cash Flow Projections </w:t>
            </w:r>
            <w:r>
              <w:rPr>
                <w:rFonts w:ascii="Arial" w:cs="Arial" w:eastAsia="Arial" w:hAnsi="Arial"/>
                <w:sz w:val="16"/>
                <w:szCs w:val="16"/>
                <w:i w:val="1"/>
                <w:iCs w:val="1"/>
                <w:color w:val="auto"/>
              </w:rPr>
              <w:t>(b)</w:t>
            </w:r>
          </w:p>
        </w:tc>
        <w:tc>
          <w:tcPr>
            <w:tcW w:w="45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678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4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Accretion </w:t>
            </w:r>
            <w:r>
              <w:rPr>
                <w:rFonts w:ascii="Arial" w:cs="Arial" w:eastAsia="Arial" w:hAnsi="Arial"/>
                <w:sz w:val="16"/>
                <w:szCs w:val="16"/>
                <w:i w:val="1"/>
                <w:iCs w:val="1"/>
                <w:color w:val="auto"/>
              </w:rPr>
              <w:t>(a)</w:t>
            </w:r>
          </w:p>
        </w:tc>
        <w:tc>
          <w:tcPr>
            <w:tcW w:w="458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67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6"/>
                <w:szCs w:val="16"/>
                <w:i w:val="1"/>
                <w:iCs w:val="1"/>
                <w:color w:val="auto"/>
              </w:rPr>
              <w:t>(c)</w:t>
            </w:r>
          </w:p>
        </w:tc>
        <w:tc>
          <w:tcPr>
            <w:tcW w:w="4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Changes in Cash Flow Projections </w:t>
            </w:r>
            <w:r>
              <w:rPr>
                <w:rFonts w:ascii="Arial" w:cs="Arial" w:eastAsia="Arial" w:hAnsi="Arial"/>
                <w:sz w:val="16"/>
                <w:szCs w:val="16"/>
                <w:i w:val="1"/>
                <w:iCs w:val="1"/>
                <w:color w:val="auto"/>
              </w:rPr>
              <w:t>(c)</w:t>
            </w:r>
          </w:p>
        </w:tc>
        <w:tc>
          <w:tcPr>
            <w:tcW w:w="45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8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4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678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Interest Expense on the Consolidated Statement of Income.</w:t>
      </w:r>
    </w:p>
    <w:p>
      <w:pPr>
        <w:spacing w:after="0" w:line="9" w:lineRule="exact"/>
        <w:rPr>
          <w:rFonts w:ascii="Arial" w:cs="Arial" w:eastAsia="Arial" w:hAnsi="Arial"/>
          <w:sz w:val="16"/>
          <w:szCs w:val="16"/>
          <w:i w:val="1"/>
          <w:iCs w:val="1"/>
          <w:color w:val="auto"/>
        </w:rPr>
      </w:pPr>
    </w:p>
    <w:p>
      <w:pPr>
        <w:jc w:val="both"/>
        <w:ind w:left="340" w:hanging="332"/>
        <w:spacing w:after="0" w:line="281" w:lineRule="auto"/>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During the fourth quarter of 2016, management assessed earnings estimates used in calculating the fair value of the U.S. Water Services contingent consideration liability and determined an adjustment was necessary to the liability’s carrying amount based on its assessment. As a result, we recorded a reduction of $13.6 million to the liability’s carrying amount which resulted in an after-tax gain of the same amount presented within Operating Expenses – Other in the Consolidated Statement of Income.</w:t>
      </w:r>
    </w:p>
    <w:p>
      <w:pPr>
        <w:spacing w:after="0" w:line="1" w:lineRule="exact"/>
        <w:rPr>
          <w:rFonts w:ascii="Arial" w:cs="Arial" w:eastAsia="Arial" w:hAnsi="Arial"/>
          <w:sz w:val="14"/>
          <w:szCs w:val="14"/>
          <w:i w:val="1"/>
          <w:iCs w:val="1"/>
          <w:color w:val="auto"/>
        </w:rPr>
      </w:pPr>
    </w:p>
    <w:p>
      <w:pPr>
        <w:jc w:val="both"/>
        <w:ind w:left="340" w:hanging="332"/>
        <w:spacing w:after="0" w:line="252" w:lineRule="auto"/>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Payments and changes in cash flow projections reflect the impact of a modification to the shareholder agreement in the first quarter of 2017 which provided participants a one-time election to sell shares at a determined price. Participants representing approximately half of the outstanding contingent consideration shares made the election, and were paid in the first half of 2017.</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of Levels as of the actual date of the event or change in circumstances that caused the transfer. For the years ended December 31, 2017 and 2016, there were no transfers in or out of Levels 1, 2 or 3.</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80" w:type="dxa"/>
            <w:vAlign w:val="bottom"/>
          </w:tcPr>
          <w:p>
            <w:pPr>
              <w:jc w:val="center"/>
              <w:ind w:left="850"/>
              <w:spacing w:after="0"/>
              <w:rPr>
                <w:sz w:val="20"/>
                <w:szCs w:val="20"/>
                <w:color w:val="auto"/>
              </w:rPr>
            </w:pPr>
            <w:r>
              <w:rPr>
                <w:rFonts w:ascii="Arial" w:cs="Arial" w:eastAsia="Arial" w:hAnsi="Arial"/>
                <w:sz w:val="18"/>
                <w:szCs w:val="18"/>
                <w:b w:val="1"/>
                <w:bCs w:val="1"/>
                <w:color w:val="auto"/>
                <w:w w:val="93"/>
              </w:rPr>
              <w:t>Carrying Amount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December 31, 2017</w:t>
            </w:r>
          </w:p>
        </w:tc>
        <w:tc>
          <w:tcPr>
            <w:tcW w:w="3280" w:type="dxa"/>
            <w:vAlign w:val="bottom"/>
          </w:tcPr>
          <w:p>
            <w:pPr>
              <w:jc w:val="center"/>
              <w:ind w:left="850"/>
              <w:spacing w:after="0"/>
              <w:rPr>
                <w:sz w:val="20"/>
                <w:szCs w:val="20"/>
                <w:color w:val="auto"/>
              </w:rPr>
            </w:pPr>
            <w:r>
              <w:rPr>
                <w:rFonts w:ascii="Arial" w:cs="Arial" w:eastAsia="Arial" w:hAnsi="Arial"/>
                <w:sz w:val="18"/>
                <w:szCs w:val="18"/>
                <w:color w:val="auto"/>
                <w:w w:val="88"/>
              </w:rPr>
              <w:t>$1,513.3</w:t>
            </w: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88"/>
              </w:rPr>
              <w:t>$1,627.6</w:t>
            </w: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2016</w:t>
            </w:r>
          </w:p>
        </w:tc>
        <w:tc>
          <w:tcPr>
            <w:tcW w:w="328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$1,569.1</w:t>
            </w:r>
          </w:p>
        </w:tc>
        <w:tc>
          <w:tcPr>
            <w:tcW w:w="18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8"/>
              </w:rPr>
              <w:t>$1,653.8</w:t>
            </w:r>
          </w:p>
        </w:tc>
      </w:tr>
      <w:tr>
        <w:trPr>
          <w:trHeight w:val="20"/>
        </w:trPr>
        <w:tc>
          <w:tcPr>
            <w:tcW w:w="63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02"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9. FAIR VALUE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Equity Method Investment. </w:t>
      </w:r>
      <w:r>
        <w:rPr>
          <w:rFonts w:ascii="Arial" w:cs="Arial" w:eastAsia="Arial" w:hAnsi="Arial"/>
          <w:sz w:val="17"/>
          <w:szCs w:val="17"/>
          <w:color w:val="auto"/>
        </w:rPr>
        <w:t>Our wholly-owned subsidiary, ALLETE Transmission Holdings, owns approximately 8 percent of ATC. (See Note 5.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in ATC.) The aggregate carrying amount of the investment was $118.7 million as of December 31, 2017 ($135.6 million as of December 31, 2016). The Company assesses our investment in ATC for impairment whenever events or changes in circumstances indicate that the carrying amount of our investment in ATC may not be recoverable. For the years ended December 31, 2017 and 2016, there were no indicators of impairment.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the impairment of goodwill annually in the fourth quarter and whenever an event occurs or circumstances change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indicate that the carrying amount may be impaired. The Company’s goodwill is a result of the U.S. Water Services acquisition in 2015 as well as U.S. Water Services’ subsequent acquisitions. (See Note 6. Acquisitions.) The aggregate carrying amount of goodwill was $148.3 million as of December 31, 2017, and $131.2 million as of December 31, 2016.</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The Company calculates the excess of the reporting unit's fair value over its carrying amount, including goodwill, utilizing a discounted cash flow analysis. Our annual impairment test for U.S. Water Services indicated that the estimated fair value of U.S. Water Services exceeded its carrying value, and no impairment existed for the year ended December 31, 2017 (none in 2016 and in 2015). As part of the 2016 annual impairment analysis, the Company recognized a non-cash impairment charge of $3.3 million for ALLETE Clean Energy’s goodwill primarily related to the acquisition of Storm Lake II in 2014. The charge, which is presented within Operating Expenses – Other in the Consolidated Statement of Income, eliminated all goodwill for the ALLETE Clean Energy reporting unit. (See Note 1. Operations and Significant Accounting Policies.)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Company assesses indefinite-lived intangible assets for impairment annually in the fourth quarter. The Company also assesses</w:t>
      </w:r>
      <w:r>
        <w:rPr>
          <w:rFonts w:ascii="Arial" w:cs="Arial" w:eastAsia="Arial" w:hAnsi="Arial"/>
          <w:sz w:val="17"/>
          <w:szCs w:val="17"/>
          <w:i w:val="1"/>
          <w:iCs w:val="1"/>
          <w:color w:val="auto"/>
        </w:rPr>
        <w:t xml:space="preserve"> </w:t>
      </w:r>
      <w:r>
        <w:rPr>
          <w:rFonts w:ascii="Arial" w:cs="Arial" w:eastAsia="Arial" w:hAnsi="Arial"/>
          <w:sz w:val="17"/>
          <w:szCs w:val="17"/>
          <w:color w:val="auto"/>
        </w:rPr>
        <w:t>indefinite-lived and definite-lived intangible assets whenever events or changes in circumstances indicate that the carrying amount of an intangible asset may not be recoverable. Substantially all of the Company’s intangible assets are a result of the U.S. Water Services acquisition in 2015 as well as U.S. Water Services’ subsequent acquisitions. The aggregate carrying amount of intangible assets was $77.6 million as of December 31, 2017 ($82.2 million as of December 31, 2016). When events or changes in circumstances indicate that the carrying amount of an intangible asset may not be recoverable, the Company calculates the excess of an intangible asset's carrying amount over its undiscounted future cash flows. If the carrying amount is not recoverable, an impairment loss is recorded based on the amount by which the carrying amount exceeds the fair value. The inputs used in the fair value analysis fall within Level 3 of the fair value hierarchy due to the use of significant unobservable inputs to determine fair value. As of December 31, 2017, there have been no events or changes in circumstance which would indicate impairment of our intangible assets.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The Company assesses the impairment of property, plant, and equipment whenever events or changes 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 that the carrying amount of property, plant, and equipment assets may not be recoverable. The impairment of ALLETE Clean Energy’s goodwill in 2016, primarily due to lower estimated energy prices in periods not under PSAs, caused management to review ALLETE Clean Energy’s WTGs for impairment. Based on the results of the undiscounted cash flow analysis, the undiscounted future cash flows were adequate to recover the carrying value of the WTGs. In 2015, the Company implemented a revised strategy for its real estate assets and recorded a non-cash impairment charge of $36.3 million for ALLETE Properties, reducing the carrying value of the real estate to its estimated fair value. (See Note 1. Operations and Significant Accounting Policies.) For the year ended December 31, 2017, there were no indicators of impairment.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believe that long-standing ratemaking practices approved by applicable state and federal regulatory commissions allow for the recovery of the remaining book value of retired plant assets. In 2015, Minnesota Power retired Taconite Harbor Unit 3 and converted Laskin to operate on natural gas which were actions included in Minnesota Power’s MPUC-approved 2013 IRP. In a July 2016 order, the MPUC approved Minnesota Power’s 2015 IRP with modifications. The 2015 IRP contains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in September 2016, and the ceasing of coal-fired operations at Taconite Harbor in 2020. (See Note 4. Regulatory Matters.) The MPUC order for the 2015 IRP also directed Minnesota Power to retire Boswell Units 1 and 2 no later than 2022. In October 2016, Minnesota Power announced that Boswell Units 1 and 2 will be retired in 2018. We do not expect to record any impairment charge as a result of the retirement of Taconite Harbor Unit 3, the ceasing of coal-fired operations at Taconite Harbor Units 1 and 2, or the conversion of Laskin to operate on natural gas.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70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10. SHORT-TERM AND LONG-TERM DEBT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December 31, 2017, total short-term debt outstanding was $64.1 million ($187.7 million as of December 31, 2016),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included $0.5 million of unamortized debt issuance costs.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had consolidated bank lines of credit aggregating $407.0 million ($409.0 million as of December 31, 2016), the majority of which expire in October 2020. We had $11.9 million outstanding in standby letters of credit and no outstanding draws under our lines of credit as of December 31, 2017 ($11.1 million in standby letters of credit and no outstanding draws as of December 31, 2016).</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December 31, 2017, total long-term debt outstanding was $1,439.2 million ($1,370.4 million as of December 31, 2016) and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$9.5 million of unamortized debt issuance costs. The aggregate amount of long-term debt maturing in 2018 is $64.6 million; $57.6 million in 2019; $143.0 million in 2020; $97.8 million in 2021; $88.0 million in 2022; and $1,062.3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spacing w:after="0" w:line="172"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w:t>
      </w:r>
      <w:r>
        <w:rPr>
          <w:rFonts w:ascii="MS PGothic" w:cs="MS PGothic" w:eastAsia="MS PGothic" w:hAnsi="MS PGothic"/>
          <w:sz w:val="18"/>
          <w:szCs w:val="18"/>
          <w:color w:val="auto"/>
        </w:rPr>
        <w:t>‑</w:t>
      </w:r>
      <w:r>
        <w:rPr>
          <w:rFonts w:ascii="Arial" w:cs="Arial" w:eastAsia="Arial" w:hAnsi="Arial"/>
          <w:sz w:val="18"/>
          <w:szCs w:val="18"/>
          <w:color w:val="auto"/>
        </w:rPr>
        <w:t>year term, or to purchase the solar array for approximately $4 million. Minnesota Power anticipates exercising the purchase option when the term expires.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2017, ALLETE issued $80.0 million of its senior unsecured notes (the Notes) to certain institutional buyers in the private placement market. The Notes were issued in reliance on an exemption from registration under Section 4(a)(2) of the Securities Act of 1933, as amended, to institutional accredited investors. The Notes bear interest at 3.11 percent and mature on June 1, 2027. Interest on the Notes is payable semi-annually in June and December of each year, commencing on December 1, 2017. ALLETE has the option to prepay all or a portion of the Notes at its discretion, subject to a make-whole provision. The Notes are subject to additional terms and conditions which are customary for these types of transactions. Proceeds from the sale of the Notes were used to redeem debt, fund corporate growth opportunities and for general corporate purposes.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25, 2017, ALLETE entered into a $40.0 million term loan agreement (Term Loan). The Term Loan is an unsecured, single draw loan that is due on August 25, 2020, and may be prepaid at any time subject to a make-whole provision. Interest on the Term Loan is payable quarterly at a rate per annum equal to LIBOR plus 1.025 percent. Proceeds from the Term Loan were used for general corporate purposes.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 2017, ALLETE entered into a bond purchase agreement providing for the issuance and sale of $60.0 million of its First Mortgage Bonds (the Bonds) that bear interest at 4.07 percent. The Bonds will be issued on or about April 1, 2018, and will mature in April 2048. Interest on the Bonds will be payable semi-annually in April and October of each year, commencing on October 16, 2018. ALLETE has the option to prepay all or a portion of the Bonds at its discretion, subject to a make-whole provision. The Bonds are subject to additional terms and conditions which are customary for these types of transactions. The company intends to use the proceeds from the sale of the Bonds to fund utility capital expenditures and for general corporate purposes. The Bonds were sold in reliance on an exemption from registration under Section 4(a)(2) of the Securities Act of 1933, as amended, to institutional accredited investors.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70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68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2"/>
              </w:rPr>
              <w:t>Millions</w:t>
            </w:r>
          </w:p>
        </w:tc>
        <w:tc>
          <w:tcPr>
            <w:tcW w:w="7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Mortgage Bonds</w:t>
            </w:r>
          </w:p>
        </w:tc>
        <w:tc>
          <w:tcPr>
            <w:tcW w:w="20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7520" w:type="dxa"/>
            <w:vAlign w:val="bottom"/>
          </w:tcPr>
          <w:p>
            <w:pPr>
              <w:spacing w:after="0"/>
              <w:rPr>
                <w:sz w:val="20"/>
                <w:szCs w:val="20"/>
                <w:color w:val="auto"/>
              </w:rPr>
            </w:pPr>
            <w:r>
              <w:rPr>
                <w:rFonts w:ascii="Arial" w:cs="Arial" w:eastAsia="Arial" w:hAnsi="Arial"/>
                <w:sz w:val="18"/>
                <w:szCs w:val="18"/>
                <w:color w:val="auto"/>
              </w:rPr>
              <w:t>Series Due 2018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2019</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42.0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5.28%</w:t>
            </w:r>
          </w:p>
        </w:tc>
        <w:tc>
          <w:tcPr>
            <w:tcW w:w="7520" w:type="dxa"/>
            <w:vAlign w:val="bottom"/>
          </w:tcPr>
          <w:p>
            <w:pPr>
              <w:spacing w:after="0"/>
              <w:rPr>
                <w:sz w:val="20"/>
                <w:szCs w:val="20"/>
                <w:color w:val="auto"/>
              </w:rPr>
            </w:pPr>
            <w:r>
              <w:rPr>
                <w:rFonts w:ascii="Arial" w:cs="Arial" w:eastAsia="Arial" w:hAnsi="Arial"/>
                <w:sz w:val="18"/>
                <w:szCs w:val="18"/>
                <w:color w:val="auto"/>
              </w:rPr>
              <w:t>Series Due 2020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7520" w:type="dxa"/>
            <w:vAlign w:val="bottom"/>
          </w:tcPr>
          <w:p>
            <w:pPr>
              <w:spacing w:after="0"/>
              <w:rPr>
                <w:sz w:val="20"/>
                <w:szCs w:val="20"/>
                <w:color w:val="auto"/>
              </w:rPr>
            </w:pPr>
            <w:r>
              <w:rPr>
                <w:rFonts w:ascii="Arial" w:cs="Arial" w:eastAsia="Arial" w:hAnsi="Arial"/>
                <w:sz w:val="18"/>
                <w:szCs w:val="18"/>
                <w:color w:val="auto"/>
              </w:rPr>
              <w:t>Series Due 2021</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2021</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7520" w:type="dxa"/>
            <w:vAlign w:val="bottom"/>
          </w:tcPr>
          <w:p>
            <w:pPr>
              <w:spacing w:after="0"/>
              <w:rPr>
                <w:sz w:val="20"/>
                <w:szCs w:val="20"/>
                <w:color w:val="auto"/>
              </w:rPr>
            </w:pPr>
            <w:r>
              <w:rPr>
                <w:rFonts w:ascii="Arial" w:cs="Arial" w:eastAsia="Arial" w:hAnsi="Arial"/>
                <w:sz w:val="18"/>
                <w:szCs w:val="18"/>
                <w:color w:val="auto"/>
              </w:rPr>
              <w:t>Series Due 2022</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2023</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7520" w:type="dxa"/>
            <w:vAlign w:val="bottom"/>
          </w:tcPr>
          <w:p>
            <w:pPr>
              <w:spacing w:after="0"/>
              <w:rPr>
                <w:sz w:val="20"/>
                <w:szCs w:val="20"/>
                <w:color w:val="auto"/>
              </w:rPr>
            </w:pPr>
            <w:r>
              <w:rPr>
                <w:rFonts w:ascii="Arial" w:cs="Arial" w:eastAsia="Arial" w:hAnsi="Arial"/>
                <w:sz w:val="18"/>
                <w:szCs w:val="18"/>
                <w:color w:val="auto"/>
              </w:rPr>
              <w:t>Series Due 2024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2025</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7520" w:type="dxa"/>
            <w:vAlign w:val="bottom"/>
          </w:tcPr>
          <w:p>
            <w:pPr>
              <w:spacing w:after="0"/>
              <w:rPr>
                <w:sz w:val="20"/>
                <w:szCs w:val="20"/>
                <w:color w:val="auto"/>
              </w:rPr>
            </w:pPr>
            <w:r>
              <w:rPr>
                <w:rFonts w:ascii="Arial" w:cs="Arial" w:eastAsia="Arial" w:hAnsi="Arial"/>
                <w:sz w:val="18"/>
                <w:szCs w:val="18"/>
                <w:color w:val="auto"/>
              </w:rPr>
              <w:t>Series Due 2025</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2026</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5.99%</w:t>
            </w:r>
          </w:p>
        </w:tc>
        <w:tc>
          <w:tcPr>
            <w:tcW w:w="7520" w:type="dxa"/>
            <w:vAlign w:val="bottom"/>
          </w:tcPr>
          <w:p>
            <w:pPr>
              <w:spacing w:after="0"/>
              <w:rPr>
                <w:sz w:val="20"/>
                <w:szCs w:val="20"/>
                <w:color w:val="auto"/>
              </w:rPr>
            </w:pPr>
            <w:r>
              <w:rPr>
                <w:rFonts w:ascii="Arial" w:cs="Arial" w:eastAsia="Arial" w:hAnsi="Arial"/>
                <w:sz w:val="18"/>
                <w:szCs w:val="18"/>
                <w:color w:val="auto"/>
              </w:rPr>
              <w:t>Series Due 2027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2028</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7520" w:type="dxa"/>
            <w:vAlign w:val="bottom"/>
          </w:tcPr>
          <w:p>
            <w:pPr>
              <w:spacing w:after="0"/>
              <w:rPr>
                <w:sz w:val="20"/>
                <w:szCs w:val="20"/>
                <w:color w:val="auto"/>
              </w:rPr>
            </w:pPr>
            <w:r>
              <w:rPr>
                <w:rFonts w:ascii="Arial" w:cs="Arial" w:eastAsia="Arial" w:hAnsi="Arial"/>
                <w:sz w:val="18"/>
                <w:szCs w:val="18"/>
                <w:color w:val="auto"/>
              </w:rPr>
              <w:t>Series Due 2029</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2030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5.69%</w:t>
            </w:r>
          </w:p>
        </w:tc>
        <w:tc>
          <w:tcPr>
            <w:tcW w:w="7520" w:type="dxa"/>
            <w:vAlign w:val="bottom"/>
          </w:tcPr>
          <w:p>
            <w:pPr>
              <w:spacing w:after="0"/>
              <w:rPr>
                <w:sz w:val="20"/>
                <w:szCs w:val="20"/>
                <w:color w:val="auto"/>
              </w:rPr>
            </w:pPr>
            <w:r>
              <w:rPr>
                <w:rFonts w:ascii="Arial" w:cs="Arial" w:eastAsia="Arial" w:hAnsi="Arial"/>
                <w:sz w:val="18"/>
                <w:szCs w:val="18"/>
                <w:color w:val="auto"/>
              </w:rPr>
              <w:t>Series Due 2036</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5.82%</w:t>
            </w:r>
          </w:p>
        </w:tc>
        <w:tc>
          <w:tcPr>
            <w:tcW w:w="7520" w:type="dxa"/>
            <w:vAlign w:val="bottom"/>
          </w:tcPr>
          <w:p>
            <w:pPr>
              <w:spacing w:after="0"/>
              <w:rPr>
                <w:sz w:val="20"/>
                <w:szCs w:val="20"/>
                <w:color w:val="auto"/>
              </w:rPr>
            </w:pPr>
            <w:r>
              <w:rPr>
                <w:rFonts w:ascii="Arial" w:cs="Arial" w:eastAsia="Arial" w:hAnsi="Arial"/>
                <w:sz w:val="18"/>
                <w:szCs w:val="18"/>
                <w:color w:val="auto"/>
              </w:rPr>
              <w:t>Series Due 2040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2042</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7520" w:type="dxa"/>
            <w:vAlign w:val="bottom"/>
          </w:tcPr>
          <w:p>
            <w:pPr>
              <w:spacing w:after="0"/>
              <w:rPr>
                <w:sz w:val="20"/>
                <w:szCs w:val="20"/>
                <w:color w:val="auto"/>
              </w:rPr>
            </w:pPr>
            <w:r>
              <w:rPr>
                <w:rFonts w:ascii="Arial" w:cs="Arial" w:eastAsia="Arial" w:hAnsi="Arial"/>
                <w:sz w:val="18"/>
                <w:szCs w:val="18"/>
                <w:color w:val="auto"/>
              </w:rPr>
              <w:t>Series Due 2043</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5.05%</w:t>
            </w:r>
          </w:p>
        </w:tc>
        <w:tc>
          <w:tcPr>
            <w:tcW w:w="7520" w:type="dxa"/>
            <w:vAlign w:val="bottom"/>
          </w:tcPr>
          <w:p>
            <w:pPr>
              <w:spacing w:after="0"/>
              <w:rPr>
                <w:sz w:val="20"/>
                <w:szCs w:val="20"/>
                <w:color w:val="auto"/>
              </w:rPr>
            </w:pPr>
            <w:r>
              <w:rPr>
                <w:rFonts w:ascii="Arial" w:cs="Arial" w:eastAsia="Arial" w:hAnsi="Arial"/>
                <w:sz w:val="18"/>
                <w:szCs w:val="18"/>
                <w:color w:val="auto"/>
              </w:rPr>
              <w:t>Series Due 2044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Unsecured Term Loan Variable Rate Due 2017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125.0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 5.99% Due 2017</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Variable Demand Revenue Refunding Bonds Series 1997 A Due 2020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13.5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13.5</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Term Loan Variable Rate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Armenia Mountain Senior Secured Notes 3.26% Due 2024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65.9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74.6</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Senior Unsecured Notes 3.11% Due 2027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80.0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SWL&amp;P First Mortgage Bonds 4.15% Series Due 2028</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Other Long-Term Debt, 3.11% – 5.37% Due 2018 – 2037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69.1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61.2</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r>
      <w:tr>
        <w:trPr>
          <w:trHeight w:val="237"/>
        </w:trPr>
        <w:tc>
          <w:tcPr>
            <w:tcW w:w="8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Long-Term Debt</w:t>
            </w:r>
          </w:p>
        </w:tc>
        <w:tc>
          <w:tcPr>
            <w:tcW w:w="2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1,503.3</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1,558.1</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Due Within One Year</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64.1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187.7</w:t>
            </w:r>
          </w:p>
        </w:tc>
      </w:tr>
      <w:tr>
        <w:trPr>
          <w:trHeight w:val="237"/>
        </w:trPr>
        <w:tc>
          <w:tcPr>
            <w:tcW w:w="8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Net Long-Term Debt</w:t>
            </w:r>
          </w:p>
        </w:tc>
        <w:tc>
          <w:tcPr>
            <w:tcW w:w="2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$1,439.2</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$1,370.4</w:t>
            </w:r>
          </w:p>
        </w:tc>
      </w:tr>
      <w:tr>
        <w:trPr>
          <w:trHeight w:val="27"/>
        </w:trPr>
        <w:tc>
          <w:tcPr>
            <w:tcW w:w="68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702"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2017,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December 31, 2017, ALLETE was in compliance with its financial covenants.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GUARANTEES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estimated minimum payments for certain long-term commitments:</w:t>
      </w:r>
    </w:p>
    <w:p>
      <w:pPr>
        <w:spacing w:after="0" w:line="24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57975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Thereafter</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Coal, Rail and Shipping Contracts</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Leasing Agreements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Service Agreements </w:t>
            </w:r>
            <w:r>
              <w:rPr>
                <w:rFonts w:ascii="Arial" w:cs="Arial" w:eastAsia="Arial" w:hAnsi="Arial"/>
                <w:sz w:val="16"/>
                <w:szCs w:val="16"/>
                <w:i w:val="1"/>
                <w:iCs w:val="1"/>
                <w:color w:val="auto"/>
              </w:rPr>
              <w:t>(a)</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 xml:space="preserve">PPAs </w:t>
            </w:r>
            <w:r>
              <w:rPr>
                <w:rFonts w:ascii="Arial" w:cs="Arial" w:eastAsia="Arial" w:hAnsi="Arial"/>
                <w:sz w:val="16"/>
                <w:szCs w:val="16"/>
                <w:i w:val="1"/>
                <w:iCs w:val="1"/>
                <w:color w:val="auto"/>
              </w:rPr>
              <w:t>(b)</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$104.5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$107.1</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$115.0</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$144.8</w:t>
            </w:r>
          </w:p>
        </w:tc>
        <w:tc>
          <w:tcPr>
            <w:tcW w:w="720" w:type="dxa"/>
            <w:vAlign w:val="bottom"/>
          </w:tcPr>
          <w:p>
            <w:pPr>
              <w:jc w:val="right"/>
              <w:spacing w:after="0"/>
              <w:rPr>
                <w:sz w:val="20"/>
                <w:szCs w:val="20"/>
                <w:color w:val="auto"/>
              </w:rPr>
            </w:pPr>
            <w:r>
              <w:rPr>
                <w:rFonts w:ascii="Arial" w:cs="Arial" w:eastAsia="Arial" w:hAnsi="Arial"/>
                <w:sz w:val="18"/>
                <w:szCs w:val="18"/>
                <w:color w:val="auto"/>
              </w:rPr>
              <w:t>$144.7</w:t>
            </w:r>
          </w:p>
        </w:tc>
        <w:tc>
          <w:tcPr>
            <w:tcW w:w="960" w:type="dxa"/>
            <w:vAlign w:val="bottom"/>
          </w:tcPr>
          <w:p>
            <w:pPr>
              <w:jc w:val="right"/>
              <w:spacing w:after="0"/>
              <w:rPr>
                <w:sz w:val="20"/>
                <w:szCs w:val="20"/>
                <w:color w:val="auto"/>
              </w:rPr>
            </w:pPr>
            <w:r>
              <w:rPr>
                <w:rFonts w:ascii="Arial" w:cs="Arial" w:eastAsia="Arial" w:hAnsi="Arial"/>
                <w:sz w:val="18"/>
                <w:szCs w:val="18"/>
                <w:color w:val="auto"/>
              </w:rPr>
              <w:t>$1,667.0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long-term service agreements for wind energy facilities.</w:t>
      </w:r>
    </w:p>
    <w:p>
      <w:pPr>
        <w:spacing w:after="0" w:line="1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agreement with Manitoba Hydro expiring in 2022, as this contract is for surplus energy only; Oliver Wind I and Oliver Wind II, as Minnesota Power only pays for energy as it is delivered; and the agreement with Tenaska commencing in 2020 as it is subject to approval of the construction of a 525 MW to 550 MW combined-cycle natural gas-fired facility. (See Power Purchase Agreements.)</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Coal, Rail and Shipping Contracts. </w:t>
      </w:r>
      <w:r>
        <w:rPr>
          <w:rFonts w:ascii="Arial" w:cs="Arial" w:eastAsia="Arial" w:hAnsi="Arial"/>
          <w:sz w:val="17"/>
          <w:szCs w:val="17"/>
          <w:color w:val="auto"/>
        </w:rPr>
        <w:t>Minnesota Power has coal supply agreements providing for the purchase of a significant portion of its coal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December 2018 and a portion of its coal requirements through December 2021. Minnesota Power also has coal transportation agreements in place for the delivery of a significant portion of its coal requirements through December 2018. The costs of fuel and related transportation costs for Minnesota Power’s generation are recoverable from Minnesota Power’s utility customers through the fuel adjustment clause.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a majority of terms expiring through 2024. Total lease expense was $17.5 million in 2017 ($17.1 million in 2016; $17.3 million in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0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Square Butte’s costs based on its entitlement to the output of Square Butte’s 455 MW coal</w:t>
      </w:r>
      <w:r>
        <w:rPr>
          <w:rFonts w:ascii="MS PGothic" w:cs="MS PGothic" w:eastAsia="MS PGothic" w:hAnsi="MS PGothic"/>
          <w:sz w:val="17"/>
          <w:szCs w:val="17"/>
          <w:color w:val="auto"/>
        </w:rPr>
        <w:t>‑</w:t>
      </w:r>
      <w:r>
        <w:rPr>
          <w:rFonts w:ascii="Arial" w:cs="Arial" w:eastAsia="Arial" w:hAnsi="Arial"/>
          <w:sz w:val="17"/>
          <w:szCs w:val="17"/>
          <w:color w:val="auto"/>
        </w:rPr>
        <w:t>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2017, Square Butte had total debt outstanding of $330.0 million. Annual debt service for Square Butte is expected to be approximately $49 million in each of the next five years, 2018 through 2022, of which Minnesota Power’s obligation is 50 percent. Fuel expenses are recoverable through Minnesota Power’s fuel adjustment clause and include the cost of coal purchased from BNI Energy under a long-term contract.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2017 was $75.7 million ($73.3 million in 2016; $77.8 million in 2015). This reflects Minnesota Power’s pro rata share of total Square Butte costs based on the 50 percent output entitlement. Included in this amount was Minnesota Power’s pro rata share of interest expense of $9.4 million in 2017 ($9.6 million in 2016; $10.1 million in 2015). Minnesota Power’s payments to Square Butte are approved as a purchased power expense for ratemaking purposes by both the MPUC and the FERC.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702"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agreements for the purchase or sale of capacity and energy as of December 31, 2017:</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1720" w:type="dxa"/>
            <w:vAlign w:val="bottom"/>
          </w:tcPr>
          <w:p>
            <w:pPr>
              <w:ind w:left="380"/>
              <w:spacing w:after="0"/>
              <w:rPr>
                <w:sz w:val="20"/>
                <w:szCs w:val="20"/>
                <w:color w:val="auto"/>
              </w:rPr>
            </w:pPr>
            <w:r>
              <w:rPr>
                <w:rFonts w:ascii="Arial" w:cs="Arial" w:eastAsia="Arial" w:hAnsi="Arial"/>
                <w:sz w:val="18"/>
                <w:szCs w:val="18"/>
                <w:b w:val="1"/>
                <w:bCs w:val="1"/>
                <w:color w:val="auto"/>
              </w:rPr>
              <w:t>Counterparty</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Quantity</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Pricing</w:t>
            </w:r>
          </w:p>
        </w:tc>
      </w:tr>
      <w:tr>
        <w:trPr>
          <w:trHeight w:val="27"/>
        </w:trPr>
        <w:tc>
          <w:tcPr>
            <w:tcW w:w="1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PPAs</w:t>
            </w:r>
          </w:p>
        </w:tc>
        <w:tc>
          <w:tcPr>
            <w:tcW w:w="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Great River Energy</w:t>
            </w:r>
          </w:p>
        </w:tc>
        <w:tc>
          <w:tcPr>
            <w:tcW w:w="9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1</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Pr>
          <w:p>
            <w:pPr>
              <w:jc w:val="center"/>
              <w:spacing w:after="0"/>
              <w:rPr>
                <w:sz w:val="20"/>
                <w:szCs w:val="20"/>
                <w:color w:val="auto"/>
              </w:rPr>
            </w:pPr>
            <w:r>
              <w:rPr>
                <w:rFonts w:ascii="Arial" w:cs="Arial" w:eastAsia="Arial" w:hAnsi="Arial"/>
                <w:sz w:val="16"/>
                <w:szCs w:val="16"/>
                <w:i w:val="1"/>
                <w:iCs w:val="1"/>
                <w:color w:val="auto"/>
              </w:rPr>
              <w:t>(a)</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2</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3</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Manitoba Hydro</w:t>
            </w:r>
          </w:p>
        </w:tc>
        <w:tc>
          <w:tcPr>
            <w:tcW w:w="9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1</w:t>
            </w:r>
          </w:p>
        </w:tc>
        <w:tc>
          <w:tcPr>
            <w:tcW w:w="960" w:type="dxa"/>
            <w:vAlign w:val="bottom"/>
          </w:tcPr>
          <w:p>
            <w:pPr>
              <w:jc w:val="center"/>
              <w:spacing w:after="0"/>
              <w:rPr>
                <w:sz w:val="20"/>
                <w:szCs w:val="20"/>
                <w:color w:val="auto"/>
              </w:rPr>
            </w:pPr>
            <w:r>
              <w:rPr>
                <w:rFonts w:ascii="Arial" w:cs="Arial" w:eastAsia="Arial" w:hAnsi="Arial"/>
                <w:sz w:val="16"/>
                <w:szCs w:val="16"/>
                <w:i w:val="1"/>
                <w:iCs w:val="1"/>
                <w:color w:val="auto"/>
              </w:rPr>
              <w:t>(b)</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May 2011</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April 2022</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2</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6"/>
              </w:rPr>
              <w:t>(c)</w:t>
            </w: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PPA 3</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PPA 4 </w:t>
            </w:r>
            <w:r>
              <w:rPr>
                <w:rFonts w:ascii="Arial" w:cs="Arial" w:eastAsia="Arial" w:hAnsi="Arial"/>
                <w:sz w:val="16"/>
                <w:szCs w:val="16"/>
                <w:i w:val="1"/>
                <w:iCs w:val="1"/>
                <w:color w:val="auto"/>
              </w:rPr>
              <w:t>(d)</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2035</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(e)</w:t>
            </w: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 xml:space="preserve">PPA 5 </w:t>
            </w:r>
            <w:r>
              <w:rPr>
                <w:rFonts w:ascii="Arial" w:cs="Arial" w:eastAsia="Arial" w:hAnsi="Arial"/>
                <w:sz w:val="16"/>
                <w:szCs w:val="16"/>
                <w:i w:val="1"/>
                <w:iCs w:val="1"/>
                <w:color w:val="auto"/>
              </w:rPr>
              <w:t>(d)</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133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6"/>
                <w:szCs w:val="16"/>
                <w:i w:val="1"/>
                <w:iCs w:val="1"/>
                <w:color w:val="auto"/>
              </w:rPr>
              <w:t>(f)</w:t>
            </w:r>
          </w:p>
        </w:tc>
        <w:tc>
          <w:tcPr>
            <w:tcW w:w="1440" w:type="dxa"/>
            <w:vAlign w:val="bottom"/>
          </w:tcPr>
          <w:p>
            <w:pPr>
              <w:jc w:val="center"/>
              <w:spacing w:after="0"/>
              <w:rPr>
                <w:sz w:val="20"/>
                <w:szCs w:val="20"/>
                <w:color w:val="auto"/>
              </w:rPr>
            </w:pPr>
            <w:r>
              <w:rPr>
                <w:rFonts w:ascii="Arial" w:cs="Arial" w:eastAsia="Arial" w:hAnsi="Arial"/>
                <w:sz w:val="16"/>
                <w:szCs w:val="16"/>
                <w:i w:val="1"/>
                <w:iCs w:val="1"/>
                <w:color w:val="auto"/>
              </w:rPr>
              <w:t>(f)</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Minnkota Power</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(g)</w:t>
            </w: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Oliver Wind I</w:t>
            </w:r>
          </w:p>
        </w:tc>
        <w:tc>
          <w:tcPr>
            <w:tcW w:w="960" w:type="dxa"/>
            <w:vAlign w:val="bottom"/>
          </w:tcPr>
          <w:p>
            <w:pPr>
              <w:jc w:val="center"/>
              <w:spacing w:after="0"/>
              <w:rPr>
                <w:sz w:val="20"/>
                <w:szCs w:val="20"/>
                <w:color w:val="auto"/>
              </w:rPr>
            </w:pPr>
            <w:r>
              <w:rPr>
                <w:rFonts w:ascii="Arial" w:cs="Arial" w:eastAsia="Arial" w:hAnsi="Arial"/>
                <w:sz w:val="16"/>
                <w:szCs w:val="16"/>
                <w:i w:val="1"/>
                <w:iCs w:val="1"/>
                <w:color w:val="auto"/>
              </w:rPr>
              <w:t>(h)</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December 2006</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2031</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Oliver Wind II</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(h)</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2007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2032</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Shell Energy</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January 2017</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2019</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TransAlta</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(i)</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 xml:space="preserve">Tenaska </w:t>
            </w:r>
            <w:r>
              <w:rPr>
                <w:rFonts w:ascii="Arial" w:cs="Arial" w:eastAsia="Arial" w:hAnsi="Arial"/>
                <w:sz w:val="16"/>
                <w:szCs w:val="16"/>
                <w:i w:val="1"/>
                <w:iCs w:val="1"/>
                <w:color w:val="auto"/>
              </w:rPr>
              <w:t>(j)</w:t>
            </w:r>
          </w:p>
        </w:tc>
        <w:tc>
          <w:tcPr>
            <w:tcW w:w="960" w:type="dxa"/>
            <w:vAlign w:val="bottom"/>
          </w:tcPr>
          <w:p>
            <w:pPr>
              <w:jc w:val="center"/>
              <w:spacing w:after="0"/>
              <w:rPr>
                <w:sz w:val="20"/>
                <w:szCs w:val="20"/>
                <w:color w:val="auto"/>
              </w:rPr>
            </w:pPr>
            <w:r>
              <w:rPr>
                <w:rFonts w:ascii="Arial" w:cs="Arial" w:eastAsia="Arial" w:hAnsi="Arial"/>
                <w:sz w:val="16"/>
                <w:szCs w:val="16"/>
                <w:i w:val="1"/>
                <w:iCs w:val="1"/>
                <w:color w:val="auto"/>
              </w:rPr>
              <w:t>(j)</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2040</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PSAs</w:t>
            </w:r>
          </w:p>
        </w:tc>
        <w:tc>
          <w:tcPr>
            <w:tcW w:w="9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Basin</w:t>
            </w:r>
          </w:p>
        </w:tc>
        <w:tc>
          <w:tcPr>
            <w:tcW w:w="9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2010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6"/>
              </w:rPr>
              <w:t>(k)</w:t>
            </w:r>
          </w:p>
        </w:tc>
      </w:tr>
      <w:tr>
        <w:trPr>
          <w:trHeight w:val="243"/>
        </w:trPr>
        <w:tc>
          <w:tcPr>
            <w:tcW w:w="1720" w:type="dxa"/>
            <w:vAlign w:val="bottom"/>
          </w:tcPr>
          <w:p>
            <w:pPr>
              <w:ind w:left="280"/>
              <w:spacing w:after="0"/>
              <w:rPr>
                <w:sz w:val="20"/>
                <w:szCs w:val="20"/>
                <w:color w:val="auto"/>
              </w:rPr>
            </w:pPr>
            <w:r>
              <w:rPr>
                <w:rFonts w:ascii="Arial" w:cs="Arial" w:eastAsia="Arial" w:hAnsi="Arial"/>
                <w:sz w:val="18"/>
                <w:szCs w:val="18"/>
                <w:color w:val="auto"/>
              </w:rPr>
              <w:t>PSA 2</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100 MW</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May 2018</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Fixed</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3</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2019</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43"/>
        </w:trPr>
        <w:tc>
          <w:tcPr>
            <w:tcW w:w="1720" w:type="dxa"/>
            <w:vAlign w:val="bottom"/>
          </w:tcPr>
          <w:p>
            <w:pPr>
              <w:ind w:left="160"/>
              <w:spacing w:after="0"/>
              <w:rPr>
                <w:sz w:val="20"/>
                <w:szCs w:val="20"/>
                <w:color w:val="auto"/>
              </w:rPr>
            </w:pPr>
            <w:r>
              <w:rPr>
                <w:rFonts w:ascii="Arial" w:cs="Arial" w:eastAsia="Arial" w:hAnsi="Arial"/>
                <w:sz w:val="18"/>
                <w:szCs w:val="18"/>
                <w:color w:val="auto"/>
              </w:rPr>
              <w:t>Minnkota Power</w:t>
            </w:r>
          </w:p>
        </w:tc>
        <w:tc>
          <w:tcPr>
            <w:tcW w:w="960" w:type="dxa"/>
            <w:vAlign w:val="bottom"/>
          </w:tcPr>
          <w:p>
            <w:pPr>
              <w:jc w:val="center"/>
              <w:spacing w:after="0"/>
              <w:rPr>
                <w:sz w:val="20"/>
                <w:szCs w:val="20"/>
                <w:color w:val="auto"/>
              </w:rPr>
            </w:pPr>
            <w:r>
              <w:rPr>
                <w:rFonts w:ascii="Arial" w:cs="Arial" w:eastAsia="Arial" w:hAnsi="Arial"/>
                <w:sz w:val="16"/>
                <w:szCs w:val="16"/>
                <w:i w:val="1"/>
                <w:iCs w:val="1"/>
                <w:color w:val="auto"/>
              </w:rPr>
              <w:t>(l)</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2014</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2026</w:t>
            </w:r>
          </w:p>
        </w:tc>
        <w:tc>
          <w:tcPr>
            <w:tcW w:w="1920" w:type="dxa"/>
            <w:vAlign w:val="bottom"/>
          </w:tcPr>
          <w:p>
            <w:pPr>
              <w:jc w:val="center"/>
              <w:spacing w:after="0"/>
              <w:rPr>
                <w:sz w:val="20"/>
                <w:szCs w:val="20"/>
                <w:color w:val="auto"/>
              </w:rPr>
            </w:pPr>
            <w:r>
              <w:rPr>
                <w:rFonts w:ascii="Arial" w:cs="Arial" w:eastAsia="Arial" w:hAnsi="Arial"/>
                <w:sz w:val="16"/>
                <w:szCs w:val="16"/>
                <w:i w:val="1"/>
                <w:iCs w:val="1"/>
                <w:color w:val="auto"/>
              </w:rPr>
              <w:t>(l)</w:t>
            </w:r>
          </w:p>
        </w:tc>
      </w:tr>
      <w:tr>
        <w:trPr>
          <w:trHeight w:val="27"/>
        </w:trPr>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Silver Bay Power</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(m)</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2031</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(n)</w:t>
            </w:r>
          </w:p>
        </w:tc>
      </w:tr>
      <w:tr>
        <w:trPr>
          <w:trHeight w:val="20"/>
        </w:trPr>
        <w:tc>
          <w:tcPr>
            <w:tcW w:w="17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fixed and the energy price is based on a formula that includes an annual fixed price component adjusted for changes in a natural gas index, as well as market prices.</w:t>
      </w:r>
    </w:p>
    <w:p>
      <w:pPr>
        <w:ind w:left="34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purchased consists primarily of surplus hydro energy on Manitoba Hydro's system and is delivered on a non-firm basis. Minnesota Power will purchase at least one million MWh of energy over the contract term.</w:t>
      </w:r>
    </w:p>
    <w:p>
      <w:pPr>
        <w:ind w:left="340" w:hanging="332"/>
        <w:spacing w:after="0"/>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and energy prices are adjusted annually by the change in a governmental inflationary index.</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Agreements are subject to the construction of additional transmission capacity between Manitoba and the U.S., along with construction of new hydroelectric generating capacity in Manitoba. (See Great Northern Transmission Line.)</w:t>
      </w:r>
    </w:p>
    <w:p>
      <w:pPr>
        <w:ind w:left="34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ind w:left="340" w:hanging="332"/>
        <w:spacing w:after="0"/>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term shall be the 20-year period beginning on the in-service date for the GNTL. (See Great Northern Transmission Line.)</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agreement includes a fixed capacity charge and energy prices that escalate at a fixed rate annually over the term.</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PPAs provide for the purchase of all output from the 50 MW Oliver Wind I and 48 MW Oliver Wind II wind energy facilities.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purchased under the 50 MW PPA is during off-peak hours and the 100 MW PPA is during on-peak hours.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PPA provides for the purchase of all output from a 250 MW wind energy facility to be constructed in southwest Minnesota and is subject to approval of the construction of a 525 MW to 550 MW combined-cycle natural gas-fired facility. (See Note 4. Regulatory Matters.)</w:t>
      </w:r>
    </w:p>
    <w:p>
      <w:pPr>
        <w:jc w:val="both"/>
        <w:ind w:left="34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w:t>
      </w:r>
    </w:p>
    <w:p>
      <w:pPr>
        <w:spacing w:after="0" w:line="1" w:lineRule="exact"/>
        <w:rPr>
          <w:rFonts w:ascii="Arial" w:cs="Arial" w:eastAsia="Arial" w:hAnsi="Arial"/>
          <w:sz w:val="16"/>
          <w:szCs w:val="16"/>
          <w:i w:val="1"/>
          <w:iCs w:val="1"/>
          <w:color w:val="auto"/>
        </w:rPr>
      </w:pPr>
    </w:p>
    <w:p>
      <w:pPr>
        <w:jc w:val="both"/>
        <w:ind w:left="340" w:right="2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2017 (28 percent in 2016 and in 2015). (See Square Butte PPA.)</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Silver Bay Power supplies approximately 90 MW of load to Northshore Mining, an affiliate of Silver Bay Power, which has been served predominately through self-generation by Silver Bay Power. In the years 2016 through 2019, Minnesota Power is supplying Silver Bay Power with at least 50 MW of energy and Silver Bay Power has the option to purchase additional energy. On December 31, 2019, Silver Bay Power will cease self-generation and Minnesota Power will supply the energy requirements for Silver Bay Power.</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pricing is fixed through 2019 with pricing in later years escalating at a fixed rate annually and adjusted for changes in a natural gas index.</w:t>
      </w:r>
    </w:p>
    <w:p>
      <w:pPr>
        <w:sectPr>
          <w:pgSz w:w="11900" w:h="16838" w:orient="portrait"/>
          <w:cols w:equalWidth="0" w:num="1">
            <w:col w:w="11420"/>
          </w:cols>
          <w:pgMar w:left="240" w:top="702"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702"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Transmission</w:t>
      </w:r>
      <w:r>
        <w:rPr>
          <w:rFonts w:ascii="Arial" w:cs="Arial" w:eastAsia="Arial" w:hAnsi="Arial"/>
          <w:sz w:val="17"/>
          <w:szCs w:val="17"/>
          <w:color w:val="auto"/>
        </w:rPr>
        <w:t>. 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4. Regulatory Matters.) Also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$152.4 million have been incurred through December 31, 2017, of which $67.6 million has been recovered from a subsidiary of Manitoba Hydro.</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In December 2016, Manitoba Hydro filed an application with the National Energy Board in Canada requesting authorization to construct and operate an international transmission line. Both provincial and federal approvals are pending. Construction of Manitoba Hydro’s hydroelectric generation facility commenced in 2014 and is anticipated to be in service by early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702"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2008, Minnesota Power received a Notice of Violation (NOV) from the EPA asserting violations of the NSR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Clean Air Act at Boswell and Laskin Unit 2 between the years of 1981 and 2001. Minnesota Power received an additional NOV in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in 2014. The Consent Decree provided for, among other requirements, more stringent emissions limits at all affected units, the option of refueling, retrofitting or retiring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In October 2016, Minnesota Power announced that Boswell Units 1 and 2 will be retired in 2018 as part of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We believe that costs to retire Boswell Units 1 and 2 will be eligible for recovery in rates over time, subject to regulatory approval in a rate proceeding.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rather it requires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Mercury and Air Toxics Standards (MATS) Rule. </w:t>
      </w:r>
      <w:r>
        <w:rPr>
          <w:rFonts w:ascii="Arial" w:cs="Arial" w:eastAsia="Arial" w:hAnsi="Arial"/>
          <w:sz w:val="17"/>
          <w:szCs w:val="17"/>
          <w:color w:val="auto"/>
        </w:rPr>
        <w:t>Under Section 112 of the Clean Air Act, the EPA is required to set emission standards for hazardous air</w:t>
      </w:r>
      <w:r>
        <w:rPr>
          <w:rFonts w:ascii="Arial" w:cs="Arial" w:eastAsia="Arial" w:hAnsi="Arial"/>
          <w:sz w:val="17"/>
          <w:szCs w:val="17"/>
          <w:i w:val="1"/>
          <w:iCs w:val="1"/>
          <w:color w:val="auto"/>
        </w:rPr>
        <w:t xml:space="preserve"> </w:t>
      </w:r>
      <w:r>
        <w:rPr>
          <w:rFonts w:ascii="Arial" w:cs="Arial" w:eastAsia="Arial" w:hAnsi="Arial"/>
          <w:sz w:val="17"/>
          <w:szCs w:val="17"/>
          <w:color w:val="auto"/>
        </w:rPr>
        <w:t>pollutants (HAPs) for certain source categories. The final MATS rule addressed such emissions from coal-fired utility units greater than 25 MW and established categories of HAPs, including mercury, trace metals other than mercury, and acid gases. The EPA established emission limits for these categories of HAPs and work practice standards for the remaining categories. Construction on the project to implement the Boswell Unit 4 mercury emissions reduction plan to position the unit for MATS compliance was completed in 2015. Investments and compliance work previously completed at Boswell Unit 3, including emission reduction investments completed in 2009, meet the requirements of the MATS rule. The conversion of Laskin Units 1 and 2 to operate on natural gas in 2015 positioned those units for MATS compliance.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Minnesota Power was required to implement a mercury emissions reduction project for Boswell Unit 4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Four NAAQS have either recently been revised or are currently proposed for revision, as described below.</w:t>
      </w:r>
    </w:p>
    <w:p>
      <w:pPr>
        <w:spacing w:after="0" w:line="181" w:lineRule="exact"/>
        <w:rPr>
          <w:sz w:val="20"/>
          <w:szCs w:val="20"/>
          <w:color w:val="auto"/>
        </w:rPr>
      </w:pPr>
    </w:p>
    <w:p>
      <w:pPr>
        <w:jc w:val="both"/>
        <w:ind w:left="660" w:hanging="328"/>
        <w:spacing w:after="0" w:line="286" w:lineRule="auto"/>
        <w:tabs>
          <w:tab w:leader="none" w:pos="660"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All areas of Minnesota currently meet the new standard based on the most recent available ambient monitoring data; however, some</w:t>
      </w:r>
      <w:r>
        <w:rPr>
          <w:rFonts w:ascii="Arial" w:cs="Arial" w:eastAsia="Arial" w:hAnsi="Arial"/>
          <w:sz w:val="17"/>
          <w:szCs w:val="17"/>
          <w:i w:val="1"/>
          <w:iCs w:val="1"/>
          <w:color w:val="auto"/>
        </w:rPr>
        <w:t xml:space="preserve"> </w:t>
      </w:r>
      <w:r>
        <w:rPr>
          <w:rFonts w:ascii="Arial" w:cs="Arial" w:eastAsia="Arial" w:hAnsi="Arial"/>
          <w:sz w:val="17"/>
          <w:szCs w:val="17"/>
          <w:color w:val="auto"/>
        </w:rPr>
        <w:t>areas in the metropolitan Twin Cities and southwest portion of the state are close to exceeding the standard. As a result, voluntary efforts to reduce ground-level ozone continue in the state. No additional costs for compliance are anticipated at this time.</w:t>
      </w:r>
    </w:p>
    <w:p>
      <w:pPr>
        <w:spacing w:after="0" w:line="165" w:lineRule="exact"/>
        <w:rPr>
          <w:rFonts w:ascii="Arial" w:cs="Arial" w:eastAsia="Arial" w:hAnsi="Arial"/>
          <w:sz w:val="17"/>
          <w:szCs w:val="17"/>
          <w:i w:val="1"/>
          <w:iCs w:val="1"/>
          <w:color w:val="auto"/>
        </w:rPr>
      </w:pPr>
    </w:p>
    <w:p>
      <w:pPr>
        <w:jc w:val="both"/>
        <w:ind w:left="660" w:hanging="328"/>
        <w:spacing w:after="0" w:line="255" w:lineRule="auto"/>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has designated the entire state of Minnesota as unclassifiable/attainment; however, Minnesota sources may</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be required to reduce their emissions to assist with attainment in neighboring states. In September 2016, environmental groups filed a lawsuit against the EPA in the U.S. District Court for the Northern District of California alleging the EPA had failed to fully implement the PM</w:t>
      </w:r>
      <w:r>
        <w:rPr>
          <w:rFonts w:ascii="Arial" w:cs="Arial" w:eastAsia="Arial" w:hAnsi="Arial"/>
          <w:sz w:val="12"/>
          <w:szCs w:val="12"/>
          <w:color w:val="auto"/>
        </w:rPr>
        <w:t>2.5</w:t>
      </w:r>
      <w:r>
        <w:rPr>
          <w:rFonts w:ascii="Arial" w:cs="Arial" w:eastAsia="Arial" w:hAnsi="Arial"/>
          <w:sz w:val="18"/>
          <w:szCs w:val="18"/>
          <w:color w:val="auto"/>
        </w:rPr>
        <w:t xml:space="preserve"> standards in certain states, including Minnesota, by not enforcing states’ submittals of required infrastructure implementation plans for the 2012 PM</w:t>
      </w:r>
      <w:r>
        <w:rPr>
          <w:rFonts w:ascii="Arial" w:cs="Arial" w:eastAsia="Arial" w:hAnsi="Arial"/>
          <w:sz w:val="12"/>
          <w:szCs w:val="12"/>
          <w:color w:val="auto"/>
        </w:rPr>
        <w:t>2.5</w:t>
      </w:r>
      <w:r>
        <w:rPr>
          <w:rFonts w:ascii="Arial" w:cs="Arial" w:eastAsia="Arial" w:hAnsi="Arial"/>
          <w:sz w:val="18"/>
          <w:szCs w:val="18"/>
          <w:color w:val="auto"/>
        </w:rPr>
        <w:t xml:space="preserve"> NAAQS. The outcome of this litigation is uncertain, and as such, any costs for complying with the final Particulate Matter NAAQS cannot be estimated at this time.</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Ambient monitoring data indicates that Minnesota is likely in compliance with the one-hour NAAQS standard for NO</w:t>
      </w:r>
      <w:r>
        <w:rPr>
          <w:rFonts w:ascii="Arial" w:cs="Arial" w:eastAsia="Arial" w:hAnsi="Arial"/>
          <w:sz w:val="12"/>
          <w:szCs w:val="12"/>
          <w:color w:val="auto"/>
        </w:rPr>
        <w:t>2</w:t>
      </w:r>
      <w:r>
        <w:rPr>
          <w:rFonts w:ascii="Arial" w:cs="Arial" w:eastAsia="Arial" w:hAnsi="Arial"/>
          <w:sz w:val="18"/>
          <w:szCs w:val="18"/>
          <w:color w:val="auto"/>
        </w:rPr>
        <w:t>. On July 16,</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EPA proposed retaining the current one-hour and annual NO</w:t>
      </w:r>
      <w:r>
        <w:rPr>
          <w:rFonts w:ascii="Arial" w:cs="Arial" w:eastAsia="Arial" w:hAnsi="Arial"/>
          <w:sz w:val="12"/>
          <w:szCs w:val="12"/>
          <w:color w:val="auto"/>
        </w:rPr>
        <w:t>2</w:t>
      </w:r>
      <w:r>
        <w:rPr>
          <w:rFonts w:ascii="Arial" w:cs="Arial" w:eastAsia="Arial" w:hAnsi="Arial"/>
          <w:sz w:val="18"/>
          <w:szCs w:val="18"/>
          <w:color w:val="auto"/>
        </w:rPr>
        <w:t xml:space="preserve"> NAAQS. Additional compliance costs for the one-hour NO</w:t>
      </w:r>
      <w:r>
        <w:rPr>
          <w:rFonts w:ascii="Arial" w:cs="Arial" w:eastAsia="Arial" w:hAnsi="Arial"/>
          <w:sz w:val="12"/>
          <w:szCs w:val="12"/>
          <w:color w:val="auto"/>
        </w:rPr>
        <w:t>2</w:t>
      </w:r>
      <w:r>
        <w:rPr>
          <w:rFonts w:ascii="Arial" w:cs="Arial" w:eastAsia="Arial" w:hAnsi="Arial"/>
          <w:sz w:val="18"/>
          <w:szCs w:val="18"/>
          <w:color w:val="auto"/>
        </w:rPr>
        <w:t xml:space="preserve"> NAAQS are not expected at this time.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02"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ind w:left="660" w:hanging="328"/>
        <w:spacing w:after="0" w:line="254" w:lineRule="auto"/>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In 2015, the EPA finalized the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data requirements rule (DRR) for the 2010 one-hour NAAQS to assist the states in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standard. The MPCA initially informed Minnesota Power that compliant SO</w:t>
      </w:r>
      <w:r>
        <w:rPr>
          <w:rFonts w:ascii="Arial" w:cs="Arial" w:eastAsia="Arial" w:hAnsi="Arial"/>
          <w:sz w:val="12"/>
          <w:szCs w:val="12"/>
          <w:color w:val="auto"/>
        </w:rPr>
        <w:t>2</w:t>
      </w:r>
      <w:r>
        <w:rPr>
          <w:rFonts w:ascii="Arial" w:cs="Arial" w:eastAsia="Arial" w:hAnsi="Arial"/>
          <w:sz w:val="18"/>
          <w:szCs w:val="18"/>
          <w:color w:val="auto"/>
        </w:rPr>
        <w:t xml:space="preserve"> modeling completed at Minnesota Power's Boswell and Taconite Harbor facilities would satisfy the DRR obligations and no further modeling would be required; however, the DRR also require facilities have federally-enforceable permit limits at which the one-hour SO</w:t>
      </w:r>
      <w:r>
        <w:rPr>
          <w:rFonts w:ascii="Arial" w:cs="Arial" w:eastAsia="Arial" w:hAnsi="Arial"/>
          <w:sz w:val="12"/>
          <w:szCs w:val="12"/>
          <w:color w:val="auto"/>
        </w:rPr>
        <w:t>2</w:t>
      </w:r>
      <w:r>
        <w:rPr>
          <w:rFonts w:ascii="Arial" w:cs="Arial" w:eastAsia="Arial" w:hAnsi="Arial"/>
          <w:sz w:val="18"/>
          <w:szCs w:val="18"/>
          <w:color w:val="auto"/>
        </w:rPr>
        <w:t xml:space="preserve"> NAAQS compliance was modeled by January 13, 2017. Taconite Harbor was issued an amended air permit in September 2016, containing the new modeling limits at that facility. The MPCA did not meet the January 13, 2017, deadline to amend the Boswell permit. The MPCA is in discussions with the EPA on alternate compliance pathways to use existing completed modeling at current limits. On August 21, 2017, the EPA proposed retaining the current primary SO</w:t>
      </w:r>
      <w:r>
        <w:rPr>
          <w:rFonts w:ascii="Arial" w:cs="Arial" w:eastAsia="Arial" w:hAnsi="Arial"/>
          <w:sz w:val="12"/>
          <w:szCs w:val="12"/>
          <w:color w:val="auto"/>
        </w:rPr>
        <w:t>2</w:t>
      </w:r>
      <w:r>
        <w:rPr>
          <w:rFonts w:ascii="Arial" w:cs="Arial" w:eastAsia="Arial" w:hAnsi="Arial"/>
          <w:sz w:val="18"/>
          <w:szCs w:val="18"/>
          <w:color w:val="auto"/>
        </w:rPr>
        <w:t xml:space="preserve"> one-hour NAAQS. Compliance costs for the one-hour SO</w:t>
      </w:r>
      <w:r>
        <w:rPr>
          <w:rFonts w:ascii="Arial" w:cs="Arial" w:eastAsia="Arial" w:hAnsi="Arial"/>
          <w:sz w:val="12"/>
          <w:szCs w:val="12"/>
          <w:color w:val="auto"/>
        </w:rPr>
        <w:t>2</w:t>
      </w:r>
      <w:r>
        <w:rPr>
          <w:rFonts w:ascii="Arial" w:cs="Arial" w:eastAsia="Arial" w:hAnsi="Arial"/>
          <w:sz w:val="18"/>
          <w:szCs w:val="18"/>
          <w:color w:val="auto"/>
        </w:rPr>
        <w:t xml:space="preserve"> NAAQS are not expected to be material.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Expanding our renewable power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 and</w:t>
      </w:r>
    </w:p>
    <w:p>
      <w:pPr>
        <w:spacing w:after="0" w:line="9"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facilities.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may be added to our existing Title V operating permits by the MPCA as these permits are renewed or amended.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U.S. Supreme Court invalidated the aspect of the Tailoring Rule that established higher permitting thresholds for GHG than for other pollutants subject to PSD; however, the court also upheld the EPA’s ability to require best available control technology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2015, together with a proposed federal implementation plan and a model rule for emissions trading. In February 2016, the U.S. Supreme Court issued an order staying the effectiveness of the rule until after the appellate court process is complete. In September 2016, the U.S. Court of Appeals for the District of Columbia heard oral arguments and is currently deliberating. If the CPP is upheld at the completion of the appellate process, all of the CPP regulatory deadlines are expected to be reset based on the length of time that the appeals process takes.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02"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upheld, the CPP would establish uniform CO</w:t>
      </w:r>
      <w:r>
        <w:rPr>
          <w:rFonts w:ascii="Arial" w:cs="Arial" w:eastAsia="Arial" w:hAnsi="Arial"/>
          <w:sz w:val="12"/>
          <w:szCs w:val="12"/>
          <w:color w:val="auto"/>
        </w:rPr>
        <w:t>2</w:t>
      </w:r>
      <w:r>
        <w:rPr>
          <w:rFonts w:ascii="Arial" w:cs="Arial" w:eastAsia="Arial" w:hAnsi="Arial"/>
          <w:sz w:val="18"/>
          <w:szCs w:val="18"/>
          <w:color w:val="auto"/>
        </w:rPr>
        <w:t xml:space="preserve"> emission performance rates for existing fossil fuel-fired and natural gas-fired combined cycle generating units, setting state-specific goals for CO</w:t>
      </w:r>
      <w:r>
        <w:rPr>
          <w:rFonts w:ascii="Arial" w:cs="Arial" w:eastAsia="Arial" w:hAnsi="Arial"/>
          <w:sz w:val="12"/>
          <w:szCs w:val="12"/>
          <w:color w:val="auto"/>
        </w:rPr>
        <w:t>2</w:t>
      </w:r>
      <w:r>
        <w:rPr>
          <w:rFonts w:ascii="Arial" w:cs="Arial" w:eastAsia="Arial" w:hAnsi="Arial"/>
          <w:sz w:val="18"/>
          <w:szCs w:val="18"/>
          <w:color w:val="auto"/>
        </w:rPr>
        <w:t xml:space="preserve"> emissions from the power sector. State goals were determined based on CPP source-specific performance emission rates and each state’s mix of power plants. The EPA has filed a motion with the U.S. Court of Appeals for the District of Columbia Circuit to hold CPP-related litigation in suspension while the EPA is reviewing the rule. On October 10, 2017, the EPA issued a notice of proposed rulemaking, proposing to repeal the CPP. On December 28, 2017, an Advanced Notice of Proposed Rulemaking (ANPRM) for a CPP replacement rule was published in the Federal Register.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Minnesota Power is currently evaluating the CPP rescission and recently proposed ANPRM for a CPP replacement rule as it relates to the State of Minnesota as well as its potential impact on the Company. Minnesota has already initiated several measures consistent with those called for under the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4. Regulatory Matters.)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additional costs through a rate proceeding.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National Pollutant Discharge Elimination System (NPDES) permits be obtained from the EPA (or, when delegated,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state pollution control agencies) for any 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2014, EPA regulations under Section 316(b) of the Clean Water Act setting standards applicable to cooling water</w:t>
      </w:r>
      <w:r>
        <w:rPr>
          <w:rFonts w:ascii="Arial" w:cs="Arial" w:eastAsia="Arial" w:hAnsi="Arial"/>
          <w:sz w:val="17"/>
          <w:szCs w:val="17"/>
          <w:i w:val="1"/>
          <w:iCs w:val="1"/>
          <w:color w:val="auto"/>
        </w:rPr>
        <w:t xml:space="preserve"> </w:t>
      </w:r>
      <w:r>
        <w:rPr>
          <w:rFonts w:ascii="Arial" w:cs="Arial" w:eastAsia="Arial" w:hAnsi="Arial"/>
          <w:sz w:val="17"/>
          <w:szCs w:val="17"/>
          <w:color w:val="auto"/>
        </w:rPr>
        <w:t>intake structures for the protection of aquatic organisms became effective. The regulations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will be implemented through NPDES permits issued to covered facilities. No NPDES permits for Minnesota Power facilities have been re-issued containing Section 316(b) requirements since the final rule became effective. Should the MPCA require significant modifications to Minnesota Power’s intake structures, a preliminary assessment indicates that Minnesota Power could incur costs of compliance up to $15 million over the next five years. Minnesota Power would seek recovery of additional costs through a rate proceeding.</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2015, the EPA issued revised federal effluent limit guidelines (ELG) for steam electric power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stations under the Clean Water Act. It set effluent limits and prescribed BACT for several wastewater streams, including flue gas desulphurization (FGD) water, bottom ash transport water and coal combustion landfill leachate. On September 13, 2017, the EPA announced a two-year postponement of the ELG compliance date of November 1, 2018, to November 1, 2020, while the agency reconsiders bottom ash transport water and FGD wastewater provisions.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final ELG rule’s potential impact on Minnesota Power operations is primarily at Boswell. Boswell currently discharges bottom ash contact water through its NPDES permit, and also has a closed-loop FGD system that does not discharge, but may do so in the future. Under the existing ELG rule, bottom ash transport water discharge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for several years to reduce the amount of water discharged and evaluate potential re-use options in its plant processes.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702"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which has been idled and has a temporary landfill cover in place, applying ash to land as an approved beneficial use and trucking ash to state permitted landfills.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 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The EPA has indicated to Minnesota Power that the Taconite Harbor landfill is a CCR unit, based on the EPA’s interpretation of the CCR rule language. Minnesota Power has agreed to post the required CCR information for the Taconite Harbor landfill on Minnesota Power’s website while the CCR issue is resolved. Minnesota Power continues to work on minimizing costs through evaluation of beneficial re-use and recycling of CCR and CCR-related waters. On September 13, 2017, the EPA announced its intention to formally reconsider the CCR rule under Subtitle D of the RCRA. Compliance costs, if any, for CCR at Taconite Harbor cannot be estimated at this time. Minnesota Power would seek recovery of additional costs through a rate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SWL&amp;P has been working with the Wisconsin Department of Natural Resources (WDNR) in determining the extent and location of contamination at the site and surrounding properties. In December 2017, the WDNR authorized SWL&amp;P to transition from site investigation into the remedial design process. As of December 31, 2017, we have recorded a liability of approximately $8 million for remediation costs at this site, and a corresponding regulatory asset as we expect recovery of these remediation costs to be allowed by the PSCW. We expect to incur these costs over the next four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December 31, 2017, ALLETE Clean Energy has $15.4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December 31, 2017, U.S. Water Services has $0.8 million outstanding in standby letters of credit.</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BNI Energy. </w:t>
      </w:r>
      <w:r>
        <w:rPr>
          <w:rFonts w:ascii="Arial" w:cs="Arial" w:eastAsia="Arial" w:hAnsi="Arial"/>
          <w:sz w:val="16"/>
          <w:szCs w:val="16"/>
          <w:color w:val="auto"/>
        </w:rPr>
        <w:t>As of December 31, 2017, BNI Energy had surety bonds outstanding of $49.9 million and a letter of credit for an additional $0.6 million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$47.5 million. BNI Energy does not believe it is likely that any of these outstanding surety bonds or the letter of credit will be drawn upon.</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December 31, 2017,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$8.6 million primarily related to development and maintenance obligations for various projects. The estimated cost of the remaining development work is $6.1 million. ALLETE Properties does not believe it is likely that any of these outstanding surety bonds or letters of credit will be drawn upon.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02"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Community Development District Obligations. </w:t>
      </w:r>
      <w:r>
        <w:rPr>
          <w:rFonts w:ascii="Arial" w:cs="Arial" w:eastAsia="Arial" w:hAnsi="Arial"/>
          <w:sz w:val="17"/>
          <w:szCs w:val="17"/>
          <w:color w:val="auto"/>
        </w:rPr>
        <w:t>In 2005, the Town Center District issued $26.4 million of tax-exempt, 6.0 percent capital improvement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bonds, and in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2006 for the Town Center District and 2007 for the Palm Coast Park District. To the extent that ALLETE Properties still owns land at the time of the assessment, it will incur the cost of our portion of these assessments, based upon its ownership of benefited property. As of December 31, 2017, we owned 70 percent of the assessable land in the Town Center District (72 percent as of December 31, 2016) and 33 percent of the assessable land in the Palm Coast Park District (92 percent as of December 31, 2016). As of December 31, 2017, ownership levels, our annual assessments related to capital improvement and special assessment bonds for the ALLETE Properties projects within these districts are $1.4 million for Town Center at Palm Coast and $2.0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12. COMMON STOCK AND EARNINGS PER SHARE</w:t>
            </w:r>
          </w:p>
        </w:tc>
        <w:tc>
          <w:tcPr>
            <w:tcW w:w="3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r>
      <w:tr>
        <w:trPr>
          <w:trHeight w:val="270"/>
        </w:trPr>
        <w:tc>
          <w:tcPr>
            <w:tcW w:w="7000" w:type="dxa"/>
            <w:vAlign w:val="bottom"/>
          </w:tcPr>
          <w:p>
            <w:pPr>
              <w:spacing w:after="0"/>
              <w:rPr>
                <w:sz w:val="23"/>
                <w:szCs w:val="23"/>
                <w:color w:val="auto"/>
              </w:rPr>
            </w:pP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Thousands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45,929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$1,107.6</w:t>
            </w:r>
          </w:p>
        </w:tc>
      </w:tr>
      <w:tr>
        <w:trPr>
          <w:trHeight w:val="237"/>
        </w:trPr>
        <w:tc>
          <w:tcPr>
            <w:tcW w:w="7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Employee Stock Purchase Plan</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18</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383</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Forward Sale Agreement and Issuance</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1,413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49,075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1,271.4</w:t>
            </w:r>
          </w:p>
        </w:tc>
      </w:tr>
      <w:tr>
        <w:trPr>
          <w:trHeight w:val="237"/>
        </w:trPr>
        <w:tc>
          <w:tcPr>
            <w:tcW w:w="7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Employee Stock Purchase Plan</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16</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RSOP</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130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Received for Sale of Land Inventory</w:t>
            </w:r>
          </w:p>
        </w:tc>
        <w:tc>
          <w:tcPr>
            <w:tcW w:w="3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Acquisition of Non-Controlling Interest</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49,560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1,295.3</w:t>
            </w:r>
          </w:p>
        </w:tc>
      </w:tr>
      <w:tr>
        <w:trPr>
          <w:trHeight w:val="237"/>
        </w:trPr>
        <w:tc>
          <w:tcPr>
            <w:tcW w:w="7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Employee Stock Purchase Plan</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12</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257</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RSOP</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Pension</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51,117</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02"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12. COMMON STOCK AND EARNINGS PER SHARE (Continued)</w:t>
      </w:r>
    </w:p>
    <w:p>
      <w:pPr>
        <w:spacing w:after="0" w:line="2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Equity Issuance Program. </w:t>
      </w:r>
      <w:r>
        <w:rPr>
          <w:rFonts w:ascii="Arial" w:cs="Arial" w:eastAsia="Arial" w:hAnsi="Arial"/>
          <w:sz w:val="18"/>
          <w:szCs w:val="18"/>
          <w:color w:val="auto"/>
        </w:rPr>
        <w:t>We entered into a distribution agreement with Lampert Capital Markets, Inc., in 2008, as amended most recently in August 2016,</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issuance and sale of up to an aggregate of 13.6 million shares of our common stock, without par value, of which 2.9 million shares remain available for issuance as of December 31, 2017. For the year ended December 31, 2017, 1.0 million shares of common stock were issued under this agreement, resulting in net proceeds of $65.7 million (0.1 million shares for net proceeds of $8.0 million in 2016; 1.3 million shares for net proceeds of $69.9 million in 2015). The shares issued in 2017 and 2016 were offered and sold pursuant to Registration Statement No. 333-212794, pursuant to which the remaining shares will continue to be offered for sale, from time to time. The shares issued in 2015 were offered and sold pursuant to Registration Statement No. 333-190335.</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We compute basic earnings per share using the weighted average number of shares of common stock outstanding during each period.</w:t>
      </w:r>
      <w:r>
        <w:rPr>
          <w:rFonts w:ascii="Arial" w:cs="Arial" w:eastAsia="Arial" w:hAnsi="Arial"/>
          <w:sz w:val="16"/>
          <w:szCs w:val="16"/>
          <w:b w:val="1"/>
          <w:bCs w:val="1"/>
          <w:color w:val="auto"/>
        </w:rPr>
        <w:t xml:space="preserve"> </w:t>
      </w:r>
      <w:r>
        <w:rPr>
          <w:rFonts w:ascii="Arial" w:cs="Arial" w:eastAsia="Arial" w:hAnsi="Arial"/>
          <w:sz w:val="16"/>
          <w:szCs w:val="16"/>
          <w:color w:val="auto"/>
        </w:rPr>
        <w:t>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No options to purchase shares of common stock were excluded from the computation of diluted earnings per share in 2017, 2016 and 2015.</w:t>
      </w:r>
    </w:p>
    <w:p>
      <w:pPr>
        <w:spacing w:after="0" w:line="15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Forward Sale Agreement and Issuance of Common Stock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2014, ALLETE entered into a confirmation of forward sale agreement (Agreement) with a</w:t>
      </w:r>
      <w:r>
        <w:rPr>
          <w:rFonts w:ascii="Arial" w:cs="Arial" w:eastAsia="Arial" w:hAnsi="Arial"/>
          <w:sz w:val="18"/>
          <w:szCs w:val="18"/>
          <w:b w:val="1"/>
          <w:bCs w:val="1"/>
          <w:color w:val="auto"/>
        </w:rPr>
        <w:t xml:space="preserve"> </w:t>
      </w:r>
      <w:r>
        <w:rPr>
          <w:rFonts w:ascii="Arial" w:cs="Arial" w:eastAsia="Arial" w:hAnsi="Arial"/>
          <w:sz w:val="18"/>
          <w:szCs w:val="18"/>
          <w:color w:val="auto"/>
        </w:rPr>
        <w:t>forward counterparty in connection with a public offering of 2.8 million shares of ALLETE common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forward counterparty (or its affiliate) borrowed 2.8 million shares of ALLETE common stock from third parties and sold them to the underwriters. The forward sale price was $48.01 per share, subject to adjustment as provided in the Agreement. In 2014, ALLETE physically settled a portion of its obligations under the Agreement by delivering approximately 1.4 million shares of common stock in exchange for cash proceeds of $65.0 million, and in February 2015, ALLETE physically settled the remaining portion of its obligation under the Agreement by delivering approximately 1.4 million shares of common stock for cash proceeds of $65.4 million.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Contributions to Pension. </w:t>
      </w:r>
      <w:r>
        <w:rPr>
          <w:rFonts w:ascii="Arial" w:cs="Arial" w:eastAsia="Arial" w:hAnsi="Arial"/>
          <w:sz w:val="17"/>
          <w:szCs w:val="17"/>
          <w:color w:val="auto"/>
        </w:rPr>
        <w:t>For the year ended December 31, 2017, we contributed approximately 0.2 million shares of ALLETE common stock to our</w:t>
      </w:r>
      <w:r>
        <w:rPr>
          <w:rFonts w:ascii="Arial" w:cs="Arial" w:eastAsia="Arial" w:hAnsi="Arial"/>
          <w:sz w:val="17"/>
          <w:szCs w:val="17"/>
          <w:b w:val="1"/>
          <w:bCs w:val="1"/>
          <w:color w:val="auto"/>
        </w:rPr>
        <w:t xml:space="preserve"> </w:t>
      </w:r>
      <w:r>
        <w:rPr>
          <w:rFonts w:ascii="Arial" w:cs="Arial" w:eastAsia="Arial" w:hAnsi="Arial"/>
          <w:sz w:val="17"/>
          <w:szCs w:val="17"/>
          <w:color w:val="auto"/>
        </w:rPr>
        <w:t>pension plan, which had an aggregate value of $13.5 million when contributed (none in 2016 and in 2015). These shares of ALLETE common stock were contributed in reliance upon an exemption available pursuant to Section 4(a)(2) of the Securities Act of 1933, as amended.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3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460" w:type="dxa"/>
            <w:vAlign w:val="bottom"/>
          </w:tcPr>
          <w:p>
            <w:pPr>
              <w:spacing w:after="0"/>
              <w:rPr>
                <w:sz w:val="23"/>
                <w:szCs w:val="23"/>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Dilutive</w:t>
            </w:r>
          </w:p>
        </w:tc>
        <w:tc>
          <w:tcPr>
            <w:tcW w:w="1060" w:type="dxa"/>
            <w:vAlign w:val="bottom"/>
          </w:tcPr>
          <w:p>
            <w:pPr>
              <w:spacing w:after="0"/>
              <w:rPr>
                <w:sz w:val="23"/>
                <w:szCs w:val="23"/>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60" w:type="dxa"/>
            <w:vAlign w:val="bottom"/>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Securities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54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3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$172.2</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$172.2</w:t>
            </w:r>
          </w:p>
        </w:tc>
      </w:tr>
      <w:tr>
        <w:trPr>
          <w:trHeight w:val="27"/>
        </w:trPr>
        <w:tc>
          <w:tcPr>
            <w:tcW w:w="5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3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50.8</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$3.39</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5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3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$155.3</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$155.3</w:t>
            </w:r>
          </w:p>
        </w:tc>
      </w:tr>
      <w:tr>
        <w:trPr>
          <w:trHeight w:val="27"/>
        </w:trPr>
        <w:tc>
          <w:tcPr>
            <w:tcW w:w="5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3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49.3</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$3.15</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5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$141.1</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$141.1</w:t>
            </w:r>
          </w:p>
        </w:tc>
      </w:tr>
      <w:tr>
        <w:trPr>
          <w:trHeight w:val="27"/>
        </w:trPr>
        <w:tc>
          <w:tcPr>
            <w:tcW w:w="5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3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48.3</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$2.92</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54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702"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NOTE 13. INCOME TAX EXPENSE</w:t>
            </w:r>
          </w:p>
        </w:tc>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8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28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$0.3</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$0.4</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2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880" w:type="dxa"/>
            <w:vAlign w:val="bottom"/>
          </w:tcPr>
          <w:p>
            <w:pPr>
              <w:jc w:val="right"/>
              <w:ind w:right="450"/>
              <w:spacing w:after="0"/>
              <w:rPr>
                <w:sz w:val="20"/>
                <w:szCs w:val="20"/>
                <w:color w:val="auto"/>
              </w:rPr>
            </w:pPr>
            <w:r>
              <w:rPr>
                <w:rFonts w:ascii="Arial" w:cs="Arial" w:eastAsia="Arial" w:hAnsi="Arial"/>
                <w:sz w:val="18"/>
                <w:szCs w:val="18"/>
                <w:color w:val="auto"/>
              </w:rPr>
              <w:t>$12.1</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$12.0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6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Federal – Remeasurement of Deferred Income Taxes </w:t>
            </w:r>
            <w:r>
              <w:rPr>
                <w:rFonts w:ascii="Arial" w:cs="Arial" w:eastAsia="Arial" w:hAnsi="Arial"/>
                <w:sz w:val="16"/>
                <w:szCs w:val="16"/>
                <w:i w:val="1"/>
                <w:iCs w:val="1"/>
                <w:color w:val="auto"/>
              </w:rPr>
              <w:t>(b)</w:t>
            </w:r>
          </w:p>
        </w:tc>
        <w:tc>
          <w:tcPr>
            <w:tcW w:w="2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(13.0)</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State</w:t>
            </w:r>
          </w:p>
        </w:tc>
        <w:tc>
          <w:tcPr>
            <w:tcW w:w="2880" w:type="dxa"/>
            <w:vAlign w:val="bottom"/>
          </w:tcPr>
          <w:p>
            <w:pPr>
              <w:jc w:val="right"/>
              <w:ind w:right="450"/>
              <w:spacing w:after="0"/>
              <w:rPr>
                <w:sz w:val="20"/>
                <w:szCs w:val="20"/>
                <w:color w:val="auto"/>
              </w:rPr>
            </w:pPr>
            <w:r>
              <w:rPr>
                <w:rFonts w:ascii="Arial" w:cs="Arial" w:eastAsia="Arial" w:hAnsi="Arial"/>
                <w:sz w:val="18"/>
                <w:szCs w:val="18"/>
                <w:color w:val="auto"/>
              </w:rPr>
              <w:t>15.8</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8.1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6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2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Income Tax Expense</w:t>
            </w:r>
          </w:p>
        </w:tc>
        <w:tc>
          <w:tcPr>
            <w:tcW w:w="28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$14.4</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$19.4</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6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$14.7</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0"/>
        </w:trPr>
        <w:tc>
          <w:tcPr>
            <w:tcW w:w="624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2017, 2016 and 2015, the federal and state current tax expense was minimal due to NOLs which resulted from the bonus depreciation provisions of the Protecting Americans from Tax Hikes Act of 2015, the Tax Increase Prevention Act of 2014 and the American Taxpayer Relief Act of 2012. The federal and state NOLs will be carried forward to offset future taxable income.</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Deferred income tax benefit from the remeasurement of deferred income tax assets and liabilities resulting from the TCJA. (See Note 1. Operations and Significant Accounting Policies.)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$186.9</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$175.6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$65.4</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$61.5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10.5</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2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Production Tax Credits</w:t>
            </w:r>
          </w:p>
        </w:tc>
        <w:tc>
          <w:tcPr>
            <w:tcW w:w="2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(45.1)</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(41.5)</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Remeasurement of Deferred Income Taxes </w:t>
            </w:r>
            <w:r>
              <w:rPr>
                <w:rFonts w:ascii="Arial" w:cs="Arial" w:eastAsia="Arial" w:hAnsi="Arial"/>
                <w:sz w:val="16"/>
                <w:szCs w:val="16"/>
                <w:i w:val="1"/>
                <w:iCs w:val="1"/>
                <w:color w:val="auto"/>
              </w:rPr>
              <w:t>(a)</w:t>
            </w:r>
          </w:p>
        </w:tc>
        <w:tc>
          <w:tcPr>
            <w:tcW w:w="2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(13.0)</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Other</w:t>
            </w: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$14.7</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r>
      <w:tr>
        <w:trPr>
          <w:trHeight w:val="20"/>
        </w:trPr>
        <w:tc>
          <w:tcPr>
            <w:tcW w:w="6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Deferred income tax benefit from the remeasurement of deferred income tax assets and liabilities resulting from the TCJA. (See Note 1. Operations and Significant Accounting Policies.)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was 7.9 percent for 2017 (11.3 percent for 2016; 15.2 percent for 2015). The 2017 effective tax rate was primarily impacted by production tax credits and the remeasurement of deferred income tax assets and liabilities resulting from the TCJA. (See Note 1. Operations and Significant Accounting Policies.) The 2016 and 2015 effective rates were primarily impacted by production tax credits.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02"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NOTE 13. INCOME TAX EXPENSE (Continued)</w:t>
            </w:r>
          </w:p>
        </w:tc>
        <w:tc>
          <w:tcPr>
            <w:tcW w:w="3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Deferred Income Tax Assets and Liabilities</w:t>
            </w:r>
          </w:p>
        </w:tc>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6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Employee Benefits and Compensation</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$65.9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$104.6</w:t>
            </w:r>
          </w:p>
        </w:tc>
      </w:tr>
      <w:tr>
        <w:trPr>
          <w:trHeight w:val="27"/>
        </w:trPr>
        <w:tc>
          <w:tcPr>
            <w:tcW w:w="6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Related</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104.3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NOL Carryforwards</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99.1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185.6</w:t>
            </w:r>
          </w:p>
        </w:tc>
      </w:tr>
      <w:tr>
        <w:trPr>
          <w:trHeight w:val="27"/>
        </w:trPr>
        <w:tc>
          <w:tcPr>
            <w:tcW w:w="6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294.3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Power Sales Agreements</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35.0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59.3</w:t>
            </w:r>
          </w:p>
        </w:tc>
      </w:tr>
      <w:tr>
        <w:trPr>
          <w:trHeight w:val="27"/>
        </w:trPr>
        <w:tc>
          <w:tcPr>
            <w:tcW w:w="6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Liabilities</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117.7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33.3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66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Deferred Income Tax Assets</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749.6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741.6</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Deferred Income Tax Asset Valuation Allowance</w:t>
            </w:r>
          </w:p>
        </w:tc>
        <w:tc>
          <w:tcPr>
            <w:tcW w:w="370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66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$689.6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$698.6</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 Liabilities</w:t>
            </w:r>
          </w:p>
        </w:tc>
        <w:tc>
          <w:tcPr>
            <w:tcW w:w="3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Related</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$758.3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Regulatory Asset for Benefit Obligations</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61.4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91.9</w:t>
            </w:r>
          </w:p>
        </w:tc>
      </w:tr>
      <w:tr>
        <w:trPr>
          <w:trHeight w:val="27"/>
        </w:trPr>
        <w:tc>
          <w:tcPr>
            <w:tcW w:w="6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Investment Tax Credits</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Partnership Basis Differences</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34.9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w:t>
            </w:r>
          </w:p>
        </w:tc>
      </w:tr>
      <w:tr>
        <w:trPr>
          <w:trHeight w:val="27"/>
        </w:trPr>
        <w:tc>
          <w:tcPr>
            <w:tcW w:w="6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Assets</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66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$920.1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$1,253.2</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Net Deferred Income Taxes </w:t>
            </w:r>
            <w:r>
              <w:rPr>
                <w:rFonts w:ascii="Arial" w:cs="Arial" w:eastAsia="Arial" w:hAnsi="Arial"/>
                <w:sz w:val="16"/>
                <w:szCs w:val="16"/>
                <w:i w:val="1"/>
                <w:iCs w:val="1"/>
                <w:color w:val="auto"/>
              </w:rPr>
              <w:t>(a)</w:t>
            </w:r>
          </w:p>
        </w:tc>
        <w:tc>
          <w:tcPr>
            <w:tcW w:w="37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$230.5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Recorded as a net long-term Deferred Income Tax liability on the Consolidated Balance Sheet. Additionally, see Note 1. Operations and Significant Accounting Policies – Revision of Prior Balance Sheet.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NOL and Tax Credit Carryforwards</w:t>
            </w:r>
          </w:p>
        </w:tc>
        <w:tc>
          <w:tcPr>
            <w:tcW w:w="4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2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20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6"/>
                <w:szCs w:val="16"/>
                <w:i w:val="1"/>
                <w:iCs w:val="1"/>
                <w:color w:val="auto"/>
              </w:rPr>
              <w:t>(a)</w:t>
            </w:r>
          </w:p>
        </w:tc>
        <w:tc>
          <w:tcPr>
            <w:tcW w:w="42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$375.2</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Federal Tax Credit Carryforwards</w:t>
            </w:r>
          </w:p>
        </w:tc>
        <w:tc>
          <w:tcPr>
            <w:tcW w:w="4220" w:type="dxa"/>
            <w:vAlign w:val="bottom"/>
          </w:tcPr>
          <w:p>
            <w:pPr>
              <w:jc w:val="right"/>
              <w:ind w:right="290"/>
              <w:spacing w:after="0"/>
              <w:rPr>
                <w:sz w:val="20"/>
                <w:szCs w:val="20"/>
                <w:color w:val="auto"/>
              </w:rPr>
            </w:pPr>
            <w:r>
              <w:rPr>
                <w:rFonts w:ascii="Arial" w:cs="Arial" w:eastAsia="Arial" w:hAnsi="Arial"/>
                <w:sz w:val="18"/>
                <w:szCs w:val="18"/>
                <w:color w:val="auto"/>
              </w:rPr>
              <w:t>$209.2</w:t>
            </w:r>
          </w:p>
        </w:tc>
        <w:tc>
          <w:tcPr>
            <w:tcW w:w="100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7"/>
        </w:trPr>
        <w:tc>
          <w:tcPr>
            <w:tcW w:w="6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6"/>
                <w:szCs w:val="16"/>
                <w:i w:val="1"/>
                <w:iCs w:val="1"/>
                <w:color w:val="auto"/>
              </w:rPr>
              <w:t>(a)</w:t>
            </w:r>
          </w:p>
        </w:tc>
        <w:tc>
          <w:tcPr>
            <w:tcW w:w="42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$289.9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6"/>
                <w:szCs w:val="16"/>
                <w:i w:val="1"/>
                <w:iCs w:val="1"/>
                <w:color w:val="auto"/>
              </w:rPr>
              <w:t>(b)</w:t>
            </w:r>
          </w:p>
        </w:tc>
        <w:tc>
          <w:tcPr>
            <w:tcW w:w="4220" w:type="dxa"/>
            <w:vAlign w:val="bottom"/>
          </w:tcPr>
          <w:p>
            <w:pPr>
              <w:jc w:val="right"/>
              <w:ind w:right="290"/>
              <w:spacing w:after="0"/>
              <w:rPr>
                <w:sz w:val="20"/>
                <w:szCs w:val="20"/>
                <w:color w:val="auto"/>
              </w:rPr>
            </w:pPr>
            <w:r>
              <w:rPr>
                <w:rFonts w:ascii="Arial" w:cs="Arial" w:eastAsia="Arial" w:hAnsi="Arial"/>
                <w:sz w:val="18"/>
                <w:szCs w:val="18"/>
                <w:color w:val="auto"/>
              </w:rPr>
              <w:t>$25.6</w:t>
            </w: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Net of a $59.5 million valuation allowance as of December 31, 2017 ($42.7 million as of December 31, 2016).</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NOL and tax credit carryforward periods expire between 2030 and 2037. We expect to fully utilize the federal NOL and federal tax credit carryforwards; therefore, no federal valuation allowance has been recognized as of December 31, 2017. The state NOL and tax credit carryforward periods expire between 2024 and 2045. We have established a valuation allowance against certain state NOL and tax credits that we do not expect to utilize before their expiration. We do not expect a material impact on the Company’s ability to utilize its federal and state NOL and tax credit carryforwards due to the TCJA.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702"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NOTE 13. INCOME TAX EXPENSE (Continued)</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7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$2.0</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278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0.5</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78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(0.3)</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(0.7)</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w:t>
            </w:r>
          </w:p>
        </w:tc>
        <w:tc>
          <w:tcPr>
            <w:tcW w:w="27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15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r>
      <w:tr>
        <w:trPr>
          <w:trHeight w:val="237"/>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w:t>
            </w:r>
          </w:p>
        </w:tc>
        <w:tc>
          <w:tcPr>
            <w:tcW w:w="27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$1.7</w:t>
            </w:r>
          </w:p>
        </w:tc>
        <w:tc>
          <w:tcPr>
            <w:tcW w:w="15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w:t>
            </w: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2017, included $0.8 million of net unrecognized tax benefits which, if recognized, would affect the annual effective income tax rate.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2017, we had no accrued interest (none as of December 31, 2016, and 2015)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2017 (immaterial in 2016, and in 2015). There were no penalties recognized in 2017, 2016 or 2015. The unrecognized tax benefit amounts have been presented as reductions to the tax benefits associated with NOL and tax credit carryforwards on the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changes to unrecognized tax benefits are expected during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2013 or state examination for years before 2012.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RECLASSIFICATIONS OUT OF ACCUMULATED OTHER COMPREHENSIVE INCOME (LOSS)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securities, defined benefit pension and other postretirement items, consisting of deferred actuarial gains or losses and prior service costs or credits, and gains and losses on derivatives accounted for as cash flow hedges.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702"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NOTE 14. RECLASSIFICATIONS OUT OF ACCUMULATED OTHER COMPREHENSIVE INCOME (LOSS)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years ended December 31, 2017, 2016 and 2015,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Defined Benefit</w:t>
            </w: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Gain</w:t>
            </w:r>
          </w:p>
        </w:tc>
        <w:tc>
          <w:tcPr>
            <w:tcW w:w="94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 (Loss) on</w:t>
            </w:r>
          </w:p>
        </w:tc>
        <w:tc>
          <w:tcPr>
            <w:tcW w:w="16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Pension, Other</w:t>
            </w: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(Loss) on</w:t>
            </w:r>
          </w:p>
        </w:tc>
        <w:tc>
          <w:tcPr>
            <w:tcW w:w="940" w:type="dxa"/>
            <w:vAlign w:val="bottom"/>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Available-for-sale</w:t>
            </w:r>
          </w:p>
        </w:tc>
        <w:tc>
          <w:tcPr>
            <w:tcW w:w="16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Cash Flow</w:t>
            </w:r>
          </w:p>
        </w:tc>
        <w:tc>
          <w:tcPr>
            <w:tcW w:w="94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6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 xml:space="preserve">Items </w:t>
            </w:r>
            <w:r>
              <w:rPr>
                <w:rFonts w:ascii="Arial" w:cs="Arial" w:eastAsia="Arial" w:hAnsi="Arial"/>
                <w:sz w:val="16"/>
                <w:szCs w:val="16"/>
                <w:i w:val="1"/>
                <w:iCs w:val="1"/>
                <w:color w:val="auto"/>
                <w:w w:val="92"/>
              </w:rPr>
              <w:t>(a)</w:t>
            </w: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Hedge</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3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$(0.3)</w:t>
            </w:r>
          </w:p>
        </w:tc>
        <w:tc>
          <w:tcPr>
            <w:tcW w:w="1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$(20.7)</w:t>
            </w:r>
          </w:p>
        </w:tc>
        <w:tc>
          <w:tcPr>
            <w:tcW w:w="1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(0.4)</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(4.6)</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23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2"/>
        </w:trPr>
        <w:tc>
          <w:tcPr>
            <w:tcW w:w="4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37"/>
        </w:trPr>
        <w:tc>
          <w:tcPr>
            <w:tcW w:w="48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(0.5)</w:t>
            </w: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(3.0)</w:t>
            </w: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r>
      <w:tr>
        <w:trPr>
          <w:trHeight w:val="27"/>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1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(23.7)</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r>
      <w:tr>
        <w:trPr>
          <w:trHeight w:val="237"/>
        </w:trPr>
        <w:tc>
          <w:tcPr>
            <w:tcW w:w="4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23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(4.1)</w:t>
            </w: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23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2"/>
        </w:trPr>
        <w:tc>
          <w:tcPr>
            <w:tcW w:w="4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7"/>
        </w:trPr>
        <w:tc>
          <w:tcPr>
            <w:tcW w:w="48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(0.2)</w:t>
            </w: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(3.5)</w:t>
            </w: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w:t>
            </w:r>
          </w:p>
        </w:tc>
      </w:tr>
      <w:tr>
        <w:trPr>
          <w:trHeight w:val="27"/>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w:t>
            </w:r>
          </w:p>
        </w:tc>
        <w:tc>
          <w:tcPr>
            <w:tcW w:w="1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(27.2)</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w:t>
            </w:r>
          </w:p>
        </w:tc>
      </w:tr>
      <w:tr>
        <w:trPr>
          <w:trHeight w:val="237"/>
        </w:trPr>
        <w:tc>
          <w:tcPr>
            <w:tcW w:w="4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23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1.1</w:t>
            </w: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3.9</w:t>
            </w: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23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2"/>
        </w:trPr>
        <w:tc>
          <w:tcPr>
            <w:tcW w:w="4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37"/>
        </w:trPr>
        <w:tc>
          <w:tcPr>
            <w:tcW w:w="48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3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0.9</w:t>
            </w: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4.7</w:t>
            </w: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5.6</w:t>
            </w:r>
          </w:p>
        </w:tc>
      </w:tr>
      <w:tr>
        <w:trPr>
          <w:trHeight w:val="27"/>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3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$(0.1)</w:t>
            </w:r>
          </w:p>
        </w:tc>
        <w:tc>
          <w:tcPr>
            <w:tcW w:w="1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$(22.5)</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r>
      <w:tr>
        <w:trPr>
          <w:trHeight w:val="20"/>
        </w:trPr>
        <w:tc>
          <w:tcPr>
            <w:tcW w:w="48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15. Pension and Other Postretirement Benefit Plans.)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AND OTHER POSTRETIREMENT BENEFIT PLANS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noncontributory union, non-union and combined retiree defined benefit pension plans covering eligible employees. The combined retiree defined benefit pension plan was created in 2016, to include all union and non-union retirees from the existing plans as of January 1, 2016. The plans provide defined benefits based on years of service and final average pay. We contributed $1.7 million in cash to the plans in 2017 ($6.3 million in 2016; none in 2015). We also contributed approximately 0.2 million shares of ALLETE common stock to the plans in 2017, which had an aggregate value of $13.5 million when contributed (none in 2016; none in 2015). We also have a defined contribution RSOP covering substantially all employees. The 2017 plan year employer contributions, which are made through the employee stock ownership plan portion of the RSOP, totaled $11.0 million ($9.2 million for the 2016 plan year; $9.0 million for the 2015 plan year). (See Note 12. Common Stock and Earnings Per Share and Note 16. Employee Stock and Incentive Plans.)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non-union defined benefit pension plan does not allow further crediting of service to the plan and is closed to new participants. The Minnesota Power union defined benefit pension plan is also closed to new participants.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702"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postretirement health care and life insurance plans covering eligible employees. In 2010, our postretirement health plan was amended to close the plan to employees hired after January 31, 2011. The full eligibility requirement was also amended in 2010, to require employees to be at least age 55 with 10 years of participation in the plan. In 2014, our postretirement life plan was amended to close the plan to non-union employees retiring after December 31, 2015.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2017, no contributions were made to the VEBAs (none in 2016; none in 2015) and no contributions were made to the grantor trusts (none in 2016; none in 2015).</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On January 8, 2018, we contributed $15.0 million in cash to the defined benefit pension plans. We do not expect to make any additional contributions to the defined benefit pension plans in 2018, and we do not expect to make any contributions to the defined benefit postretirement health and life plans in 2018.</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Pension Obligation and Funded Status</w:t>
            </w:r>
          </w:p>
        </w:tc>
        <w:tc>
          <w:tcPr>
            <w:tcW w:w="27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7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$745.4</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$698.8</w:t>
            </w:r>
          </w:p>
        </w:tc>
      </w:tr>
      <w:tr>
        <w:trPr>
          <w:trHeight w:val="237"/>
        </w:trPr>
        <w:tc>
          <w:tcPr>
            <w:tcW w:w="20" w:type="dxa"/>
            <w:vAlign w:val="bottom"/>
          </w:tcPr>
          <w:p>
            <w:pPr>
              <w:spacing w:after="0"/>
              <w:rPr>
                <w:sz w:val="20"/>
                <w:szCs w:val="20"/>
                <w:color w:val="auto"/>
              </w:rPr>
            </w:pPr>
          </w:p>
        </w:tc>
        <w:tc>
          <w:tcPr>
            <w:tcW w:w="7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Change in Benefit Obligation</w:t>
            </w:r>
          </w:p>
        </w:tc>
        <w:tc>
          <w:tcPr>
            <w:tcW w:w="27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Beginning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$743.3</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$709.8</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32.5</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33.2</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Actuarial Loss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44.8</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12.4</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(51.0)</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13.4</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24.3</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End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$793.2</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$743.3</w:t>
            </w:r>
          </w:p>
        </w:tc>
      </w:tr>
      <w:tr>
        <w:trPr>
          <w:trHeight w:val="237"/>
        </w:trPr>
        <w:tc>
          <w:tcPr>
            <w:tcW w:w="20" w:type="dxa"/>
            <w:vAlign w:val="bottom"/>
          </w:tcPr>
          <w:p>
            <w:pPr>
              <w:spacing w:after="0"/>
              <w:rPr>
                <w:sz w:val="20"/>
                <w:szCs w:val="20"/>
                <w:color w:val="auto"/>
              </w:rPr>
            </w:pPr>
          </w:p>
        </w:tc>
        <w:tc>
          <w:tcPr>
            <w:tcW w:w="7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Change in Plan Assets</w:t>
            </w:r>
          </w:p>
        </w:tc>
        <w:tc>
          <w:tcPr>
            <w:tcW w:w="27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Beginning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$557.5</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$521.3</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91.6</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48.8</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6"/>
                <w:szCs w:val="16"/>
                <w:i w:val="1"/>
                <w:iCs w:val="1"/>
                <w:color w:val="auto"/>
              </w:rPr>
              <w:t>(a)</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30.1</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31.9</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700" w:type="dxa"/>
            <w:vAlign w:val="bottom"/>
          </w:tcPr>
          <w:p>
            <w:pPr>
              <w:jc w:val="right"/>
              <w:ind w:right="270"/>
              <w:spacing w:after="0"/>
              <w:rPr>
                <w:sz w:val="20"/>
                <w:szCs w:val="20"/>
                <w:color w:val="auto"/>
              </w:rPr>
            </w:pPr>
            <w:r>
              <w:rPr>
                <w:rFonts w:ascii="Arial" w:cs="Arial" w:eastAsia="Arial" w:hAnsi="Arial"/>
                <w:sz w:val="18"/>
                <w:szCs w:val="18"/>
                <w:color w:val="auto"/>
              </w:rPr>
              <w:t>(51.0)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(44.5)</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End of Year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$628.2</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$557.5</w:t>
            </w:r>
          </w:p>
        </w:tc>
      </w:tr>
      <w:tr>
        <w:trPr>
          <w:trHeight w:val="237"/>
        </w:trPr>
        <w:tc>
          <w:tcPr>
            <w:tcW w:w="20" w:type="dxa"/>
            <w:vAlign w:val="bottom"/>
          </w:tcPr>
          <w:p>
            <w:pPr>
              <w:spacing w:after="0"/>
              <w:rPr>
                <w:sz w:val="20"/>
                <w:szCs w:val="20"/>
                <w:color w:val="auto"/>
              </w:rPr>
            </w:pPr>
          </w:p>
        </w:tc>
        <w:tc>
          <w:tcPr>
            <w:tcW w:w="7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27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$(165.0)</w:t>
            </w: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$(185.8)</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700" w:type="dxa"/>
            <w:vAlign w:val="bottom"/>
          </w:tcPr>
          <w:p>
            <w:pPr>
              <w:jc w:val="right"/>
              <w:ind w:right="270"/>
              <w:spacing w:after="0"/>
              <w:rPr>
                <w:sz w:val="20"/>
                <w:szCs w:val="20"/>
                <w:color w:val="auto"/>
              </w:rPr>
            </w:pPr>
            <w:r>
              <w:rPr>
                <w:rFonts w:ascii="Arial" w:cs="Arial" w:eastAsia="Arial" w:hAnsi="Arial"/>
                <w:sz w:val="18"/>
                <w:szCs w:val="18"/>
                <w:color w:val="auto"/>
              </w:rPr>
              <w:t>$(163.6)</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$(184.4)</w:t>
            </w:r>
          </w:p>
        </w:tc>
      </w:tr>
      <w:tr>
        <w:trPr>
          <w:trHeight w:val="27"/>
        </w:trPr>
        <w:tc>
          <w:tcPr>
            <w:tcW w:w="744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4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Participant Contributions noted above.</w:t>
            </w:r>
          </w:p>
        </w:tc>
        <w:tc>
          <w:tcPr>
            <w:tcW w:w="27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0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702" w:right="2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pension costs that are reported as a component within the Consolidated Balance Sheet, reflected in long-term regulatory assets or liabilities and accumulated other comprehensive income, consist of a net loss of $236.2 million as of December 31, 2017 (net loss of $250.4 million as of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Pension Amounts Recognized in Consolidated Balance Sheet</w:t>
            </w: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1080" w:type="dxa"/>
            <w:vAlign w:val="bottom"/>
          </w:tcPr>
          <w:p>
            <w:pPr>
              <w:spacing w:after="0"/>
              <w:rPr>
                <w:sz w:val="23"/>
                <w:szCs w:val="23"/>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$(236.2)</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$(250.4)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Accumulated Contributions in Excess of Net Periodic Benefit Cost (Prepaid Pension Asset)</w:t>
            </w:r>
          </w:p>
        </w:tc>
        <w:tc>
          <w:tcPr>
            <w:tcW w:w="108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71.2</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Pension Amounts Recognized in Consolidated Balance Sheet</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$(165.0)</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Components of Net Periodic Pension Cost</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3"/>
                <w:szCs w:val="23"/>
                <w:color w:val="auto"/>
              </w:rPr>
            </w:pPr>
          </w:p>
        </w:tc>
      </w:tr>
      <w:tr>
        <w:trPr>
          <w:trHeight w:val="27"/>
        </w:trPr>
        <w:tc>
          <w:tcPr>
            <w:tcW w:w="7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76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$10.2</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$8.1</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32.5</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33.2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21"/>
                <w:szCs w:val="21"/>
                <w:color w:val="auto"/>
              </w:rPr>
            </w:pPr>
          </w:p>
        </w:tc>
      </w:tr>
      <w:tr>
        <w:trPr>
          <w:trHeight w:val="27"/>
        </w:trPr>
        <w:tc>
          <w:tcPr>
            <w:tcW w:w="76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(42.4)</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(43.6)</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Amortization of Loss</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9.9</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9.5</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1"/>
                <w:szCs w:val="21"/>
                <w:color w:val="auto"/>
              </w:rPr>
            </w:pPr>
          </w:p>
        </w:tc>
      </w:tr>
      <w:tr>
        <w:trPr>
          <w:trHeight w:val="27"/>
        </w:trPr>
        <w:tc>
          <w:tcPr>
            <w:tcW w:w="76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7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Net Pension Cost</w:t>
            </w:r>
          </w:p>
        </w:tc>
        <w:tc>
          <w:tcPr>
            <w:tcW w:w="1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$10.2</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$7.2</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$17.4</w:t>
            </w:r>
          </w:p>
        </w:tc>
        <w:tc>
          <w:tcPr>
            <w:tcW w:w="20" w:type="dxa"/>
            <w:vAlign w:val="bottom"/>
            <w:tcBorders>
              <w:top w:val="single" w:sz="8" w:color="auto"/>
            </w:tcBorders>
          </w:tcPr>
          <w:p>
            <w:pPr>
              <w:spacing w:after="0"/>
              <w:rPr>
                <w:sz w:val="20"/>
                <w:szCs w:val="20"/>
                <w:color w:val="auto"/>
              </w:rPr>
            </w:pPr>
          </w:p>
        </w:tc>
      </w:tr>
      <w:tr>
        <w:trPr>
          <w:trHeight w:val="27"/>
        </w:trPr>
        <w:tc>
          <w:tcPr>
            <w:tcW w:w="7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34"/>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Changes in Pension Plan Assets and Benefit Obligations Recognized in</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and Regulatory Assets or Liabilities</w:t>
            </w: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Pr>
          <w:p>
            <w:pPr>
              <w:spacing w:after="0"/>
              <w:rPr>
                <w:sz w:val="23"/>
                <w:szCs w:val="23"/>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3"/>
                <w:szCs w:val="23"/>
                <w:color w:val="auto"/>
              </w:rPr>
            </w:pPr>
          </w:p>
        </w:tc>
      </w:tr>
      <w:tr>
        <w:trPr>
          <w:trHeight w:val="27"/>
        </w:trPr>
        <w:tc>
          <w:tcPr>
            <w:tcW w:w="7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76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Amortization of Loss</w:t>
            </w:r>
          </w:p>
        </w:tc>
        <w:tc>
          <w:tcPr>
            <w:tcW w:w="1080" w:type="dxa"/>
            <w:vAlign w:val="bottom"/>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(9.9)</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r>
      <w:tr>
        <w:trPr>
          <w:trHeight w:val="27"/>
        </w:trPr>
        <w:tc>
          <w:tcPr>
            <w:tcW w:w="7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$(14.2)</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453"/>
        </w:trPr>
        <w:tc>
          <w:tcPr>
            <w:tcW w:w="7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Information for Pension Plans with an Accumulated Benefit Obligation in Excess of Plan Assets</w:t>
            </w:r>
          </w:p>
        </w:tc>
        <w:tc>
          <w:tcPr>
            <w:tcW w:w="10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70"/>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108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3"/>
                <w:szCs w:val="23"/>
                <w:color w:val="auto"/>
              </w:rPr>
            </w:pPr>
          </w:p>
        </w:tc>
      </w:tr>
      <w:tr>
        <w:trPr>
          <w:trHeight w:val="27"/>
        </w:trPr>
        <w:tc>
          <w:tcPr>
            <w:tcW w:w="7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762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76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$793.2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Accumulated Benefit Obligation</w:t>
            </w:r>
          </w:p>
        </w:tc>
        <w:tc>
          <w:tcPr>
            <w:tcW w:w="108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$745.4</w:t>
            </w:r>
          </w:p>
        </w:tc>
        <w:tc>
          <w:tcPr>
            <w:tcW w:w="1200" w:type="dxa"/>
            <w:vAlign w:val="bottom"/>
          </w:tcPr>
          <w:p>
            <w:pPr>
              <w:jc w:val="right"/>
              <w:spacing w:after="0"/>
              <w:rPr>
                <w:sz w:val="20"/>
                <w:szCs w:val="20"/>
                <w:color w:val="auto"/>
              </w:rPr>
            </w:pPr>
            <w:r>
              <w:rPr>
                <w:rFonts w:ascii="Arial" w:cs="Arial" w:eastAsia="Arial" w:hAnsi="Arial"/>
                <w:sz w:val="18"/>
                <w:szCs w:val="18"/>
                <w:color w:val="auto"/>
              </w:rPr>
              <w:t>$698.8</w:t>
            </w:r>
          </w:p>
        </w:tc>
        <w:tc>
          <w:tcPr>
            <w:tcW w:w="20" w:type="dxa"/>
            <w:vAlign w:val="bottom"/>
          </w:tcPr>
          <w:p>
            <w:pPr>
              <w:spacing w:after="0"/>
              <w:rPr>
                <w:sz w:val="21"/>
                <w:szCs w:val="21"/>
                <w:color w:val="auto"/>
              </w:rPr>
            </w:pPr>
          </w:p>
        </w:tc>
      </w:tr>
      <w:tr>
        <w:trPr>
          <w:trHeight w:val="27"/>
        </w:trPr>
        <w:tc>
          <w:tcPr>
            <w:tcW w:w="76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$628.2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7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702"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Obligation, Beginning of Year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$173.4</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$160.2</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4.4</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7.4</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15.5</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(12.2)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End of Year</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$190.1</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$173.4</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18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$154.3</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$153.4</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24.5</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9.6</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(12.2)</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r>
      <w:tr>
        <w:trPr>
          <w:trHeight w:val="237"/>
        </w:trPr>
        <w:tc>
          <w:tcPr>
            <w:tcW w:w="8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Fair Value, End of Year</w:t>
            </w:r>
          </w:p>
        </w:tc>
        <w:tc>
          <w:tcPr>
            <w:tcW w:w="18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$171.0</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$154.3</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End of Year</w:t>
            </w:r>
          </w:p>
        </w:tc>
        <w:tc>
          <w:tcPr>
            <w:tcW w:w="18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$(19.1)</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$(19.1)</w:t>
            </w:r>
          </w:p>
        </w:tc>
      </w:tr>
      <w:tr>
        <w:trPr>
          <w:trHeight w:val="291"/>
        </w:trPr>
        <w:tc>
          <w:tcPr>
            <w:tcW w:w="840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5"/>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Postretirement Health and Life Amounts Recognized in Consolidated Balance Sheet Consist of:</w:t>
            </w:r>
          </w:p>
        </w:tc>
        <w:tc>
          <w:tcPr>
            <w:tcW w:w="18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37"/>
        </w:trPr>
        <w:tc>
          <w:tcPr>
            <w:tcW w:w="8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Non-Current Assets</w:t>
            </w:r>
          </w:p>
        </w:tc>
        <w:tc>
          <w:tcPr>
            <w:tcW w:w="18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$3.0</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8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$(21.0)</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$(19.4)</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$19.2 million in irrevocable grantor trusts included in Other Investments on the Consolidated Balance Sheet as of December 31, 2017 ($17.6 million as of December 31, 2016).</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8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862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$21.1</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Prior Service Credit</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Unrecognized Postretirement Health and Life Cost</w:t>
            </w:r>
          </w:p>
        </w:tc>
        <w:tc>
          <w:tcPr>
            <w:tcW w:w="15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$16.5</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453"/>
        </w:trPr>
        <w:tc>
          <w:tcPr>
            <w:tcW w:w="40" w:type="dxa"/>
            <w:vAlign w:val="bottom"/>
            <w:tcBorders>
              <w:top w:val="single" w:sz="8" w:color="auto"/>
            </w:tcBorders>
          </w:tcPr>
          <w:p>
            <w:pPr>
              <w:spacing w:after="0"/>
              <w:rPr>
                <w:sz w:val="24"/>
                <w:szCs w:val="24"/>
                <w:color w:val="auto"/>
              </w:rPr>
            </w:pPr>
          </w:p>
        </w:tc>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4"/>
              </w:rPr>
              <w:t>Reconciliation of Net Postretirement Health and Life Amounts Recognized in Consolidated Balance Sheet</w:t>
            </w:r>
          </w:p>
        </w:tc>
        <w:tc>
          <w:tcPr>
            <w:tcW w:w="1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6"/>
                <w:szCs w:val="16"/>
                <w:i w:val="1"/>
                <w:iCs w:val="1"/>
                <w:color w:val="auto"/>
              </w:rPr>
              <w:t>(a)</w:t>
            </w:r>
          </w:p>
        </w:tc>
        <w:tc>
          <w:tcPr>
            <w:tcW w:w="15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$(21.1)</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Accumulated Net Periodic Benefit Cost in Excess of Contributions </w:t>
            </w:r>
            <w:r>
              <w:rPr>
                <w:rFonts w:ascii="Arial" w:cs="Arial" w:eastAsia="Arial" w:hAnsi="Arial"/>
                <w:sz w:val="16"/>
                <w:szCs w:val="16"/>
                <w:i w:val="1"/>
                <w:iCs w:val="1"/>
                <w:color w:val="auto"/>
              </w:rPr>
              <w:t>(a)</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Postretirement Health and Life Amounts Recognized in Consolidated Balance Sheet</w:t>
            </w:r>
          </w:p>
        </w:tc>
        <w:tc>
          <w:tcPr>
            <w:tcW w:w="15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$(19.1)</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r>
      <w:tr>
        <w:trPr>
          <w:trHeight w:val="27"/>
        </w:trPr>
        <w:tc>
          <w:tcPr>
            <w:tcW w:w="8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40" w:type="dxa"/>
            <w:vAlign w:val="bottom"/>
          </w:tcPr>
          <w:p>
            <w:pPr>
              <w:spacing w:after="0"/>
              <w:rPr>
                <w:sz w:val="17"/>
                <w:szCs w:val="17"/>
                <w:color w:val="auto"/>
              </w:rPr>
            </w:pPr>
          </w:p>
        </w:tc>
        <w:tc>
          <w:tcPr>
            <w:tcW w:w="85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Excludes gains, losses and contributions associated with irrevocable grantor trusts.</w:t>
            </w:r>
          </w:p>
        </w:tc>
        <w:tc>
          <w:tcPr>
            <w:tcW w:w="15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0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702" w:right="2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Cost</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7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7.7</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7.2</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Postretirement Health and Life Credit</w:t>
            </w:r>
          </w:p>
        </w:tc>
        <w:tc>
          <w:tcPr>
            <w:tcW w:w="12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$(0.1)</w:t>
            </w: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1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w:t>
            </w:r>
          </w:p>
        </w:tc>
      </w:tr>
      <w:tr>
        <w:trPr>
          <w:trHeight w:val="27"/>
        </w:trPr>
        <w:tc>
          <w:tcPr>
            <w:tcW w:w="7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34"/>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Other Changes in Postretirement Benefit Plan Assets and Benefit Obligations</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4"/>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Recognized in Other Comprehensive Income and Regulatory Assets or Liabilities</w:t>
            </w: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7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Prior Service Credit Arising During the Period</w:t>
            </w:r>
          </w:p>
        </w:tc>
        <w:tc>
          <w:tcPr>
            <w:tcW w:w="1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1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7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1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w:t>
            </w:r>
          </w:p>
        </w:tc>
      </w:tr>
      <w:tr>
        <w:trPr>
          <w:trHeight w:val="434"/>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1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Postretirement</w:t>
            </w:r>
          </w:p>
        </w:tc>
      </w:tr>
      <w:tr>
        <w:trPr>
          <w:trHeight w:val="234"/>
        </w:trPr>
        <w:tc>
          <w:tcPr>
            <w:tcW w:w="7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Pension</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7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7380" w:type="dxa"/>
            <w:vAlign w:val="bottom"/>
          </w:tcPr>
          <w:p>
            <w:pPr>
              <w:ind w:left="40"/>
              <w:spacing w:after="0"/>
              <w:rPr>
                <w:sz w:val="20"/>
                <w:szCs w:val="20"/>
                <w:color w:val="auto"/>
              </w:rPr>
            </w:pPr>
            <w:r>
              <w:rPr>
                <w:rFonts w:ascii="Arial" w:cs="Arial" w:eastAsia="Arial" w:hAnsi="Arial"/>
                <w:sz w:val="18"/>
                <w:szCs w:val="18"/>
                <w:color w:val="auto"/>
              </w:rPr>
              <w:t>2018</w:t>
            </w:r>
          </w:p>
        </w:tc>
        <w:tc>
          <w:tcPr>
            <w:tcW w:w="120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$46.3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2020</w:t>
            </w:r>
          </w:p>
        </w:tc>
        <w:tc>
          <w:tcPr>
            <w:tcW w:w="12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$45.9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2022</w:t>
            </w:r>
          </w:p>
        </w:tc>
        <w:tc>
          <w:tcPr>
            <w:tcW w:w="12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$45.8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2023 – 2027</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$228.0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r>
      <w:tr>
        <w:trPr>
          <w:trHeight w:val="20"/>
        </w:trPr>
        <w:tc>
          <w:tcPr>
            <w:tcW w:w="7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or liabilities and accumulated other comprehensive income expected to be recognized as a component of net pension and postretirement benefit costs for the year ending December 31, 2018,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6680" w:type="dxa"/>
            <w:vAlign w:val="bottom"/>
          </w:tcPr>
          <w:p>
            <w:pPr>
              <w:spacing w:after="0"/>
              <w:rPr>
                <w:sz w:val="20"/>
                <w:szCs w:val="20"/>
                <w:color w:val="auto"/>
              </w:rPr>
            </w:pPr>
          </w:p>
        </w:tc>
        <w:tc>
          <w:tcPr>
            <w:tcW w:w="3100" w:type="dxa"/>
            <w:vAlign w:val="bottom"/>
          </w:tcPr>
          <w:p>
            <w:pPr>
              <w:jc w:val="right"/>
              <w:ind w:right="330"/>
              <w:spacing w:after="0"/>
              <w:rPr>
                <w:sz w:val="20"/>
                <w:szCs w:val="20"/>
                <w:color w:val="auto"/>
              </w:rPr>
            </w:pPr>
            <w:r>
              <w:rPr>
                <w:rFonts w:ascii="Arial" w:cs="Arial" w:eastAsia="Arial" w:hAnsi="Arial"/>
                <w:sz w:val="18"/>
                <w:szCs w:val="18"/>
                <w:b w:val="1"/>
                <w:bCs w:val="1"/>
                <w:color w:val="auto"/>
              </w:rPr>
              <w:t>Pension</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66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3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66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 (Credit)</w:t>
            </w:r>
          </w:p>
        </w:tc>
        <w:tc>
          <w:tcPr>
            <w:tcW w:w="3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r>
      <w:tr>
        <w:trPr>
          <w:trHeight w:val="20"/>
        </w:trPr>
        <w:tc>
          <w:tcPr>
            <w:tcW w:w="668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702"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Obligation</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44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Pension</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3.81 - 3.96%</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4.53%</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4.57%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3.70 - 4.10%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3.70 - 4.30%</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5.00 - 6.73%</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5.00 - 7.00%</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2038</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2038</w:t>
            </w:r>
          </w:p>
        </w:tc>
      </w:tr>
      <w:tr>
        <w:trPr>
          <w:trHeight w:val="27"/>
        </w:trPr>
        <w:tc>
          <w:tcPr>
            <w:tcW w:w="7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5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Periodic Benefit Costs</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7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4.53 - 4.57%</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4.72 - 4.73%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4.30 - 4.33%</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14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7.50%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8.00%</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6.00 - 7.50%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6.40 - 8.00%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6.40 - 8.00%</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3.70 - 4.30%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3.70 - 4.30%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3.70 - 4.30%</w:t>
            </w:r>
          </w:p>
        </w:tc>
      </w:tr>
      <w:tr>
        <w:trPr>
          <w:trHeight w:val="20"/>
        </w:trPr>
        <w:tc>
          <w:tcPr>
            <w:tcW w:w="7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utilizes actuarial assumptions about mortality to calculate the pension and postretirement health and life benefit obligations. The mortality assumptions used to calculate our pension and other postretirement benefit obligations as of December 31, 2017, considered a modified RP-2014 mortality table and mortality projection scale.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9"/>
              </w:rPr>
              <w:t>Sensitivity of a One Percent Change in Health Care Trend Rates</w:t>
            </w: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One Percent</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One Percent</w:t>
            </w: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Increase</w:t>
            </w: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Effect on Total of Postretirement Health and Life Service and Interest Cost</w:t>
            </w:r>
          </w:p>
        </w:tc>
        <w:tc>
          <w:tcPr>
            <w:tcW w:w="1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Effect on Postretirement Health and Life Obligation</w:t>
            </w: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$23.4</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($19.3)</w:t>
            </w:r>
          </w:p>
        </w:tc>
      </w:tr>
      <w:tr>
        <w:trPr>
          <w:trHeight w:val="27"/>
        </w:trPr>
        <w:tc>
          <w:tcPr>
            <w:tcW w:w="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2"/>
          </w:tcPr>
          <w:p>
            <w:pPr>
              <w:spacing w:after="0"/>
              <w:rPr>
                <w:sz w:val="2"/>
                <w:szCs w:val="2"/>
                <w:color w:val="auto"/>
              </w:rPr>
            </w:pPr>
          </w:p>
        </w:tc>
      </w:tr>
      <w:tr>
        <w:trPr>
          <w:trHeight w:val="434"/>
        </w:trPr>
        <w:tc>
          <w:tcPr>
            <w:tcW w:w="2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Actual Plan Asset Allocations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Pension</w:t>
            </w:r>
          </w:p>
        </w:tc>
        <w:tc>
          <w:tcPr>
            <w:tcW w:w="1320" w:type="dxa"/>
            <w:vAlign w:val="bottom"/>
          </w:tcPr>
          <w:p>
            <w:pPr>
              <w:spacing w:after="0"/>
              <w:rPr>
                <w:sz w:val="20"/>
                <w:szCs w:val="20"/>
                <w:color w:val="auto"/>
              </w:rPr>
            </w:pPr>
          </w:p>
        </w:tc>
        <w:tc>
          <w:tcPr>
            <w:tcW w:w="32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0"/>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b w:val="1"/>
                <w:bCs w:val="1"/>
                <w:color w:val="auto"/>
                <w:w w:val="94"/>
              </w:rPr>
              <w:t>2017</w:t>
            </w: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6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53%</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60%</w:t>
            </w: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38%</w:t>
            </w: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6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6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r>
        <w:trPr>
          <w:trHeight w:val="27"/>
        </w:trPr>
        <w:tc>
          <w:tcPr>
            <w:tcW w:w="54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1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There were no shares of ALLETE common stock included in pension plan equity securities as of December 31, 2017 (no shares as of December 31, 2016).</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783"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Following are the current targeted allocations as of December 31, 2017:</w:t>
            </w:r>
          </w:p>
        </w:tc>
        <w:tc>
          <w:tcPr>
            <w:tcW w:w="2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Plan Asset Target Allocations</w:t>
            </w:r>
          </w:p>
        </w:tc>
        <w:tc>
          <w:tcPr>
            <w:tcW w:w="272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720" w:type="dxa"/>
            <w:vAlign w:val="bottom"/>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676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r>
        <w:trPr>
          <w:trHeight w:val="27"/>
        </w:trPr>
        <w:tc>
          <w:tcPr>
            <w:tcW w:w="67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27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various U.S. equity securities, public mutual funds, and futures. These instruments are valued using the closing price from the applicable exchange or whose value is quoted and readily traded daily.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This category includes various bonds and non-public funds whose underlying investments may be Level 1 or Level 2 securities.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private equity funds and real estate valued through external appraisal processes. Valuation methodologies incorporate pricing models, discounted cash flow models, and similar techniques which utilize capitalization rates, discount rates, cash flows and other factors.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702"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Fair Value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2017</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$108.6</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51.9</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122.3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222.8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$33.2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$557.1</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$58.7</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line="184" w:lineRule="exact"/>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consist of actively-managed funds managed to achieve the returns of certain U.S. equity securities large</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cap, mid-cap and small-cap indexes.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4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4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$40.6</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440" w:type="dxa"/>
            <w:vAlign w:val="bottom"/>
          </w:tcPr>
          <w:p>
            <w:pPr>
              <w:jc w:val="right"/>
              <w:ind w:right="490"/>
              <w:spacing w:after="0"/>
              <w:rPr>
                <w:sz w:val="20"/>
                <w:szCs w:val="20"/>
                <w:color w:val="auto"/>
              </w:rPr>
            </w:pPr>
            <w:r>
              <w:rPr>
                <w:rFonts w:ascii="Arial" w:cs="Arial" w:eastAsia="Arial" w:hAnsi="Arial"/>
                <w:sz w:val="18"/>
                <w:szCs w:val="18"/>
                <w:color w:val="auto"/>
              </w:rPr>
              <w:t>7.1</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1.7</w:t>
            </w: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4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(14.5)</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4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$33.2</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$25.5</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702"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2016</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$44.8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46.7</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200.1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$40.6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$332.2</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$66.2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mutual funds (Level 1) and actively-managed funds (Level 2), which are combined with futures, and settle daily, to achieve the returns of the U.S. Equity Securities Mid-cap Growth and Small-cap funds. Our exposure with respect to these investments includes both the futures and the underlying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320" w:type="dxa"/>
            <w:vAlign w:val="bottom"/>
          </w:tcPr>
          <w:p>
            <w:pPr>
              <w:spacing w:after="0"/>
              <w:rPr>
                <w:sz w:val="23"/>
                <w:szCs w:val="23"/>
                <w:color w:val="auto"/>
              </w:rPr>
            </w:pPr>
          </w:p>
        </w:tc>
        <w:tc>
          <w:tcPr>
            <w:tcW w:w="28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Private Equity Funds</w:t>
            </w: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w w:val="90"/>
              </w:rPr>
              <w:t>Real Estate</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$43.3</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$28.9</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5.0</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(7.7)</w:t>
            </w:r>
          </w:p>
        </w:tc>
        <w:tc>
          <w:tcPr>
            <w:tcW w:w="1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2016</w:t>
            </w:r>
          </w:p>
        </w:tc>
        <w:tc>
          <w:tcPr>
            <w:tcW w:w="1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$40.6</w:t>
            </w:r>
          </w:p>
        </w:tc>
        <w:tc>
          <w:tcPr>
            <w:tcW w:w="13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$25.6</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Fair Value as of December 31, 2017</w:t>
            </w:r>
          </w:p>
        </w:tc>
        <w:tc>
          <w:tcPr>
            <w:tcW w:w="13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Large-cap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U.S. Mid-cap Growth</w:t>
            </w: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Small-cap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49.8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r>
      <w:tr>
        <w:trPr>
          <w:trHeight w:val="27"/>
        </w:trPr>
        <w:tc>
          <w:tcPr>
            <w:tcW w:w="59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0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702" w:right="2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140" w:type="dxa"/>
            <w:vAlign w:val="bottom"/>
          </w:tcPr>
          <w:p>
            <w:pPr>
              <w:spacing w:after="0"/>
              <w:rPr>
                <w:sz w:val="20"/>
                <w:szCs w:val="20"/>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140" w:type="dxa"/>
            <w:vAlign w:val="bottom"/>
          </w:tcPr>
          <w:p>
            <w:pPr>
              <w:jc w:val="right"/>
              <w:ind w:right="3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1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140" w:type="dxa"/>
            <w:vAlign w:val="bottom"/>
          </w:tcPr>
          <w:p>
            <w:pPr>
              <w:jc w:val="right"/>
              <w:ind w:right="250"/>
              <w:spacing w:after="0"/>
              <w:rPr>
                <w:sz w:val="20"/>
                <w:szCs w:val="20"/>
                <w:color w:val="auto"/>
              </w:rPr>
            </w:pPr>
            <w:r>
              <w:rPr>
                <w:rFonts w:ascii="Arial" w:cs="Arial" w:eastAsia="Arial" w:hAnsi="Arial"/>
                <w:sz w:val="18"/>
                <w:szCs w:val="18"/>
                <w:color w:val="auto"/>
              </w:rPr>
              <w:t>2.6</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5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5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$8.2</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2016</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Large-cap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U.S. Mid-cap Growth</w:t>
            </w: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Small-cap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27.9</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48.6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w:t>
            </w:r>
          </w:p>
        </w:tc>
      </w:tr>
      <w:tr>
        <w:trPr>
          <w:trHeight w:val="27"/>
        </w:trPr>
        <w:tc>
          <w:tcPr>
            <w:tcW w:w="59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442"/>
        </w:trPr>
        <w:tc>
          <w:tcPr>
            <w:tcW w:w="2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$12.0</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2016</w:t>
            </w:r>
          </w:p>
        </w:tc>
        <w:tc>
          <w:tcPr>
            <w:tcW w:w="1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702"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NOTE 16. EMPLOYEE STOCK AND INCENTIVE PLANS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Employee Stock Ownership Plan. </w:t>
      </w:r>
      <w:r>
        <w:rPr>
          <w:rFonts w:ascii="Arial" w:cs="Arial" w:eastAsia="Arial" w:hAnsi="Arial"/>
          <w:sz w:val="17"/>
          <w:szCs w:val="17"/>
          <w:color w:val="auto"/>
        </w:rPr>
        <w:t>We sponsor an ESOP within the RSOP. Eligible employees may contribute to the RSOP plan as of their date of hire. In</w:t>
      </w:r>
      <w:r>
        <w:rPr>
          <w:rFonts w:ascii="Arial" w:cs="Arial" w:eastAsia="Arial" w:hAnsi="Arial"/>
          <w:sz w:val="17"/>
          <w:szCs w:val="17"/>
          <w:b w:val="1"/>
          <w:bCs w:val="1"/>
          <w:color w:val="auto"/>
        </w:rPr>
        <w:t xml:space="preserve"> </w:t>
      </w:r>
      <w:r>
        <w:rPr>
          <w:rFonts w:ascii="Arial" w:cs="Arial" w:eastAsia="Arial" w:hAnsi="Arial"/>
          <w:sz w:val="17"/>
          <w:szCs w:val="17"/>
          <w:color w:val="auto"/>
        </w:rPr>
        <w:t>1990, the ESOP issued a $75.0 million note to use as consideration for 2.8 million shares (1.9 million shares adjusted for stock splits) of our common stock. The note matured in December 2015. The ESOP shares were initially pledged as collateral for the debt. As the debt was repaid, shares were released from collateral and allocated to participants based on the proportion of debt service paid in the year. As shares were released from collateral, we reported compensation expense equal to the current market price of the shares less dividends on allocated shares. The dividends received by the ESOP are distributed to participants. Dividends on allocated ESOP shares are recorded as a reduction of retained earnings. Future ESOP employer allocations will be funded with contributions paid in either cash or the issuance of ALLETE common stock at the Company’s discretion. ESOP compensation expense was $11.0 million in 2017 ($9.2 million in 2016; $9.0 million in 2015).</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ESOP shares are included in earnings per share computations after they are allocated to participants.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3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w:t>
            </w:r>
          </w:p>
        </w:tc>
        <w:tc>
          <w:tcPr>
            <w:tcW w:w="3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Allocated</w:t>
            </w:r>
          </w:p>
        </w:tc>
        <w:tc>
          <w:tcPr>
            <w:tcW w:w="3760" w:type="dxa"/>
            <w:vAlign w:val="bottom"/>
          </w:tcPr>
          <w:p>
            <w:pPr>
              <w:jc w:val="right"/>
              <w:ind w:right="410"/>
              <w:spacing w:after="0"/>
              <w:rPr>
                <w:sz w:val="20"/>
                <w:szCs w:val="20"/>
                <w:color w:val="auto"/>
              </w:rPr>
            </w:pPr>
            <w:r>
              <w:rPr>
                <w:rFonts w:ascii="Arial" w:cs="Arial" w:eastAsia="Arial" w:hAnsi="Arial"/>
                <w:sz w:val="18"/>
                <w:szCs w:val="18"/>
                <w:color w:val="auto"/>
              </w:rPr>
              <w:t>1.4</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w:t>
            </w:r>
          </w:p>
        </w:tc>
        <w:tc>
          <w:tcPr>
            <w:tcW w:w="37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1.4</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1.6</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3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Unallocated Shares</w:t>
            </w:r>
          </w:p>
        </w:tc>
        <w:tc>
          <w:tcPr>
            <w:tcW w:w="37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i w:val="1"/>
          <w:iCs w:val="1"/>
          <w:color w:val="auto"/>
        </w:rPr>
        <w:t>Stock Incentive Plan.</w:t>
      </w:r>
      <w:r>
        <w:rPr>
          <w:rFonts w:ascii="Arial" w:cs="Arial" w:eastAsia="Arial" w:hAnsi="Arial"/>
          <w:sz w:val="17"/>
          <w:szCs w:val="17"/>
          <w:b w:val="1"/>
          <w:bCs w:val="1"/>
          <w:color w:val="auto"/>
        </w:rPr>
        <w:t xml:space="preserve"> </w:t>
      </w:r>
      <w:r>
        <w:rPr>
          <w:rFonts w:ascii="Arial" w:cs="Arial" w:eastAsia="Arial" w:hAnsi="Arial"/>
          <w:sz w:val="17"/>
          <w:szCs w:val="17"/>
          <w:color w:val="auto"/>
        </w:rPr>
        <w:t>Under our Executive Long-Term Incentive Compensation Plan (Executive Plan), share-based awards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issued to key employees through a broad range of methods, including non-qualified and incentive stock options, performance shares, performance units, restricted stock, restricted stock units, stock appreciation rights and other awards. There are 1.0 million shares of ALLETE common stock reserved for issuance under the Executive Plan, of which 0.8 million of these shares remain available for issuance as of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share-based awards were outstanding in 2017, 2016 or 2015:</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These options allow for the purchase of shares of common stock at a price equal to the market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eligible for retirement. Stock options have not been granted since 2008 and none were outstanding as of December 31, 2017.</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702"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1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plan, the number of shares earned is contingent upon attaining specific market goals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performance period. Market goals are measured by total shareholder return relative to a group of peer companies.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units plan, shares for participants eligible for retirement vest monthly over a three-year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19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Because the discount is not greater than 5 percent, we are not required to apply fair value accounting to these awards.</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$2.1</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$3.1</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share-based compensation costs during the years ended December 31, 2017, 2016 or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total unrecognized compensation cost for the performance share awards and restricted stock units not yet recognized in our Consolidated Statement of Income was $2.4 million and $1.0 million, respectively. These amounts are expected to be recognized over a weighted-average period of 1.7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702"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The following table presents information regarding our outstanding stock options.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08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08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4,357</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$40.29</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39,654</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$44.39</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66,279</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(4,357)</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$40.29</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(35,297)</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$44.89</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(24,456)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$44.52</w:t>
            </w:r>
          </w:p>
        </w:tc>
      </w:tr>
      <w:tr>
        <w:trPr>
          <w:trHeight w:val="27"/>
        </w:trPr>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(2,169)</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w:t>
            </w:r>
          </w:p>
        </w:tc>
        <w:tc>
          <w:tcPr>
            <w:tcW w:w="16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4,357</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$40.29</w:t>
            </w: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39,654</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$44.39</w:t>
            </w:r>
          </w:p>
        </w:tc>
      </w:tr>
      <w:tr>
        <w:trPr>
          <w:trHeight w:val="27"/>
        </w:trPr>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December 31</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4,357</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$40.29</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39,654</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w:t>
            </w:r>
          </w:p>
        </w:tc>
      </w:tr>
      <w:tr>
        <w:trPr>
          <w:trHeight w:val="20"/>
        </w:trPr>
        <w:tc>
          <w:tcPr>
            <w:tcW w:w="3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non-qualified stock options exercised was $0.3 million in 2017. The intrinsic value of a stock award is the amount by which the fair value of the underlying stock exceeds the exercise price of the award. The total intrinsic value of options exercised was $0.1 million during 2017 ($0.5 million in 2016; $0.2 million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January 1</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127,580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$52.56</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119,540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$52.72</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119,635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w:t>
            </w: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50,729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$62.90</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57,189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$52.43</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43,583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$58.95</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Unearned Grant Award</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(40,801)</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$46.27</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(42,126)</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$52.70</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(36,670)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$45.41</w:t>
            </w: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(9,610)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$58.29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(7,023)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$53.45</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(7,008)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$53.49</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127,898</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$58.23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127,580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$52.56</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119,540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$52.72</w:t>
            </w:r>
          </w:p>
        </w:tc>
      </w:tr>
      <w:tr>
        <w:trPr>
          <w:trHeight w:val="224"/>
        </w:trPr>
        <w:tc>
          <w:tcPr>
            <w:tcW w:w="20" w:type="dxa"/>
            <w:vAlign w:val="bottom"/>
          </w:tcPr>
          <w:p>
            <w:pPr>
              <w:spacing w:after="0"/>
              <w:rPr>
                <w:sz w:val="19"/>
                <w:szCs w:val="19"/>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Shares granted include accrued dividends</w:t>
            </w:r>
            <w:r>
              <w:rPr>
                <w:rFonts w:ascii="Arial" w:cs="Arial" w:eastAsia="Arial" w:hAnsi="Arial"/>
                <w:sz w:val="18"/>
                <w:szCs w:val="18"/>
                <w:i w:val="1"/>
                <w:iCs w:val="1"/>
                <w:color w:val="auto"/>
              </w:rPr>
              <w:t>.</w:t>
            </w:r>
          </w:p>
        </w:tc>
        <w:tc>
          <w:tcPr>
            <w:tcW w:w="15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35,894 performance shares granted in January 2018 for the three-year performance period ending in 2020. The ultimate issuance is contingent upon the attainment of certain goals of ALLETE during the performance periods. The grant date fair value of the performance shares granted was $2.9 million. There were 58,293 performance shares awarded in February 2018. The grant date fair value of the shares awarded was $3.5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702"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30"/>
              <w:spacing w:after="0"/>
              <w:rPr>
                <w:sz w:val="20"/>
                <w:szCs w:val="20"/>
                <w:color w:val="auto"/>
              </w:rPr>
            </w:pPr>
            <w:r>
              <w:rPr>
                <w:rFonts w:ascii="Arial" w:cs="Arial" w:eastAsia="Arial" w:hAnsi="Arial"/>
                <w:sz w:val="18"/>
                <w:szCs w:val="18"/>
                <w:b w:val="1"/>
                <w:bCs w:val="1"/>
                <w:color w:val="auto"/>
                <w:w w:val="94"/>
              </w:rPr>
              <w:t>2017</w:t>
            </w:r>
          </w:p>
        </w:tc>
        <w:tc>
          <w:tcPr>
            <w:tcW w:w="1040" w:type="dxa"/>
            <w:vAlign w:val="bottom"/>
          </w:tcPr>
          <w:p>
            <w:pPr>
              <w:spacing w:after="0"/>
              <w:rPr>
                <w:sz w:val="20"/>
                <w:szCs w:val="20"/>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b w:val="1"/>
                <w:bCs w:val="1"/>
                <w:color w:val="auto"/>
                <w:w w:val="94"/>
              </w:rPr>
              <w:t>2016</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$51.79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57,694</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53,888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$44.47</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21,241</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$62.20</w:t>
            </w:r>
          </w:p>
        </w:tc>
        <w:tc>
          <w:tcPr>
            <w:tcW w:w="1040" w:type="dxa"/>
            <w:vAlign w:val="bottom"/>
          </w:tcPr>
          <w:p>
            <w:pPr>
              <w:jc w:val="right"/>
              <w:spacing w:after="0"/>
              <w:rPr>
                <w:sz w:val="20"/>
                <w:szCs w:val="20"/>
                <w:color w:val="auto"/>
              </w:rPr>
            </w:pPr>
            <w:r>
              <w:rPr>
                <w:rFonts w:ascii="Arial" w:cs="Arial" w:eastAsia="Arial" w:hAnsi="Arial"/>
                <w:sz w:val="18"/>
                <w:szCs w:val="18"/>
                <w:color w:val="auto"/>
              </w:rPr>
              <w:t>20,351</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$50.25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26,702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$54.81</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$49.72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$41.44</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(3,440)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$56.00</w:t>
            </w:r>
          </w:p>
        </w:tc>
        <w:tc>
          <w:tcPr>
            <w:tcW w:w="1040" w:type="dxa"/>
            <w:vAlign w:val="bottom"/>
          </w:tcPr>
          <w:p>
            <w:pPr>
              <w:jc w:val="right"/>
              <w:spacing w:after="0"/>
              <w:rPr>
                <w:sz w:val="20"/>
                <w:szCs w:val="20"/>
                <w:color w:val="auto"/>
              </w:rPr>
            </w:pPr>
            <w:r>
              <w:rPr>
                <w:rFonts w:ascii="Arial" w:cs="Arial" w:eastAsia="Arial" w:hAnsi="Arial"/>
                <w:sz w:val="18"/>
                <w:szCs w:val="18"/>
                <w:color w:val="auto"/>
              </w:rPr>
              <w:t>(3,656)</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$52.87</w:t>
            </w:r>
          </w:p>
        </w:tc>
        <w:tc>
          <w:tcPr>
            <w:tcW w:w="1040" w:type="dxa"/>
            <w:vAlign w:val="bottom"/>
          </w:tcPr>
          <w:p>
            <w:pPr>
              <w:jc w:val="right"/>
              <w:spacing w:after="0"/>
              <w:rPr>
                <w:sz w:val="20"/>
                <w:szCs w:val="20"/>
                <w:color w:val="auto"/>
              </w:rPr>
            </w:pPr>
            <w:r>
              <w:rPr>
                <w:rFonts w:ascii="Arial" w:cs="Arial" w:eastAsia="Arial" w:hAnsi="Arial"/>
                <w:sz w:val="18"/>
                <w:szCs w:val="18"/>
                <w:color w:val="auto"/>
              </w:rPr>
              <w:t>(3,432)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$51.52</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55,248</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$56.18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57,694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$49.86</w:t>
            </w:r>
          </w:p>
        </w:tc>
      </w:tr>
      <w:tr>
        <w:trPr>
          <w:trHeight w:val="200"/>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Shares granted include accrued dividends.</w:t>
            </w:r>
          </w:p>
        </w:tc>
        <w:tc>
          <w:tcPr>
            <w:tcW w:w="10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14,569 restricted stock units granted in January 2018 for the vesting period ending in 2020. The grant date fair value of the restricted stock units granted was $1.1 million. There were 12,766 restricted stock units awarded in February 2018. The grant date fair value of the shares awarded was $0.7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BUSINESS SEGMENTS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702"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NOTE 17. BUSINESS SEGMENTS (Continued)</w:t>
            </w:r>
          </w:p>
        </w:tc>
        <w:tc>
          <w:tcPr>
            <w:tcW w:w="2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57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$1,063.8</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$1,000.7</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$991.2</w:t>
            </w: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80.5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80.5</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262.1</w:t>
            </w: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151.8</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137.5</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119.8</w:t>
            </w: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123.2</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121.0</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113.3</w:t>
            </w:r>
          </w:p>
        </w:tc>
      </w:tr>
      <w:tr>
        <w:trPr>
          <w:trHeight w:val="27"/>
        </w:trPr>
        <w:tc>
          <w:tcPr>
            <w:tcW w:w="57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$1,419.3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$1,339.7</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$1,486.4</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Net Income (Loss) Attributable to ALLETE </w:t>
            </w:r>
            <w:r>
              <w:rPr>
                <w:rFonts w:ascii="Arial" w:cs="Arial" w:eastAsia="Arial" w:hAnsi="Arial"/>
                <w:sz w:val="16"/>
                <w:szCs w:val="16"/>
                <w:i w:val="1"/>
                <w:iCs w:val="1"/>
                <w:color w:val="auto"/>
              </w:rPr>
              <w:t>(b)(c)</w:t>
            </w:r>
          </w:p>
        </w:tc>
        <w:tc>
          <w:tcPr>
            <w:tcW w:w="29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$128.4</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$135.5</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$131.6</w:t>
            </w:r>
          </w:p>
        </w:tc>
      </w:tr>
      <w:tr>
        <w:trPr>
          <w:trHeight w:val="270"/>
        </w:trPr>
        <w:tc>
          <w:tcPr>
            <w:tcW w:w="57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41.5</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13.4</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29.9</w:t>
            </w: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10.7</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70"/>
        </w:trPr>
        <w:tc>
          <w:tcPr>
            <w:tcW w:w="57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(8.4)</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4.9</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r>
      <w:tr>
        <w:trPr>
          <w:trHeight w:val="237"/>
        </w:trPr>
        <w:tc>
          <w:tcPr>
            <w:tcW w:w="570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2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$172.2</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$155.3</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$141.1</w:t>
            </w:r>
          </w:p>
        </w:tc>
      </w:tr>
      <w:tr>
        <w:trPr>
          <w:trHeight w:val="27"/>
        </w:trPr>
        <w:tc>
          <w:tcPr>
            <w:tcW w:w="57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$132.6</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$154.3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$135.1</w:t>
            </w: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23.4</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9.8</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8.9</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7.3</w:t>
            </w: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11.7</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8.9</w:t>
            </w:r>
          </w:p>
        </w:tc>
      </w:tr>
      <w:tr>
        <w:trPr>
          <w:trHeight w:val="27"/>
        </w:trPr>
        <w:tc>
          <w:tcPr>
            <w:tcW w:w="57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Depreciation and Amortization</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$177.5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$195.8</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$170.0</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Operating Expenses – Other </w:t>
            </w:r>
            <w:r>
              <w:rPr>
                <w:rFonts w:ascii="Arial" w:cs="Arial" w:eastAsia="Arial" w:hAnsi="Arial"/>
                <w:sz w:val="16"/>
                <w:szCs w:val="16"/>
                <w:i w:val="1"/>
                <w:iCs w:val="1"/>
                <w:color w:val="auto"/>
              </w:rPr>
              <w:t>(d)</w:t>
            </w:r>
          </w:p>
        </w:tc>
        <w:tc>
          <w:tcPr>
            <w:tcW w:w="29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960" w:type="dxa"/>
            <w:vAlign w:val="bottom"/>
          </w:tcPr>
          <w:p>
            <w:pPr>
              <w:jc w:val="right"/>
              <w:ind w:right="410"/>
              <w:spacing w:after="0"/>
              <w:rPr>
                <w:sz w:val="20"/>
                <w:szCs w:val="20"/>
                <w:color w:val="auto"/>
              </w:rPr>
            </w:pPr>
            <w:r>
              <w:rPr>
                <w:rFonts w:ascii="Arial" w:cs="Arial" w:eastAsia="Arial" w:hAnsi="Arial"/>
                <w:sz w:val="18"/>
                <w:szCs w:val="18"/>
                <w:color w:val="auto"/>
              </w:rPr>
              <w:t>$(0.7)</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(13.6)</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$36.3</w:t>
            </w:r>
          </w:p>
        </w:tc>
      </w:tr>
      <w:tr>
        <w:trPr>
          <w:trHeight w:val="27"/>
        </w:trPr>
        <w:tc>
          <w:tcPr>
            <w:tcW w:w="57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Expenses – Other</w:t>
            </w:r>
          </w:p>
        </w:tc>
        <w:tc>
          <w:tcPr>
            <w:tcW w:w="29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$(0.7)</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$(10.3)</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$36.3</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6"/>
                <w:szCs w:val="16"/>
                <w:i w:val="1"/>
                <w:iCs w:val="1"/>
                <w:color w:val="auto"/>
              </w:rPr>
              <w:t>(c)</w:t>
            </w:r>
          </w:p>
        </w:tc>
        <w:tc>
          <w:tcPr>
            <w:tcW w:w="29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$57.0</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$52.1</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w:t>
            </w:r>
          </w:p>
        </w:tc>
      </w:tr>
      <w:tr>
        <w:trPr>
          <w:trHeight w:val="270"/>
        </w:trPr>
        <w:tc>
          <w:tcPr>
            <w:tcW w:w="57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5.8</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3.3</w:t>
            </w:r>
          </w:p>
        </w:tc>
      </w:tr>
      <w:tr>
        <w:trPr>
          <w:trHeight w:val="27"/>
        </w:trPr>
        <w:tc>
          <w:tcPr>
            <w:tcW w:w="5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70"/>
        </w:trPr>
        <w:tc>
          <w:tcPr>
            <w:tcW w:w="57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14.5</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r>
      <w:tr>
        <w:trPr>
          <w:trHeight w:val="270"/>
        </w:trPr>
        <w:tc>
          <w:tcPr>
            <w:tcW w:w="57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Eliminations</w:t>
            </w:r>
          </w:p>
        </w:tc>
        <w:tc>
          <w:tcPr>
            <w:tcW w:w="2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(5.3)</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37"/>
        </w:trPr>
        <w:tc>
          <w:tcPr>
            <w:tcW w:w="570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Interest Expense</w:t>
            </w:r>
          </w:p>
        </w:tc>
        <w:tc>
          <w:tcPr>
            <w:tcW w:w="29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$67.8</w:t>
            </w: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$70.3</w:t>
            </w: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$64.9</w:t>
            </w:r>
          </w:p>
        </w:tc>
      </w:tr>
      <w:tr>
        <w:trPr>
          <w:trHeight w:val="27"/>
        </w:trPr>
        <w:tc>
          <w:tcPr>
            <w:tcW w:w="57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Earnings in ATC</w:t>
            </w:r>
          </w:p>
        </w:tc>
        <w:tc>
          <w:tcPr>
            <w:tcW w:w="2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960" w:type="dxa"/>
            <w:vAlign w:val="bottom"/>
          </w:tcPr>
          <w:p>
            <w:pPr>
              <w:jc w:val="right"/>
              <w:ind w:right="290"/>
              <w:spacing w:after="0"/>
              <w:rPr>
                <w:sz w:val="20"/>
                <w:szCs w:val="20"/>
                <w:color w:val="auto"/>
              </w:rPr>
            </w:pPr>
            <w:r>
              <w:rPr>
                <w:rFonts w:ascii="Arial" w:cs="Arial" w:eastAsia="Arial" w:hAnsi="Arial"/>
                <w:sz w:val="18"/>
                <w:szCs w:val="18"/>
                <w:color w:val="auto"/>
              </w:rPr>
              <w:t>$22.5</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$18.5</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12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construction and sale of a wind energy facility by ALLETE Clean Energy to Montana-Dakota Utilities for $197.7 million in 2015.</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2017 included a favorable impact of $13.0 million after-tax due to the remeasurement of deferred income tax assets and liabilities resulting from the TCJA, which consisted of a $23.6 million after-tax benefit for ALLETE Clean Energy, a $9.2 million after-tax benefit for U.S. Water Services and a $19.8 million after-tax expense for Corporate and Other. The TCJA did not have an impact on net income for our Regulated Operations as the remeasurement of deferred income tax assets and liabilities primarily resulted in the recording of regulatory assets and liabilities. (See Note 1. Operations and Significant Accounting Policies, and Note 4. Regulatory Matters.)</w:t>
      </w:r>
    </w:p>
    <w:p>
      <w:pPr>
        <w:spacing w:after="0" w:line="2" w:lineRule="exact"/>
        <w:rPr>
          <w:rFonts w:ascii="Arial" w:cs="Arial" w:eastAsia="Arial" w:hAnsi="Arial"/>
          <w:sz w:val="16"/>
          <w:szCs w:val="16"/>
          <w:i w:val="1"/>
          <w:iCs w:val="1"/>
          <w:color w:val="auto"/>
        </w:rPr>
      </w:pPr>
    </w:p>
    <w:p>
      <w:pPr>
        <w:ind w:left="340" w:hanging="332"/>
        <w:spacing w:after="0"/>
        <w:tabs>
          <w:tab w:leader="none" w:pos="3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interest expense resulting from intercompany loan agreements and allocated to certain subsidiaries. The amounts are eliminated in consolidation.</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w:t>
      </w:r>
    </w:p>
    <w:p>
      <w:pPr>
        <w:sectPr>
          <w:pgSz w:w="11900" w:h="16838" w:orient="portrait"/>
          <w:cols w:equalWidth="0" w:num="1">
            <w:col w:w="11420"/>
          </w:cols>
          <w:pgMar w:left="240" w:top="702" w:right="239" w:bottom="355"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2017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702" w:right="239" w:bottom="355"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NOTE 17. BUSINESS SEGMENTS (Continued)</w:t>
            </w:r>
          </w:p>
        </w:tc>
        <w:tc>
          <w:tcPr>
            <w:tcW w:w="3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7"/>
        </w:trPr>
        <w:tc>
          <w:tcPr>
            <w:tcW w:w="58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Income Tax Expense (Benefit) </w:t>
            </w:r>
            <w:r>
              <w:rPr>
                <w:rFonts w:ascii="Arial" w:cs="Arial" w:eastAsia="Arial" w:hAnsi="Arial"/>
                <w:sz w:val="16"/>
                <w:szCs w:val="16"/>
                <w:i w:val="1"/>
                <w:iCs w:val="1"/>
                <w:color w:val="auto"/>
              </w:rPr>
              <w:t>(a)</w:t>
            </w:r>
          </w:p>
        </w:tc>
        <w:tc>
          <w:tcPr>
            <w:tcW w:w="3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(b)</w:t>
            </w:r>
          </w:p>
        </w:tc>
        <w:tc>
          <w:tcPr>
            <w:tcW w:w="3100" w:type="dxa"/>
            <w:vAlign w:val="bottom"/>
          </w:tcPr>
          <w:p>
            <w:pPr>
              <w:jc w:val="right"/>
              <w:ind w:right="470"/>
              <w:spacing w:after="0"/>
              <w:rPr>
                <w:sz w:val="20"/>
                <w:szCs w:val="20"/>
                <w:color w:val="auto"/>
              </w:rPr>
            </w:pPr>
            <w:r>
              <w:rPr>
                <w:rFonts w:ascii="Arial" w:cs="Arial" w:eastAsia="Arial" w:hAnsi="Arial"/>
                <w:sz w:val="18"/>
                <w:szCs w:val="18"/>
                <w:color w:val="auto"/>
              </w:rPr>
              <w:t>$27.2</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$24.4</w:t>
            </w:r>
          </w:p>
        </w:tc>
      </w:tr>
      <w:tr>
        <w:trPr>
          <w:trHeight w:val="27"/>
        </w:trPr>
        <w:tc>
          <w:tcPr>
            <w:tcW w:w="58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86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1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(14.2)</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8.1</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100" w:type="dxa"/>
            <w:vAlign w:val="bottom"/>
          </w:tcPr>
          <w:p>
            <w:pPr>
              <w:jc w:val="right"/>
              <w:ind w:right="410"/>
              <w:spacing w:after="0"/>
              <w:rPr>
                <w:sz w:val="20"/>
                <w:szCs w:val="20"/>
                <w:color w:val="auto"/>
              </w:rPr>
            </w:pPr>
            <w:r>
              <w:rPr>
                <w:rFonts w:ascii="Arial" w:cs="Arial" w:eastAsia="Arial" w:hAnsi="Arial"/>
                <w:sz w:val="18"/>
                <w:szCs w:val="18"/>
                <w:color w:val="auto"/>
              </w:rPr>
              <w:t>(7.8)</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58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86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3100" w:type="dxa"/>
            <w:vAlign w:val="bottom"/>
          </w:tcPr>
          <w:p>
            <w:pPr>
              <w:jc w:val="right"/>
              <w:ind w:right="470"/>
              <w:spacing w:after="0"/>
              <w:rPr>
                <w:sz w:val="20"/>
                <w:szCs w:val="20"/>
                <w:color w:val="auto"/>
              </w:rPr>
            </w:pPr>
            <w:r>
              <w:rPr>
                <w:rFonts w:ascii="Arial" w:cs="Arial" w:eastAsia="Arial" w:hAnsi="Arial"/>
                <w:sz w:val="18"/>
                <w:szCs w:val="18"/>
                <w:color w:val="auto"/>
              </w:rPr>
              <w:t>9.5</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4.4</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(21.0)</w:t>
            </w:r>
          </w:p>
        </w:tc>
      </w:tr>
      <w:tr>
        <w:trPr>
          <w:trHeight w:val="27"/>
        </w:trPr>
        <w:tc>
          <w:tcPr>
            <w:tcW w:w="58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Income Tax Expense</w:t>
            </w:r>
          </w:p>
        </w:tc>
        <w:tc>
          <w:tcPr>
            <w:tcW w:w="3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$19.8</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$25.3</w:t>
            </w:r>
          </w:p>
        </w:tc>
      </w:tr>
      <w:tr>
        <w:trPr>
          <w:trHeight w:val="20"/>
        </w:trPr>
        <w:tc>
          <w:tcPr>
            <w:tcW w:w="586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jc w:val="both"/>
        <w:ind w:left="340" w:hanging="332"/>
        <w:spacing w:after="0" w:line="247" w:lineRule="auto"/>
        <w:tabs>
          <w:tab w:leader="none" w:pos="34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Income tax expense in 2017 included an income tax benefit of $13.0 million due to the remeasurement of deferred income tax assets and liabilities resulting from the TCJA, which consisted of income tax benefits of $23.6 million for ALLETE Clean Energy and $9.2 million for U.S. Water Services as well as additional income tax expense of $19.8 million for Corporate and Other. The TCJA did not have an impact on income tax expense for our Regulated Operations as the remeasurement of deferred income tax assets and liabilities primarily resulted in the recording of regulatory assets and liabilities. (See Note 1. Operations and Significant Accounting Policies, and Note 4. Regulatory Matters.)</w:t>
      </w:r>
    </w:p>
    <w:p>
      <w:pPr>
        <w:spacing w:after="0" w:line="2" w:lineRule="exact"/>
        <w:rPr>
          <w:rFonts w:ascii="Arial" w:cs="Arial" w:eastAsia="Arial" w:hAnsi="Arial"/>
          <w:sz w:val="16"/>
          <w:szCs w:val="16"/>
          <w:i w:val="1"/>
          <w:iCs w:val="1"/>
          <w:color w:val="auto"/>
        </w:rPr>
      </w:pPr>
    </w:p>
    <w:p>
      <w:pPr>
        <w:jc w:val="both"/>
        <w:ind w:left="340" w:hanging="332"/>
        <w:spacing w:after="0" w:line="268" w:lineRule="auto"/>
        <w:tabs>
          <w:tab w:leader="none" w:pos="340" w:val="left"/>
        </w:tabs>
        <w:numPr>
          <w:ilvl w:val="0"/>
          <w:numId w:val="53"/>
        </w:numPr>
        <w:rPr>
          <w:rFonts w:ascii="Arial" w:cs="Arial" w:eastAsia="Arial" w:hAnsi="Arial"/>
          <w:sz w:val="15"/>
          <w:szCs w:val="15"/>
          <w:i w:val="1"/>
          <w:iCs w:val="1"/>
          <w:color w:val="auto"/>
        </w:rPr>
      </w:pPr>
      <w:r>
        <w:rPr>
          <w:rFonts w:ascii="Arial" w:cs="Arial" w:eastAsia="Arial" w:hAnsi="Arial"/>
          <w:sz w:val="15"/>
          <w:szCs w:val="15"/>
          <w:i w:val="1"/>
          <w:iCs w:val="1"/>
          <w:color w:val="auto"/>
        </w:rPr>
        <w:t>In 2017, Regulated Operations includes $14.0 million of income tax expense related to North Dakota investment tax credits transferred to Corporate and Other and higher pre-tax income for the favorable impact for the regulatory outcome of the MPUC’s modification of its November 2016 order on the allocation of North Dakota investment tax credits. There was no impact to net income for Regulated Operations. Corporate and Other recorded an offsetting income tax benefit of $7.9 million in 2017. In 2016, Regulated Operations includes $15.0 million of income tax benefit for North Dakota investment tax credits transferred from Corporate and Other and lower pre-tax income related to the adverse impact for the regulatory outcome of the November 2016 MPUC order. There was no impact to net income for Regulated Operations. Corporate and Other recorded an offsetting income tax expense of $8.8 million in 2016. (See Note 4. Regulatory Matters.)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4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(a)</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$3,886.6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$3,823.9</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2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2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600.5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566.0</w:t>
            </w: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U.S. Water Services</w:t>
            </w: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292.4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300.5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222.9</w:t>
            </w: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6"/>
                <w:szCs w:val="16"/>
                <w:i w:val="1"/>
                <w:iCs w:val="1"/>
                <w:color w:val="auto"/>
              </w:rPr>
              <w:t>(a)</w:t>
            </w:r>
          </w:p>
        </w:tc>
        <w:tc>
          <w:tcPr>
            <w:tcW w:w="2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$5,080.0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$4,876.9</w:t>
            </w:r>
          </w:p>
        </w:tc>
      </w:tr>
      <w:tr>
        <w:trPr>
          <w:trHeight w:val="237"/>
        </w:trPr>
        <w:tc>
          <w:tcPr>
            <w:tcW w:w="20" w:type="dxa"/>
            <w:vAlign w:val="bottom"/>
          </w:tcPr>
          <w:p>
            <w:pPr>
              <w:spacing w:after="0"/>
              <w:rPr>
                <w:sz w:val="20"/>
                <w:szCs w:val="20"/>
                <w:color w:val="auto"/>
              </w:rPr>
            </w:pPr>
          </w:p>
        </w:tc>
        <w:tc>
          <w:tcPr>
            <w:tcW w:w="79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Regulated Operations</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$177.1</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$121.8</w:t>
            </w:r>
          </w:p>
        </w:tc>
      </w:tr>
      <w:tr>
        <w:trPr>
          <w:trHeight w:val="270"/>
        </w:trPr>
        <w:tc>
          <w:tcPr>
            <w:tcW w:w="20" w:type="dxa"/>
            <w:vAlign w:val="bottom"/>
          </w:tcPr>
          <w:p>
            <w:pPr>
              <w:spacing w:after="0"/>
              <w:rPr>
                <w:sz w:val="23"/>
                <w:szCs w:val="23"/>
                <w:color w:val="auto"/>
              </w:rPr>
            </w:pPr>
          </w:p>
        </w:tc>
        <w:tc>
          <w:tcPr>
            <w:tcW w:w="79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2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ALLETE Clean Energy</w:t>
            </w: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56.1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106.9</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Water Services</w:t>
            </w:r>
          </w:p>
        </w:tc>
        <w:tc>
          <w:tcPr>
            <w:tcW w:w="2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20" w:type="dxa"/>
            <w:vAlign w:val="bottom"/>
          </w:tcPr>
          <w:p>
            <w:pPr>
              <w:spacing w:after="0"/>
              <w:rPr>
                <w:sz w:val="23"/>
                <w:szCs w:val="23"/>
                <w:color w:val="auto"/>
              </w:rPr>
            </w:pPr>
          </w:p>
        </w:tc>
        <w:tc>
          <w:tcPr>
            <w:tcW w:w="79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20" w:type="dxa"/>
            <w:vAlign w:val="bottom"/>
          </w:tcPr>
          <w:p>
            <w:pPr>
              <w:spacing w:after="0"/>
              <w:rPr>
                <w:sz w:val="23"/>
                <w:szCs w:val="23"/>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and Other</w:t>
            </w:r>
          </w:p>
        </w:tc>
        <w:tc>
          <w:tcPr>
            <w:tcW w:w="2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37"/>
        </w:trPr>
        <w:tc>
          <w:tcPr>
            <w:tcW w:w="20" w:type="dxa"/>
            <w:vAlign w:val="bottom"/>
          </w:tcPr>
          <w:p>
            <w:pPr>
              <w:spacing w:after="0"/>
              <w:rPr>
                <w:sz w:val="20"/>
                <w:szCs w:val="20"/>
                <w:color w:val="auto"/>
              </w:rPr>
            </w:pPr>
          </w:p>
        </w:tc>
        <w:tc>
          <w:tcPr>
            <w:tcW w:w="792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Total Capital Expenditures</w:t>
            </w:r>
          </w:p>
        </w:tc>
        <w:tc>
          <w:tcPr>
            <w:tcW w:w="2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$266.5</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$247.8</w:t>
            </w:r>
          </w:p>
        </w:tc>
      </w:tr>
      <w:tr>
        <w:trPr>
          <w:trHeight w:val="27"/>
        </w:trPr>
        <w:tc>
          <w:tcPr>
            <w:tcW w:w="794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9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See Note 1. Operations and Significant Accounting Policies – Revision of Prior Balance Sheet.</w:t>
            </w:r>
          </w:p>
        </w:tc>
        <w:tc>
          <w:tcPr>
            <w:tcW w:w="2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702"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18. QUARTERLY FINANCIAL DATA (UNAUDITED)</w:t>
            </w:r>
          </w:p>
        </w:tc>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980" w:type="dxa"/>
            <w:vAlign w:val="bottom"/>
            <w:gridSpan w:val="3"/>
          </w:tcPr>
          <w:p>
            <w:pPr>
              <w:spacing w:after="0"/>
              <w:rPr>
                <w:sz w:val="20"/>
                <w:szCs w:val="20"/>
                <w:color w:val="auto"/>
              </w:rPr>
            </w:pPr>
            <w:r>
              <w:rPr>
                <w:rFonts w:ascii="Arial" w:cs="Arial" w:eastAsia="Arial" w:hAnsi="Arial"/>
                <w:sz w:val="18"/>
                <w:szCs w:val="18"/>
                <w:color w:val="auto"/>
                <w:w w:val="95"/>
              </w:rPr>
              <w:t>Information for any one quarterly period is not necessarily indicative of the results which may be expected for the year.</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 31</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 30</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 30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Dec. 31</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$365.6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$353.3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$362.5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$337.9</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$72.6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$55.0</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$69.0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$49.0</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$36.9</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$44.9</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$0.97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$0.73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$0.88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$0.81</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$0.97</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$0.72</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$0.88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37"/>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2016</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$333.8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$314.8</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$349.6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$66.8</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$42.2</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$53.4</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$24.8</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$40.3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$0.50</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$0.82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r>
      <w:tr>
        <w:trPr>
          <w:trHeight w:val="237"/>
        </w:trPr>
        <w:tc>
          <w:tcPr>
            <w:tcW w:w="5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$0.93</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$0.50</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$0.81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$0.89</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$320.0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$323.3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$462.5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$380.6</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$56.4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$39.5</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$85.2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$39.9</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$22.5</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$60.4</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$0.85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$0.46</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$1.24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$0.37</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$0.85</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$0.46</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r>
      <w:tr>
        <w:trPr>
          <w:trHeight w:val="20"/>
        </w:trPr>
        <w:tc>
          <w:tcPr>
            <w:tcW w:w="57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702"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Valuation and Qualifying Accounts and Reserves</w:t>
            </w: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88"/>
              </w:rPr>
              <w:t>Balance at</w:t>
            </w:r>
          </w:p>
        </w:tc>
        <w:tc>
          <w:tcPr>
            <w:tcW w:w="2740" w:type="dxa"/>
            <w:vAlign w:val="bottom"/>
            <w:gridSpan w:val="2"/>
          </w:tcPr>
          <w:p>
            <w:pPr>
              <w:ind w:left="1000"/>
              <w:spacing w:after="0"/>
              <w:rPr>
                <w:sz w:val="20"/>
                <w:szCs w:val="20"/>
                <w:color w:val="auto"/>
              </w:rPr>
            </w:pPr>
            <w:r>
              <w:rPr>
                <w:rFonts w:ascii="Arial" w:cs="Arial" w:eastAsia="Arial" w:hAnsi="Arial"/>
                <w:sz w:val="18"/>
                <w:szCs w:val="18"/>
                <w:b w:val="1"/>
                <w:bCs w:val="1"/>
                <w:color w:val="auto"/>
              </w:rPr>
              <w:t>Additions</w:t>
            </w:r>
          </w:p>
        </w:tc>
        <w:tc>
          <w:tcPr>
            <w:tcW w:w="14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Deductions</w:t>
            </w: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Beginning of</w:t>
            </w: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Charged to</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from</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Period</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6"/>
                <w:szCs w:val="16"/>
                <w:i w:val="1"/>
                <w:iCs w:val="1"/>
                <w:color w:val="auto"/>
                <w:w w:val="87"/>
              </w:rPr>
              <w:t>(a)</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Reserve For Uncollectible Accounts</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2015</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$9.5</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2017</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2017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702"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10(i)7</w:t>
      </w:r>
    </w:p>
    <w:p>
      <w:pPr>
        <w:spacing w:after="0" w:line="31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RESTRICTED STOCK UNIT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2018]</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all documents incorporated herein by reference: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Restricted Stock Units: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Period: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20"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Manager–Compensation and Benefits, in writing within sixty (60) days of the Date of Grant.</w:t>
      </w:r>
    </w:p>
    <w:p>
      <w:pPr>
        <w:spacing w:after="0" w:line="35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31750</wp:posOffset>
            </wp:positionV>
            <wp:extent cx="21780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President &amp; CEO</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22"/>
          <w:szCs w:val="22"/>
          <w:b w:val="1"/>
          <w:bCs w:val="1"/>
          <w:u w:val="single" w:color="auto"/>
          <w:color w:val="auto"/>
        </w:rPr>
        <w:t>ANNEX A</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180" w:firstLine="8"/>
        <w:spacing w:after="0" w:line="250" w:lineRule="auto"/>
        <w:tabs>
          <w:tab w:leader="none" w:pos="34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188" w:lineRule="exact"/>
        <w:rPr>
          <w:rFonts w:ascii="Arial" w:cs="Arial" w:eastAsia="Arial" w:hAnsi="Arial"/>
          <w:sz w:val="22"/>
          <w:szCs w:val="22"/>
          <w:color w:val="auto"/>
        </w:rPr>
      </w:pPr>
    </w:p>
    <w:p>
      <w:pPr>
        <w:ind w:right="80" w:firstLine="8"/>
        <w:spacing w:after="0" w:line="262" w:lineRule="auto"/>
        <w:tabs>
          <w:tab w:leader="none" w:pos="342"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180" w:lineRule="exact"/>
        <w:rPr>
          <w:rFonts w:ascii="Arial" w:cs="Arial" w:eastAsia="Arial" w:hAnsi="Arial"/>
          <w:sz w:val="21"/>
          <w:szCs w:val="21"/>
          <w:color w:val="auto"/>
        </w:rPr>
      </w:pPr>
    </w:p>
    <w:p>
      <w:pPr>
        <w:ind w:right="680" w:firstLine="8"/>
        <w:spacing w:after="0" w:line="276" w:lineRule="auto"/>
        <w:tabs>
          <w:tab w:leader="none" w:pos="34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Default on Certain Agreements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spacing w:after="0" w:line="263" w:lineRule="auto"/>
        <w:rPr>
          <w:sz w:val="20"/>
          <w:szCs w:val="20"/>
          <w:color w:val="auto"/>
        </w:rPr>
      </w:pPr>
      <w:r>
        <w:rPr>
          <w:rFonts w:ascii="Arial" w:cs="Arial" w:eastAsia="Arial" w:hAnsi="Arial"/>
          <w:sz w:val="21"/>
          <w:szCs w:val="21"/>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pacing w:after="0" w:line="90" w:lineRule="exact"/>
        <w:rPr>
          <w:sz w:val="20"/>
          <w:szCs w:val="20"/>
          <w:color w:val="auto"/>
        </w:rPr>
      </w:pPr>
    </w:p>
    <w:p>
      <w:pPr>
        <w:ind w:left="660"/>
        <w:spacing w:after="0" w:line="320" w:lineRule="auto"/>
        <w:rPr>
          <w:sz w:val="20"/>
          <w:szCs w:val="20"/>
          <w:color w:val="auto"/>
        </w:rPr>
      </w:pPr>
      <w:r>
        <w:rPr>
          <w:rFonts w:ascii="Arial" w:cs="Arial" w:eastAsia="Arial" w:hAnsi="Arial"/>
          <w:sz w:val="19"/>
          <w:szCs w:val="19"/>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369" w:right="279" w:bottom="1440" w:gutter="0" w:footer="0" w:header="0"/>
        </w:sectPr>
      </w:pPr>
    </w:p>
    <w:bookmarkStart w:id="146" w:name="page147"/>
    <w:bookmarkEnd w:id="146"/>
    <w:p>
      <w:pPr>
        <w:ind w:left="652" w:right="200"/>
        <w:spacing w:after="0" w:line="266" w:lineRule="auto"/>
        <w:rPr>
          <w:sz w:val="20"/>
          <w:szCs w:val="20"/>
          <w:color w:val="auto"/>
        </w:rPr>
      </w:pPr>
      <w:r>
        <w:rPr>
          <w:rFonts w:ascii="Arial" w:cs="Arial" w:eastAsia="Arial" w:hAnsi="Arial"/>
          <w:sz w:val="21"/>
          <w:szCs w:val="21"/>
          <w:color w:val="auto"/>
        </w:rPr>
        <w:t>3.3 If during the vesting period or prior to payment of all RSUs you are demoted, you default on any written agreement with a Related Company related to a restrictive employment covenant (such as confidentiality, non-disclosure, non-competition, non-solicitation, or the like), or if ALLETE determines, in its sole discretion, that your job performance is unsatisfactory, ALLETE may cancel or amend your grant relating to any unpaid RSUs, resulting in the forfeiture of some portion or all of your unpaid RSUs (and related Dividend Equivalents).</w:t>
      </w:r>
    </w:p>
    <w:p>
      <w:pPr>
        <w:spacing w:after="0" w:line="174" w:lineRule="exact"/>
        <w:rPr>
          <w:sz w:val="20"/>
          <w:szCs w:val="20"/>
          <w:color w:val="auto"/>
        </w:rPr>
      </w:pPr>
    </w:p>
    <w:p>
      <w:pPr>
        <w:ind w:left="652" w:right="20"/>
        <w:spacing w:after="0" w:line="264" w:lineRule="auto"/>
        <w:rPr>
          <w:sz w:val="20"/>
          <w:szCs w:val="20"/>
          <w:color w:val="auto"/>
        </w:rPr>
      </w:pPr>
      <w:r>
        <w:rPr>
          <w:rFonts w:ascii="Arial" w:cs="Arial" w:eastAsia="Arial" w:hAnsi="Arial"/>
          <w:sz w:val="21"/>
          <w:szCs w:val="21"/>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75" w:lineRule="exact"/>
        <w:rPr>
          <w:sz w:val="20"/>
          <w:szCs w:val="20"/>
          <w:color w:val="auto"/>
        </w:rPr>
      </w:pPr>
    </w:p>
    <w:p>
      <w:pPr>
        <w:ind w:left="-8" w:firstLine="8"/>
        <w:spacing w:after="0" w:line="266" w:lineRule="auto"/>
        <w:tabs>
          <w:tab w:leader="none" w:pos="334"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you will be credited with a whole month if you were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 In no event will you be permitted, directly or indirectly, to designate the taxable year of the distribution on account of or in connection with a Change in Control.</w:t>
      </w:r>
    </w:p>
    <w:p>
      <w:pPr>
        <w:spacing w:after="0" w:line="175" w:lineRule="exact"/>
        <w:rPr>
          <w:rFonts w:ascii="Arial" w:cs="Arial" w:eastAsia="Arial" w:hAnsi="Arial"/>
          <w:sz w:val="20"/>
          <w:szCs w:val="20"/>
          <w:color w:val="auto"/>
        </w:rPr>
      </w:pPr>
    </w:p>
    <w:p>
      <w:pPr>
        <w:ind w:left="-8" w:right="100" w:firstLine="8"/>
        <w:spacing w:after="0" w:line="260" w:lineRule="auto"/>
        <w:tabs>
          <w:tab w:leader="none" w:pos="33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00" w:lineRule="exact"/>
        <w:rPr>
          <w:sz w:val="20"/>
          <w:szCs w:val="20"/>
          <w:color w:val="auto"/>
        </w:rPr>
      </w:pPr>
    </w:p>
    <w:p>
      <w:pPr>
        <w:spacing w:after="0" w:line="2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375" w:right="319" w:bottom="1440" w:gutter="0" w:footer="0" w:header="0"/>
        </w:sectPr>
      </w:pPr>
    </w:p>
    <w:bookmarkStart w:id="147" w:name="page148"/>
    <w:bookmarkEnd w:id="147"/>
    <w:p>
      <w:pPr>
        <w:ind w:left="-8" w:right="60" w:firstLine="8"/>
        <w:spacing w:after="0" w:line="260" w:lineRule="auto"/>
        <w:tabs>
          <w:tab w:leader="none" w:pos="38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Section 409A Compliance.</w:t>
      </w:r>
      <w:r>
        <w:rPr>
          <w:rFonts w:ascii="Arial" w:cs="Arial" w:eastAsia="Arial" w:hAnsi="Arial"/>
          <w:sz w:val="21"/>
          <w:szCs w:val="21"/>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3" w:lineRule="exact"/>
        <w:rPr>
          <w:rFonts w:ascii="Arial" w:cs="Arial" w:eastAsia="Arial" w:hAnsi="Arial"/>
          <w:sz w:val="21"/>
          <w:szCs w:val="21"/>
          <w:color w:val="auto"/>
        </w:rPr>
      </w:pPr>
    </w:p>
    <w:p>
      <w:pPr>
        <w:ind w:left="392" w:hanging="392"/>
        <w:spacing w:after="0"/>
        <w:tabs>
          <w:tab w:leader="none" w:pos="39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33" w:lineRule="exact"/>
        <w:rPr>
          <w:sz w:val="20"/>
          <w:szCs w:val="20"/>
          <w:color w:val="auto"/>
        </w:rPr>
      </w:pPr>
    </w:p>
    <w:p>
      <w:pPr>
        <w:ind w:left="652"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left="652"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left="652"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left="652"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jc w:val="both"/>
        <w:ind w:left="1952" w:right="80" w:hanging="331"/>
        <w:spacing w:after="0" w:line="250" w:lineRule="auto"/>
        <w:tabs>
          <w:tab w:leader="none" w:pos="1952" w:val="left"/>
        </w:tabs>
        <w:numPr>
          <w:ilvl w:val="0"/>
          <w:numId w:val="57"/>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952" w:right="940" w:hanging="331"/>
        <w:spacing w:after="0" w:line="263" w:lineRule="auto"/>
        <w:tabs>
          <w:tab w:leader="none" w:pos="1952" w:val="left"/>
        </w:tabs>
        <w:numPr>
          <w:ilvl w:val="0"/>
          <w:numId w:val="57"/>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952" w:hanging="331"/>
        <w:spacing w:after="0"/>
        <w:tabs>
          <w:tab w:leader="none" w:pos="1952" w:val="left"/>
        </w:tabs>
        <w:numPr>
          <w:ilvl w:val="0"/>
          <w:numId w:val="57"/>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00" w:lineRule="exact"/>
        <w:rPr>
          <w:sz w:val="20"/>
          <w:szCs w:val="20"/>
          <w:color w:val="auto"/>
        </w:rPr>
      </w:pPr>
    </w:p>
    <w:p>
      <w:pPr>
        <w:spacing w:after="0" w:line="2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74" w:right="259" w:bottom="1440" w:gutter="0" w:footer="0" w:header="0"/>
        </w:sectPr>
      </w:pPr>
    </w:p>
    <w:bookmarkStart w:id="148" w:name="page149"/>
    <w:bookmarkEnd w:id="148"/>
    <w:p>
      <w:pPr>
        <w:ind w:left="760" w:right="60" w:hanging="331"/>
        <w:spacing w:after="0" w:line="247" w:lineRule="auto"/>
        <w:tabs>
          <w:tab w:leader="none" w:pos="760" w:val="left"/>
        </w:tabs>
        <w:numPr>
          <w:ilvl w:val="0"/>
          <w:numId w:val="58"/>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760" w:right="620" w:hanging="331"/>
        <w:spacing w:after="0" w:line="263" w:lineRule="auto"/>
        <w:tabs>
          <w:tab w:leader="none" w:pos="760" w:val="left"/>
        </w:tabs>
        <w:numPr>
          <w:ilvl w:val="0"/>
          <w:numId w:val="58"/>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15" w:lineRule="exact"/>
        <w:rPr>
          <w:rFonts w:ascii="Arial" w:cs="Arial" w:eastAsia="Arial" w:hAnsi="Arial"/>
          <w:sz w:val="18"/>
          <w:szCs w:val="18"/>
          <w:i w:val="1"/>
          <w:iCs w:val="1"/>
          <w:color w:val="auto"/>
        </w:rPr>
      </w:pPr>
    </w:p>
    <w:p>
      <w:pPr>
        <w:ind w:left="760" w:right="60" w:hanging="331"/>
        <w:spacing w:after="0" w:line="247" w:lineRule="auto"/>
        <w:tabs>
          <w:tab w:leader="none" w:pos="760" w:val="left"/>
        </w:tabs>
        <w:numPr>
          <w:ilvl w:val="0"/>
          <w:numId w:val="58"/>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58"/>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58"/>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19" w:lineRule="exact"/>
        <w:rPr>
          <w:rFonts w:ascii="Arial" w:cs="Arial" w:eastAsia="Arial" w:hAnsi="Arial"/>
          <w:sz w:val="18"/>
          <w:szCs w:val="18"/>
          <w:i w:val="1"/>
          <w:iCs w:val="1"/>
          <w:color w:val="auto"/>
        </w:rPr>
      </w:pPr>
    </w:p>
    <w:p>
      <w:pPr>
        <w:ind w:left="1400" w:hanging="647"/>
        <w:spacing w:after="0" w:line="259" w:lineRule="auto"/>
        <w:tabs>
          <w:tab w:leader="none" w:pos="1076" w:val="left"/>
        </w:tabs>
        <w:numPr>
          <w:ilvl w:val="1"/>
          <w:numId w:val="58"/>
        </w:numPr>
        <w:rPr>
          <w:rFonts w:ascii="Arial" w:cs="Arial" w:eastAsia="Arial" w:hAnsi="Arial"/>
          <w:sz w:val="17"/>
          <w:szCs w:val="17"/>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24" w:lineRule="exact"/>
        <w:rPr>
          <w:rFonts w:ascii="Arial" w:cs="Arial" w:eastAsia="Arial" w:hAnsi="Arial"/>
          <w:sz w:val="17"/>
          <w:szCs w:val="17"/>
          <w:color w:val="auto"/>
        </w:rPr>
      </w:pPr>
    </w:p>
    <w:p>
      <w:pPr>
        <w:ind w:left="1400" w:right="40" w:hanging="647"/>
        <w:spacing w:after="0" w:line="302" w:lineRule="auto"/>
        <w:tabs>
          <w:tab w:leader="none" w:pos="1076" w:val="left"/>
        </w:tabs>
        <w:numPr>
          <w:ilvl w:val="1"/>
          <w:numId w:val="58"/>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5" w:right="279" w:bottom="1440" w:gutter="0" w:footer="0" w:header="0"/>
        </w:sectPr>
      </w:pPr>
    </w:p>
    <w:bookmarkStart w:id="149" w:name="page150"/>
    <w:bookmarkEnd w:id="149"/>
    <w:p>
      <w:pPr>
        <w:ind w:left="2592" w:right="80" w:hanging="647"/>
        <w:spacing w:after="0" w:line="248" w:lineRule="auto"/>
        <w:tabs>
          <w:tab w:leader="none" w:pos="2268"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22"/>
          <w:szCs w:val="22"/>
          <w:color w:val="auto"/>
        </w:rPr>
      </w:pPr>
    </w:p>
    <w:p>
      <w:pPr>
        <w:ind w:left="2592" w:right="80" w:hanging="647"/>
        <w:spacing w:after="0" w:line="302" w:lineRule="auto"/>
        <w:tabs>
          <w:tab w:leader="none" w:pos="2268" w:val="left"/>
        </w:tabs>
        <w:numPr>
          <w:ilvl w:val="2"/>
          <w:numId w:val="59"/>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83" w:lineRule="exact"/>
        <w:rPr>
          <w:rFonts w:ascii="Arial" w:cs="Arial" w:eastAsia="Arial" w:hAnsi="Arial"/>
          <w:sz w:val="16"/>
          <w:szCs w:val="16"/>
          <w:color w:val="auto"/>
        </w:rPr>
      </w:pPr>
    </w:p>
    <w:p>
      <w:pPr>
        <w:ind w:left="2592" w:hanging="647"/>
        <w:spacing w:after="0" w:line="258" w:lineRule="auto"/>
        <w:tabs>
          <w:tab w:leader="none" w:pos="2268" w:val="left"/>
        </w:tabs>
        <w:numPr>
          <w:ilvl w:val="2"/>
          <w:numId w:val="59"/>
        </w:numPr>
        <w:rPr>
          <w:rFonts w:ascii="Arial" w:cs="Arial" w:eastAsia="Arial" w:hAnsi="Arial"/>
          <w:sz w:val="17"/>
          <w:szCs w:val="17"/>
          <w:color w:val="auto"/>
        </w:rPr>
      </w:pPr>
      <w:r>
        <w:rPr>
          <w:rFonts w:ascii="Arial" w:cs="Arial" w:eastAsia="Arial" w:hAnsi="Arial"/>
          <w:sz w:val="21"/>
          <w:szCs w:val="21"/>
          <w:u w:val="single" w:color="auto"/>
          <w:color w:val="auto"/>
        </w:rPr>
        <w:t>Fees and Costs</w:t>
      </w:r>
      <w:r>
        <w:rPr>
          <w:rFonts w:ascii="Arial" w:cs="Arial" w:eastAsia="Arial" w:hAnsi="Arial"/>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86" w:lineRule="exact"/>
        <w:rPr>
          <w:rFonts w:ascii="Arial" w:cs="Arial" w:eastAsia="Arial" w:hAnsi="Arial"/>
          <w:sz w:val="17"/>
          <w:szCs w:val="17"/>
          <w:color w:val="auto"/>
        </w:rPr>
      </w:pPr>
    </w:p>
    <w:p>
      <w:pPr>
        <w:ind w:left="2272" w:right="180" w:hanging="651"/>
        <w:spacing w:after="0" w:line="302" w:lineRule="auto"/>
        <w:tabs>
          <w:tab w:leader="none" w:pos="1948" w:val="left"/>
        </w:tabs>
        <w:numPr>
          <w:ilvl w:val="1"/>
          <w:numId w:val="60"/>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42" w:lineRule="exact"/>
        <w:rPr>
          <w:rFonts w:ascii="Arial" w:cs="Arial" w:eastAsia="Arial" w:hAnsi="Arial"/>
          <w:sz w:val="16"/>
          <w:szCs w:val="16"/>
          <w:i w:val="1"/>
          <w:iCs w:val="1"/>
          <w:color w:val="auto"/>
        </w:rPr>
      </w:pPr>
    </w:p>
    <w:p>
      <w:pPr>
        <w:jc w:val="both"/>
        <w:ind w:left="-8" w:right="100" w:firstLine="8"/>
        <w:spacing w:after="0" w:line="260" w:lineRule="auto"/>
        <w:tabs>
          <w:tab w:leader="none" w:pos="33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77" w:lineRule="exact"/>
        <w:rPr>
          <w:rFonts w:ascii="Arial" w:cs="Arial" w:eastAsia="Arial" w:hAnsi="Arial"/>
          <w:sz w:val="22"/>
          <w:szCs w:val="22"/>
          <w:color w:val="auto"/>
        </w:rPr>
      </w:pPr>
    </w:p>
    <w:p>
      <w:pPr>
        <w:ind w:left="-8" w:right="220" w:firstLine="8"/>
        <w:spacing w:after="0" w:line="278" w:lineRule="auto"/>
        <w:tabs>
          <w:tab w:leader="none" w:pos="383"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8" w:right="220" w:firstLine="8"/>
        <w:spacing w:after="0" w:line="254" w:lineRule="auto"/>
        <w:tabs>
          <w:tab w:leader="none" w:pos="44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375" w:right="259" w:bottom="1440" w:gutter="0" w:footer="0" w:header="0"/>
        </w:sectPr>
      </w:pPr>
    </w:p>
    <w:bookmarkStart w:id="150" w:name="page151"/>
    <w:bookmarkEnd w:id="150"/>
    <w:p>
      <w:pPr>
        <w:ind w:left="-8" w:right="20" w:firstLine="8"/>
        <w:spacing w:after="0" w:line="307" w:lineRule="auto"/>
        <w:tabs>
          <w:tab w:leader="none" w:pos="434"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8" w:right="360" w:firstLine="8"/>
        <w:spacing w:after="0" w:line="276" w:lineRule="auto"/>
        <w:tabs>
          <w:tab w:leader="none" w:pos="44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52"/>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84" w:lineRule="exact"/>
        <w:rPr>
          <w:sz w:val="20"/>
          <w:szCs w:val="20"/>
          <w:color w:val="auto"/>
        </w:rPr>
      </w:pPr>
    </w:p>
    <w:p>
      <w:pPr>
        <w:ind w:left="652"/>
        <w:spacing w:after="0"/>
        <w:tabs>
          <w:tab w:leader="none" w:pos="1192"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792" w:hanging="658"/>
        <w:spacing w:after="0" w:line="259" w:lineRule="auto"/>
        <w:tabs>
          <w:tab w:leader="none" w:pos="1792" w:val="left"/>
        </w:tabs>
        <w:numPr>
          <w:ilvl w:val="0"/>
          <w:numId w:val="63"/>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220" w:lineRule="exact"/>
        <w:rPr>
          <w:rFonts w:ascii="Arial" w:cs="Arial" w:eastAsia="Arial" w:hAnsi="Arial"/>
          <w:sz w:val="17"/>
          <w:szCs w:val="17"/>
          <w:color w:val="auto"/>
        </w:rPr>
      </w:pPr>
    </w:p>
    <w:p>
      <w:pPr>
        <w:ind w:left="1792" w:right="300" w:hanging="658"/>
        <w:spacing w:after="0" w:line="302" w:lineRule="auto"/>
        <w:tabs>
          <w:tab w:leader="none" w:pos="1792" w:val="left"/>
        </w:tabs>
        <w:numPr>
          <w:ilvl w:val="0"/>
          <w:numId w:val="63"/>
        </w:numPr>
        <w:rPr>
          <w:rFonts w:ascii="Arial" w:cs="Arial" w:eastAsia="Arial" w:hAnsi="Arial"/>
          <w:sz w:val="16"/>
          <w:szCs w:val="16"/>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6"/>
          <w:szCs w:val="16"/>
          <w:color w:val="auto"/>
        </w:rPr>
      </w:pPr>
    </w:p>
    <w:p>
      <w:pPr>
        <w:ind w:left="1792" w:right="140" w:hanging="658"/>
        <w:spacing w:after="0" w:line="253" w:lineRule="auto"/>
        <w:tabs>
          <w:tab w:leader="none" w:pos="1792" w:val="left"/>
        </w:tabs>
        <w:numPr>
          <w:ilvl w:val="0"/>
          <w:numId w:val="63"/>
        </w:numPr>
        <w:rPr>
          <w:rFonts w:ascii="Arial" w:cs="Arial" w:eastAsia="Arial" w:hAnsi="Arial"/>
          <w:sz w:val="18"/>
          <w:szCs w:val="18"/>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26" w:lineRule="exact"/>
        <w:rPr>
          <w:rFonts w:ascii="Arial" w:cs="Arial" w:eastAsia="Arial" w:hAnsi="Arial"/>
          <w:sz w:val="18"/>
          <w:szCs w:val="18"/>
          <w:color w:val="auto"/>
        </w:rPr>
      </w:pPr>
    </w:p>
    <w:p>
      <w:pPr>
        <w:ind w:left="1792" w:hanging="658"/>
        <w:spacing w:after="0" w:line="260" w:lineRule="auto"/>
        <w:tabs>
          <w:tab w:leader="none" w:pos="1792" w:val="left"/>
        </w:tabs>
        <w:numPr>
          <w:ilvl w:val="0"/>
          <w:numId w:val="63"/>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375" w:right="259" w:bottom="1440" w:gutter="0" w:footer="0" w:header="0"/>
        </w:sectPr>
      </w:pPr>
    </w:p>
    <w:bookmarkStart w:id="151" w:name="page152"/>
    <w:bookmarkEnd w:id="151"/>
    <w:p>
      <w:pPr>
        <w:ind w:right="60"/>
        <w:spacing w:after="0" w:line="294"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5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300" w:right="60" w:hanging="650"/>
        <w:spacing w:after="0" w:line="250"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300" w:hanging="65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18"/>
          <w:szCs w:val="18"/>
          <w:color w:val="auto"/>
        </w:rPr>
      </w:pPr>
    </w:p>
    <w:p>
      <w:pPr>
        <w:ind w:left="1300" w:right="180" w:hanging="650"/>
        <w:spacing w:after="0" w:line="25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left="100"/>
        <w:spacing w:after="0" w:line="288"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left="100" w:right="28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left="100"/>
        <w:spacing w:after="0" w:line="263"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800" w:top="374" w:right="259" w:bottom="1440" w:gutter="0" w:footer="0" w:header="0"/>
        </w:sectPr>
      </w:pPr>
    </w:p>
    <w:bookmarkStart w:id="152" w:name="page153"/>
    <w:bookmarkEnd w:id="152"/>
    <w:p>
      <w:pPr>
        <w:ind w:left="4" w:right="180"/>
        <w:spacing w:after="0" w:line="262"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71" w:lineRule="exact"/>
        <w:rPr>
          <w:sz w:val="20"/>
          <w:szCs w:val="20"/>
          <w:color w:val="auto"/>
        </w:rPr>
      </w:pPr>
    </w:p>
    <w:p>
      <w:pPr>
        <w:ind w:left="4"/>
        <w:spacing w:after="0" w:line="286"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280" w:hanging="4"/>
        <w:spacing w:after="0" w:line="262" w:lineRule="auto"/>
        <w:tabs>
          <w:tab w:leader="none" w:pos="310" w:val="left"/>
        </w:tabs>
        <w:numPr>
          <w:ilvl w:val="0"/>
          <w:numId w:val="65"/>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1" w:lineRule="exact"/>
        <w:rPr>
          <w:sz w:val="20"/>
          <w:szCs w:val="20"/>
          <w:color w:val="auto"/>
        </w:rPr>
      </w:pPr>
    </w:p>
    <w:p>
      <w:pPr>
        <w:ind w:left="4" w:right="40" w:firstLine="68"/>
        <w:spacing w:after="0" w:line="309"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373"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4"/>
          </w:cols>
          <w:pgMar w:left="896" w:top="369"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10(i)8</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2018]</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hereto and all documents incorporated herein by reference:</w:t>
      </w: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Performance Shares Granted: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Performance Period:</w:t>
      </w:r>
    </w:p>
    <w:p>
      <w:pPr>
        <w:spacing w:after="0" w:line="56"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18"/>
          <w:szCs w:val="18"/>
          <w:color w:val="auto"/>
        </w:rPr>
        <w:t>Performance Goals:</w:t>
      </w:r>
      <w:r>
        <w:rPr>
          <w:sz w:val="20"/>
          <w:szCs w:val="20"/>
          <w:color w:val="auto"/>
        </w:rPr>
        <w:tab/>
      </w:r>
      <w:r>
        <w:rPr>
          <w:rFonts w:ascii="Arial" w:cs="Arial" w:eastAsia="Arial" w:hAnsi="Arial"/>
          <w:sz w:val="19"/>
          <w:szCs w:val="19"/>
          <w:color w:val="auto"/>
        </w:rPr>
        <w:t xml:space="preserve">See </w:t>
      </w:r>
      <w:r>
        <w:rPr>
          <w:rFonts w:ascii="Arial" w:cs="Arial" w:eastAsia="Arial" w:hAnsi="Arial"/>
          <w:sz w:val="19"/>
          <w:szCs w:val="19"/>
          <w:u w:val="single" w:color="auto"/>
          <w:color w:val="auto"/>
        </w:rPr>
        <w:t>Annex B</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 xml:space="preserve">Further terms and conditions of the Grant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Performance Goals are set forth in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both of which are integral parts of this Grant.</w:t>
      </w:r>
    </w:p>
    <w:p>
      <w:pPr>
        <w:spacing w:after="0" w:line="175"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 HERETO</w:t>
      </w:r>
      <w:r>
        <w:rPr>
          <w:rFonts w:ascii="Arial" w:cs="Arial" w:eastAsia="Arial" w:hAnsi="Arial"/>
          <w:sz w:val="22"/>
          <w:szCs w:val="22"/>
          <w:color w:val="auto"/>
        </w:rPr>
        <w:t>,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Manager–Compensation and Benefits, in writing within sixty (60) days of the Date of Grant.</w:t>
      </w:r>
    </w:p>
    <w:p>
      <w:pPr>
        <w:spacing w:after="0" w:line="134"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5608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&amp; CEO</w:t>
      </w:r>
    </w:p>
    <w:p>
      <w:pPr>
        <w:spacing w:after="0" w:line="29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u w:val="single" w:color="auto"/>
          <w:color w:val="auto"/>
        </w:rPr>
        <w:t xml:space="preserve">Annex 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Annex B</w:t>
      </w:r>
    </w:p>
    <w:p>
      <w:pPr>
        <w:sectPr>
          <w:pgSz w:w="11900" w:h="16838" w:orient="portrait"/>
          <w:cols w:equalWidth="0" w:num="1">
            <w:col w:w="11420"/>
          </w:cols>
          <w:pgMar w:left="240" w:top="122"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3"/>
          <w:szCs w:val="23"/>
          <w:b w:val="1"/>
          <w:bCs w:val="1"/>
          <w:u w:val="single" w:color="auto"/>
          <w:color w:val="auto"/>
        </w:rPr>
        <w:t>ANNEX 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The Performance Share Grant to which this is annexed is subject to the following additional terms and conditions:</w:t>
      </w:r>
    </w:p>
    <w:p>
      <w:pPr>
        <w:spacing w:after="0" w:line="231" w:lineRule="exact"/>
        <w:rPr>
          <w:sz w:val="20"/>
          <w:szCs w:val="20"/>
          <w:color w:val="auto"/>
        </w:rPr>
      </w:pPr>
    </w:p>
    <w:p>
      <w:pPr>
        <w:ind w:left="-60" w:right="120" w:firstLine="656"/>
        <w:spacing w:after="0" w:line="248" w:lineRule="auto"/>
        <w:tabs>
          <w:tab w:leader="none" w:pos="93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91" w:lineRule="exact"/>
        <w:rPr>
          <w:rFonts w:ascii="Arial" w:cs="Arial" w:eastAsia="Arial" w:hAnsi="Arial"/>
          <w:sz w:val="22"/>
          <w:szCs w:val="22"/>
          <w:color w:val="auto"/>
        </w:rPr>
      </w:pPr>
    </w:p>
    <w:p>
      <w:pPr>
        <w:ind w:left="-60" w:right="40" w:firstLine="656"/>
        <w:spacing w:after="0" w:line="291" w:lineRule="auto"/>
        <w:tabs>
          <w:tab w:leader="none" w:pos="93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154" w:lineRule="exact"/>
        <w:rPr>
          <w:rFonts w:ascii="Arial" w:cs="Arial" w:eastAsia="Arial" w:hAnsi="Arial"/>
          <w:sz w:val="19"/>
          <w:szCs w:val="19"/>
          <w:color w:val="auto"/>
        </w:rPr>
      </w:pPr>
    </w:p>
    <w:p>
      <w:pPr>
        <w:ind w:left="-60" w:firstLine="656"/>
        <w:spacing w:after="0" w:line="300" w:lineRule="auto"/>
        <w:tabs>
          <w:tab w:leader="none" w:pos="93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147" w:lineRule="exact"/>
        <w:rPr>
          <w:rFonts w:ascii="Arial" w:cs="Arial" w:eastAsia="Arial" w:hAnsi="Arial"/>
          <w:sz w:val="19"/>
          <w:szCs w:val="19"/>
          <w:color w:val="auto"/>
        </w:rPr>
      </w:pPr>
    </w:p>
    <w:p>
      <w:pPr>
        <w:ind w:left="-60" w:right="940" w:firstLine="656"/>
        <w:spacing w:after="0" w:line="301" w:lineRule="auto"/>
        <w:tabs>
          <w:tab w:leader="none" w:pos="93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300" w:top="351" w:right="279" w:bottom="1440" w:gutter="0" w:footer="0" w:header="0"/>
        </w:sectPr>
      </w:pPr>
    </w:p>
    <w:bookmarkStart w:id="155" w:name="page156"/>
    <w:bookmarkEnd w:id="155"/>
    <w:p>
      <w:pPr>
        <w:ind w:left="660" w:right="140" w:firstLine="648"/>
        <w:spacing w:after="0" w:line="281" w:lineRule="auto"/>
        <w:rPr>
          <w:sz w:val="20"/>
          <w:szCs w:val="20"/>
          <w:color w:val="auto"/>
        </w:rPr>
      </w:pPr>
      <w:r>
        <w:rPr>
          <w:rFonts w:ascii="Arial" w:cs="Arial" w:eastAsia="Arial" w:hAnsi="Arial"/>
          <w:sz w:val="20"/>
          <w:szCs w:val="20"/>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w:t>
      </w:r>
    </w:p>
    <w:p>
      <w:pPr>
        <w:spacing w:after="0" w:line="73" w:lineRule="exact"/>
        <w:rPr>
          <w:sz w:val="20"/>
          <w:szCs w:val="20"/>
          <w:color w:val="auto"/>
        </w:rPr>
      </w:pPr>
    </w:p>
    <w:p>
      <w:pPr>
        <w:jc w:val="both"/>
        <w:ind w:left="660" w:right="100" w:firstLine="648"/>
        <w:spacing w:after="0" w:line="260"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177" w:lineRule="exact"/>
        <w:rPr>
          <w:sz w:val="20"/>
          <w:szCs w:val="20"/>
          <w:color w:val="auto"/>
        </w:rPr>
      </w:pPr>
    </w:p>
    <w:p>
      <w:pPr>
        <w:ind w:left="660" w:right="200" w:firstLine="648"/>
        <w:spacing w:after="0" w:line="300" w:lineRule="auto"/>
        <w:rPr>
          <w:sz w:val="20"/>
          <w:szCs w:val="20"/>
          <w:color w:val="auto"/>
        </w:rPr>
      </w:pPr>
      <w:r>
        <w:rPr>
          <w:rFonts w:ascii="Arial" w:cs="Arial" w:eastAsia="Arial" w:hAnsi="Arial"/>
          <w:sz w:val="19"/>
          <w:szCs w:val="19"/>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88" w:lineRule="exact"/>
        <w:rPr>
          <w:sz w:val="20"/>
          <w:szCs w:val="20"/>
          <w:color w:val="auto"/>
        </w:rPr>
      </w:pPr>
    </w:p>
    <w:p>
      <w:pPr>
        <w:jc w:val="both"/>
        <w:ind w:left="660" w:right="420" w:firstLine="648"/>
        <w:spacing w:after="0" w:line="260" w:lineRule="auto"/>
        <w:rPr>
          <w:sz w:val="20"/>
          <w:szCs w:val="20"/>
          <w:color w:val="auto"/>
        </w:rPr>
      </w:pPr>
      <w:r>
        <w:rPr>
          <w:rFonts w:ascii="Arial" w:cs="Arial" w:eastAsia="Arial" w:hAnsi="Arial"/>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77" w:lineRule="exact"/>
        <w:rPr>
          <w:sz w:val="20"/>
          <w:szCs w:val="20"/>
          <w:color w:val="auto"/>
        </w:rPr>
      </w:pPr>
    </w:p>
    <w:p>
      <w:pPr>
        <w:ind w:right="180" w:firstLine="656"/>
        <w:spacing w:after="0" w:line="260" w:lineRule="auto"/>
        <w:tabs>
          <w:tab w:leader="none" w:pos="99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7" w:lineRule="exact"/>
        <w:rPr>
          <w:rFonts w:ascii="Arial" w:cs="Arial" w:eastAsia="Arial" w:hAnsi="Arial"/>
          <w:sz w:val="22"/>
          <w:szCs w:val="22"/>
          <w:color w:val="auto"/>
        </w:rPr>
      </w:pPr>
    </w:p>
    <w:p>
      <w:pPr>
        <w:ind w:firstLine="656"/>
        <w:spacing w:after="0" w:line="290" w:lineRule="auto"/>
        <w:tabs>
          <w:tab w:leader="none" w:pos="990"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6" w:lineRule="exact"/>
        <w:rPr>
          <w:rFonts w:ascii="Arial" w:cs="Arial" w:eastAsia="Arial" w:hAnsi="Arial"/>
          <w:sz w:val="19"/>
          <w:szCs w:val="19"/>
          <w:color w:val="auto"/>
        </w:rPr>
      </w:pPr>
    </w:p>
    <w:p>
      <w:pPr>
        <w:ind w:left="1000" w:hanging="344"/>
        <w:spacing w:after="0"/>
        <w:tabs>
          <w:tab w:leader="none" w:pos="10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56" w:name="page157"/>
    <w:bookmarkEnd w:id="156"/>
    <w:p>
      <w:pPr>
        <w:ind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ind w:left="1300" w:right="80" w:hanging="331"/>
        <w:spacing w:after="0" w:line="250" w:lineRule="auto"/>
        <w:tabs>
          <w:tab w:leader="none" w:pos="1300" w:val="left"/>
        </w:tabs>
        <w:numPr>
          <w:ilvl w:val="0"/>
          <w:numId w:val="68"/>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300" w:right="940" w:hanging="331"/>
        <w:spacing w:after="0" w:line="263" w:lineRule="auto"/>
        <w:tabs>
          <w:tab w:leader="none" w:pos="1300" w:val="left"/>
        </w:tabs>
        <w:numPr>
          <w:ilvl w:val="0"/>
          <w:numId w:val="68"/>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300" w:hanging="331"/>
        <w:spacing w:after="0"/>
        <w:tabs>
          <w:tab w:leader="none" w:pos="1300" w:val="left"/>
        </w:tabs>
        <w:numPr>
          <w:ilvl w:val="0"/>
          <w:numId w:val="68"/>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60" w:lineRule="exact"/>
        <w:rPr>
          <w:rFonts w:ascii="Arial" w:cs="Arial" w:eastAsia="Arial" w:hAnsi="Arial"/>
          <w:sz w:val="18"/>
          <w:szCs w:val="18"/>
          <w:i w:val="1"/>
          <w:iCs w:val="1"/>
          <w:color w:val="auto"/>
        </w:rPr>
      </w:pPr>
    </w:p>
    <w:p>
      <w:pPr>
        <w:ind w:left="1300" w:right="80" w:hanging="331"/>
        <w:spacing w:after="0" w:line="247" w:lineRule="auto"/>
        <w:tabs>
          <w:tab w:leader="none" w:pos="1300" w:val="left"/>
        </w:tabs>
        <w:numPr>
          <w:ilvl w:val="0"/>
          <w:numId w:val="68"/>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1300" w:right="640" w:hanging="331"/>
        <w:spacing w:after="0" w:line="263" w:lineRule="auto"/>
        <w:tabs>
          <w:tab w:leader="none" w:pos="1300" w:val="left"/>
        </w:tabs>
        <w:numPr>
          <w:ilvl w:val="0"/>
          <w:numId w:val="68"/>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900" w:top="375" w:right="259" w:bottom="1440" w:gutter="0" w:footer="0" w:header="0"/>
        </w:sectPr>
      </w:pPr>
    </w:p>
    <w:bookmarkStart w:id="157" w:name="page158"/>
    <w:bookmarkEnd w:id="157"/>
    <w:p>
      <w:pPr>
        <w:ind w:left="760" w:right="60" w:hanging="331"/>
        <w:spacing w:after="0" w:line="247" w:lineRule="auto"/>
        <w:tabs>
          <w:tab w:leader="none" w:pos="760" w:val="left"/>
        </w:tabs>
        <w:numPr>
          <w:ilvl w:val="0"/>
          <w:numId w:val="69"/>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69"/>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69"/>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19" w:lineRule="exact"/>
        <w:rPr>
          <w:rFonts w:ascii="Arial" w:cs="Arial" w:eastAsia="Arial" w:hAnsi="Arial"/>
          <w:sz w:val="18"/>
          <w:szCs w:val="18"/>
          <w:i w:val="1"/>
          <w:iCs w:val="1"/>
          <w:color w:val="auto"/>
        </w:rPr>
      </w:pPr>
    </w:p>
    <w:p>
      <w:pPr>
        <w:ind w:left="1400" w:hanging="647"/>
        <w:spacing w:after="0" w:line="259" w:lineRule="auto"/>
        <w:tabs>
          <w:tab w:leader="none" w:pos="1076" w:val="left"/>
        </w:tabs>
        <w:numPr>
          <w:ilvl w:val="1"/>
          <w:numId w:val="69"/>
        </w:numPr>
        <w:rPr>
          <w:rFonts w:ascii="Arial" w:cs="Arial" w:eastAsia="Arial" w:hAnsi="Arial"/>
          <w:sz w:val="17"/>
          <w:szCs w:val="17"/>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24" w:lineRule="exact"/>
        <w:rPr>
          <w:rFonts w:ascii="Arial" w:cs="Arial" w:eastAsia="Arial" w:hAnsi="Arial"/>
          <w:sz w:val="17"/>
          <w:szCs w:val="17"/>
          <w:color w:val="auto"/>
        </w:rPr>
      </w:pPr>
    </w:p>
    <w:p>
      <w:pPr>
        <w:ind w:left="1400" w:right="40" w:hanging="647"/>
        <w:spacing w:after="0" w:line="302" w:lineRule="auto"/>
        <w:tabs>
          <w:tab w:leader="none" w:pos="1076" w:val="left"/>
        </w:tabs>
        <w:numPr>
          <w:ilvl w:val="1"/>
          <w:numId w:val="69"/>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83" w:lineRule="exact"/>
        <w:rPr>
          <w:rFonts w:ascii="Arial" w:cs="Arial" w:eastAsia="Arial" w:hAnsi="Arial"/>
          <w:sz w:val="16"/>
          <w:szCs w:val="16"/>
          <w:color w:val="auto"/>
        </w:rPr>
      </w:pPr>
    </w:p>
    <w:p>
      <w:pPr>
        <w:ind w:left="1400" w:right="60" w:hanging="647"/>
        <w:spacing w:after="0" w:line="248" w:lineRule="auto"/>
        <w:tabs>
          <w:tab w:leader="none" w:pos="1076" w:val="left"/>
        </w:tabs>
        <w:numPr>
          <w:ilvl w:val="1"/>
          <w:numId w:val="69"/>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18"/>
          <w:szCs w:val="18"/>
          <w:color w:val="auto"/>
        </w:rPr>
      </w:pPr>
    </w:p>
    <w:p>
      <w:pPr>
        <w:ind w:left="1400" w:right="60" w:hanging="647"/>
        <w:spacing w:after="0" w:line="302" w:lineRule="auto"/>
        <w:tabs>
          <w:tab w:leader="none" w:pos="1076" w:val="left"/>
        </w:tabs>
        <w:numPr>
          <w:ilvl w:val="1"/>
          <w:numId w:val="69"/>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5" w:right="279" w:bottom="1440" w:gutter="0" w:footer="0" w:header="0"/>
        </w:sectPr>
      </w:pPr>
    </w:p>
    <w:bookmarkStart w:id="158" w:name="page159"/>
    <w:bookmarkEnd w:id="158"/>
    <w:p>
      <w:pPr>
        <w:ind w:left="2580" w:hanging="647"/>
        <w:spacing w:after="0" w:line="258" w:lineRule="auto"/>
        <w:tabs>
          <w:tab w:leader="none" w:pos="2256" w:val="left"/>
        </w:tabs>
        <w:numPr>
          <w:ilvl w:val="2"/>
          <w:numId w:val="70"/>
        </w:numPr>
        <w:rPr>
          <w:rFonts w:ascii="Arial" w:cs="Arial" w:eastAsia="Arial" w:hAnsi="Arial"/>
          <w:sz w:val="17"/>
          <w:szCs w:val="17"/>
          <w:color w:val="auto"/>
        </w:rPr>
      </w:pPr>
      <w:r>
        <w:rPr>
          <w:rFonts w:ascii="Arial" w:cs="Arial" w:eastAsia="Arial" w:hAnsi="Arial"/>
          <w:sz w:val="21"/>
          <w:szCs w:val="21"/>
          <w:u w:val="single" w:color="auto"/>
          <w:color w:val="auto"/>
        </w:rPr>
        <w:t>Fees and Costs</w:t>
      </w:r>
      <w:r>
        <w:rPr>
          <w:rFonts w:ascii="Arial" w:cs="Arial" w:eastAsia="Arial" w:hAnsi="Arial"/>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226" w:lineRule="exact"/>
        <w:rPr>
          <w:rFonts w:ascii="Arial" w:cs="Arial" w:eastAsia="Arial" w:hAnsi="Arial"/>
          <w:sz w:val="17"/>
          <w:szCs w:val="17"/>
          <w:color w:val="auto"/>
        </w:rPr>
      </w:pPr>
    </w:p>
    <w:p>
      <w:pPr>
        <w:ind w:left="1940" w:right="340" w:hanging="331"/>
        <w:spacing w:after="0" w:line="302" w:lineRule="auto"/>
        <w:tabs>
          <w:tab w:leader="none" w:pos="1940" w:val="left"/>
        </w:tabs>
        <w:numPr>
          <w:ilvl w:val="1"/>
          <w:numId w:val="71"/>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42" w:lineRule="exact"/>
        <w:rPr>
          <w:rFonts w:ascii="Arial" w:cs="Arial" w:eastAsia="Arial" w:hAnsi="Arial"/>
          <w:sz w:val="16"/>
          <w:szCs w:val="16"/>
          <w:i w:val="1"/>
          <w:iCs w:val="1"/>
          <w:color w:val="auto"/>
        </w:rPr>
      </w:pPr>
    </w:p>
    <w:p>
      <w:pPr>
        <w:ind w:left="-20" w:right="140" w:firstLine="656"/>
        <w:spacing w:after="0" w:line="253" w:lineRule="auto"/>
        <w:tabs>
          <w:tab w:leader="none" w:pos="100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85" w:lineRule="exact"/>
        <w:rPr>
          <w:rFonts w:ascii="Arial" w:cs="Arial" w:eastAsia="Arial" w:hAnsi="Arial"/>
          <w:sz w:val="22"/>
          <w:szCs w:val="22"/>
          <w:color w:val="auto"/>
        </w:rPr>
      </w:pPr>
    </w:p>
    <w:p>
      <w:pPr>
        <w:ind w:left="-20" w:right="200" w:firstLine="656"/>
        <w:spacing w:after="0" w:line="278" w:lineRule="auto"/>
        <w:tabs>
          <w:tab w:leader="none" w:pos="970"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20" w:right="120" w:firstLine="656"/>
        <w:spacing w:after="0" w:line="254" w:lineRule="auto"/>
        <w:tabs>
          <w:tab w:leader="none" w:pos="107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ind w:left="-20" w:right="160" w:firstLine="656"/>
        <w:spacing w:after="0" w:line="307" w:lineRule="auto"/>
        <w:tabs>
          <w:tab w:leader="none" w:pos="107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20" w:right="600" w:firstLine="656"/>
        <w:spacing w:after="0" w:line="276" w:lineRule="auto"/>
        <w:tabs>
          <w:tab w:leader="none" w:pos="107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95" w:lineRule="exact"/>
        <w:rPr>
          <w:sz w:val="20"/>
          <w:szCs w:val="20"/>
          <w:color w:val="auto"/>
        </w:rPr>
      </w:pPr>
    </w:p>
    <w:p>
      <w:pPr>
        <w:ind w:left="640" w:right="240" w:firstLine="648"/>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75" w:right="259" w:bottom="1440" w:gutter="0" w:footer="0" w:header="0"/>
        </w:sectPr>
      </w:pPr>
    </w:p>
    <w:bookmarkStart w:id="159" w:name="page160"/>
    <w:bookmarkEnd w:id="159"/>
    <w:p>
      <w:pPr>
        <w:ind w:left="640"/>
        <w:spacing w:after="0"/>
        <w:tabs>
          <w:tab w:leader="none" w:pos="11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620" w:right="160" w:hanging="651"/>
        <w:spacing w:after="0" w:line="253"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620" w:right="60" w:hanging="651"/>
        <w:spacing w:after="0" w:line="250"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620" w:hanging="651"/>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19" w:lineRule="exact"/>
        <w:rPr>
          <w:rFonts w:ascii="Arial" w:cs="Arial" w:eastAsia="Arial" w:hAnsi="Arial"/>
          <w:sz w:val="18"/>
          <w:szCs w:val="18"/>
          <w:color w:val="auto"/>
        </w:rPr>
      </w:pPr>
    </w:p>
    <w:p>
      <w:pPr>
        <w:ind w:left="1620" w:hanging="651"/>
        <w:spacing w:after="0" w:line="253"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jc w:val="center"/>
        <w:ind w:right="280"/>
        <w:spacing w:after="0"/>
        <w:tabs>
          <w:tab w:leader="none" w:pos="1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4"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900" w:top="369" w:right="239" w:bottom="1440" w:gutter="0" w:footer="0" w:header="0"/>
        </w:sectPr>
      </w:pPr>
    </w:p>
    <w:bookmarkStart w:id="160" w:name="page161"/>
    <w:bookmarkEnd w:id="160"/>
    <w:p>
      <w:pPr>
        <w:ind w:firstLine="648"/>
        <w:spacing w:after="0" w:line="289"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900" w:top="369" w:right="29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22"/>
          <w:szCs w:val="22"/>
          <w:b w:val="1"/>
          <w:bCs w:val="1"/>
          <w:color w:val="auto"/>
        </w:rPr>
        <w:t>ANNEX B</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Performance Share Grant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Effective 2018</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[Eligible Executive Employees]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Total Shareholder Return (TSR) computed over the three-year performance period January 1, 2018 to December 31, 2020.</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w:t>
      </w:r>
    </w:p>
    <w:p>
      <w:pPr>
        <w:spacing w:after="0" w:line="22"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If ALLETE’s TSR ranking is at the 85th percentile or higher among the peer group (superior performance), 200% of the Performance Share Grant will be earned. If ALLETE’s TSR ranking is at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among the peer group (target performance), 100% of the Performance Share Grant will be earned. If ALLETE’s TSR ranking is at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(threshold performance), 50% of the Performance Share Grant will be earned. If TSR ranking is below threshold, no Performance Shares will be earned. Straight-line interpolation will be used to determine earned awards based on the TSR ranking between threshold, target and superior.</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Peer Group:</w:t>
      </w:r>
    </w:p>
    <w:p>
      <w:pPr>
        <w:spacing w:after="0" w:line="22"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The integrated utility companies comprising Edison Electric Institute (EEI) Stock Index as of December 31, 2020 that have been in the EEI Stock Index for at least three years as of December 31, 2020 will constitute the peer group used to determine actual payout results. The table below lists the EEI Stock Index as of December 31, 2017:</w:t>
      </w:r>
    </w:p>
    <w:p>
      <w:pPr>
        <w:spacing w:after="0" w:line="208" w:lineRule="exact"/>
        <w:rPr>
          <w:sz w:val="20"/>
          <w:szCs w:val="20"/>
          <w:color w:val="auto"/>
        </w:rPr>
      </w:pPr>
    </w:p>
    <w:tbl>
      <w:tblPr>
        <w:tblLayout w:type="fixed"/>
        <w:tblInd w:w="610" w:type="dxa"/>
        <w:tblCellMar>
          <w:top w:w="0" w:type="dxa"/>
          <w:left w:w="0" w:type="dxa"/>
          <w:bottom w:w="0" w:type="dxa"/>
          <w:right w:w="0" w:type="dxa"/>
        </w:tblCellMar>
      </w:tblPr>
      <w:tr>
        <w:trPr>
          <w:trHeight w:val="257"/>
        </w:trPr>
        <w:tc>
          <w:tcPr>
            <w:tcW w:w="3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Alliant Energy Corporation</w:t>
            </w:r>
          </w:p>
        </w:tc>
        <w:tc>
          <w:tcPr>
            <w:tcW w:w="3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Entergy Corporation</w:t>
            </w:r>
          </w:p>
        </w:tc>
        <w:tc>
          <w:tcPr>
            <w:tcW w:w="3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PG&amp;E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Ameren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Eversource Energy</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Pinnacle West Capital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Electric Power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Exelon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PNM Resources,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Avangrid,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FirstEnergy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Portland General Electric Company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Avista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Great Plains Energy Incorporated</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PPL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Black Hills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Hawaiian Electric Industries,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Public Service Enterprise Group,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CenterPoint Energy,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IDACORP,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SCANA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CMS Energy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MDU Resources Group,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Sempra Energy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Consolidated Edison,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MGE Energy,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Southern Company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Dominion Resources,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NextEra Energy,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Unitil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DTE Energy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NiSource,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Vectren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Duke Energy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NorthWestern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WEC Energy Group,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Edison International</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OGE Energy Corp.</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Westar Energy,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 Paso Electric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Otter Tail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Xcel Energy,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Any Company that is no longer included in the EEI Stock Index as of December 31, 2020 due to corporate restructuring during the performance period (e.g., mergers, acquisitions, divestitures, spin-offs, etc.) will be excluded from the results calculation entirely. If a corporate restructuring during the performance 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ectPr>
          <w:pgSz w:w="11900" w:h="16838" w:orient="portrait"/>
          <w:cols w:equalWidth="0" w:num="1">
            <w:col w:w="11400"/>
          </w:cols>
          <w:pgMar w:left="240" w:top="369" w:right="25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Exhibit 12</w:t>
            </w:r>
          </w:p>
        </w:tc>
      </w:tr>
      <w:tr>
        <w:trPr>
          <w:trHeight w:val="414"/>
        </w:trPr>
        <w:tc>
          <w:tcPr>
            <w:tcW w:w="108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5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Computation of Ratios of Earnings to Fixed Charges (Unaudited)</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4"/>
        </w:trPr>
        <w:tc>
          <w:tcPr>
            <w:tcW w:w="68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4"/>
                <w:szCs w:val="24"/>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68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as Defined</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840" w:type="dxa"/>
            <w:vAlign w:val="bottom"/>
            <w:gridSpan w:val="2"/>
          </w:tcPr>
          <w:p>
            <w:pPr>
              <w:ind w:left="380"/>
              <w:spacing w:after="0"/>
              <w:rPr>
                <w:sz w:val="20"/>
                <w:szCs w:val="20"/>
                <w:color w:val="auto"/>
              </w:rPr>
            </w:pPr>
            <w:r>
              <w:rPr>
                <w:rFonts w:ascii="Arial" w:cs="Arial" w:eastAsia="Arial" w:hAnsi="Arial"/>
                <w:sz w:val="18"/>
                <w:szCs w:val="18"/>
                <w:color w:val="auto"/>
              </w:rPr>
              <w:t>Pretax Income Before Non-Controlling 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$186.9</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$175.6</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$166.8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$162.2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4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w:t>
            </w: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68.7</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73.0</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71.9</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21"/>
                <w:szCs w:val="21"/>
                <w:color w:val="auto"/>
              </w:rPr>
            </w:pPr>
          </w:p>
        </w:tc>
      </w:tr>
      <w:tr>
        <w:trPr>
          <w:trHeight w:val="243"/>
        </w:trPr>
        <w:tc>
          <w:tcPr>
            <w:tcW w:w="1080" w:type="dxa"/>
            <w:vAlign w:val="bottom"/>
          </w:tcPr>
          <w:p>
            <w:pPr>
              <w:ind w:left="380"/>
              <w:spacing w:after="0"/>
              <w:rPr>
                <w:sz w:val="20"/>
                <w:szCs w:val="20"/>
                <w:color w:val="auto"/>
              </w:rPr>
            </w:pPr>
            <w:r>
              <w:rPr>
                <w:rFonts w:ascii="Arial" w:cs="Arial" w:eastAsia="Arial" w:hAnsi="Arial"/>
                <w:sz w:val="18"/>
                <w:szCs w:val="18"/>
                <w:color w:val="auto"/>
              </w:rPr>
              <w:t>Less:</w:t>
            </w:r>
          </w:p>
        </w:tc>
        <w:tc>
          <w:tcPr>
            <w:tcW w:w="5760" w:type="dxa"/>
            <w:vAlign w:val="bottom"/>
          </w:tcPr>
          <w:p>
            <w:pPr>
              <w:spacing w:after="0"/>
              <w:rPr>
                <w:sz w:val="20"/>
                <w:szCs w:val="20"/>
                <w:color w:val="auto"/>
              </w:rPr>
            </w:pPr>
            <w:r>
              <w:rPr>
                <w:rFonts w:ascii="Arial" w:cs="Arial" w:eastAsia="Arial" w:hAnsi="Arial"/>
                <w:sz w:val="18"/>
                <w:szCs w:val="18"/>
                <w:color w:val="auto"/>
                <w:w w:val="96"/>
              </w:rPr>
              <w:t>Undistributed Income from Less than 50 percent Owned Equity Investment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r>
      <w:tr>
        <w:trPr>
          <w:trHeight w:val="27"/>
        </w:trPr>
        <w:tc>
          <w:tcPr>
            <w:tcW w:w="68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as Defined</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$252.3</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$242.9</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$236.9</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40" w:type="dxa"/>
            <w:vAlign w:val="bottom"/>
          </w:tcPr>
          <w:p>
            <w:pPr>
              <w:spacing w:after="0"/>
              <w:rPr>
                <w:sz w:val="22"/>
                <w:szCs w:val="22"/>
                <w:color w:val="auto"/>
              </w:rPr>
            </w:pPr>
          </w:p>
        </w:tc>
      </w:tr>
      <w:tr>
        <w:trPr>
          <w:trHeight w:val="318"/>
        </w:trPr>
        <w:tc>
          <w:tcPr>
            <w:tcW w:w="1080" w:type="dxa"/>
            <w:vAlign w:val="bottom"/>
            <w:tcBorders>
              <w:top w:val="single" w:sz="8" w:color="auto"/>
            </w:tcBorders>
          </w:tcPr>
          <w:p>
            <w:pPr>
              <w:spacing w:after="0"/>
              <w:rPr>
                <w:sz w:val="24"/>
                <w:szCs w:val="24"/>
                <w:color w:val="auto"/>
              </w:rPr>
            </w:pPr>
          </w:p>
        </w:tc>
        <w:tc>
          <w:tcPr>
            <w:tcW w:w="57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Fixed Charges</w:t>
            </w:r>
          </w:p>
        </w:tc>
        <w:tc>
          <w:tcPr>
            <w:tcW w:w="5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840" w:type="dxa"/>
            <w:vAlign w:val="bottom"/>
            <w:gridSpan w:val="2"/>
          </w:tcPr>
          <w:p>
            <w:pPr>
              <w:ind w:left="380"/>
              <w:spacing w:after="0"/>
              <w:rPr>
                <w:sz w:val="20"/>
                <w:szCs w:val="20"/>
                <w:color w:val="auto"/>
              </w:rPr>
            </w:pPr>
            <w:r>
              <w:rPr>
                <w:rFonts w:ascii="Arial" w:cs="Arial" w:eastAsia="Arial" w:hAnsi="Arial"/>
                <w:sz w:val="18"/>
                <w:szCs w:val="18"/>
                <w:color w:val="auto"/>
              </w:rPr>
              <w:t>Interest on Long-Term Debt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$60.6</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$64.7</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$64.7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21"/>
                <w:szCs w:val="21"/>
                <w:color w:val="auto"/>
              </w:rPr>
            </w:pPr>
          </w:p>
        </w:tc>
      </w:tr>
      <w:tr>
        <w:trPr>
          <w:trHeight w:val="27"/>
        </w:trPr>
        <w:tc>
          <w:tcPr>
            <w:tcW w:w="68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Interest Charges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r>
      <w:tr>
        <w:trPr>
          <w:trHeight w:val="243"/>
        </w:trPr>
        <w:tc>
          <w:tcPr>
            <w:tcW w:w="6840" w:type="dxa"/>
            <w:vAlign w:val="bottom"/>
            <w:gridSpan w:val="2"/>
          </w:tcPr>
          <w:p>
            <w:pPr>
              <w:ind w:left="380"/>
              <w:spacing w:after="0"/>
              <w:rPr>
                <w:sz w:val="20"/>
                <w:szCs w:val="20"/>
                <w:color w:val="auto"/>
              </w:rPr>
            </w:pPr>
            <w:r>
              <w:rPr>
                <w:rFonts w:ascii="Arial" w:cs="Arial" w:eastAsia="Arial" w:hAnsi="Arial"/>
                <w:sz w:val="18"/>
                <w:szCs w:val="18"/>
                <w:color w:val="auto"/>
              </w:rPr>
              <w:t xml:space="preserve">Interest Component of All Rentals </w:t>
            </w:r>
            <w:r>
              <w:rPr>
                <w:rFonts w:ascii="Arial" w:cs="Arial" w:eastAsia="Arial" w:hAnsi="Arial"/>
                <w:sz w:val="18"/>
                <w:szCs w:val="18"/>
                <w:i w:val="1"/>
                <w:iCs w:val="1"/>
                <w:color w:val="auto"/>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r>
      <w:tr>
        <w:trPr>
          <w:trHeight w:val="27"/>
        </w:trPr>
        <w:tc>
          <w:tcPr>
            <w:tcW w:w="68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6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Fixed Charges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$68.7</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$73.0</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$71.9</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22"/>
                <w:szCs w:val="22"/>
                <w:color w:val="auto"/>
              </w:rPr>
            </w:pPr>
          </w:p>
        </w:tc>
      </w:tr>
      <w:tr>
        <w:trPr>
          <w:trHeight w:val="237"/>
        </w:trPr>
        <w:tc>
          <w:tcPr>
            <w:tcW w:w="6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3.67</w:t>
            </w: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3.33</w:t>
            </w: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3.29</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0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6">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interest portion of rents estimated at 33 1/3 percent.</w:t>
      </w:r>
    </w:p>
    <w:p>
      <w:pPr>
        <w:sectPr>
          <w:pgSz w:w="11900" w:h="16838" w:orient="portrait"/>
          <w:cols w:equalWidth="0" w:num="1">
            <w:col w:w="11420"/>
          </w:cols>
          <w:pgMar w:left="240" w:top="580"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20" w:type="dxa"/>
            <w:vAlign w:val="bottom"/>
            <w:gridSpan w:val="2"/>
          </w:tcPr>
          <w:p>
            <w:pPr>
              <w:ind w:left="202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441"/>
        </w:trPr>
        <w:tc>
          <w:tcPr>
            <w:tcW w:w="8600" w:type="dxa"/>
            <w:vAlign w:val="bottom"/>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0" w:type="dxa"/>
            <w:vAlign w:val="bottom"/>
          </w:tcPr>
          <w:p>
            <w:pPr>
              <w:ind w:left="4760"/>
              <w:spacing w:after="0"/>
              <w:rPr>
                <w:sz w:val="20"/>
                <w:szCs w:val="20"/>
                <w:color w:val="auto"/>
              </w:rPr>
            </w:pPr>
            <w:r>
              <w:rPr>
                <w:rFonts w:ascii="Arial" w:cs="Arial" w:eastAsia="Arial" w:hAnsi="Arial"/>
                <w:sz w:val="18"/>
                <w:szCs w:val="18"/>
                <w:b w:val="1"/>
                <w:bCs w:val="1"/>
                <w:color w:val="auto"/>
              </w:rPr>
              <w:t>As of December 31, 2017</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0" w:type="dxa"/>
            <w:vAlign w:val="bottom"/>
          </w:tcPr>
          <w:p>
            <w:pPr>
              <w:ind w:left="4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8"/>
                <w:szCs w:val="18"/>
                <w:i w:val="1"/>
                <w:iCs w:val="1"/>
                <w:color w:val="auto"/>
              </w:rPr>
              <w:t>(a)</w:t>
            </w:r>
          </w:p>
        </w:tc>
        <w:tc>
          <w:tcPr>
            <w:tcW w:w="282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92"/>
              </w:rPr>
              <w:t>State or Country</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800" w:type="dxa"/>
            <w:vAlign w:val="bottom"/>
            <w:tcBorders>
              <w:top w:val="single" w:sz="8" w:color="auto"/>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80"/>
              <w:spacing w:after="0"/>
              <w:rPr>
                <w:sz w:val="20"/>
                <w:szCs w:val="20"/>
                <w:color w:val="auto"/>
              </w:rPr>
            </w:pPr>
            <w:r>
              <w:rPr>
                <w:rFonts w:ascii="Arial" w:cs="Arial" w:eastAsia="Arial" w:hAnsi="Arial"/>
                <w:sz w:val="18"/>
                <w:szCs w:val="18"/>
                <w:i w:val="1"/>
                <w:iCs w:val="1"/>
                <w:color w:val="auto"/>
              </w:rPr>
              <w:t>Minnesota Power &amp; Light Company)</w:t>
            </w: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80"/>
              <w:spacing w:after="0"/>
              <w:rPr>
                <w:sz w:val="20"/>
                <w:szCs w:val="20"/>
                <w:color w:val="auto"/>
              </w:rPr>
            </w:pPr>
            <w:r>
              <w:rPr>
                <w:rFonts w:ascii="Arial" w:cs="Arial" w:eastAsia="Arial" w:hAnsi="Arial"/>
                <w:sz w:val="18"/>
                <w:szCs w:val="18"/>
                <w:color w:val="auto"/>
              </w:rPr>
              <w:t>ALLETE Enterprises,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Clean Energy,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ACE Wind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Mid-West Holdings,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MWW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Lake Benton Power Associates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580"/>
              <w:spacing w:after="0"/>
              <w:rPr>
                <w:sz w:val="20"/>
                <w:szCs w:val="20"/>
                <w:color w:val="auto"/>
              </w:rPr>
            </w:pPr>
            <w:r>
              <w:rPr>
                <w:rFonts w:ascii="Arial" w:cs="Arial" w:eastAsia="Arial" w:hAnsi="Arial"/>
                <w:sz w:val="18"/>
                <w:szCs w:val="18"/>
                <w:color w:val="auto"/>
              </w:rPr>
              <w:t>Lake Benton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Lake Benton Power Partners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360"/>
              <w:spacing w:after="0"/>
              <w:rPr>
                <w:sz w:val="20"/>
                <w:szCs w:val="20"/>
                <w:color w:val="auto"/>
              </w:rPr>
            </w:pPr>
            <w:r>
              <w:rPr>
                <w:rFonts w:ascii="Arial" w:cs="Arial" w:eastAsia="Arial" w:hAnsi="Arial"/>
                <w:sz w:val="18"/>
                <w:szCs w:val="18"/>
                <w:color w:val="auto"/>
              </w:rPr>
              <w:t>Storm Lake Power Partners I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Storm Lake II Power Associates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580"/>
              <w:spacing w:after="0"/>
              <w:rPr>
                <w:sz w:val="20"/>
                <w:szCs w:val="20"/>
                <w:color w:val="auto"/>
              </w:rPr>
            </w:pPr>
            <w:r>
              <w:rPr>
                <w:rFonts w:ascii="Arial" w:cs="Arial" w:eastAsia="Arial" w:hAnsi="Arial"/>
                <w:sz w:val="18"/>
                <w:szCs w:val="18"/>
                <w:color w:val="auto"/>
              </w:rPr>
              <w:t>Storm Lake II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Storm Lake Power Partners II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360"/>
              <w:spacing w:after="0"/>
              <w:rPr>
                <w:sz w:val="20"/>
                <w:szCs w:val="20"/>
                <w:color w:val="auto"/>
              </w:rPr>
            </w:pPr>
            <w:r>
              <w:rPr>
                <w:rFonts w:ascii="Arial" w:cs="Arial" w:eastAsia="Arial" w:hAnsi="Arial"/>
                <w:sz w:val="18"/>
                <w:szCs w:val="18"/>
                <w:color w:val="auto"/>
              </w:rPr>
              <w:t>New Salem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Glen Ullin Energy Center,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Northern Wind Energy,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Chanarambie Power Partners,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360"/>
              <w:spacing w:after="0"/>
              <w:rPr>
                <w:sz w:val="20"/>
                <w:szCs w:val="20"/>
                <w:color w:val="auto"/>
              </w:rPr>
            </w:pPr>
            <w:r>
              <w:rPr>
                <w:rFonts w:ascii="Arial" w:cs="Arial" w:eastAsia="Arial" w:hAnsi="Arial"/>
                <w:sz w:val="18"/>
                <w:szCs w:val="18"/>
                <w:color w:val="auto"/>
              </w:rPr>
              <w:t>Viking Wind Holdings,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West Holdings,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Condon Wind Power,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Armenia Holdings,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AMW I Holding,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Armenia Mountain Wind,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1140"/>
              <w:spacing w:after="0"/>
              <w:rPr>
                <w:sz w:val="20"/>
                <w:szCs w:val="20"/>
                <w:color w:val="auto"/>
              </w:rPr>
            </w:pPr>
            <w:r>
              <w:rPr>
                <w:rFonts w:ascii="Arial" w:cs="Arial" w:eastAsia="Arial" w:hAnsi="Arial"/>
                <w:sz w:val="18"/>
                <w:szCs w:val="18"/>
                <w:color w:val="auto"/>
              </w:rPr>
              <w:t>Armenia Mountain Wind II,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Thunder Spirit Wind,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ACE O&amp;M,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Power Systems,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ALLETE Renewable Resources,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North Dakota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Transmission Holdings,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BNI Energy,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North Dakota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BNI Coal, Ltd.</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North Dakota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Global Water Services Holding Company,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 Water Services,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920"/>
              <w:spacing w:after="0"/>
              <w:rPr>
                <w:sz w:val="20"/>
                <w:szCs w:val="20"/>
                <w:color w:val="auto"/>
              </w:rPr>
            </w:pPr>
            <w:r>
              <w:rPr>
                <w:rFonts w:ascii="Arial" w:cs="Arial" w:eastAsia="Arial" w:hAnsi="Arial"/>
                <w:sz w:val="18"/>
                <w:szCs w:val="18"/>
                <w:color w:val="auto"/>
              </w:rPr>
              <w:t>U.S. Water Services – Canada, Inc.</w:t>
            </w:r>
          </w:p>
        </w:tc>
        <w:tc>
          <w:tcPr>
            <w:tcW w:w="2820" w:type="dxa"/>
            <w:vAlign w:val="bottom"/>
            <w:gridSpan w:val="2"/>
            <w:vMerge w:val="restart"/>
          </w:tcPr>
          <w:p>
            <w:pPr>
              <w:jc w:val="center"/>
              <w:ind w:left="990"/>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MP Affiliate Resources,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Rainy River Energy Corporation</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South Shore Energy,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Upper Minnesota Properties,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Upper Minnesota Properties - Development, Inc.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Commercial,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500"/>
              <w:spacing w:after="0"/>
              <w:rPr>
                <w:sz w:val="20"/>
                <w:szCs w:val="20"/>
                <w:color w:val="auto"/>
              </w:rPr>
            </w:pPr>
            <w:r>
              <w:rPr>
                <w:rFonts w:ascii="Arial" w:cs="Arial" w:eastAsia="Arial" w:hAnsi="Arial"/>
                <w:sz w:val="18"/>
                <w:szCs w:val="18"/>
                <w:color w:val="auto"/>
              </w:rPr>
              <w:t>Lehigh Acquisition,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Florida Landmark Communities,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920"/>
              <w:spacing w:after="0"/>
              <w:rPr>
                <w:sz w:val="20"/>
                <w:szCs w:val="20"/>
                <w:color w:val="auto"/>
              </w:rPr>
            </w:pPr>
            <w:r>
              <w:rPr>
                <w:rFonts w:ascii="Arial" w:cs="Arial" w:eastAsia="Arial" w:hAnsi="Arial"/>
                <w:sz w:val="18"/>
                <w:szCs w:val="18"/>
                <w:color w:val="auto"/>
              </w:rPr>
              <w:t>Lehigh Corporation</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Mardem,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920"/>
              <w:spacing w:after="0"/>
              <w:rPr>
                <w:sz w:val="20"/>
                <w:szCs w:val="20"/>
                <w:color w:val="auto"/>
              </w:rPr>
            </w:pPr>
            <w:r>
              <w:rPr>
                <w:rFonts w:ascii="Arial" w:cs="Arial" w:eastAsia="Arial" w:hAnsi="Arial"/>
                <w:sz w:val="18"/>
                <w:szCs w:val="18"/>
                <w:color w:val="auto"/>
              </w:rPr>
              <w:t>Palm Coast Holdings, Inc.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Port Orange Holdings, LLC</w:t>
            </w:r>
          </w:p>
        </w:tc>
        <w:tc>
          <w:tcPr>
            <w:tcW w:w="2800" w:type="dxa"/>
            <w:vAlign w:val="bottom"/>
            <w:tcBorders>
              <w:bottom w:val="single" w:sz="8" w:color="CCEEFF"/>
            </w:tcBorders>
            <w:shd w:val="clear" w:color="auto" w:fill="CCEEFF"/>
          </w:tcPr>
          <w:p>
            <w:pPr>
              <w:jc w:val="center"/>
              <w:ind w:left="99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720"/>
              <w:spacing w:after="0"/>
              <w:rPr>
                <w:sz w:val="20"/>
                <w:szCs w:val="20"/>
                <w:color w:val="auto"/>
              </w:rPr>
            </w:pPr>
            <w:r>
              <w:rPr>
                <w:rFonts w:ascii="Arial" w:cs="Arial" w:eastAsia="Arial" w:hAnsi="Arial"/>
                <w:sz w:val="18"/>
                <w:szCs w:val="18"/>
                <w:color w:val="auto"/>
              </w:rPr>
              <w:t>Interlachen Lakes Estates, LLC</w:t>
            </w:r>
          </w:p>
        </w:tc>
        <w:tc>
          <w:tcPr>
            <w:tcW w:w="2820" w:type="dxa"/>
            <w:vAlign w:val="bottom"/>
            <w:gridSpan w:val="2"/>
          </w:tcPr>
          <w:p>
            <w:pPr>
              <w:jc w:val="center"/>
              <w:ind w:left="97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1" w:right="239" w:bottom="847" w:gutter="0" w:footer="0" w:header="0"/>
        </w:sect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5"/>
          <w:szCs w:val="15"/>
          <w:i w:val="1"/>
          <w:iCs w:val="1"/>
          <w:color w:val="auto"/>
        </w:rPr>
        <w:t>Certain insignificant subsidiaries are omitted.</w:t>
      </w:r>
    </w:p>
    <w:p>
      <w:pPr>
        <w:sectPr>
          <w:pgSz w:w="11900" w:h="16838" w:orient="portrait"/>
          <w:cols w:equalWidth="0" w:num="1">
            <w:col w:w="11420"/>
          </w:cols>
          <w:pgMar w:left="240" w:top="121" w:right="239" w:bottom="847" w:gutter="0" w:footer="0" w:header="0"/>
          <w:type w:val="continuous"/>
        </w:sectPr>
      </w:pPr>
    </w:p>
    <w:bookmarkStart w:id="164" w:name="page165"/>
    <w:bookmarkEnd w:id="164"/>
    <w:tbl>
      <w:tblPr>
        <w:tblLayout w:type="fixed"/>
        <w:tblInd w:w="4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760" w:type="dxa"/>
            <w:vAlign w:val="bottom"/>
            <w:gridSpan w:val="2"/>
          </w:tcPr>
          <w:p>
            <w:pPr>
              <w:ind w:left="3960"/>
              <w:spacing w:after="0"/>
              <w:rPr>
                <w:sz w:val="20"/>
                <w:szCs w:val="20"/>
                <w:color w:val="auto"/>
              </w:rPr>
            </w:pPr>
            <w:r>
              <w:rPr>
                <w:rFonts w:ascii="Arial" w:cs="Arial" w:eastAsia="Arial" w:hAnsi="Arial"/>
                <w:sz w:val="18"/>
                <w:szCs w:val="18"/>
                <w:b w:val="1"/>
                <w:bCs w:val="1"/>
                <w:color w:val="auto"/>
                <w:w w:val="91"/>
              </w:rPr>
              <w:t>Exhibit 21</w:t>
            </w:r>
          </w:p>
        </w:tc>
      </w:tr>
      <w:tr>
        <w:trPr>
          <w:trHeight w:val="446"/>
        </w:trPr>
        <w:tc>
          <w:tcPr>
            <w:tcW w:w="66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8"/>
                <w:szCs w:val="18"/>
                <w:i w:val="1"/>
                <w:iCs w:val="1"/>
                <w:color w:val="auto"/>
              </w:rPr>
              <w:t>(a)</w:t>
            </w:r>
          </w:p>
        </w:tc>
        <w:tc>
          <w:tcPr>
            <w:tcW w:w="4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92"/>
              </w:rPr>
              <w:t>State or Country</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44"/>
        </w:trPr>
        <w:tc>
          <w:tcPr>
            <w:tcW w:w="662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Palm Coast Land, LLC</w:t>
            </w:r>
          </w:p>
        </w:tc>
        <w:tc>
          <w:tcPr>
            <w:tcW w:w="4740" w:type="dxa"/>
            <w:vAlign w:val="bottom"/>
            <w:tcBorders>
              <w:top w:val="single" w:sz="8" w:color="auto"/>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ALLETE Water Services, Inc.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1"/>
              </w:rPr>
              <w:t>Minnesota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Florida Water Services Corporation</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6620" w:type="dxa"/>
            <w:vAlign w:val="bottom"/>
          </w:tcPr>
          <w:p>
            <w:pPr>
              <w:ind w:left="700"/>
              <w:spacing w:after="0"/>
              <w:rPr>
                <w:sz w:val="20"/>
                <w:szCs w:val="20"/>
                <w:color w:val="auto"/>
              </w:rPr>
            </w:pPr>
            <w:r>
              <w:rPr>
                <w:rFonts w:ascii="Arial" w:cs="Arial" w:eastAsia="Arial" w:hAnsi="Arial"/>
                <w:sz w:val="18"/>
                <w:szCs w:val="18"/>
                <w:color w:val="auto"/>
              </w:rPr>
              <w:t>Energy Replacement Property, LLC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1"/>
              </w:rPr>
              <w:t>Minnesota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Land, Incorporated</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Lakeview Financial Corporation I</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1"/>
              </w:rPr>
              <w:t>Minnesota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Lakeview Financial Corporation II</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MP Investments, Inc.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89"/>
              </w:rPr>
              <w:t>Delaware</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RendField Land Company, Inc.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Superior Water, Light and Power Company</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2"/>
              </w:rPr>
              <w:t>Wisconsin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7203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5"/>
          <w:szCs w:val="15"/>
          <w:i w:val="1"/>
          <w:iCs w:val="1"/>
          <w:color w:val="auto"/>
        </w:rPr>
        <w:t>Certain insignificant subsidiaries are omitted.</w:t>
      </w:r>
    </w:p>
    <w:p>
      <w:pPr>
        <w:sectPr>
          <w:pgSz w:w="11900" w:h="16838" w:orient="portrait"/>
          <w:cols w:equalWidth="0" w:num="1">
            <w:col w:w="11420"/>
          </w:cols>
          <w:pgMar w:left="240" w:top="12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60"/>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Statements on Form S-3 (Nos. 333-212794, 333-211075) and Form S-8 (Nos. 333-162890, 333-183051, 333-190336, 333-207846) of ALLETE, Inc. of our report dated February 15, 2018, relating to the financial statements, financial statement schedule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ectPr>
          <w:pgSz w:w="11900" w:h="16838" w:orient="portrait"/>
          <w:cols w:equalWidth="0" w:num="1">
            <w:col w:w="11420"/>
          </w:cols>
          <w:pgMar w:left="240" w:top="12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Alan R. Hodnik, certify that:</w:t>
      </w:r>
    </w:p>
    <w:p>
      <w:pPr>
        <w:spacing w:after="0" w:line="22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2017,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15, 2018</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31750</wp:posOffset>
            </wp:positionV>
            <wp:extent cx="39789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Robert J. Adams, certify that:</w:t>
      </w:r>
    </w:p>
    <w:p>
      <w:pPr>
        <w:spacing w:after="0" w:line="22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2017,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15, 2018</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2017,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2018</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0">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2018</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$484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For the quarter ended December 31, 2017, BNI Energy, owner of Center Mine, received three citations under Section 104(a) of the Mine Safety Act, none of which were significant and substantial (S&amp;S) citations; eighteen citations were received for the year ended December 31, 2017, one of which was a S&amp;S citation. The total proposed penalties on BNI with respect to the three citations were $484. For the year ended December 31, 2017, BNI Energy paid $2,871 in penalties for citations closed during the period. For the year ended December 31, 2017,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170" w:name="page171"/>
    <w:bookmarkEnd w:id="170"/>
    <w:p>
      <w:pPr>
        <w:ind w:left="10640"/>
        <w:spacing w:after="0"/>
        <w:rPr>
          <w:sz w:val="20"/>
          <w:szCs w:val="20"/>
          <w:color w:val="auto"/>
        </w:rPr>
      </w:pPr>
      <w:r>
        <w:rPr>
          <w:rFonts w:ascii="Arial" w:cs="Arial" w:eastAsia="Arial" w:hAnsi="Arial"/>
          <w:sz w:val="17"/>
          <w:szCs w:val="17"/>
          <w:color w:val="auto"/>
        </w:rPr>
        <w:t>Exhibit 99</w:t>
      </w:r>
    </w:p>
    <w:p>
      <w:pPr>
        <w:sectPr>
          <w:pgSz w:w="11900" w:h="16838" w:orient="portrait"/>
          <w:cols w:equalWidth="0" w:num="1">
            <w:col w:w="11400"/>
          </w:cols>
          <w:pgMar w:left="240" w:top="1260" w:right="259" w:bottom="1440" w:gutter="0" w:footer="0" w:header="0"/>
        </w:sectPr>
      </w:pPr>
    </w:p>
    <w:p>
      <w:pPr>
        <w:spacing w:after="0" w:line="75"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-74295</wp:posOffset>
            </wp:positionV>
            <wp:extent cx="1372235" cy="626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2">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2018</w:t>
      </w:r>
    </w:p>
    <w:p>
      <w:pPr>
        <w:spacing w:after="0" w:line="86" w:lineRule="exact"/>
        <w:rPr>
          <w:sz w:val="20"/>
          <w:szCs w:val="20"/>
          <w:color w:val="auto"/>
        </w:rPr>
      </w:pPr>
    </w:p>
    <w:p>
      <w:pPr>
        <w:sectPr>
          <w:pgSz w:w="11900" w:h="16838" w:orient="portrait"/>
          <w:cols w:equalWidth="0" w:num="2">
            <w:col w:w="8000" w:space="720"/>
            <w:col w:w="2680"/>
          </w:cols>
          <w:pgMar w:left="240" w:top="1260" w:right="259" w:bottom="1440" w:gutter="0" w:footer="0" w:header="0"/>
          <w:type w:val="continuous"/>
        </w:sectPr>
      </w:pPr>
    </w:p>
    <w:p>
      <w:pPr>
        <w:ind w:left="690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Vince Meyer</w:t>
      </w:r>
    </w:p>
    <w:p>
      <w:pPr>
        <w:spacing w:after="0" w:line="86" w:lineRule="exact"/>
        <w:rPr>
          <w:sz w:val="20"/>
          <w:szCs w:val="20"/>
          <w:color w:val="auto"/>
        </w:rPr>
      </w:pPr>
    </w:p>
    <w:p>
      <w:pPr>
        <w:sectPr>
          <w:pgSz w:w="11900" w:h="16838" w:orient="portrait"/>
          <w:cols w:equalWidth="0" w:num="2">
            <w:col w:w="8160" w:space="560"/>
            <w:col w:w="2680"/>
          </w:cols>
          <w:pgMar w:left="240" w:top="1260" w:right="259" w:bottom="1440" w:gutter="0" w:footer="0" w:header="0"/>
          <w:type w:val="continuous"/>
        </w:sectPr>
      </w:pPr>
    </w:p>
    <w:p>
      <w:pPr>
        <w:ind w:left="8720"/>
        <w:spacing w:after="0"/>
        <w:rPr>
          <w:sz w:val="20"/>
          <w:szCs w:val="20"/>
          <w:color w:val="auto"/>
        </w:rPr>
      </w:pPr>
      <w:r>
        <w:rPr>
          <w:rFonts w:ascii="Arial" w:cs="Arial" w:eastAsia="Arial" w:hAnsi="Arial"/>
          <w:sz w:val="18"/>
          <w:szCs w:val="18"/>
          <w:color w:val="auto"/>
        </w:rPr>
        <w:t>218-723-3952</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vmeyer@allete.com</w:t>
      </w:r>
    </w:p>
    <w:p>
      <w:pPr>
        <w:sectPr>
          <w:pgSz w:w="11900" w:h="16838" w:orient="portrait"/>
          <w:cols w:equalWidth="0" w:num="1">
            <w:col w:w="11400"/>
          </w:cols>
          <w:pgMar w:left="240" w:top="1260" w:right="259" w:bottom="1440" w:gutter="0" w:footer="0" w:header="0"/>
          <w:type w:val="continuous"/>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134" w:lineRule="exact"/>
        <w:rPr>
          <w:sz w:val="20"/>
          <w:szCs w:val="20"/>
          <w:color w:val="auto"/>
        </w:rPr>
      </w:pPr>
    </w:p>
    <w:p>
      <w:pPr>
        <w:jc w:val="center"/>
        <w:ind w:left="280" w:right="460"/>
        <w:spacing w:after="0" w:line="282" w:lineRule="auto"/>
        <w:rPr>
          <w:sz w:val="20"/>
          <w:szCs w:val="20"/>
          <w:color w:val="auto"/>
        </w:rPr>
      </w:pPr>
      <w:r>
        <w:rPr>
          <w:rFonts w:ascii="Arial" w:cs="Arial" w:eastAsia="Arial" w:hAnsi="Arial"/>
          <w:sz w:val="25"/>
          <w:szCs w:val="25"/>
          <w:b w:val="1"/>
          <w:bCs w:val="1"/>
          <w:color w:val="auto"/>
        </w:rPr>
        <w:t>ALLETE, Inc. reports 2017 earnings of $3.38 per share; initiates 2018 earnings guidance; expects significant growth from non-regulated businesses</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DULUTH, Minn. - ALLETE, Inc. (NYSE: ALE) today reported 2017 earnings of $3.38 per share on net income of $172.2 million and operating revenue of $1.42 billion. Results from 2016 were $3.14 per share on net income of $155.3 million and operating revenue of $1.34 billion.</w:t>
      </w:r>
    </w:p>
    <w:p>
      <w:pPr>
        <w:spacing w:after="0" w:line="170"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“I am pleased with our financial performance and accomplishments in 2017 as we continued to execute on our multi-faceted strategy for growth while returning more than $100 million to shareholders in the form of dividends; our businesses are well positioned as we move into 2018 and beyond,” said ALLETE Chairman, President and CEO Al Hodnik, “We believe our unique mix of businesses will continue to deliver a strong value proposition to shareholders as supported by our recent announcement to increase our long-term average annual earnings growth target to 5 percent to 7 percent from 5 percent previously, and increase our dividend by approximately 5 percent over 2017.”</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Results in 2017 were positively impacted by $13.0 million after-tax, or $0.25 per share, for the remeasurement of ALLETE’s deferred income tax assets and liabilities resulting from the Tax Cuts and Jobs Act (TCJA) that was enacted on December 22, 2017. While immediate and future net tax benefits for the regulated businesses are expected to return to our utility customers over time, the immediate net tax benefits attributable to ALLETE Clean Energy and U.S. Water Services positively affected 2017 results and are expected to benefit future after-tax earnings. Results for 2017 also reflect a benefit of $7.9 million after-tax, or $0.16 per share, for the Minnesota Public Utilities Commission’s (MPUC) modification of its November 2016 order on the allocation of North Dakota investment tax credits in a MPUC order dated December 7, 2017. These benefits were partially offset by a non-cash $11.4 million after-tax charge, or $0.22 per share, for the MPUC’s decision in Minnesota Power’s rate case in January 2018, disallowing recovery of Minnesota Power’s regulatory asset for deferred fuel adjustment clause costs due to the anticipated adoption of a forward-looking fuel adjustment clause methodology.</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income for 2016 was impacted by an after-tax gain of $13.6 million, or $0.28 per share, related to the change in fair value of the contingent consideration liability, offset by the adverse impact of $8.8 million after-tax, or $0.18 per share, for the November 2016 MPUC order on the allocation of North Dakota investment tax credits, a $3.3 million after-tax, or $0.07 per share, goodwill impairment charge related to ALLETE Clean Energy, and $0.9 million after-tax expense, or $0.02 per share, related to the repayment of long-term debt at ALLETE Clean Energy.</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ALLETE’s Regulated Operations segment, which includes Minnesota Power, Superior Water, Light and Power, and the Company’s investment in the American Transmission Co. (ATC), recorded net income of $128.4 million, a decrease of $7.1 million compared to 2016. Net income at Minnesota Power decreased $9.8 million after-tax reflecting the previously mentioned non-cash $11.4 million after-tax charge for the MPUC’s decision disallowing recovery of Minnesota Power’s regulatory asset for deferred fuel adjustment clause costs. In addition, net income decreased due to lower sales to other power suppliers as a result of higher industrial sales coupled with lower market prices, higher interest and taxes other than income taxes, and lower kWh sales to residential, commercial and municipal customers due to milder temperatures in 2017. These decreases were partially offset by lower depreciation expense of $14.6 million after-tax resulting from the MPUC’s decision to modify the depreciable lives at Boswell Energy Center, and higher industrial kWh sales. Interim retail rate refund reserves fully offset the interim retail rates recognized during 2017 due to the regulatory outcome of the MPUC’s decision in Minnesota Power’s 2016 general rate case in January 2018. Our equity earnings in ATC increased $2.6 million after-tax in 2017, primarily due to additional investments in ATC and period-over-period changes in ATC’s estimate of a refund liability related to the MISO return on equity complaints.</w:t>
      </w:r>
    </w:p>
    <w:p>
      <w:pPr>
        <w:sectPr>
          <w:pgSz w:w="11900" w:h="16838" w:orient="portrait"/>
          <w:cols w:equalWidth="0" w:num="1">
            <w:col w:w="11400"/>
          </w:cols>
          <w:pgMar w:left="240" w:top="1260" w:right="259" w:bottom="1440" w:gutter="0" w:footer="0" w:header="0"/>
          <w:type w:val="continuous"/>
        </w:sectPr>
      </w:pPr>
    </w:p>
    <w:bookmarkStart w:id="171" w:name="page172"/>
    <w:bookmarkEnd w:id="171"/>
    <w:p>
      <w:pPr>
        <w:ind w:right="240"/>
        <w:spacing w:after="0" w:line="277" w:lineRule="auto"/>
        <w:rPr>
          <w:sz w:val="20"/>
          <w:szCs w:val="20"/>
          <w:color w:val="auto"/>
        </w:rPr>
      </w:pPr>
      <w:r>
        <w:rPr>
          <w:rFonts w:ascii="Arial" w:cs="Arial" w:eastAsia="Arial" w:hAnsi="Arial"/>
          <w:sz w:val="18"/>
          <w:szCs w:val="18"/>
          <w:color w:val="auto"/>
        </w:rPr>
        <w:t>ALLETE’s Energy Infrastructure and Related Services businesses, which include ALLETE Clean Energy and U.S. Water Services, recorded net income of $41.5 million and $10.7 million, respectively.</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Earnings at ALLETE Clean Energy in 2017 included a favorable impact of $23.6 million after-tax for the remeasurement of deferred income tax assets and liabilities resulting from the TCJA, increased production tax credits due to the requalification of certain wind turbine generators for production tax credits at its Storm Lake I, Storm Lake II and Lake Benton wind energy facilities, lower operating and maintenance expenses, and lower interest expense. Results for 2016 at ALLETE Clean Energy included a $3.3 million after-tax goodwill impairment charge and a $0.9 million after-tax expense related to the repayment of long-term debt.</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Earnings at U.S. Water Services in 2017 increased $9.2 million reflecting a favorable impact of $9.2 million after-tax for the remeasurement of deferred income tax assets and liabilities resulting from the TCJA, and higher operating revenue, partially offset by increased operating expenses as a result of investments for future growth in waste treatment and water safety applications. 2017 earnings also reflected a net loss of $0.8 million primarily for transaction fees and amortization expense of a recent acquisition. Cash flow from operations remained strong for the year at approximately $12 million.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Corporate and Other businesses, which include BNI Energy and ALLETE Properties, recorded a net loss of $8.4 million for the year, compared to net income of $4.9 million in 2016. The net loss in 2017 included additional income tax expense of $19.8 million after-tax for the remeasurement of deferred income tax assets and liabilities resulting from the TCJA. The net loss in 2017 also included the previously mentioned favorable impact of $7.9 million after-tax for the MPUC’s modification of its November 2016 order on the allocation of North Dakota investment tax credits, lower accretion expense relating to the contingent consideration liability, and lower interest expense. Net income in 2016 included the after-tax gain of $13.6 million related to the change in fair value of the U.S. Water Services contingent consideration liability, partially offset by the adverse impact of $8.8 million after-tax for the regulatory outcome of the November 2016 MPUC order.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Earnings were diluted by $0.11 per share in 2017, due to additional shares of common stock outstanding as of December 31, 2017.</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expects 2018 earnings per share to be within a range of $3.20 to $3.50 with earnings from our Energy Infrastructure and Related Services businesses expected to increase further in 2019 and become a more meaningful contributor to ALLETE’s earnings in the coming years. Details of the Company’s 2018 earnings guidance were also filed as part of today’s Form 8-K filing.</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and earnings guidance. Interested parties may listen live by calling (877) 303-5852, or by accessing the webcast at www.allete.com. A replay of the call will be available through February 19, 2018 by calling (855) 859-2056, pass code 9977768. The webcast will be accessible for one year at </w:t>
      </w:r>
      <w:r>
        <w:rPr>
          <w:rFonts w:ascii="Arial" w:cs="Arial" w:eastAsia="Arial" w:hAnsi="Arial"/>
          <w:sz w:val="17"/>
          <w:szCs w:val="17"/>
          <w:u w:val="single" w:color="auto"/>
          <w:color w:val="0000FF"/>
        </w:rPr>
        <w:t>www.allete.com</w:t>
      </w:r>
      <w:r>
        <w:rPr>
          <w:rFonts w:ascii="Arial" w:cs="Arial" w:eastAsia="Arial" w:hAnsi="Arial"/>
          <w:sz w:val="17"/>
          <w:szCs w:val="17"/>
          <w:color w:val="auto"/>
        </w:rPr>
        <w:t>.</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U.S. Water Services headquartered in St. Michael, Minn., and has an eight percent equity interest in the American Transmission Co.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 xml:space="preserve">. </w:t>
      </w:r>
      <w:r>
        <w:rPr>
          <w:rFonts w:ascii="Arial" w:cs="Arial" w:eastAsia="Arial" w:hAnsi="Arial"/>
          <w:sz w:val="18"/>
          <w:szCs w:val="18"/>
          <w:i w:val="1"/>
          <w:iCs w:val="1"/>
          <w:color w:val="auto"/>
        </w:rPr>
        <w:t>ALE-CORP</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Non-GAAP financial measures utilized by the Company may include presentations of earnings (loss) per share and earnings before interest, taxes, depreciation and amortization.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400"/>
          </w:cols>
          <w:pgMar w:left="240" w:top="881" w:right="25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December 31, 2017 and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900" w:type="dxa"/>
            <w:vAlign w:val="bottom"/>
          </w:tcPr>
          <w:p>
            <w:pPr>
              <w:spacing w:after="0"/>
              <w:rPr>
                <w:sz w:val="23"/>
                <w:szCs w:val="23"/>
                <w:color w:val="auto"/>
              </w:rPr>
            </w:pPr>
          </w:p>
        </w:tc>
        <w:tc>
          <w:tcPr>
            <w:tcW w:w="2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Utility</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$239.7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$260.2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$1,063.8</w:t>
            </w:r>
          </w:p>
        </w:tc>
        <w:tc>
          <w:tcPr>
            <w:tcW w:w="960" w:type="dxa"/>
            <w:vAlign w:val="bottom"/>
          </w:tcPr>
          <w:p>
            <w:pPr>
              <w:jc w:val="right"/>
              <w:spacing w:after="0"/>
              <w:rPr>
                <w:sz w:val="20"/>
                <w:szCs w:val="20"/>
                <w:color w:val="auto"/>
              </w:rPr>
            </w:pPr>
            <w:r>
              <w:rPr>
                <w:rFonts w:ascii="Arial" w:cs="Arial" w:eastAsia="Arial" w:hAnsi="Arial"/>
                <w:sz w:val="18"/>
                <w:szCs w:val="18"/>
                <w:color w:val="auto"/>
              </w:rPr>
              <w:t>$1,000.7</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98.2</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81.3</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355.5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r>
      <w:tr>
        <w:trPr>
          <w:trHeight w:val="237"/>
        </w:trPr>
        <w:tc>
          <w:tcPr>
            <w:tcW w:w="5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337.9</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341.5</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1,419.3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1,339.7</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113.7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89.3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396.9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339.9</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15.7</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41.7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29.2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147.8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137.7</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91.7</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93.2</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339.9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26.0</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50.1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177.5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195.8</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14.2</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13.2</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304.7</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280.4</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1,189.5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1,116.2</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33.2</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61.1</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229.8</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223.5</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(17.3)</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(67.8)</w:t>
            </w: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3.5</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0.4</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21.5</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48.4</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186.9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175.6</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41.4</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44.3</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172.2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155.8</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$41.4</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$44.3</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Basic</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51.1</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49.5</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50.8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49.7</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$0.81</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$0.89</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$0.89</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$0.535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$0.52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$2.14</w:t>
            </w: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43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 31,</w:t>
            </w:r>
          </w:p>
        </w:tc>
      </w:tr>
      <w:tr>
        <w:trPr>
          <w:trHeight w:val="270"/>
        </w:trPr>
        <w:tc>
          <w:tcPr>
            <w:tcW w:w="2880" w:type="dxa"/>
            <w:vAlign w:val="bottom"/>
          </w:tcPr>
          <w:p>
            <w:pPr>
              <w:spacing w:after="0"/>
              <w:rPr>
                <w:sz w:val="23"/>
                <w:szCs w:val="23"/>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438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2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268.6</w:t>
            </w:r>
          </w:p>
        </w:tc>
        <w:tc>
          <w:tcPr>
            <w:tcW w:w="1000" w:type="dxa"/>
            <w:vAlign w:val="bottom"/>
          </w:tcPr>
          <w:p>
            <w:pPr>
              <w:jc w:val="right"/>
              <w:spacing w:after="0"/>
              <w:rPr>
                <w:sz w:val="20"/>
                <w:szCs w:val="20"/>
                <w:color w:val="auto"/>
              </w:rPr>
            </w:pPr>
            <w:r>
              <w:rPr>
                <w:rFonts w:ascii="Arial" w:cs="Arial" w:eastAsia="Arial" w:hAnsi="Arial"/>
                <w:sz w:val="18"/>
                <w:szCs w:val="18"/>
                <w:color w:val="auto"/>
              </w:rPr>
              <w:t>267.0</w:t>
            </w:r>
          </w:p>
        </w:tc>
        <w:tc>
          <w:tcPr>
            <w:tcW w:w="438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1,439.2</w:t>
            </w:r>
          </w:p>
        </w:tc>
        <w:tc>
          <w:tcPr>
            <w:tcW w:w="940" w:type="dxa"/>
            <w:vAlign w:val="bottom"/>
          </w:tcPr>
          <w:p>
            <w:pPr>
              <w:jc w:val="right"/>
              <w:spacing w:after="0"/>
              <w:rPr>
                <w:sz w:val="20"/>
                <w:szCs w:val="20"/>
                <w:color w:val="auto"/>
              </w:rPr>
            </w:pPr>
            <w:r>
              <w:rPr>
                <w:rFonts w:ascii="Arial" w:cs="Arial" w:eastAsia="Arial" w:hAnsi="Arial"/>
                <w:sz w:val="18"/>
                <w:szCs w:val="18"/>
                <w:color w:val="auto"/>
              </w:rPr>
              <w:t>1,370.4</w:t>
            </w: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Property, Plant and Equipment – Net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3,741.2</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384.7</w:t>
            </w:r>
          </w:p>
        </w:tc>
        <w:tc>
          <w:tcPr>
            <w:tcW w:w="1000" w:type="dxa"/>
            <w:vAlign w:val="bottom"/>
          </w:tcPr>
          <w:p>
            <w:pPr>
              <w:jc w:val="right"/>
              <w:spacing w:after="0"/>
              <w:rPr>
                <w:sz w:val="20"/>
                <w:szCs w:val="20"/>
                <w:color w:val="auto"/>
              </w:rPr>
            </w:pPr>
            <w:r>
              <w:rPr>
                <w:rFonts w:ascii="Arial" w:cs="Arial" w:eastAsia="Arial" w:hAnsi="Arial"/>
                <w:sz w:val="18"/>
                <w:szCs w:val="18"/>
                <w:color w:val="auto"/>
              </w:rPr>
              <w:t>330.1</w:t>
            </w:r>
          </w:p>
        </w:tc>
        <w:tc>
          <w:tcPr>
            <w:tcW w:w="438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532.0</w:t>
            </w:r>
          </w:p>
        </w:tc>
        <w:tc>
          <w:tcPr>
            <w:tcW w:w="94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Defined Benefit Pension &amp; Other Postretirement Benefit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r>
      <w:tr>
        <w:trPr>
          <w:trHeight w:val="189"/>
        </w:trPr>
        <w:tc>
          <w:tcPr>
            <w:tcW w:w="28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38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Plans</w:t>
            </w:r>
          </w:p>
        </w:tc>
        <w:tc>
          <w:tcPr>
            <w:tcW w:w="1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000" w:type="dxa"/>
            <w:vAlign w:val="bottom"/>
          </w:tcPr>
          <w:p>
            <w:pPr>
              <w:jc w:val="right"/>
              <w:spacing w:after="0"/>
              <w:rPr>
                <w:sz w:val="20"/>
                <w:szCs w:val="20"/>
                <w:color w:val="auto"/>
              </w:rPr>
            </w:pPr>
            <w:r>
              <w:rPr>
                <w:rFonts w:ascii="Arial" w:cs="Arial" w:eastAsia="Arial" w:hAnsi="Arial"/>
                <w:sz w:val="18"/>
                <w:szCs w:val="18"/>
                <w:color w:val="auto"/>
              </w:rPr>
              <w:t>55.6</w:t>
            </w:r>
          </w:p>
        </w:tc>
        <w:tc>
          <w:tcPr>
            <w:tcW w:w="43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267.1</w:t>
            </w:r>
          </w:p>
        </w:tc>
        <w:tc>
          <w:tcPr>
            <w:tcW w:w="94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Intangibles – Net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1000" w:type="dxa"/>
            <w:vAlign w:val="bottom"/>
          </w:tcPr>
          <w:p>
            <w:pPr>
              <w:jc w:val="right"/>
              <w:spacing w:after="0"/>
              <w:rPr>
                <w:sz w:val="20"/>
                <w:szCs w:val="20"/>
                <w:color w:val="auto"/>
              </w:rPr>
            </w:pPr>
            <w:r>
              <w:rPr>
                <w:rFonts w:ascii="Arial" w:cs="Arial" w:eastAsia="Arial" w:hAnsi="Arial"/>
                <w:sz w:val="18"/>
                <w:szCs w:val="18"/>
                <w:color w:val="auto"/>
              </w:rPr>
              <w:t>106.5</w:t>
            </w:r>
          </w:p>
        </w:tc>
        <w:tc>
          <w:tcPr>
            <w:tcW w:w="4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$4,876.9</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$4,876.9</w:t>
            </w:r>
          </w:p>
        </w:tc>
      </w:tr>
      <w:tr>
        <w:trPr>
          <w:trHeight w:val="20"/>
        </w:trPr>
        <w:tc>
          <w:tcPr>
            <w:tcW w:w="28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878" w:right="2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40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0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20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8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16"/>
        </w:trPr>
        <w:tc>
          <w:tcPr>
            <w:tcW w:w="5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30.4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41.5</w:t>
            </w: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5"/>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53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$41.4</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$44.3</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$0.89</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588"/>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High</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$81.24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$66.92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$81.24</w:t>
            </w:r>
          </w:p>
        </w:tc>
        <w:tc>
          <w:tcPr>
            <w:tcW w:w="960" w:type="dxa"/>
            <w:vAlign w:val="bottom"/>
          </w:tcPr>
          <w:p>
            <w:pPr>
              <w:jc w:val="right"/>
              <w:spacing w:after="0"/>
              <w:rPr>
                <w:sz w:val="20"/>
                <w:szCs w:val="20"/>
                <w:color w:val="auto"/>
              </w:rPr>
            </w:pPr>
            <w:r>
              <w:rPr>
                <w:rFonts w:ascii="Arial" w:cs="Arial" w:eastAsia="Arial" w:hAnsi="Arial"/>
                <w:sz w:val="18"/>
                <w:szCs w:val="18"/>
                <w:color w:val="auto"/>
              </w:rPr>
              <w:t>$66.92</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$72.96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$56.48</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$61.64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Close</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$74.36</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$64.19</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$74.36</w:t>
            </w:r>
          </w:p>
        </w:tc>
        <w:tc>
          <w:tcPr>
            <w:tcW w:w="960" w:type="dxa"/>
            <w:vAlign w:val="bottom"/>
          </w:tcPr>
          <w:p>
            <w:pPr>
              <w:jc w:val="right"/>
              <w:spacing w:after="0"/>
              <w:rPr>
                <w:sz w:val="20"/>
                <w:szCs w:val="20"/>
                <w:color w:val="auto"/>
              </w:rPr>
            </w:pPr>
            <w:r>
              <w:rPr>
                <w:rFonts w:ascii="Arial" w:cs="Arial" w:eastAsia="Arial" w:hAnsi="Arial"/>
                <w:sz w:val="18"/>
                <w:szCs w:val="18"/>
                <w:color w:val="auto"/>
              </w:rPr>
              <w:t>$64.19</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$40.46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$38.17</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$40.46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59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43"/>
        </w:trPr>
        <w:tc>
          <w:tcPr>
            <w:tcW w:w="53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359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1,420</w:t>
            </w:r>
          </w:p>
        </w:tc>
        <w:tc>
          <w:tcPr>
            <w:tcW w:w="96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43"/>
        </w:trPr>
        <w:tc>
          <w:tcPr>
            <w:tcW w:w="532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1,890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1,716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7,327</w:t>
            </w:r>
          </w:p>
        </w:tc>
        <w:tc>
          <w:tcPr>
            <w:tcW w:w="960" w:type="dxa"/>
            <w:vAlign w:val="bottom"/>
          </w:tcPr>
          <w:p>
            <w:pPr>
              <w:jc w:val="right"/>
              <w:spacing w:after="0"/>
              <w:rPr>
                <w:sz w:val="20"/>
                <w:szCs w:val="20"/>
                <w:color w:val="auto"/>
              </w:rPr>
            </w:pPr>
            <w:r>
              <w:rPr>
                <w:rFonts w:ascii="Arial" w:cs="Arial" w:eastAsia="Arial" w:hAnsi="Arial"/>
                <w:sz w:val="18"/>
                <w:szCs w:val="18"/>
                <w:color w:val="auto"/>
              </w:rPr>
              <w:t>6,456</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2,559</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10,642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w:t>
            </w: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1,017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860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4,039</w:t>
            </w:r>
          </w:p>
        </w:tc>
        <w:tc>
          <w:tcPr>
            <w:tcW w:w="96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3,779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3,419</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14,681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r>
      <w:tr>
        <w:trPr>
          <w:trHeight w:val="588"/>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Retail and Municipal</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$119.9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35.6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33.6</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139.5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Industrial</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123.7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110.0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486.5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412.5</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 for Interim Rate Refunds</w:t>
            </w:r>
          </w:p>
        </w:tc>
        <w:tc>
          <w:tcPr>
            <w:tcW w:w="2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Retail and Municipal</w:t>
            </w:r>
          </w:p>
        </w:tc>
        <w:tc>
          <w:tcPr>
            <w:tcW w:w="28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174.0</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191.4</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772.2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729.6</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Power Suppliers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41.9</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161.8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27.9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26.9</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129.8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Regulated Utility Revenue</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$239.7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$260.2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$1,063.8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$1,000.7</w:t>
            </w:r>
          </w:p>
        </w:tc>
      </w:tr>
      <w:tr>
        <w:trPr>
          <w:trHeight w:val="20"/>
        </w:trPr>
        <w:tc>
          <w:tcPr>
            <w:tcW w:w="53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10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T"/>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x"/>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lowerLetter"/>
      <w:start w:val="1"/>
    </w:lvl>
  </w:abstractNum>
  <w:abstractNum w:abstractNumId="5">
    <w:nsid w:val="153EA438"/>
    <w:multiLevelType w:val="hybridMultilevel"/>
    <w:lvl w:ilvl="0">
      <w:lvlJc w:val="left"/>
      <w:lvlText w:val="(%1)"/>
      <w:numFmt w:val="lowerLetter"/>
      <w:start w:val="1"/>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1)"/>
      <w:numFmt w:val="lowerLetter"/>
      <w:start w:val="1"/>
    </w:lvl>
  </w:abstractNum>
  <w:abstractNum w:abstractNumId="8">
    <w:nsid w:val="6A2342EC"/>
    <w:multiLevelType w:val="hybridMultilevel"/>
    <w:lvl w:ilvl="0">
      <w:lvlJc w:val="left"/>
      <w:lvlText w:val="%1."/>
      <w:numFmt w:val="decimal"/>
      <w:start w:val="3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lowerLetter"/>
      <w:start w:val="1"/>
    </w:lvl>
  </w:abstractNum>
  <w:abstractNum w:abstractNumId="16">
    <w:nsid w:val="542289EC"/>
    <w:multiLevelType w:val="hybridMultilevel"/>
    <w:lvl w:ilvl="0">
      <w:lvlJc w:val="left"/>
      <w:lvlText w:val="(%1)"/>
      <w:numFmt w:val="lowerLetter"/>
      <w:start w:val="1"/>
    </w:lvl>
  </w:abstractNum>
  <w:abstractNum w:abstractNumId="17">
    <w:nsid w:val="6DE91B18"/>
    <w:multiLevelType w:val="hybridMultilevel"/>
    <w:lvl w:ilvl="0">
      <w:lvlJc w:val="left"/>
      <w:lvlText w:val="(%1)"/>
      <w:numFmt w:val="decimal"/>
      <w:start w:val="3"/>
    </w:lvl>
  </w:abstractNum>
  <w:abstractNum w:abstractNumId="18">
    <w:nsid w:val="38437FDB"/>
    <w:multiLevelType w:val="hybridMultilevel"/>
    <w:lvl w:ilvl="0">
      <w:lvlJc w:val="left"/>
      <w:lvlText w:val="\emdash "/>
      <w:numFmt w:val="bullet"/>
      <w:start w:val="1"/>
    </w:lvl>
  </w:abstractNum>
  <w:abstractNum w:abstractNumId="19">
    <w:nsid w:val="7644A45C"/>
    <w:multiLevelType w:val="hybridMultilevel"/>
    <w:lvl w:ilvl="0">
      <w:lvlJc w:val="left"/>
      <w:lvlText w:val="%1"/>
      <w:numFmt w:val="decimal"/>
      <w:start w:val="32"/>
    </w:lvl>
  </w:abstractNum>
  <w:abstractNum w:abstractNumId="20">
    <w:nsid w:val="32FFF902"/>
    <w:multiLevelType w:val="hybridMultilevel"/>
    <w:lvl w:ilvl="0">
      <w:lvlJc w:val="left"/>
      <w:lvlText w:val="%1"/>
      <w:numFmt w:val="decimal"/>
      <w:start w:val="99"/>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lowerLetter"/>
      <w:start w:val="1"/>
    </w:lvl>
  </w:abstractNum>
  <w:abstractNum w:abstractNumId="25">
    <w:nsid w:val="1BA026FA"/>
    <w:multiLevelType w:val="hybridMultilevel"/>
    <w:lvl w:ilvl="0">
      <w:lvlJc w:val="left"/>
      <w:lvlText w:val="(%1)"/>
      <w:numFmt w:val="lowerLetter"/>
      <w:start w:val="1"/>
    </w:lvl>
  </w:abstractNum>
  <w:abstractNum w:abstractNumId="26">
    <w:nsid w:val="79A1DEAA"/>
    <w:multiLevelType w:val="hybridMultilevel"/>
    <w:lvl w:ilvl="0">
      <w:lvlJc w:val="left"/>
      <w:lvlText w:val="(%1)"/>
      <w:numFmt w:val="lowerLetter"/>
      <w:start w:val="1"/>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lowerLetter"/>
      <w:start w:val="1"/>
    </w:lvl>
  </w:abstractNum>
  <w:abstractNum w:abstractNumId="32">
    <w:nsid w:val="4F4EF005"/>
    <w:multiLevelType w:val="hybridMultilevel"/>
    <w:lvl w:ilvl="0">
      <w:lvlJc w:val="left"/>
      <w:lvlText w:val="(%1)"/>
      <w:numFmt w:val="lowerLetter"/>
      <w:start w:val="1"/>
    </w:lvl>
  </w:abstractNum>
  <w:abstractNum w:abstractNumId="33">
    <w:nsid w:val="23F9C13C"/>
    <w:multiLevelType w:val="hybridMultilevel"/>
    <w:lvl w:ilvl="0">
      <w:lvlJc w:val="left"/>
      <w:lvlText w:val="(%1)"/>
      <w:numFmt w:val="lowerLetter"/>
      <w:start w:val="1"/>
    </w:lvl>
  </w:abstractNum>
  <w:abstractNum w:abstractNumId="34">
    <w:nsid w:val="649BB77C"/>
    <w:multiLevelType w:val="hybridMultilevel"/>
    <w:lvl w:ilvl="0">
      <w:lvlJc w:val="left"/>
      <w:lvlText w:val="(%1)"/>
      <w:numFmt w:val="lowerLetter"/>
      <w:start w:val="2"/>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4"/>
    </w:lvl>
  </w:abstractNum>
  <w:abstractNum w:abstractNumId="55">
    <w:nsid w:val="1DBABF00"/>
    <w:multiLevelType w:val="hybridMultilevel"/>
    <w:lvl w:ilvl="0">
      <w:lvlJc w:val="left"/>
      <w:lvlText w:val="%1."/>
      <w:numFmt w:val="decimal"/>
      <w:start w:val="6"/>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4"/>
    </w:lvl>
    <w:lvl w:ilvl="1">
      <w:lvlJc w:val="left"/>
      <w:lvlText w:val="%2."/>
      <w:numFmt w:val="lowerRoman"/>
      <w:start w:val="1"/>
    </w:lvl>
  </w:abstractNum>
  <w:abstractNum w:abstractNumId="58">
    <w:nsid w:val="1381823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59">
    <w:nsid w:val="5DB70AE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60">
    <w:nsid w:val="100F8FCA"/>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61">
    <w:nsid w:val="6590700B"/>
    <w:multiLevelType w:val="hybridMultilevel"/>
    <w:lvl w:ilvl="0">
      <w:lvlJc w:val="left"/>
      <w:lvlText w:val="%1."/>
      <w:numFmt w:val="decimal"/>
      <w:start w:val="11"/>
    </w:lvl>
  </w:abstractNum>
  <w:abstractNum w:abstractNumId="62">
    <w:nsid w:val="15014ACB"/>
    <w:multiLevelType w:val="hybridMultilevel"/>
    <w:lvl w:ilvl="0">
      <w:lvlJc w:val="left"/>
      <w:lvlText w:val="(%1)"/>
      <w:numFmt w:val="lowerRoman"/>
      <w:start w:val="1"/>
    </w:lvl>
  </w:abstractNum>
  <w:abstractNum w:abstractNumId="63">
    <w:nsid w:val="5F5E7FD0"/>
    <w:multiLevelType w:val="hybridMultilevel"/>
    <w:lvl w:ilvl="0">
      <w:lvlJc w:val="left"/>
      <w:lvlText w:val="(%1)"/>
      <w:numFmt w:val="lowerRoman"/>
      <w:start w:val="1"/>
    </w:lvl>
  </w:abstractNum>
  <w:abstractNum w:abstractNumId="64">
    <w:nsid w:val="98A3148"/>
    <w:multiLevelType w:val="hybridMultilevel"/>
    <w:lvl w:ilvl="0">
      <w:lvlJc w:val="left"/>
      <w:lvlText w:val="(%1)"/>
      <w:numFmt w:val="decimal"/>
      <w:start w:val="6"/>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5"/>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6"/>
    </w:lvl>
    <w:lvl w:ilvl="1">
      <w:lvlJc w:val="left"/>
      <w:lvlText w:val="%2."/>
      <w:numFmt w:val="lowerRoman"/>
      <w:start w:val="1"/>
    </w:lvl>
  </w:abstractNum>
  <w:abstractNum w:abstractNumId="69">
    <w:nsid w:val="1EBA5D2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70">
    <w:nsid w:val="661E3F1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71">
    <w:nsid w:val="5DC79EA8"/>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45" Type="http://schemas.openxmlformats.org/officeDocument/2006/relationships/image" Target="media/image12.png"/><Relationship Id="rId50" Type="http://schemas.openxmlformats.org/officeDocument/2006/relationships/image" Target="media/image13.png"/><Relationship Id="rId55" Type="http://schemas.openxmlformats.org/officeDocument/2006/relationships/image" Target="media/image14.png"/><Relationship Id="rId70" Type="http://schemas.openxmlformats.org/officeDocument/2006/relationships/image" Target="media/image15.png"/><Relationship Id="rId73" Type="http://schemas.openxmlformats.org/officeDocument/2006/relationships/image" Target="media/image16.png"/><Relationship Id="rId76" Type="http://schemas.openxmlformats.org/officeDocument/2006/relationships/image" Target="media/image17.png"/><Relationship Id="rId79" Type="http://schemas.openxmlformats.org/officeDocument/2006/relationships/image" Target="media/image18.png"/><Relationship Id="rId82" Type="http://schemas.openxmlformats.org/officeDocument/2006/relationships/image" Target="media/image19.png"/><Relationship Id="rId85" Type="http://schemas.openxmlformats.org/officeDocument/2006/relationships/image" Target="media/image20.png"/><Relationship Id="rId88" Type="http://schemas.openxmlformats.org/officeDocument/2006/relationships/image" Target="media/image21.png"/><Relationship Id="rId91" Type="http://schemas.openxmlformats.org/officeDocument/2006/relationships/image" Target="media/image22.png"/><Relationship Id="rId94" Type="http://schemas.openxmlformats.org/officeDocument/2006/relationships/image" Target="media/image23.png"/><Relationship Id="rId97" Type="http://schemas.openxmlformats.org/officeDocument/2006/relationships/image" Target="media/image24.png"/><Relationship Id="rId99" Type="http://schemas.openxmlformats.org/officeDocument/2006/relationships/image" Target="media/image25.png"/><Relationship Id="rId101" Type="http://schemas.openxmlformats.org/officeDocument/2006/relationships/image" Target="media/image26.png"/><Relationship Id="rId104" Type="http://schemas.openxmlformats.org/officeDocument/2006/relationships/image" Target="media/image27.png"/><Relationship Id="rId107" Type="http://schemas.openxmlformats.org/officeDocument/2006/relationships/image" Target="media/image28.png"/><Relationship Id="rId110" Type="http://schemas.openxmlformats.org/officeDocument/2006/relationships/image" Target="media/image29.png"/><Relationship Id="rId116" Type="http://schemas.openxmlformats.org/officeDocument/2006/relationships/image" Target="media/image30.png"/><Relationship Id="rId117" Type="http://schemas.openxmlformats.org/officeDocument/2006/relationships/image" Target="media/image31.png"/><Relationship Id="rId118" Type="http://schemas.openxmlformats.org/officeDocument/2006/relationships/image" Target="media/image32.png"/><Relationship Id="rId119" Type="http://schemas.openxmlformats.org/officeDocument/2006/relationships/image" Target="media/image33.png"/><Relationship Id="rId120" Type="http://schemas.openxmlformats.org/officeDocument/2006/relationships/image" Target="media/image34.png"/><Relationship Id="rId121" Type="http://schemas.openxmlformats.org/officeDocument/2006/relationships/image" Target="media/image35.png"/><Relationship Id="rId122" Type="http://schemas.openxmlformats.org/officeDocument/2006/relationships/image" Target="media/image36.png"/><Relationship Id="rId123" Type="http://schemas.openxmlformats.org/officeDocument/2006/relationships/image" Target="media/image37.png"/><Relationship Id="rId124" Type="http://schemas.openxmlformats.org/officeDocument/2006/relationships/image" Target="media/image38.png"/><Relationship Id="rId125" Type="http://schemas.openxmlformats.org/officeDocument/2006/relationships/image" Target="media/image39.png"/><Relationship Id="rId126" Type="http://schemas.openxmlformats.org/officeDocument/2006/relationships/image" Target="media/image40.png"/><Relationship Id="rId127" Type="http://schemas.openxmlformats.org/officeDocument/2006/relationships/image" Target="media/image41.png"/><Relationship Id="rId128" Type="http://schemas.openxmlformats.org/officeDocument/2006/relationships/image" Target="media/image42.png"/><Relationship Id="rId129" Type="http://schemas.openxmlformats.org/officeDocument/2006/relationships/image" Target="media/image43.png"/><Relationship Id="rId130" Type="http://schemas.openxmlformats.org/officeDocument/2006/relationships/image" Target="media/image44.png"/><Relationship Id="rId131" Type="http://schemas.openxmlformats.org/officeDocument/2006/relationships/image" Target="media/image45.png"/><Relationship Id="rId132" Type="http://schemas.openxmlformats.org/officeDocument/2006/relationships/image" Target="media/image46.png"/><Relationship Id="rId133" Type="http://schemas.openxmlformats.org/officeDocument/2006/relationships/image" Target="media/image47.png"/><Relationship Id="rId134" Type="http://schemas.openxmlformats.org/officeDocument/2006/relationships/image" Target="media/image48.png"/><Relationship Id="rId135" Type="http://schemas.openxmlformats.org/officeDocument/2006/relationships/image" Target="media/image49.png"/><Relationship Id="rId136" Type="http://schemas.openxmlformats.org/officeDocument/2006/relationships/image" Target="media/image50.png"/><Relationship Id="rId137" Type="http://schemas.openxmlformats.org/officeDocument/2006/relationships/image" Target="media/image51.png"/><Relationship Id="rId138" Type="http://schemas.openxmlformats.org/officeDocument/2006/relationships/image" Target="media/image52.png"/><Relationship Id="rId139" Type="http://schemas.openxmlformats.org/officeDocument/2006/relationships/image" Target="media/image53.png"/><Relationship Id="rId140" Type="http://schemas.openxmlformats.org/officeDocument/2006/relationships/image" Target="media/image54.png"/><Relationship Id="rId141" Type="http://schemas.openxmlformats.org/officeDocument/2006/relationships/image" Target="media/image55.png"/><Relationship Id="rId142" Type="http://schemas.openxmlformats.org/officeDocument/2006/relationships/image" Target="media/image56.png"/><Relationship Id="rId143" Type="http://schemas.openxmlformats.org/officeDocument/2006/relationships/image" Target="media/image57.png"/><Relationship Id="rId144" Type="http://schemas.openxmlformats.org/officeDocument/2006/relationships/image" Target="media/image58.png"/><Relationship Id="rId145" Type="http://schemas.openxmlformats.org/officeDocument/2006/relationships/image" Target="media/image59.png"/><Relationship Id="rId146" Type="http://schemas.openxmlformats.org/officeDocument/2006/relationships/image" Target="media/image60.png"/><Relationship Id="rId147" Type="http://schemas.openxmlformats.org/officeDocument/2006/relationships/image" Target="media/image61.png"/><Relationship Id="rId148" Type="http://schemas.openxmlformats.org/officeDocument/2006/relationships/image" Target="media/image62.png"/><Relationship Id="rId149" Type="http://schemas.openxmlformats.org/officeDocument/2006/relationships/image" Target="media/image63.png"/><Relationship Id="rId150" Type="http://schemas.openxmlformats.org/officeDocument/2006/relationships/image" Target="media/image64.png"/><Relationship Id="rId151" Type="http://schemas.openxmlformats.org/officeDocument/2006/relationships/image" Target="media/image65.png"/><Relationship Id="rId152" Type="http://schemas.openxmlformats.org/officeDocument/2006/relationships/image" Target="media/image66.png"/><Relationship Id="rId153" Type="http://schemas.openxmlformats.org/officeDocument/2006/relationships/image" Target="media/image67.png"/><Relationship Id="rId154" Type="http://schemas.openxmlformats.org/officeDocument/2006/relationships/image" Target="media/image68.png"/><Relationship Id="rId155" Type="http://schemas.openxmlformats.org/officeDocument/2006/relationships/image" Target="media/image69.png"/><Relationship Id="rId156" Type="http://schemas.openxmlformats.org/officeDocument/2006/relationships/image" Target="media/image70.png"/><Relationship Id="rId157" Type="http://schemas.openxmlformats.org/officeDocument/2006/relationships/image" Target="media/image71.png"/><Relationship Id="rId158" Type="http://schemas.openxmlformats.org/officeDocument/2006/relationships/image" Target="media/image72.png"/><Relationship Id="rId159" Type="http://schemas.openxmlformats.org/officeDocument/2006/relationships/image" Target="media/image73.png"/><Relationship Id="rId160" Type="http://schemas.openxmlformats.org/officeDocument/2006/relationships/image" Target="media/image74.png"/><Relationship Id="rId161" Type="http://schemas.openxmlformats.org/officeDocument/2006/relationships/image" Target="media/image75.png"/><Relationship Id="rId162" Type="http://schemas.openxmlformats.org/officeDocument/2006/relationships/image" Target="media/image76.jpeg"/><Relationship Id="rId19" Type="http://schemas.openxmlformats.org/officeDocument/2006/relationships/hyperlink" Target="http://www.sec.gov/Archives/edgar/data/66756/000006675601500027/ex3b.txt" TargetMode="External"/><Relationship Id="rId20" Type="http://schemas.openxmlformats.org/officeDocument/2006/relationships/hyperlink" Target="http://www.sec.gov/Archives/edgar/data/66756/000006675604000094/r8k092104exhibit3.txt" TargetMode="External"/><Relationship Id="rId21" Type="http://schemas.openxmlformats.org/officeDocument/2006/relationships/hyperlink" Target="http://www.sec.gov/Archives/edgar/data/66756/000006675609000076/exhibit_3.htm" TargetMode="External"/><Relationship Id="rId22" Type="http://schemas.openxmlformats.org/officeDocument/2006/relationships/hyperlink" Target="http://www.sec.gov/Archives/edgar/data/66756/000006675610000052/articles.htm" TargetMode="External"/><Relationship Id="rId23" Type="http://schemas.openxmlformats.org/officeDocument/2006/relationships/hyperlink" Target="http://www.sec.gov/Archives/edgar/data/66756/000006675601500027/ex3a.txt" TargetMode="External"/><Relationship Id="rId24" Type="http://schemas.openxmlformats.org/officeDocument/2006/relationships/hyperlink" Target="http://www.sec.gov/Archives/edgar/data/66756/000006675610000052/bylaws.htm" TargetMode="External"/><Relationship Id="rId25" Type="http://schemas.openxmlformats.org/officeDocument/2006/relationships/hyperlink" Target="http://www.sec.gov/Archives/edgar/data/66756/0000066756-97-000034-index.html" TargetMode="External"/><Relationship Id="rId26" Type="http://schemas.openxmlformats.org/officeDocument/2006/relationships/hyperlink" Target="http://www.sec.gov/Archives/edgar/data/66756/0000066756-98-000017-index.html" TargetMode="External"/><Relationship Id="rId27" Type="http://schemas.openxmlformats.org/officeDocument/2006/relationships/hyperlink" Target="http://www.sec.gov/Archives/edgar/data/66756/000095012001000018/0000950120-01-000018-0002.txt" TargetMode="External"/><Relationship Id="rId28" Type="http://schemas.openxmlformats.org/officeDocument/2006/relationships/hyperlink" Target="http://www.sec.gov/Archives/edgar/data/66756/000006675603000114/rexhibit4.txt" TargetMode="External"/><Relationship Id="rId29" Type="http://schemas.openxmlformats.org/officeDocument/2006/relationships/hyperlink" Target="http://www.sec.gov/Archives/edgar/data/66756/000006675604000114/rexhibit4a.txt" TargetMode="External"/><Relationship Id="rId30" Type="http://schemas.openxmlformats.org/officeDocument/2006/relationships/hyperlink" Target="http://www.sec.gov/Archives/edgar/data/66756/000006675605000072/ex4.txt" TargetMode="External"/><Relationship Id="rId31" Type="http://schemas.openxmlformats.org/officeDocument/2006/relationships/hyperlink" Target="http://www.sec.gov/Archives/edgar/data/66756/000006675606000035/exhibit4.txt" TargetMode="External"/><Relationship Id="rId32" Type="http://schemas.openxmlformats.org/officeDocument/2006/relationships/hyperlink" Target="http://www.sec.gov/Archives/edgar/data/66756/000006675607000013/rexhibit4a3.txt" TargetMode="External"/><Relationship Id="rId33" Type="http://schemas.openxmlformats.org/officeDocument/2006/relationships/hyperlink" Target="http://www.sec.gov/Archives/edgar/data/66756/000006675608000017/exhibit_4a3.htm" TargetMode="External"/><Relationship Id="rId34" Type="http://schemas.openxmlformats.org/officeDocument/2006/relationships/hyperlink" Target="http://www.sec.gov/Archives/edgar/data/66756/000006675608000056/exhibit_4.htm" TargetMode="External"/><Relationship Id="rId35" Type="http://schemas.openxmlformats.org/officeDocument/2006/relationships/hyperlink" Target="http://www.sec.gov/Archives/edgar/data/66756/000006675609000015/exhibit_4a3.htm" TargetMode="External"/><Relationship Id="rId36" Type="http://schemas.openxmlformats.org/officeDocument/2006/relationships/hyperlink" Target="http://www.sec.gov/Archives/edgar/data/66756/000006675609000015/exhibit_4a4.htm" TargetMode="External"/><Relationship Id="rId37" Type="http://schemas.openxmlformats.org/officeDocument/2006/relationships/hyperlink" Target="http://www.sec.gov/Archives/edgar/data/66756/000006675610000043/exhibit_4.htm" TargetMode="External"/><Relationship Id="rId38" Type="http://schemas.openxmlformats.org/officeDocument/2006/relationships/hyperlink" Target="http://www.sec.gov/Archives/edgar/data/66756/000006675610000091/exhibit_4.htm" TargetMode="External"/><Relationship Id="rId39" Type="http://schemas.openxmlformats.org/officeDocument/2006/relationships/hyperlink" Target="http://www.sec.gov/Archives/edgar/data/66756/000006675612000095/exhibit4.htm" TargetMode="External"/><Relationship Id="rId40" Type="http://schemas.openxmlformats.org/officeDocument/2006/relationships/hyperlink" Target="http://www.sec.gov/Archives/edgar/data/66756/000006675613000064/exhibit4supplementalindent.htm" TargetMode="External"/><Relationship Id="rId41" Type="http://schemas.openxmlformats.org/officeDocument/2006/relationships/hyperlink" Target="http://www.sec.gov/Archives/edgar/data/66756/000006675614000049/ale3-31x2014exx4.htm" TargetMode="External"/><Relationship Id="rId42" Type="http://schemas.openxmlformats.org/officeDocument/2006/relationships/hyperlink" Target="http://www.sec.gov/Archives/edgar/data/66756/000006675614000080/ale6-30x2014exx4.htm" TargetMode="External"/><Relationship Id="rId43" Type="http://schemas.openxmlformats.org/officeDocument/2006/relationships/hyperlink" Target="http://www.sec.gov/Archives/edgar/data/66756/000006675614000089/ale9-30x2014exx4.htm" TargetMode="External"/><Relationship Id="rId44" Type="http://schemas.openxmlformats.org/officeDocument/2006/relationships/hyperlink" Target="http://www.sec.gov/Archives/edgar/data/66756/000006675615000104/ale9-30x2015exx4a.htm" TargetMode="External"/><Relationship Id="rId46" Type="http://schemas.openxmlformats.org/officeDocument/2006/relationships/hyperlink" Target="http://www.sec.gov/Archives/edgar/data/66756/000006675608000017/exhibit_4c3.htm" TargetMode="External"/><Relationship Id="rId47" Type="http://schemas.openxmlformats.org/officeDocument/2006/relationships/hyperlink" Target="http://www.sec.gov/Archives/edgar/data/66756/000006675608000017/exhibit_4c4.htm" TargetMode="External"/><Relationship Id="rId48" Type="http://schemas.openxmlformats.org/officeDocument/2006/relationships/hyperlink" Target="http://www.sec.gov/Archives/edgar/data/66756/000006675609000015/exhibit_4c3.htm" TargetMode="External"/><Relationship Id="rId49" Type="http://schemas.openxmlformats.org/officeDocument/2006/relationships/hyperlink" Target="http://www.sec.gov/Archives/edgar/data/66756/000006675614000026/exhibit4c312-31x2013.htm" TargetMode="External"/><Relationship Id="rId51" Type="http://schemas.openxmlformats.org/officeDocument/2006/relationships/hyperlink" Target="http://www.sec.gov/Archives/edgar/data/66756/000006675607000054/exhibit10a.txt" TargetMode="External"/><Relationship Id="rId52" Type="http://schemas.openxmlformats.org/officeDocument/2006/relationships/hyperlink" Target="http://www.sec.gov/Archives/edgar/data/66756/000006675615000094/ex-4termloanagreement.htm" TargetMode="External"/><Relationship Id="rId53" Type="http://schemas.openxmlformats.org/officeDocument/2006/relationships/hyperlink" Target="http://www.sec.gov/Archives/edgar/data/66756/000006675615000117/ex-4aceagreement.htm" TargetMode="External"/><Relationship Id="rId54" Type="http://schemas.openxmlformats.org/officeDocument/2006/relationships/hyperlink" Target="http://www.sec.gov/Archives/edgar/data/66756/000006675616000265/ex-4notepurchaseagreement.htm" TargetMode="External"/><Relationship Id="rId56" Type="http://schemas.openxmlformats.org/officeDocument/2006/relationships/hyperlink" Target="http://www.sec.gov/Archives/edgar/data/66756/000006675617000105/termloanagreementex-4.htm" TargetMode="External"/><Relationship Id="rId57" Type="http://schemas.openxmlformats.org/officeDocument/2006/relationships/hyperlink" Target="http://www.sec.gov/Archives/edgar/data/66756/0000066756-98-000036-index.html" TargetMode="External"/><Relationship Id="rId58" Type="http://schemas.openxmlformats.org/officeDocument/2006/relationships/hyperlink" Target="http://www.sec.gov/Archives/edgar/data/66756/000006675613000125/ex-10creditagreement.htm" TargetMode="External"/><Relationship Id="rId59" Type="http://schemas.openxmlformats.org/officeDocument/2006/relationships/hyperlink" Target="http://www.sec.gov/Archives/edgar/data/66756/000006675606000067/exhibit10b1.txt" TargetMode="External"/><Relationship Id="rId60" Type="http://schemas.openxmlformats.org/officeDocument/2006/relationships/hyperlink" Target="http://www.sec.gov/Archives/edgar/data/66756/000006675611000112/credit_agreement.htm" TargetMode="External"/><Relationship Id="rId61" Type="http://schemas.openxmlformats.org/officeDocument/2006/relationships/hyperlink" Target="http://www.sec.gov/Archives/edgar/data/66756/000006675613000102/ale6-30x2013exx10b.htm" TargetMode="External"/><Relationship Id="rId62" Type="http://schemas.openxmlformats.org/officeDocument/2006/relationships/hyperlink" Target="http://www.sec.gov/Archives/edgar/data/66756/000006675610000018/exhibit_10g.htm" TargetMode="External"/><Relationship Id="rId63" Type="http://schemas.openxmlformats.org/officeDocument/2006/relationships/hyperlink" Target="http://www.sec.gov/Archives/edgar/data/66756/000006675611000029/exhibit_10h1.htm" TargetMode="External"/><Relationship Id="rId64" Type="http://schemas.openxmlformats.org/officeDocument/2006/relationships/hyperlink" Target="http://www.sec.gov/Archives/edgar/data/66756/000006675614000026/exhibit10e612-31x2013.htm" TargetMode="External"/><Relationship Id="rId65" Type="http://schemas.openxmlformats.org/officeDocument/2006/relationships/hyperlink" Target="http://www.sec.gov/Archives/edgar/data/66756/000006675615000022/exhibit10e612-31x2014.htm" TargetMode="External"/><Relationship Id="rId66" Type="http://schemas.openxmlformats.org/officeDocument/2006/relationships/hyperlink" Target="http://www.sec.gov/Archives/edgar/data/66756/000006675616000169/exhibit10e612-31x2015.htm" TargetMode="External"/><Relationship Id="rId67" Type="http://schemas.openxmlformats.org/officeDocument/2006/relationships/hyperlink" Target="http://www.sec.gov/Archives/edgar/data/66756/000006675617000035/exhibit10e612-31x2016.htm" TargetMode="External"/><Relationship Id="rId68" Type="http://schemas.openxmlformats.org/officeDocument/2006/relationships/hyperlink" Target="http://www.sec.gov/Archives/edgar/data/66756/000006675617000035/exhibit10e712-31x2016.htm" TargetMode="External"/><Relationship Id="rId69" Type="http://schemas.openxmlformats.org/officeDocument/2006/relationships/hyperlink" Target="http://www.sec.gov/Archives/edgar/data/66756/000006675609000015/exhibit_10i4.htm" TargetMode="External"/><Relationship Id="rId71" Type="http://schemas.openxmlformats.org/officeDocument/2006/relationships/hyperlink" Target="http://www.sec.gov/Archives/edgar/data/66756/000006675611000029/exhibit_10i2.htm" TargetMode="External"/><Relationship Id="rId72" Type="http://schemas.openxmlformats.org/officeDocument/2006/relationships/hyperlink" Target="http://www.sec.gov/Archives/edgar/data/66756/000006675615000022/exhibit10f312-31x2014.htm" TargetMode="External"/><Relationship Id="rId74" Type="http://schemas.openxmlformats.org/officeDocument/2006/relationships/hyperlink" Target="http://www.sec.gov/Archives/edgar/data/66756/000006675613000030/exhibit10j12-31x2012.htm" TargetMode="External"/><Relationship Id="rId75" Type="http://schemas.openxmlformats.org/officeDocument/2006/relationships/hyperlink" Target="http://www.sec.gov/Archives/edgar/data/66756/000006675605000076/rexhibit99.txt" TargetMode="External"/><Relationship Id="rId77" Type="http://schemas.openxmlformats.org/officeDocument/2006/relationships/hyperlink" Target="http://www.sec.gov/Archives/edgar/data/66756/000006675611000029/exhibit_10m2.htm" TargetMode="External"/><Relationship Id="rId78" Type="http://schemas.openxmlformats.org/officeDocument/2006/relationships/hyperlink" Target="http://www.sec.gov/Archives/edgar/data/66756/000006675612000026/exhibit10m1212-31x2011.htm" TargetMode="External"/><Relationship Id="rId80" Type="http://schemas.openxmlformats.org/officeDocument/2006/relationships/hyperlink" Target="http://www.sec.gov/Archives/edgar/data/66756/000006675612000026/exhibit10m1312-31x2011.htm" TargetMode="External"/><Relationship Id="rId81" Type="http://schemas.openxmlformats.org/officeDocument/2006/relationships/hyperlink" Target="http://www.sec.gov/Archives/edgar/data/66756/000006675613000030/exhibit10k1412-31x2012.htm" TargetMode="External"/><Relationship Id="rId83" Type="http://schemas.openxmlformats.org/officeDocument/2006/relationships/hyperlink" Target="http://www.sec.gov/Archives/edgar/data/66756/000006675613000030/ex10k1512-31x2012.htm" TargetMode="External"/><Relationship Id="rId84" Type="http://schemas.openxmlformats.org/officeDocument/2006/relationships/hyperlink" Target="http://www.sec.gov/Archives/edgar/data/66756/000006675614000026/exhibit10j1412-31x2013.htm" TargetMode="External"/><Relationship Id="rId86" Type="http://schemas.openxmlformats.org/officeDocument/2006/relationships/hyperlink" Target="http://www.sec.gov/Archives/edgar/data/66756/000006675614000026/exhibit14j1512-31x2013.htm" TargetMode="External"/><Relationship Id="rId87" Type="http://schemas.openxmlformats.org/officeDocument/2006/relationships/hyperlink" Target="http://www.sec.gov/Archives/edgar/data/66756/000006675615000022/exhibit10j1612-31x2014.htm" TargetMode="External"/><Relationship Id="rId89" Type="http://schemas.openxmlformats.org/officeDocument/2006/relationships/hyperlink" Target="http://www.sec.gov/Archives/edgar/data/66756/000006675615000022/exhibit10j1712-31x2014.htm" TargetMode="External"/><Relationship Id="rId90" Type="http://schemas.openxmlformats.org/officeDocument/2006/relationships/hyperlink" Target="http://www.sec.gov/Archives/edgar/data/66756/000006675615000110/exhibit99ltip.htm" TargetMode="External"/><Relationship Id="rId92" Type="http://schemas.openxmlformats.org/officeDocument/2006/relationships/hyperlink" Target="http://www.sec.gov/Archives/edgar/data/66756/000006675616000169/exhibit10k312-31x2015.htm" TargetMode="External"/><Relationship Id="rId93" Type="http://schemas.openxmlformats.org/officeDocument/2006/relationships/hyperlink" Target="http://www.sec.gov/Archives/edgar/data/66756/000006675616000169/exhibit10k212-31x2015.htm" TargetMode="External"/><Relationship Id="rId95" Type="http://schemas.openxmlformats.org/officeDocument/2006/relationships/hyperlink" Target="http://www.sec.gov/Archives/edgar/data/66756/000006675617000035/exhibit10i412-31x2016.htm" TargetMode="External"/><Relationship Id="rId96" Type="http://schemas.openxmlformats.org/officeDocument/2006/relationships/hyperlink" Target="http://www.sec.gov/Archives/edgar/data/66756/000006675617000035/exhibit10i512-31x2016.htm" TargetMode="External"/><Relationship Id="rId98" Type="http://schemas.openxmlformats.org/officeDocument/2006/relationships/hyperlink" Target="http://www.sec.gov/Archives/edgar/data/66756/000006675617000035/exhibit10i612-31x2016.htm" TargetMode="External"/><Relationship Id="rId100" Type="http://schemas.openxmlformats.org/officeDocument/2006/relationships/hyperlink" Target="http://www.sec.gov/Archives/edgar/data/66756/000006675613000102/ale6-30x2013exx10a.htm" TargetMode="External"/><Relationship Id="rId102" Type="http://schemas.openxmlformats.org/officeDocument/2006/relationships/hyperlink" Target="http://www.sec.gov/Archives/edgar/data/66756/000006675615000022/exhibit10l512-31x2014.htm" TargetMode="External"/><Relationship Id="rId103" Type="http://schemas.openxmlformats.org/officeDocument/2006/relationships/hyperlink" Target="http://www.sec.gov/Archives/edgar/data/66756/000006675617000035/exhibit10k312-31x2016.htm" TargetMode="External"/><Relationship Id="rId105" Type="http://schemas.openxmlformats.org/officeDocument/2006/relationships/hyperlink" Target="http://www.sec.gov/Archives/edgar/data/66756/000006675603000048/exhibit10ac.txt" TargetMode="External"/><Relationship Id="rId106" Type="http://schemas.openxmlformats.org/officeDocument/2006/relationships/hyperlink" Target="http://www.sec.gov/Archives/edgar/data/66756/000006675604000034/rexhibit10aa2.txt" TargetMode="External"/><Relationship Id="rId108" Type="http://schemas.openxmlformats.org/officeDocument/2006/relationships/hyperlink" Target="http://www.sec.gov/Archives/edgar/data/66756/000006675605000072/ex10c.txt" TargetMode="External"/><Relationship Id="rId109" Type="http://schemas.openxmlformats.org/officeDocument/2006/relationships/hyperlink" Target="http://www.sec.gov/Archives/edgar/data/66756/000006675606000076/exhibit10d.txt" TargetMode="External"/><Relationship Id="rId111" Type="http://schemas.openxmlformats.org/officeDocument/2006/relationships/hyperlink" Target="http://www.sec.gov/Archives/edgar/data/66756/000006675613000030/ex10n512-31x2012.htm" TargetMode="External"/><Relationship Id="rId112" Type="http://schemas.openxmlformats.org/officeDocument/2006/relationships/hyperlink" Target="http://www.sec.gov/Archives/edgar/data/66756/000006675609000076/exhibit_10a.htm" TargetMode="External"/><Relationship Id="rId113" Type="http://schemas.openxmlformats.org/officeDocument/2006/relationships/hyperlink" Target="http://www.sec.gov/Archives/edgar/data/66756/000006675613000030/ex10o212-31x2012.htm" TargetMode="External"/><Relationship Id="rId114" Type="http://schemas.openxmlformats.org/officeDocument/2006/relationships/hyperlink" Target="http://www.sec.gov/Archives/edgar/data/66756/000006675613000030/ex10p212-31x2012.htm" TargetMode="External"/><Relationship Id="rId115" Type="http://schemas.openxmlformats.org/officeDocument/2006/relationships/hyperlink" Target="http://www.sec.gov/Archives/edgar/data/66756/000006675611000029/exhibit_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2019-12-29T01:58:12Z</dcterms:created>
  <dcterms:modified xsi:type="dcterms:W3CDTF">2019-12-29T01:58:12Z</dcterms:modified>
</cp:coreProperties>
</file>