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360" w:right="3419" w:hanging="343"/>
        <w:spacing w:after="0" w:line="255" w:lineRule="auto"/>
        <w:rPr>
          <w:sz w:val="20"/>
          <w:szCs w:val="20"/>
          <w:color w:val="auto"/>
        </w:rPr>
      </w:pPr>
      <w:r>
        <w:rPr>
          <w:rFonts w:ascii="Courier New" w:cs="Courier New" w:eastAsia="Courier New" w:hAnsi="Courier New"/>
          <w:sz w:val="14"/>
          <w:szCs w:val="14"/>
          <w:color w:val="auto"/>
        </w:rPr>
        <w:t>/X/ Quarterly Report Pursuant to Section 13 or 15(d) of the Securities Exchange Act of 1934</w:t>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For the quarterly period ended SEPTEMBER 30, 2006</w:t>
      </w:r>
    </w:p>
    <w:p>
      <w:pPr>
        <w:spacing w:after="0" w:line="173"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360" w:right="3339" w:hanging="352"/>
        <w:spacing w:after="0" w:line="255" w:lineRule="auto"/>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For the transition period from ______________ to ______________</w:t>
      </w:r>
    </w:p>
    <w:p>
      <w:pPr>
        <w:spacing w:after="0" w:line="338"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1-3548</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3600" w:space="720"/>
            <w:col w:w="5919"/>
          </w:cols>
          <w:pgMar w:left="220" w:top="561"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DULUTH, MINNESOTA 55802-2093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w:t>
      </w:r>
    </w:p>
    <w:p>
      <w:pPr>
        <w:spacing w:after="0" w:line="1" w:lineRule="exact"/>
        <w:rPr>
          <w:sz w:val="24"/>
          <w:szCs w:val="24"/>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the past 90 days. /X/ Yes</w:t>
      </w:r>
      <w:r>
        <w:rPr>
          <w:sz w:val="20"/>
          <w:szCs w:val="20"/>
          <w:color w:val="auto"/>
        </w:rPr>
        <w:tab/>
      </w:r>
      <w:r>
        <w:rPr>
          <w:rFonts w:ascii="Courier New" w:cs="Courier New" w:eastAsia="Courier New" w:hAnsi="Courier New"/>
          <w:sz w:val="13"/>
          <w:szCs w:val="13"/>
          <w:color w:val="auto"/>
        </w:rPr>
        <w:t>/ / No</w:t>
      </w:r>
    </w:p>
    <w:p>
      <w:pPr>
        <w:spacing w:after="0" w:line="173"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0239"/>
          </w:cols>
          <w:pgMar w:left="220" w:top="561" w:right="1440" w:bottom="1440" w:gutter="0" w:footer="0" w:header="0"/>
          <w:type w:val="continuous"/>
        </w:sectPr>
      </w:pP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Accelerated Filer / /</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Non-Accelerated Filer / /</w:t>
      </w:r>
    </w:p>
    <w:p>
      <w:pPr>
        <w:spacing w:after="0" w:line="173" w:lineRule="exact"/>
        <w:rPr>
          <w:sz w:val="24"/>
          <w:szCs w:val="24"/>
          <w:color w:val="auto"/>
        </w:rPr>
      </w:pPr>
    </w:p>
    <w:p>
      <w:pPr>
        <w:sectPr>
          <w:pgSz w:w="11900" w:h="16838" w:orient="portrait"/>
          <w:cols w:equalWidth="0" w:num="3">
            <w:col w:w="2340" w:space="260"/>
            <w:col w:w="1800" w:space="340"/>
            <w:col w:w="5499"/>
          </w:cols>
          <w:pgMar w:left="220" w:top="561"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 shell company (as defined Rule 12b-2 of the Exchange Act). / / Yes /X/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in</w:t>
      </w:r>
    </w:p>
    <w:p>
      <w:pPr>
        <w:spacing w:after="0" w:line="378" w:lineRule="exact"/>
        <w:rPr>
          <w:sz w:val="24"/>
          <w:szCs w:val="24"/>
          <w:color w:val="auto"/>
        </w:rPr>
      </w:pPr>
    </w:p>
    <w:p>
      <w:pPr>
        <w:sectPr>
          <w:pgSz w:w="11900" w:h="16838" w:orient="portrait"/>
          <w:cols w:equalWidth="0" w:num="2">
            <w:col w:w="6560" w:space="160"/>
            <w:col w:w="3519"/>
          </w:cols>
          <w:pgMar w:left="220" w:top="561" w:right="1440" w:bottom="1440" w:gutter="0" w:footer="0" w:header="0"/>
          <w:type w:val="continuous"/>
        </w:sectPr>
      </w:pPr>
    </w:p>
    <w:p>
      <w:pPr>
        <w:spacing w:after="0" w:line="126"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Common Stock, no par value,</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30,381,209 shares outstanding</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as of September 30, 2006</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1680"/>
              <w:spacing w:after="0"/>
              <w:rPr>
                <w:sz w:val="20"/>
                <w:szCs w:val="20"/>
                <w:color w:val="auto"/>
              </w:rPr>
            </w:pPr>
            <w:r>
              <w:rPr>
                <w:rFonts w:ascii="Courier New" w:cs="Courier New" w:eastAsia="Courier New" w:hAnsi="Courier New"/>
                <w:sz w:val="14"/>
                <w:szCs w:val="14"/>
                <w:color w:val="auto"/>
              </w:rPr>
              <w:t>INDEX</w:t>
            </w:r>
          </w:p>
        </w:tc>
        <w:tc>
          <w:tcPr>
            <w:tcW w:w="60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Definitions</w:t>
            </w: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Reform Act 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60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600" w:type="dxa"/>
            <w:vAlign w:val="bottom"/>
          </w:tcPr>
          <w:p>
            <w:pPr>
              <w:spacing w:after="0"/>
              <w:rPr>
                <w:sz w:val="24"/>
                <w:szCs w:val="24"/>
                <w:color w:val="auto"/>
              </w:rPr>
            </w:pP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Balance Sheet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September 30, 2006 and December 31, 2005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Income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Quarter and Nine Months Ended September 30, 2006</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and 2005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Cash Flows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Nine Months Ended September 30, 2006 and 2005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Condition and Results of Operations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Market Risk</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60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1A.</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Risk Factors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Unregistered Sales of Equity Securities and</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Use of Proceeds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Defaults Upon Senior Securities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Other Information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663"/>
        </w:trPr>
        <w:tc>
          <w:tcPr>
            <w:tcW w:w="11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Courier New" w:cs="Courier New" w:eastAsia="Courier New" w:hAnsi="Courier New"/>
                <w:sz w:val="14"/>
                <w:szCs w:val="14"/>
                <w:color w:val="auto"/>
              </w:rPr>
              <w:t>ALLETE Third Quarter 2006 Form 10-Q</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2005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the Year Ended December 31, 2005</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ADESA</w:t>
      </w:r>
      <w:r>
        <w:rPr>
          <w:sz w:val="20"/>
          <w:szCs w:val="20"/>
          <w:color w:val="auto"/>
        </w:rPr>
        <w:tab/>
      </w:r>
      <w:r>
        <w:rPr>
          <w:rFonts w:ascii="Courier New" w:cs="Courier New" w:eastAsia="Courier New" w:hAnsi="Courier New"/>
          <w:sz w:val="14"/>
          <w:szCs w:val="14"/>
          <w:color w:val="auto"/>
        </w:rPr>
        <w:t>ADESA, Inc.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LLC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AREA</w:t>
      </w:r>
      <w:r>
        <w:rPr>
          <w:sz w:val="20"/>
          <w:szCs w:val="20"/>
          <w:color w:val="auto"/>
        </w:rPr>
        <w:tab/>
      </w:r>
      <w:r>
        <w:rPr>
          <w:rFonts w:ascii="Courier New" w:cs="Courier New" w:eastAsia="Courier New" w:hAnsi="Courier New"/>
          <w:sz w:val="14"/>
          <w:szCs w:val="14"/>
          <w:color w:val="auto"/>
        </w:rPr>
        <w:t>Arrowhead Regional Emission Abatement Plan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 LLC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 Inc.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DOC</w:t>
      </w:r>
      <w:r>
        <w:rPr>
          <w:sz w:val="20"/>
          <w:szCs w:val="20"/>
          <w:color w:val="auto"/>
        </w:rPr>
        <w:tab/>
      </w:r>
      <w:r>
        <w:rPr>
          <w:rFonts w:ascii="Courier New" w:cs="Courier New" w:eastAsia="Courier New" w:hAnsi="Courier New"/>
          <w:sz w:val="14"/>
          <w:szCs w:val="14"/>
          <w:color w:val="auto"/>
        </w:rPr>
        <w:t>Minnesota Department of Commerce</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 Issue No.</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 Staff</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Position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 Accepted in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the United States of America</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Hibbard</w:t>
      </w:r>
      <w:r>
        <w:rPr>
          <w:sz w:val="20"/>
          <w:szCs w:val="20"/>
          <w:color w:val="auto"/>
        </w:rPr>
        <w:tab/>
      </w:r>
      <w:r>
        <w:rPr>
          <w:rFonts w:ascii="Courier New" w:cs="Courier New" w:eastAsia="Courier New" w:hAnsi="Courier New"/>
          <w:sz w:val="14"/>
          <w:szCs w:val="14"/>
          <w:color w:val="auto"/>
        </w:rPr>
        <w:t>Hibbard Energy Center</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MPCA</w:t>
      </w:r>
      <w:r>
        <w:rPr>
          <w:sz w:val="20"/>
          <w:szCs w:val="20"/>
          <w:color w:val="auto"/>
        </w:rPr>
        <w:tab/>
      </w:r>
      <w:r>
        <w:rPr>
          <w:rFonts w:ascii="Courier New" w:cs="Courier New" w:eastAsia="Courier New" w:hAnsi="Courier New"/>
          <w:sz w:val="14"/>
          <w:szCs w:val="14"/>
          <w:color w:val="auto"/>
        </w:rPr>
        <w:t>Minnesota Pollution Control Agency</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statements in this Form 10-Q</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Palm Coast Park</w:t>
      </w:r>
      <w:r>
        <w:rPr>
          <w:sz w:val="20"/>
          <w:szCs w:val="20"/>
          <w:color w:val="auto"/>
        </w:rPr>
        <w:tab/>
      </w:r>
      <w:r>
        <w:rPr>
          <w:rFonts w:ascii="Courier New" w:cs="Courier New" w:eastAsia="Courier New" w:hAnsi="Courier New"/>
          <w:sz w:val="14"/>
          <w:szCs w:val="14"/>
          <w:color w:val="auto"/>
        </w:rPr>
        <w:t>Palm Coast Park development project in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northeast Florida</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Palm Coast Park District</w:t>
      </w:r>
      <w:r>
        <w:rPr>
          <w:sz w:val="20"/>
          <w:szCs w:val="20"/>
          <w:color w:val="auto"/>
        </w:rPr>
        <w:tab/>
      </w:r>
      <w:r>
        <w:rPr>
          <w:rFonts w:ascii="Courier New" w:cs="Courier New" w:eastAsia="Courier New" w:hAnsi="Courier New"/>
          <w:sz w:val="14"/>
          <w:szCs w:val="14"/>
          <w:color w:val="auto"/>
        </w:rPr>
        <w:t>Palm Coast Park Community Development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District</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Resource Plan</w:t>
      </w:r>
      <w:r>
        <w:rPr>
          <w:sz w:val="20"/>
          <w:szCs w:val="20"/>
          <w:color w:val="auto"/>
        </w:rPr>
        <w:tab/>
      </w:r>
      <w:r>
        <w:rPr>
          <w:rFonts w:ascii="Courier New" w:cs="Courier New" w:eastAsia="Courier New" w:hAnsi="Courier New"/>
          <w:sz w:val="14"/>
          <w:szCs w:val="14"/>
          <w:color w:val="auto"/>
        </w:rPr>
        <w:t>Integrated Resource Plan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project in northeast Florida</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Town Center District</w:t>
      </w:r>
      <w:r>
        <w:rPr>
          <w:sz w:val="20"/>
          <w:szCs w:val="20"/>
          <w:color w:val="auto"/>
        </w:rPr>
        <w:tab/>
      </w:r>
      <w:r>
        <w:rPr>
          <w:rFonts w:ascii="Courier New" w:cs="Courier New" w:eastAsia="Courier New" w:hAnsi="Courier New"/>
          <w:sz w:val="14"/>
          <w:szCs w:val="14"/>
          <w:color w:val="auto"/>
        </w:rPr>
        <w:t>Town Center at Palm Coast Community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Development District</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 Resources</w:t>
      </w:r>
    </w:p>
    <w:p>
      <w:pPr>
        <w:spacing w:after="0" w:line="338" w:lineRule="exact"/>
        <w:rPr>
          <w:sz w:val="20"/>
          <w:szCs w:val="20"/>
          <w:color w:val="auto"/>
        </w:rPr>
      </w:pPr>
    </w:p>
    <w:p>
      <w:pPr>
        <w:ind w:left="1900"/>
        <w:spacing w:after="0"/>
        <w:tabs>
          <w:tab w:leader="none" w:pos="6800" w:val="left"/>
        </w:tabs>
        <w:rPr>
          <w:sz w:val="20"/>
          <w:szCs w:val="20"/>
          <w:color w:val="auto"/>
        </w:rPr>
      </w:pPr>
      <w:r>
        <w:rPr>
          <w:rFonts w:ascii="Courier New" w:cs="Courier New" w:eastAsia="Courier New" w:hAnsi="Courier New"/>
          <w:sz w:val="14"/>
          <w:szCs w:val="14"/>
          <w:color w:val="auto"/>
        </w:rPr>
        <w:t>ALLETE Third Quarter 2006 Form 10-Q</w:t>
      </w:r>
      <w:r>
        <w:rPr>
          <w:sz w:val="20"/>
          <w:szCs w:val="20"/>
          <w:color w:val="auto"/>
        </w:rPr>
        <w:tab/>
      </w:r>
      <w:r>
        <w:rPr>
          <w:rFonts w:ascii="Courier New" w:cs="Courier New" w:eastAsia="Courier New" w:hAnsi="Courier New"/>
          <w:sz w:val="13"/>
          <w:szCs w:val="13"/>
          <w:color w:val="auto"/>
        </w:rPr>
        <w:t>2</w:t>
      </w:r>
    </w:p>
    <w:p>
      <w:pPr>
        <w:sectPr>
          <w:pgSz w:w="11900" w:h="16838" w:orient="portrait"/>
          <w:cols w:equalWidth="0" w:num="1">
            <w:col w:w="10239"/>
          </w:cols>
          <w:pgMar w:left="220" w:top="782"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164" w:lineRule="exact"/>
        <w:rPr>
          <w:sz w:val="20"/>
          <w:szCs w:val="20"/>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w:t>
      </w:r>
    </w:p>
    <w:p>
      <w:pPr>
        <w:spacing w:after="0" w:line="7" w:lineRule="exact"/>
        <w:rPr>
          <w:rFonts w:ascii="Courier New" w:cs="Courier New" w:eastAsia="Courier New" w:hAnsi="Courier New"/>
          <w:sz w:val="14"/>
          <w:szCs w:val="14"/>
          <w:color w:val="auto"/>
        </w:rPr>
      </w:pPr>
    </w:p>
    <w:p>
      <w:pPr>
        <w:jc w:val="both"/>
        <w:ind w:left="440" w:right="3339" w:hanging="259"/>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3"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and pandemic diseases;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viable real estate for development purposes;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440" w:right="3339" w:hanging="259"/>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competition, including competition for retail and wholesale customers;</w:t>
      </w: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w:t>
      </w:r>
    </w:p>
    <w:p>
      <w:pPr>
        <w:spacing w:after="0" w:line="7"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440" w:right="3339" w:hanging="259"/>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replace a mature workforce, and retain qualified, skilled and experienced personnel; and</w:t>
      </w:r>
    </w:p>
    <w:p>
      <w:pPr>
        <w:jc w:val="both"/>
        <w:ind w:left="440" w:right="3339" w:hanging="259"/>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under the heading "Risk Factors" in Part I, Item 1A of our 2005 Form 10-K and Part II, Item 1A of our Quarterly Report on Form 10-Q for the quarter ended March 31, 2006.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17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3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MILLIONS - UNAUDITED</w:t>
      </w:r>
    </w:p>
    <w:p>
      <w:pPr>
        <w:spacing w:after="0" w:line="338" w:lineRule="exact"/>
        <w:rPr>
          <w:sz w:val="20"/>
          <w:szCs w:val="20"/>
          <w:color w:val="auto"/>
        </w:rPr>
      </w:pPr>
    </w:p>
    <w:tbl>
      <w:tblPr>
        <w:tblLayout w:type="fixed"/>
        <w:tblInd w:w="7080" w:type="dxa"/>
        <w:tblCellMar>
          <w:top w:w="0" w:type="dxa"/>
          <w:left w:w="0" w:type="dxa"/>
          <w:bottom w:w="0" w:type="dxa"/>
          <w:right w:w="0" w:type="dxa"/>
        </w:tblCellMar>
      </w:tblPr>
      <w:tr>
        <w:trPr>
          <w:trHeight w:val="162"/>
        </w:trPr>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SEPTEMBER 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51.4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89.6</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121.6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$1.0 for 2006 and 2005)</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373.9</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877.9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860.4</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117.7</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$1,400.9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$1,398.8</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1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44.7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119.7</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387.8</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144.1</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755.1</w:t>
      </w:r>
      <w:r>
        <w:rPr>
          <w:sz w:val="20"/>
          <w:szCs w:val="20"/>
          <w:color w:val="auto"/>
        </w:rPr>
        <w:tab/>
      </w:r>
      <w:r>
        <w:rPr>
          <w:rFonts w:ascii="Courier New" w:cs="Courier New" w:eastAsia="Courier New" w:hAnsi="Courier New"/>
          <w:sz w:val="14"/>
          <w:szCs w:val="14"/>
          <w:color w:val="auto"/>
        </w:rPr>
        <w:t>796.0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Shares Authorized,</w:t>
            </w:r>
          </w:p>
        </w:tc>
        <w:tc>
          <w:tcPr>
            <w:tcW w:w="2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30.4 and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30.1 Shares Outstanding</w:t>
            </w:r>
          </w:p>
        </w:tc>
        <w:tc>
          <w:tcPr>
            <w:tcW w:w="2920" w:type="dxa"/>
            <w:vAlign w:val="bottom"/>
          </w:tcPr>
          <w:p>
            <w:pPr>
              <w:spacing w:after="0"/>
              <w:rPr>
                <w:sz w:val="14"/>
                <w:szCs w:val="1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435.0</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421.1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(73.5)</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(77.6)</w:t>
            </w:r>
          </w:p>
        </w:tc>
      </w:tr>
      <w:tr>
        <w:trPr>
          <w:trHeight w:val="33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920" w:type="dxa"/>
            <w:vAlign w:val="bottom"/>
          </w:tcPr>
          <w:p>
            <w:pPr>
              <w:spacing w:after="0"/>
              <w:rPr>
                <w:sz w:val="24"/>
                <w:szCs w:val="2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(12.2)</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(12.8)</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296.5</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272.1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645.8</w:t>
      </w:r>
      <w:r>
        <w:rPr>
          <w:sz w:val="20"/>
          <w:szCs w:val="20"/>
          <w:color w:val="auto"/>
        </w:rPr>
        <w:tab/>
      </w:r>
      <w:r>
        <w:rPr>
          <w:rFonts w:ascii="Courier New" w:cs="Courier New" w:eastAsia="Courier New" w:hAnsi="Courier New"/>
          <w:sz w:val="14"/>
          <w:szCs w:val="14"/>
          <w:color w:val="auto"/>
        </w:rPr>
        <w:t>602.8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88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$1,400.9</w:t>
      </w:r>
      <w:r>
        <w:rPr>
          <w:sz w:val="20"/>
          <w:szCs w:val="20"/>
          <w:color w:val="auto"/>
        </w:rPr>
        <w:tab/>
      </w:r>
      <w:r>
        <w:rPr>
          <w:rFonts w:ascii="Courier New" w:cs="Courier New" w:eastAsia="Courier New" w:hAnsi="Courier New"/>
          <w:sz w:val="14"/>
          <w:szCs w:val="14"/>
          <w:color w:val="auto"/>
        </w:rPr>
        <w:t>$1,398.8</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616" w:right="1440" w:bottom="422" w:gutter="0" w:footer="0" w:header="0"/>
        </w:sectPr>
      </w:pPr>
    </w:p>
    <w:bookmarkStart w:id="5" w:name="page6"/>
    <w:bookmarkEnd w:id="5"/>
    <w:p>
      <w:pPr>
        <w:ind w:left="484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tbl>
      <w:tblPr>
        <w:tblLayout w:type="fixed"/>
        <w:tblInd w:w="3200" w:type="dxa"/>
        <w:tblCellMar>
          <w:top w:w="0" w:type="dxa"/>
          <w:left w:w="0" w:type="dxa"/>
          <w:bottom w:w="0" w:type="dxa"/>
          <w:right w:w="0" w:type="dxa"/>
        </w:tblCellMar>
      </w:tblPr>
      <w:tr>
        <w:trPr>
          <w:trHeight w:val="162"/>
        </w:trPr>
        <w:tc>
          <w:tcPr>
            <w:tcW w:w="44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MILLIONS EXCEPT PER SHARE AMOUNTS - UNAUDITED</w:t>
            </w: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97"/>
        </w:trPr>
        <w:tc>
          <w:tcPr>
            <w:tcW w:w="25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258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5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$177.4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201.9</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211.8</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32.7</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24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86.9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331"/>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680" w:type="dxa"/>
            <w:vAlign w:val="bottom"/>
          </w:tcPr>
          <w:p>
            <w:pPr>
              <w:ind w:left="780"/>
              <w:spacing w:after="0"/>
              <w:rPr>
                <w:sz w:val="20"/>
                <w:szCs w:val="20"/>
                <w:color w:val="auto"/>
              </w:rPr>
            </w:pPr>
            <w:r>
              <w:rPr>
                <w:rFonts w:ascii="Courier New" w:cs="Courier New" w:eastAsia="Courier New" w:hAnsi="Courier New"/>
                <w:sz w:val="14"/>
                <w:szCs w:val="14"/>
                <w:color w:val="auto"/>
              </w:rPr>
              <w:t>21.9</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15.8</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54.3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680" w:type="dxa"/>
            <w:vAlign w:val="bottom"/>
          </w:tcPr>
          <w:p>
            <w:pPr>
              <w:ind w:left="780"/>
              <w:spacing w:after="0"/>
              <w:rPr>
                <w:sz w:val="20"/>
                <w:szCs w:val="20"/>
                <w:color w:val="auto"/>
              </w:rPr>
            </w:pPr>
            <w:r>
              <w:rPr>
                <w:rFonts w:ascii="Courier New" w:cs="Courier New" w:eastAsia="Courier New" w:hAnsi="Courier New"/>
                <w:sz w:val="14"/>
                <w:szCs w:val="14"/>
                <w:color w:val="auto"/>
              </w:rPr>
              <w:t>(0.1)</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(0.6)</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$ 21.8</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$ 15.2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27.4</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 OF COMMON STOCK</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$0.78</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$0.58</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$1.96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(0.02)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440"/>
        <w:spacing w:after="0"/>
        <w:tabs>
          <w:tab w:leader="none" w:pos="6800" w:val="left"/>
          <w:tab w:leader="none" w:pos="8080" w:val="left"/>
          <w:tab w:leader="none" w:pos="9300" w:val="left"/>
        </w:tabs>
        <w:rPr>
          <w:sz w:val="20"/>
          <w:szCs w:val="20"/>
          <w:color w:val="auto"/>
        </w:rPr>
      </w:pPr>
      <w:r>
        <w:rPr>
          <w:rFonts w:ascii="Courier New" w:cs="Courier New" w:eastAsia="Courier New" w:hAnsi="Courier New"/>
          <w:sz w:val="14"/>
          <w:szCs w:val="14"/>
          <w:color w:val="auto"/>
        </w:rPr>
        <w:t>$0.78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$1.94</w:t>
      </w:r>
      <w:r>
        <w:rPr>
          <w:sz w:val="20"/>
          <w:szCs w:val="20"/>
          <w:color w:val="auto"/>
        </w:rPr>
        <w:tab/>
      </w:r>
      <w:r>
        <w:rPr>
          <w:rFonts w:ascii="Courier New" w:cs="Courier New" w:eastAsia="Courier New" w:hAnsi="Courier New"/>
          <w:sz w:val="14"/>
          <w:szCs w:val="14"/>
          <w:color w:val="auto"/>
        </w:rPr>
        <w:t>$(0.28)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$0.78</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$0.58</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$1.95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0"/>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(0.02)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440"/>
        <w:spacing w:after="0"/>
        <w:tabs>
          <w:tab w:leader="none" w:pos="6800" w:val="left"/>
          <w:tab w:leader="none" w:pos="8080" w:val="left"/>
          <w:tab w:leader="none" w:pos="9300" w:val="left"/>
        </w:tabs>
        <w:rPr>
          <w:sz w:val="20"/>
          <w:szCs w:val="20"/>
          <w:color w:val="auto"/>
        </w:rPr>
      </w:pPr>
      <w:r>
        <w:rPr>
          <w:rFonts w:ascii="Courier New" w:cs="Courier New" w:eastAsia="Courier New" w:hAnsi="Courier New"/>
          <w:sz w:val="14"/>
          <w:szCs w:val="14"/>
          <w:color w:val="auto"/>
        </w:rPr>
        <w:t>$0.78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240" w:val="left"/>
          <w:tab w:leader="none" w:pos="6620" w:val="left"/>
          <w:tab w:leader="none" w:pos="7920" w:val="left"/>
          <w:tab w:leader="none" w:pos="920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$0.3625</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$1.0875</w:t>
      </w:r>
      <w:r>
        <w:rPr>
          <w:sz w:val="20"/>
          <w:szCs w:val="20"/>
          <w:color w:val="auto"/>
        </w:rPr>
        <w:tab/>
      </w:r>
      <w:r>
        <w:rPr>
          <w:rFonts w:ascii="Courier New" w:cs="Courier New" w:eastAsia="Courier New" w:hAnsi="Courier New"/>
          <w:sz w:val="14"/>
          <w:szCs w:val="14"/>
          <w:color w:val="auto"/>
        </w:rPr>
        <w:t>$0.9300</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6" w:name="page7"/>
    <w:bookmarkEnd w:id="6"/>
    <w:p>
      <w:pPr>
        <w:jc w:val="center"/>
        <w:ind w:right="-1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MILLIONS - UNAUDITED</w:t>
      </w:r>
    </w:p>
    <w:p>
      <w:pPr>
        <w:spacing w:after="0" w:line="338" w:lineRule="exact"/>
        <w:rPr>
          <w:sz w:val="20"/>
          <w:szCs w:val="20"/>
          <w:color w:val="auto"/>
        </w:rPr>
      </w:pPr>
    </w:p>
    <w:tbl>
      <w:tblPr>
        <w:tblLayout w:type="fixed"/>
        <w:tblInd w:w="7160" w:type="dxa"/>
        <w:tblCellMar>
          <w:top w:w="0" w:type="dxa"/>
          <w:left w:w="0" w:type="dxa"/>
          <w:bottom w:w="0" w:type="dxa"/>
          <w:right w:w="0" w:type="dxa"/>
        </w:tblCellMar>
      </w:tblPr>
      <w:tr>
        <w:trPr>
          <w:trHeight w:val="162"/>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150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5"/>
              </w:rPr>
              <w:t>2006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$ 53.8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(7.7)</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Loss from Discontinued Operations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Income from Equity Investments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Loss on Impairment of Investments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36.6</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Bad Debt Expense</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Accounts Receivable</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Prepayments and Other</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Other Current Liabilities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Net Operating Activities for Discontinued Operations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31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90.5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483.9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323.5</w:t>
            </w: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(488.6)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(241.0)</w:t>
            </w: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Changes to Investments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(35.3)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Net Investing Activities from (for) Discontinued Operations</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3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(101.6)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Issuance of Common Stock</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Issuance of Long-Term Debt</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77.8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Payments of Long-Term Debt</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(81.4)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Dividends on Common Stock and Distributions to Minority Shareholders</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(32.6)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Net Decrease in Book Overdrafts</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Net Financing Activities for Discontinued Operations</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3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8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89.6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9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$ 51.4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91.4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SUPPLEMENTAL CASH</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FLOW INFORMATION</w:t>
            </w:r>
          </w:p>
        </w:tc>
        <w:tc>
          <w:tcPr>
            <w:tcW w:w="2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Cash Paid During the Period</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for</w:t>
            </w:r>
          </w:p>
        </w:tc>
        <w:tc>
          <w:tcPr>
            <w:tcW w:w="2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Interest -</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Net of Amounts</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Capitalized</w:t>
            </w: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r>
        <w:trPr>
          <w:trHeight w:val="166"/>
        </w:trPr>
        <w:tc>
          <w:tcPr>
            <w:tcW w:w="280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Income Taxes</w:t>
            </w:r>
          </w:p>
        </w:tc>
        <w:tc>
          <w:tcPr>
            <w:tcW w:w="2680" w:type="dxa"/>
            <w:vAlign w:val="bottom"/>
          </w:tcPr>
          <w:p>
            <w:pPr>
              <w:spacing w:after="0"/>
              <w:rPr>
                <w:sz w:val="14"/>
                <w:szCs w:val="14"/>
                <w:color w:val="auto"/>
              </w:rPr>
            </w:pP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$1.2 million of cash from Discontinued Operations at December 31, 2004.</w:t>
      </w:r>
    </w:p>
    <w:p>
      <w:pPr>
        <w:spacing w:after="0" w:line="17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239"/>
          </w:cols>
          <w:pgMar w:left="220" w:top="782" w:right="1440"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2005 Form 10-K. In our opinion, all adjustments necessary for a fair statement of the results for the interim periods have been made. The results of operations for an interim period are not necessarily indicative of the results to be expected for the full year.</w:t>
      </w: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reclassifications have been made to prior years' amounts to conform to current year classifications. We revised our Consolidated Statement of Cash Flows for the nine months ended September 30, 2005, to reconcile Net Income to Cash from Operating Activities. Previously, we reconciled Income from Continuing Operations to Cash from Operating Activities. In addition, we have reclassified certain amounts in our balance sheet, statement of income, statement of cash flows and segment information to reflect discontinued operations treatment for our telecommunications business, which we sold in December 2005. These reclassifications had no effect on previously reported consolidated net income, shareholders' equity, comprehensive income or cash flows.</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SEPTEMBER 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8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Fuel</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$19.2</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Materials and Supplies</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23.9</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Total Inventories</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$43.1</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STOCK-BASED COMPENSATION EXPENSE. Effective January 1, 2006, we adopted the fair value recognition provisions of SFAS 123R, "Share-Based Payment," using the modified prospective transition method. Under this method, we recognize compensation expense for all share-based payments granted after January 1, 2006, and those granted prior to but not yet vested as of January 1, 2006. Under the fair value recognition provisions of SFAS 123R, we recognize stock-based compensation net of an estimated forfeiture rate and only recognize compensation expense for those shares expected to vest over the required service period of the award. Prior to our adoption of SFAS 123R, we accounted for share-based payments under Accounting Principles Board Opinion No. 25, "Accounting for Stock Issued to Employees" and related interpretations.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STOCK INCENTIVE PLAN. Under our Executive Long-Term Incentive Compensation Plan, share-based awards may be issued to employees via a broad range of methods, including non-qualified and incentive stock options, performance shares, performance units, restricted stock, stock appreciation rights and other awards. There are 3.2 million shares of common stock reserved for issuance under the plan, with 1.5 million of these shares available for issuance as of September 30, 2006. We currently have the following types of share-based awards outstanding:</w:t>
      </w:r>
    </w:p>
    <w:p>
      <w:pPr>
        <w:spacing w:after="0" w:line="330"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NON-QUALIFIED STOCK OPTIONS. The options allow for the purchase of shares of common stock at a price equal to the market value of our common stock 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shortened. Employees have up to three months to exercise vested options upon voluntary termination or involuntary termination without cause. All options are cancelled upon termination for cause. All options vest immediately upon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w:t>
      </w:r>
    </w:p>
    <w:p>
      <w:pPr>
        <w:spacing w:after="0" w:line="172"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616" w:right="1440" w:bottom="1440"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The following assumptions were used in determining the fair value of stock options granted during the first nine months of 2006, under the Black-Scholes option-pricing model:</w:t>
      </w:r>
    </w:p>
    <w:p>
      <w:pPr>
        <w:spacing w:after="0" w:line="200" w:lineRule="exact"/>
        <w:rPr>
          <w:sz w:val="20"/>
          <w:szCs w:val="20"/>
          <w:color w:val="auto"/>
        </w:rPr>
      </w:pPr>
    </w:p>
    <w:p>
      <w:pPr>
        <w:spacing w:after="0" w:line="29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2006</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5840" w:val="left"/>
        </w:tabs>
        <w:rPr>
          <w:sz w:val="20"/>
          <w:szCs w:val="20"/>
          <w:color w:val="auto"/>
        </w:rPr>
      </w:pPr>
      <w:r>
        <w:rPr>
          <w:rFonts w:ascii="Courier New" w:cs="Courier New" w:eastAsia="Courier New" w:hAnsi="Courier New"/>
          <w:sz w:val="14"/>
          <w:szCs w:val="14"/>
          <w:color w:val="auto"/>
        </w:rPr>
        <w:t>Risk-Free Interest Rate</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440"/>
        <w:spacing w:after="0"/>
        <w:tabs>
          <w:tab w:leader="none" w:pos="5580" w:val="left"/>
        </w:tabs>
        <w:rPr>
          <w:sz w:val="20"/>
          <w:szCs w:val="20"/>
          <w:color w:val="auto"/>
        </w:rPr>
      </w:pPr>
      <w:r>
        <w:rPr>
          <w:rFonts w:ascii="Courier New" w:cs="Courier New" w:eastAsia="Courier New" w:hAnsi="Courier New"/>
          <w:sz w:val="14"/>
          <w:szCs w:val="14"/>
          <w:color w:val="auto"/>
        </w:rPr>
        <w:t>Expected Life</w:t>
      </w:r>
      <w:r>
        <w:rPr>
          <w:sz w:val="20"/>
          <w:szCs w:val="20"/>
          <w:color w:val="auto"/>
        </w:rPr>
        <w:tab/>
      </w:r>
      <w:r>
        <w:rPr>
          <w:rFonts w:ascii="Courier New" w:cs="Courier New" w:eastAsia="Courier New" w:hAnsi="Courier New"/>
          <w:sz w:val="14"/>
          <w:szCs w:val="14"/>
          <w:color w:val="auto"/>
        </w:rPr>
        <w:t>5 Years</w:t>
      </w:r>
    </w:p>
    <w:p>
      <w:pPr>
        <w:spacing w:after="0" w:line="7" w:lineRule="exact"/>
        <w:rPr>
          <w:sz w:val="20"/>
          <w:szCs w:val="20"/>
          <w:color w:val="auto"/>
        </w:rPr>
      </w:pPr>
    </w:p>
    <w:p>
      <w:pPr>
        <w:ind w:left="440"/>
        <w:spacing w:after="0"/>
        <w:tabs>
          <w:tab w:leader="none" w:pos="5940" w:val="left"/>
        </w:tabs>
        <w:rPr>
          <w:sz w:val="20"/>
          <w:szCs w:val="20"/>
          <w:color w:val="auto"/>
        </w:rPr>
      </w:pPr>
      <w:r>
        <w:rPr>
          <w:rFonts w:ascii="Courier New" w:cs="Courier New" w:eastAsia="Courier New" w:hAnsi="Courier New"/>
          <w:sz w:val="14"/>
          <w:szCs w:val="14"/>
          <w:color w:val="auto"/>
        </w:rPr>
        <w:t>Expected Volatility</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6020" w:val="left"/>
        </w:tabs>
        <w:rPr>
          <w:sz w:val="20"/>
          <w:szCs w:val="20"/>
          <w:color w:val="auto"/>
        </w:rPr>
      </w:pPr>
      <w:r>
        <w:rPr>
          <w:rFonts w:ascii="Courier New" w:cs="Courier New" w:eastAsia="Courier New" w:hAnsi="Courier New"/>
          <w:sz w:val="14"/>
          <w:szCs w:val="14"/>
          <w:color w:val="auto"/>
        </w:rPr>
        <w:t>Dividend Growth Rate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The risk-free interest rate for periods within the contractual life of the option is based on the U.S. Treasury yield curve in effect at the grant date. Expected volatility is based on the historic volatility of our stock and the stock of our peer group companies. We utilize historical option exercise and employee termination data to estimate the option life. Dividend growth rate is based upon historic growth rates in our dividends.</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PERFORMANCE SHARES. Under these awards, the number of shares earned is contingent upon attaining specific performance targets over a three-year performance period. In the case of qualified retirement, death or disability during a performance period, a pro-rata portion of the award will be earned at the conclusion of the performance period based on the performance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equal to the grant date fair value which is estimated based upon the assumed share-based payment three years from the date of grant. Compensation cost is recognized over the three-year performance period based on our estimate of the number of shares which will be earned by the award recipients.</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EMPLOYEE STOCK PURCHASE PLAN (ESPP). Under our ESPP, eligible employees may purchase ALLETE common stock at a 5 percent discount from the market price. Because the discount is not greater than 5 percent, we are not required by SFAS 123R to apply fair value accounting to these awards.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RETIREMENT SAVINGS AND STOCK OWNERSHIP PLAN (RSOP). Shares held in our RSOP are excluded from SFAS 123R and are accounted for in accordance with the American Institute of Certified Public Accountants' Statement of Position No. 93-6, "Employers' Accounting for Employee Stock Ownership Plans."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share-based compensation expense amounts were recognized in our consolidated statement of income for the periods presented since our adoption of SFAS 123R.</w:t>
      </w:r>
    </w:p>
    <w:p>
      <w:pPr>
        <w:spacing w:after="0" w:line="200" w:lineRule="exact"/>
        <w:rPr>
          <w:sz w:val="20"/>
          <w:szCs w:val="20"/>
          <w:color w:val="auto"/>
        </w:rPr>
      </w:pPr>
    </w:p>
    <w:p>
      <w:pPr>
        <w:spacing w:after="0" w:line="294" w:lineRule="exact"/>
        <w:rPr>
          <w:sz w:val="20"/>
          <w:szCs w:val="20"/>
          <w:color w:val="auto"/>
        </w:rPr>
      </w:pPr>
    </w:p>
    <w:p>
      <w:pPr>
        <w:ind w:left="5960"/>
        <w:spacing w:after="0"/>
        <w:tabs>
          <w:tab w:leader="none" w:pos="826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5960"/>
        <w:spacing w:after="0"/>
        <w:tabs>
          <w:tab w:leader="none" w:pos="842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spacing w:after="0"/>
        <w:tabs>
          <w:tab w:leader="none" w:pos="6280" w:val="left"/>
          <w:tab w:leader="none" w:pos="8780" w:val="left"/>
        </w:tabs>
        <w:rPr>
          <w:sz w:val="20"/>
          <w:szCs w:val="20"/>
          <w:color w:val="auto"/>
        </w:rPr>
      </w:pPr>
      <w:r>
        <w:rPr>
          <w:rFonts w:ascii="Courier New" w:cs="Courier New" w:eastAsia="Courier New" w:hAnsi="Courier New"/>
          <w:sz w:val="14"/>
          <w:szCs w:val="14"/>
          <w:color w:val="auto"/>
        </w:rPr>
        <w:t>SHARE-BASED COMPENSATION EXPENSE</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2006</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3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Performance Shares</w:t>
            </w:r>
          </w:p>
        </w:tc>
        <w:tc>
          <w:tcPr>
            <w:tcW w:w="3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Total Share-Based Compensation Expense</w:t>
            </w:r>
          </w:p>
        </w:tc>
        <w:tc>
          <w:tcPr>
            <w:tcW w:w="29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3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There  were  no  significant</w:t>
            </w:r>
          </w:p>
        </w:tc>
        <w:tc>
          <w:tcPr>
            <w:tcW w:w="22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capitalized  stock-based</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compensation  costs  at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September 30, 2006.</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As of September 30, 2006, the</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c>
          <w:tcPr>
            <w:tcW w:w="500" w:type="dxa"/>
            <w:vAlign w:val="bottom"/>
          </w:tcPr>
          <w:p>
            <w:pPr>
              <w:ind w:left="120"/>
              <w:spacing w:after="0"/>
              <w:rPr>
                <w:sz w:val="20"/>
                <w:szCs w:val="20"/>
                <w:color w:val="auto"/>
              </w:rPr>
            </w:pPr>
            <w:r>
              <w:rPr>
                <w:rFonts w:ascii="Courier New" w:cs="Courier New" w:eastAsia="Courier New" w:hAnsi="Courier New"/>
                <w:sz w:val="14"/>
                <w:szCs w:val="14"/>
                <w:color w:val="auto"/>
              </w:rPr>
              <w:t>cost</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nonvested awards not</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yet  recognized in our  statements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of income was</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million.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This amount is</w:t>
            </w:r>
          </w:p>
        </w:tc>
      </w:tr>
      <w:tr>
        <w:trPr>
          <w:trHeight w:val="166"/>
        </w:trPr>
        <w:tc>
          <w:tcPr>
            <w:tcW w:w="4280" w:type="dxa"/>
            <w:vAlign w:val="bottom"/>
            <w:gridSpan w:val="3"/>
          </w:tcPr>
          <w:p>
            <w:pPr>
              <w:spacing w:after="0"/>
              <w:rPr>
                <w:sz w:val="20"/>
                <w:szCs w:val="20"/>
                <w:color w:val="auto"/>
              </w:rPr>
            </w:pPr>
            <w:r>
              <w:rPr>
                <w:rFonts w:ascii="Courier New" w:cs="Courier New" w:eastAsia="Courier New" w:hAnsi="Courier New"/>
                <w:sz w:val="14"/>
                <w:szCs w:val="14"/>
                <w:color w:val="auto"/>
              </w:rPr>
              <w:t>expected to be recognized over a weighted-average</w:t>
            </w: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period of 1.23</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years.</w:t>
            </w:r>
          </w:p>
        </w:tc>
      </w:tr>
      <w:tr>
        <w:trPr>
          <w:trHeight w:val="331"/>
        </w:trPr>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ALLETE</w:t>
            </w:r>
          </w:p>
        </w:tc>
        <w:tc>
          <w:tcPr>
            <w:tcW w:w="30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Third Quarter 2006 Form 10-Q</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table presents the pro forma effect of stock-based compensation had we applied the provisions of SFAS 123 for the quarter and nine months ended September 30, 2005.</w:t>
      </w:r>
    </w:p>
    <w:p>
      <w:pPr>
        <w:spacing w:after="0" w:line="200" w:lineRule="exact"/>
        <w:rPr>
          <w:sz w:val="20"/>
          <w:szCs w:val="20"/>
          <w:color w:val="auto"/>
        </w:rPr>
      </w:pPr>
    </w:p>
    <w:p>
      <w:pPr>
        <w:spacing w:after="0" w:line="294" w:lineRule="exact"/>
        <w:rPr>
          <w:sz w:val="20"/>
          <w:szCs w:val="20"/>
          <w:color w:val="auto"/>
        </w:rPr>
      </w:pPr>
    </w:p>
    <w:p>
      <w:pPr>
        <w:ind w:left="5960"/>
        <w:spacing w:after="0"/>
        <w:tabs>
          <w:tab w:leader="none" w:pos="826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spacing w:after="0"/>
        <w:tabs>
          <w:tab w:leader="none" w:pos="5940" w:val="left"/>
          <w:tab w:leader="none" w:pos="8340" w:val="left"/>
        </w:tabs>
        <w:rPr>
          <w:sz w:val="20"/>
          <w:szCs w:val="20"/>
          <w:color w:val="auto"/>
        </w:rPr>
      </w:pPr>
      <w:r>
        <w:rPr>
          <w:rFonts w:ascii="Courier New" w:cs="Courier New" w:eastAsia="Courier New" w:hAnsi="Courier New"/>
          <w:sz w:val="14"/>
          <w:szCs w:val="14"/>
          <w:color w:val="auto"/>
        </w:rPr>
        <w:t>PRO FORMA EFFECT OF SFAS 123</w:t>
      </w:r>
      <w:r>
        <w:rPr>
          <w:sz w:val="20"/>
          <w:szCs w:val="20"/>
          <w:color w:val="auto"/>
        </w:rPr>
        <w:tab/>
      </w: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spacing w:after="0"/>
        <w:tabs>
          <w:tab w:leader="none" w:pos="6280" w:val="left"/>
          <w:tab w:leader="none" w:pos="8780" w:val="left"/>
        </w:tabs>
        <w:rPr>
          <w:sz w:val="20"/>
          <w:szCs w:val="20"/>
          <w:color w:val="auto"/>
        </w:rPr>
      </w:pPr>
      <w:r>
        <w:rPr>
          <w:rFonts w:ascii="Courier New" w:cs="Courier New" w:eastAsia="Courier New" w:hAnsi="Courier New"/>
          <w:sz w:val="14"/>
          <w:szCs w:val="14"/>
          <w:color w:val="auto"/>
        </w:rPr>
        <w:t>ACCOUNTING FOR STOCK-BASED COMPENSATION</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Net Income (Loss)</w:t>
            </w:r>
          </w:p>
        </w:tc>
        <w:tc>
          <w:tcPr>
            <w:tcW w:w="3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As Reported</w:t>
            </w:r>
          </w:p>
        </w:tc>
        <w:tc>
          <w:tcPr>
            <w:tcW w:w="3660" w:type="dxa"/>
            <w:vAlign w:val="bottom"/>
          </w:tcPr>
          <w:p>
            <w:pPr>
              <w:spacing w:after="0"/>
              <w:rPr>
                <w:sz w:val="14"/>
                <w:szCs w:val="14"/>
                <w:color w:val="auto"/>
              </w:rPr>
            </w:pPr>
          </w:p>
        </w:tc>
        <w:tc>
          <w:tcPr>
            <w:tcW w:w="25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$15.2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Plus: Employee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Stock Compensation Expense</w:t>
            </w:r>
          </w:p>
        </w:tc>
        <w:tc>
          <w:tcPr>
            <w:tcW w:w="2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Included</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in Net Loss - Net of Tax</w:t>
            </w:r>
          </w:p>
        </w:tc>
        <w:tc>
          <w:tcPr>
            <w:tcW w:w="25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0.5</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Less: Employee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Stock Compensation Expense</w:t>
            </w:r>
          </w:p>
        </w:tc>
        <w:tc>
          <w:tcPr>
            <w:tcW w:w="2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51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Determined Under SFAS 123 - Net of Tax</w:t>
            </w:r>
          </w:p>
        </w:tc>
        <w:tc>
          <w:tcPr>
            <w:tcW w:w="25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0.5</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Pro Forma Net Income (Loss)</w:t>
            </w:r>
          </w:p>
        </w:tc>
        <w:tc>
          <w:tcPr>
            <w:tcW w:w="3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$15.2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3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$0.56</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$0.56</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$(0.29)</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3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$0.56</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1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$0.56</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$(0.29)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the previous table, the expense determined under SFAS 123 for employee stock options granted was calculated using the Black-Scholes option-pricing model with the following assumptions:</w:t>
      </w:r>
    </w:p>
    <w:p>
      <w:pPr>
        <w:spacing w:after="0" w:line="200" w:lineRule="exact"/>
        <w:rPr>
          <w:sz w:val="20"/>
          <w:szCs w:val="20"/>
          <w:color w:val="auto"/>
        </w:rPr>
      </w:pPr>
    </w:p>
    <w:p>
      <w:pPr>
        <w:spacing w:after="0" w:line="294" w:lineRule="exact"/>
        <w:rPr>
          <w:sz w:val="20"/>
          <w:szCs w:val="20"/>
          <w:color w:val="auto"/>
        </w:rPr>
      </w:pPr>
    </w:p>
    <w:p>
      <w:pPr>
        <w:ind w:left="8800"/>
        <w:spacing w:after="0"/>
        <w:rPr>
          <w:sz w:val="20"/>
          <w:szCs w:val="20"/>
          <w:color w:val="auto"/>
        </w:rPr>
      </w:pP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39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w:t>
            </w:r>
          </w:p>
        </w:tc>
        <w:tc>
          <w:tcPr>
            <w:tcW w:w="392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39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39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table presents information regarding our outstanding stock options for the nine months ended September 30, 2006.</w:t>
      </w:r>
    </w:p>
    <w:p>
      <w:pPr>
        <w:spacing w:after="0" w:line="200" w:lineRule="exact"/>
        <w:rPr>
          <w:sz w:val="20"/>
          <w:szCs w:val="20"/>
          <w:color w:val="auto"/>
        </w:rPr>
      </w:pPr>
    </w:p>
    <w:p>
      <w:pPr>
        <w:spacing w:after="0" w:line="291"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1020" w:type="dxa"/>
            <w:vAlign w:val="bottom"/>
          </w:tcPr>
          <w:p>
            <w:pPr>
              <w:spacing w:after="0"/>
              <w:rPr>
                <w:sz w:val="14"/>
                <w:szCs w:val="14"/>
                <w:color w:val="auto"/>
              </w:rPr>
            </w:pPr>
          </w:p>
        </w:tc>
        <w:tc>
          <w:tcPr>
            <w:tcW w:w="20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WEIGHTED-AVERAGE</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REMAINING</w:t>
            </w:r>
          </w:p>
        </w:tc>
      </w:tr>
      <w:tr>
        <w:trPr>
          <w:trHeight w:val="166"/>
        </w:trPr>
        <w:tc>
          <w:tcPr>
            <w:tcW w:w="102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20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EXERCISE</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INTRINSIC</w:t>
            </w:r>
          </w:p>
        </w:tc>
        <w:tc>
          <w:tcPr>
            <w:tcW w:w="17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CONTRACTUAL</w:t>
            </w:r>
          </w:p>
        </w:tc>
      </w:tr>
      <w:tr>
        <w:trPr>
          <w:trHeight w:val="166"/>
        </w:trPr>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2040" w:type="dxa"/>
            <w:vAlign w:val="bottom"/>
          </w:tcPr>
          <w:p>
            <w:pPr>
              <w:ind w:left="780"/>
              <w:spacing w:after="0"/>
              <w:rPr>
                <w:sz w:val="20"/>
                <w:szCs w:val="20"/>
                <w:color w:val="auto"/>
              </w:rPr>
            </w:pPr>
            <w:r>
              <w:rPr>
                <w:rFonts w:ascii="Courier New" w:cs="Courier New" w:eastAsia="Courier New" w:hAnsi="Courier New"/>
                <w:sz w:val="14"/>
                <w:szCs w:val="14"/>
                <w:color w:val="auto"/>
              </w:rPr>
              <w:t>PRICE</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w w:val="99"/>
              </w:rPr>
              <w:t>VALUE</w:t>
            </w:r>
          </w:p>
        </w:tc>
        <w:tc>
          <w:tcPr>
            <w:tcW w:w="17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TERM</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2005</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357,827</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$34.29</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7.4 years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115,653</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$44.15</w:t>
            </w: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(26,798)</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$26.27</w:t>
            </w: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Forfeited or Expired</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(6,233)</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$38.25</w:t>
            </w: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600" w:val="left"/>
          <w:tab w:leader="none" w:pos="5160" w:val="left"/>
          <w:tab w:leader="none" w:pos="7140" w:val="left"/>
          <w:tab w:leader="none" w:pos="8680" w:val="left"/>
        </w:tabs>
        <w:rPr>
          <w:sz w:val="20"/>
          <w:szCs w:val="20"/>
          <w:color w:val="auto"/>
        </w:rPr>
      </w:pPr>
      <w:r>
        <w:rPr>
          <w:rFonts w:ascii="Courier New" w:cs="Courier New" w:eastAsia="Courier New" w:hAnsi="Courier New"/>
          <w:sz w:val="14"/>
          <w:szCs w:val="14"/>
          <w:color w:val="auto"/>
        </w:rPr>
        <w:t>Outstanding at September 30, 2006</w:t>
      </w:r>
      <w:r>
        <w:rPr>
          <w:sz w:val="20"/>
          <w:szCs w:val="20"/>
          <w:color w:val="auto"/>
        </w:rPr>
        <w:tab/>
      </w:r>
      <w:r>
        <w:rPr>
          <w:rFonts w:ascii="Courier New" w:cs="Courier New" w:eastAsia="Courier New" w:hAnsi="Courier New"/>
          <w:sz w:val="14"/>
          <w:szCs w:val="14"/>
          <w:color w:val="auto"/>
        </w:rPr>
        <w:t>440,449</w:t>
      </w:r>
      <w:r>
        <w:rPr>
          <w:sz w:val="20"/>
          <w:szCs w:val="20"/>
          <w:color w:val="auto"/>
        </w:rPr>
        <w:tab/>
      </w:r>
      <w:r>
        <w:rPr>
          <w:rFonts w:ascii="Courier New" w:cs="Courier New" w:eastAsia="Courier New" w:hAnsi="Courier New"/>
          <w:sz w:val="14"/>
          <w:szCs w:val="14"/>
          <w:color w:val="auto"/>
        </w:rPr>
        <w:t>$37.31</w:t>
      </w:r>
      <w:r>
        <w:rPr>
          <w:sz w:val="20"/>
          <w:szCs w:val="20"/>
          <w:color w:val="auto"/>
        </w:rPr>
        <w:tab/>
      </w: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7.4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600" w:val="left"/>
          <w:tab w:leader="none" w:pos="5160" w:val="left"/>
          <w:tab w:leader="none" w:pos="7140" w:val="left"/>
          <w:tab w:leader="none" w:pos="8680" w:val="left"/>
        </w:tabs>
        <w:rPr>
          <w:sz w:val="20"/>
          <w:szCs w:val="20"/>
          <w:color w:val="auto"/>
        </w:rPr>
      </w:pPr>
      <w:r>
        <w:rPr>
          <w:rFonts w:ascii="Courier New" w:cs="Courier New" w:eastAsia="Courier New" w:hAnsi="Courier New"/>
          <w:sz w:val="14"/>
          <w:szCs w:val="14"/>
          <w:color w:val="auto"/>
        </w:rPr>
        <w:t>Exercisable at September 30, 2006</w:t>
      </w:r>
      <w:r>
        <w:rPr>
          <w:sz w:val="20"/>
          <w:szCs w:val="20"/>
          <w:color w:val="auto"/>
        </w:rPr>
        <w:tab/>
      </w:r>
      <w:r>
        <w:rPr>
          <w:rFonts w:ascii="Courier New" w:cs="Courier New" w:eastAsia="Courier New" w:hAnsi="Courier New"/>
          <w:sz w:val="14"/>
          <w:szCs w:val="14"/>
          <w:color w:val="auto"/>
        </w:rPr>
        <w:t>240,738</w:t>
      </w:r>
      <w:r>
        <w:rPr>
          <w:sz w:val="20"/>
          <w:szCs w:val="20"/>
          <w:color w:val="auto"/>
        </w:rPr>
        <w:tab/>
      </w:r>
      <w:r>
        <w:rPr>
          <w:rFonts w:ascii="Courier New" w:cs="Courier New" w:eastAsia="Courier New" w:hAnsi="Courier New"/>
          <w:sz w:val="14"/>
          <w:szCs w:val="14"/>
          <w:color w:val="auto"/>
        </w:rPr>
        <w:t>$33.15</w:t>
      </w:r>
      <w:r>
        <w:rPr>
          <w:sz w:val="20"/>
          <w:szCs w:val="20"/>
          <w:color w:val="auto"/>
        </w:rPr>
        <w:tab/>
      </w: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6.4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weighted-average grant-date fair value of options was $6.49 for the nine months ended September 30, 2006. The intrinsic value of a stock award is the amount by which the fair value of the underlying stock exceeds the exercise price of the award. The total intrinsic value of options exercised was $0.5 million during the nine months ended September 30, 2006.</w:t>
      </w:r>
    </w:p>
    <w:p>
      <w:pPr>
        <w:spacing w:after="0" w:line="165"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NOTE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sectPr>
          <w:pgSz w:w="11900" w:h="16838" w:orient="portrait"/>
          <w:cols w:equalWidth="0" w:num="2">
            <w:col w:w="620" w:space="340"/>
            <w:col w:w="9279"/>
          </w:cols>
          <w:pgMar w:left="220" w:top="616" w:right="1440" w:bottom="1440" w:gutter="0" w:footer="0" w:header="0"/>
        </w:sectPr>
      </w:pPr>
    </w:p>
    <w:p>
      <w:pPr>
        <w:spacing w:after="0" w:line="255" w:lineRule="auto"/>
        <w:rPr>
          <w:sz w:val="20"/>
          <w:szCs w:val="20"/>
          <w:color w:val="auto"/>
        </w:rPr>
      </w:pPr>
      <w:r>
        <w:rPr>
          <w:rFonts w:ascii="Courier New" w:cs="Courier New" w:eastAsia="Courier New" w:hAnsi="Courier New"/>
          <w:sz w:val="14"/>
          <w:szCs w:val="14"/>
          <w:color w:val="auto"/>
        </w:rPr>
        <w:t>The following table presents information regarding our nonvested shares for the nine months ended September 30,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performance</w:t>
      </w:r>
    </w:p>
    <w:p>
      <w:pPr>
        <w:spacing w:after="0" w:line="378" w:lineRule="exact"/>
        <w:rPr>
          <w:sz w:val="20"/>
          <w:szCs w:val="20"/>
          <w:color w:val="auto"/>
        </w:rPr>
      </w:pPr>
    </w:p>
    <w:p>
      <w:pPr>
        <w:sectPr>
          <w:pgSz w:w="11900" w:h="16838" w:orient="portrait"/>
          <w:cols w:equalWidth="0" w:num="2">
            <w:col w:w="5780" w:space="180"/>
            <w:col w:w="4279"/>
          </w:cols>
          <w:pgMar w:left="220" w:top="616" w:right="1440" w:bottom="1440" w:gutter="0" w:footer="0" w:header="0"/>
          <w:type w:val="continuous"/>
        </w:sectPr>
      </w:pPr>
    </w:p>
    <w:p>
      <w:pPr>
        <w:spacing w:after="0" w:line="291" w:lineRule="exact"/>
        <w:rPr>
          <w:sz w:val="20"/>
          <w:szCs w:val="20"/>
          <w:color w:val="auto"/>
        </w:rPr>
      </w:pPr>
    </w:p>
    <w:p>
      <w:pPr>
        <w:ind w:left="8360"/>
        <w:spacing w:after="0"/>
        <w:rPr>
          <w:sz w:val="20"/>
          <w:szCs w:val="20"/>
          <w:color w:val="auto"/>
        </w:rPr>
      </w:pPr>
      <w:r>
        <w:rPr>
          <w:rFonts w:ascii="Courier New" w:cs="Courier New" w:eastAsia="Courier New" w:hAnsi="Courier New"/>
          <w:sz w:val="14"/>
          <w:szCs w:val="14"/>
          <w:color w:val="auto"/>
        </w:rPr>
        <w:t>WEIGHTED-AVERAGE</w:t>
      </w:r>
    </w:p>
    <w:p>
      <w:pPr>
        <w:spacing w:after="0" w:line="7" w:lineRule="exact"/>
        <w:rPr>
          <w:sz w:val="20"/>
          <w:szCs w:val="20"/>
          <w:color w:val="auto"/>
        </w:rPr>
      </w:pPr>
    </w:p>
    <w:p>
      <w:pPr>
        <w:ind w:left="6900"/>
        <w:spacing w:after="0"/>
        <w:tabs>
          <w:tab w:leader="none" w:pos="860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GRANT DATE</w:t>
      </w:r>
    </w:p>
    <w:p>
      <w:pPr>
        <w:spacing w:after="0" w:line="7" w:lineRule="exact"/>
        <w:rPr>
          <w:sz w:val="20"/>
          <w:szCs w:val="20"/>
          <w:color w:val="auto"/>
        </w:rPr>
      </w:pPr>
    </w:p>
    <w:p>
      <w:pPr>
        <w:ind w:left="6980"/>
        <w:spacing w:after="0"/>
        <w:tabs>
          <w:tab w:leader="none" w:pos="86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FAIR VALUE</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Nonvested at December 31, 2005</w:t>
            </w:r>
          </w:p>
        </w:tc>
        <w:tc>
          <w:tcPr>
            <w:tcW w:w="3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97,884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$38.63</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26,358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$43.93</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Awarded</w:t>
            </w:r>
          </w:p>
        </w:tc>
        <w:tc>
          <w:tcPr>
            <w:tcW w:w="3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(49,076)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$37.76</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3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(1,819)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Nonvested at September 30, 2006</w:t>
            </w:r>
          </w:p>
        </w:tc>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73,347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NEW ACCOUNTING STANDARDS. FSP INTERPRETATION NO. 46(R)-6. In April 2006, the FASB issued Staff Position Interpretation No. 46(R)-6, "Determining the Variability to Be Considered in Applying FASB Interpretation No. 46(R)" (FSP Interpretation No. 46(R)-6). This FSP addresses how an enterprise should determine the variability to be considered in applying FASB Interpretation No. 46, "Consolidation of Variable Interest Entities" (Interpretation No. 46(R)). The variability that is considered in applying Interpretation No. 46(R) affects the determination of: (a) whether the entity is a variable interest entity (VIE); (b) which interests are variable interests in the entity; and (c) which party, if any, is the primary beneficiary of the VIE. This FSP provides a guide for the qualitative analysis of the design of the entity and clarifying guidance to assist in determining the variability to consider in applying Interpretation No. 46(R), determining which interests are variable interests, and ultimately determining which variable interest holder, if any, is the primary beneficiary.</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FSP Interpretation No. 46(R)-6 is applied prospectively to all entities with which the Company first becomes involved and to all entities previously required to be analyzed under Interpretation No. 46(R) when a reconsideration event has occurred, effective as of the first day of the first reporting period after June 15, 2006. We have and will continue to evaluate the impact of this new guidance on any new contracts or any changes to existing contracts executed after the effective date to determine the applicability of this FSP. The adoption of this FSP did not have an impact on our financial position, results of operations or cash flows.</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INTERPRETATION NO. 48. In June 2006, the FASB issued Interpretation No. 48, "Accounting for Uncertainty in Income Taxes - an Interpretation of FASB Statement No. 109" (Interpretation No. 48). Interpretation No. 48 clarifies the accounting for uncertain tax positions in accordance with SFAS 109, "Accounting for Income Taxes." Pursuant to Interpretation No. 48, the Company will be required to recognize in its financial statements the largest tax benefit of a tax position that is "more-likely-than-not" to be sustained on audit based solely on the technical merits of the position as of the reporting date. Only tax positions that meet the "more-likely-than-not" threshold at that date may be recognized. The term "more-likely-than-not" means a likelihood of more than 50 percent. Interpretation No. 48 also provides guidance on new disclosure requirements, reporting and accrual of interest and penalties, accounting in interim periods and transition. The cumulative effect of initially applying Interpretation No. 48 will be recognized as a change in accounting principle as of the date of adoption. We have begun to evaluate the impact of applying this interpretation as of January 1, 2007, the effective date of the interpretation for the Company. We do not expect Interpretation No. 48 to have a material impact on our financial position, results of operation or cash flows.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SFAS 157. In September 2006, the FASB issued SFAS 157, "Fair Value Measurements" (SFAS 157), to increase consistency and comparability in fair value measurements by defining fair value, establishing a framework for measuring fair value in generally accepted accounting principles, and expanding disclosures about fair value measurements. The Statement emphasizes that fair value is a market-based measurement, not an entity-specific measurement. It clarifies the extent to which fair value is used to measure recognized assets and liabilities, the inputs used to develop the measurements, and the effect of certain of the measurements on earnings for the period. SFAS 157 is effective for financial statements issued for fiscal years beginning after November 15, 2007, and will be applied on a prospective basis. We are currently evaluating the effect that the adoption of SFAS 157 will have on our financial position, results of operations and cash flows.</w:t>
      </w:r>
    </w:p>
    <w:p>
      <w:pPr>
        <w:spacing w:after="0" w:line="163"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239"/>
          </w:cols>
          <w:pgMar w:left="220" w:top="616" w:right="1440" w:bottom="1440" w:gutter="0" w:footer="0" w:header="0"/>
          <w:type w:val="continuous"/>
        </w:sectPr>
      </w:pPr>
    </w:p>
    <w:bookmarkStart w:id="11" w:name="page12"/>
    <w:bookmarkEnd w:id="11"/>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SFAS 158. In September 2006, the FASB issued SFAS 158, "Employers' Accounting for Defined Benefit Pension and Other Postretirement Plans" (SFAS 158). SFAS 158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that are not recognized as components of net periodic benefit cost. SFAS 158 also requires additional disclosures in the notes to financial statements. SFAS 158 is effective for fiscal years ending after December 15, 2006. We are currently assessing the impact of SFAS 158 on our consolidated financial statements. We do not anticipate that the adoption of SFAS 158 will affect compliance with our debt covenants.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Based on the funded status of our defined benefit pension and postretirement medical plans as of December 31, 2005, we would be required to increase our net liabilities for pension and postretirement medical benefits and reduce shareholders' equity by approximately $80 million, net of taxes, on our consolidated balance sheet. This estimate may vary from the actual impact of implementing SFAS 158. The ultimate amounts recorded are highly dependent on a number of assumptions, including the discount rates in effect at December 31, 2006, the actual rate of return on our pension assets for 2006 and the tax effects of the adjustment. Changes in these assumptions since our last measurement date could increase or decrease the expected impact of implementing SFAS 158 in our consolidated financial statements at December 31, 2006.</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results by segment for the periods presented were impacted by the integration of our Taconite Harbor facility into the Regulated Utility segment effective January 1, 2006. The redirection of Taconite Harbor from our Nonregulated Energy Operations segment to our Regulated Utility segment was in accordance with the Company's Resource Plan, as approved by the MPUC. Under the terms of our Resource Plan, we have operated the Taconite Harbor facility as a rate-based asset within the Minnesota retail jurisdiction effective January 1, 2006. Prior to January 1, 2006, we operated our Taconite Harbor facility as nonregulated generation (non-rate base generation sold at market-based rates primarily to the wholesale market). Historical financial results of Taconite Harbor for periods prior to the redirection are included in our Nonregulated Energy Operations segment.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Effective the third quarter of 2006, financial results for our equity investment in ATC have been reported as a separate segment. ATC is a Wisconsin-based public utility that owns and maintains electric transmission assets in parts of Wisconsin, Michigan, Minnesota and Illinois. ATC provides transmission service under rates regulated by the FERC that are set to further the FERC's policy of establishing the independent operation and ownership of, and investment in, transmission facilities. (See Note 13.)</w:t>
      </w:r>
    </w:p>
    <w:p>
      <w:pPr>
        <w:spacing w:after="0" w:line="330"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616" w:right="1440" w:bottom="1440" w:gutter="0" w:footer="0" w:header="0"/>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 (CONTINUED)</w:t>
      </w:r>
    </w:p>
    <w:p>
      <w:pPr>
        <w:spacing w:after="0" w:line="200" w:lineRule="exact"/>
        <w:rPr>
          <w:sz w:val="20"/>
          <w:szCs w:val="20"/>
          <w:color w:val="auto"/>
        </w:rPr>
      </w:pPr>
    </w:p>
    <w:p>
      <w:pPr>
        <w:spacing w:after="0" w:line="304"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000"/>
        <w:spacing w:after="0"/>
        <w:tabs>
          <w:tab w:leader="none" w:pos="6200" w:val="left"/>
          <w:tab w:leader="none" w:pos="7220" w:val="left"/>
          <w:tab w:leader="none" w:pos="860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540"/>
        <w:spacing w:after="0"/>
        <w:tabs>
          <w:tab w:leader="none" w:pos="5080" w:val="left"/>
          <w:tab w:leader="none" w:pos="6020" w:val="left"/>
          <w:tab w:leader="none" w:pos="7400" w:val="left"/>
          <w:tab w:leader="none" w:pos="8520" w:val="left"/>
          <w:tab w:leader="none" w:pos="964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IN ATC</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$168.1</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79.5</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49.7</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$ 0.5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11.1</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218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Operations</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21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1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w:t>
            </w:r>
          </w:p>
        </w:tc>
        <w:tc>
          <w:tcPr>
            <w:tcW w:w="218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Operations</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1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$ 13.7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Loss from</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 - Net of Tax</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$ 21.8</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497"/>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 THE QUARTER ENDED</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SEPTEMBER 30, 2005</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28.7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58.9</w:t>
            </w:r>
          </w:p>
        </w:tc>
        <w:tc>
          <w:tcPr>
            <w:tcW w:w="42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47.0</w:t>
            </w:r>
          </w:p>
        </w:tc>
        <w:tc>
          <w:tcPr>
            <w:tcW w:w="42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16.6</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w:t>
            </w:r>
          </w:p>
        </w:tc>
        <w:tc>
          <w:tcPr>
            <w:tcW w:w="46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c>
          <w:tcPr>
            <w:tcW w:w="42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w:t>
            </w:r>
          </w:p>
        </w:tc>
        <w:tc>
          <w:tcPr>
            <w:tcW w:w="46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440"/>
          </w:cols>
          <w:pgMar w:left="220" w:top="616" w:right="12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 from Continuing Operations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tabs>
          <w:tab w:leader="none" w:pos="1360" w:val="left"/>
          <w:tab w:leader="none" w:pos="2820" w:val="left"/>
          <w:tab w:leader="none" w:pos="3680" w:val="left"/>
          <w:tab w:leader="none" w:pos="4720" w:val="left"/>
        </w:tabs>
        <w:rPr>
          <w:sz w:val="20"/>
          <w:szCs w:val="20"/>
          <w:color w:val="auto"/>
        </w:rPr>
      </w:pPr>
      <w:r>
        <w:rPr>
          <w:rFonts w:ascii="Courier New" w:cs="Courier New" w:eastAsia="Courier New" w:hAnsi="Courier New"/>
          <w:sz w:val="14"/>
          <w:szCs w:val="14"/>
          <w:color w:val="auto"/>
        </w:rPr>
        <w:t>$ 10.6</w:t>
      </w:r>
      <w:r>
        <w:rPr>
          <w:sz w:val="20"/>
          <w:szCs w:val="20"/>
          <w:color w:val="auto"/>
        </w:rPr>
        <w:tab/>
      </w:r>
      <w:r>
        <w:rPr>
          <w:rFonts w:ascii="Courier New" w:cs="Courier New" w:eastAsia="Courier New" w:hAnsi="Courier New"/>
          <w:sz w:val="14"/>
          <w:szCs w:val="14"/>
          <w:color w:val="auto"/>
        </w:rPr>
        <w:t>$ 1.6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3460" w:space="520"/>
            <w:col w:w="340" w:space="600"/>
            <w:col w:w="5520"/>
          </w:cols>
          <w:pgMar w:left="220" w:top="616"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from</w:t>
      </w:r>
    </w:p>
    <w:p>
      <w:pPr>
        <w:spacing w:after="0" w:line="7" w:lineRule="exact"/>
        <w:rPr>
          <w:sz w:val="20"/>
          <w:szCs w:val="20"/>
          <w:color w:val="auto"/>
        </w:rPr>
      </w:pPr>
    </w:p>
    <w:p>
      <w:pPr>
        <w:ind w:left="360"/>
        <w:spacing w:after="0"/>
        <w:tabs>
          <w:tab w:leader="none" w:pos="3960" w:val="left"/>
        </w:tabs>
        <w:rPr>
          <w:sz w:val="20"/>
          <w:szCs w:val="20"/>
          <w:color w:val="auto"/>
        </w:rPr>
      </w:pPr>
      <w:r>
        <w:rPr>
          <w:rFonts w:ascii="Courier New" w:cs="Courier New" w:eastAsia="Courier New" w:hAnsi="Courier New"/>
          <w:sz w:val="14"/>
          <w:szCs w:val="14"/>
          <w:color w:val="auto"/>
        </w:rPr>
        <w:t>Discontinued Operations - Net of Tax</w:t>
      </w:r>
      <w:r>
        <w:rPr>
          <w:sz w:val="20"/>
          <w:szCs w:val="20"/>
          <w:color w:val="auto"/>
        </w:rPr>
        <w:tab/>
      </w:r>
      <w:r>
        <w:rPr>
          <w:rFonts w:ascii="Courier New" w:cs="Courier New" w:eastAsia="Courier New" w:hAnsi="Courier New"/>
          <w:sz w:val="14"/>
          <w:szCs w:val="14"/>
          <w:color w:val="auto"/>
        </w:rPr>
        <w:t>(0.6)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$ 15.2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440"/>
          </w:cols>
          <w:pgMar w:left="220" w:top="616" w:right="1239" w:bottom="1440" w:gutter="0" w:footer="0" w:header="0"/>
          <w:type w:val="continuous"/>
        </w:sectPr>
      </w:pP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ALLETE Third Quarter 2006 Form 10-Q</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2">
            <w:col w:w="6000" w:space="720"/>
            <w:col w:w="3720"/>
          </w:cols>
          <w:pgMar w:left="220" w:top="616" w:right="1239" w:bottom="1440" w:gutter="0" w:footer="0" w:header="0"/>
          <w:type w:val="continuous"/>
        </w:sectPr>
      </w:pPr>
    </w:p>
    <w:bookmarkStart w:id="13" w:name="page14"/>
    <w:bookmarkEnd w:id="13"/>
    <w:p>
      <w:pPr>
        <w:spacing w:after="0" w:line="4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 (CONTINUED)</w:t>
      </w:r>
    </w:p>
    <w:p>
      <w:pPr>
        <w:spacing w:after="0" w:line="200" w:lineRule="exact"/>
        <w:rPr>
          <w:sz w:val="20"/>
          <w:szCs w:val="20"/>
          <w:color w:val="auto"/>
        </w:rPr>
      </w:pPr>
    </w:p>
    <w:p>
      <w:pPr>
        <w:spacing w:after="0" w:line="304"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000"/>
        <w:spacing w:after="0"/>
        <w:tabs>
          <w:tab w:leader="none" w:pos="6200" w:val="left"/>
          <w:tab w:leader="none" w:pos="7220" w:val="left"/>
          <w:tab w:leader="none" w:pos="860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540"/>
        <w:spacing w:after="0"/>
        <w:tabs>
          <w:tab w:leader="none" w:pos="5080" w:val="left"/>
          <w:tab w:leader="none" w:pos="6020" w:val="left"/>
          <w:tab w:leader="none" w:pos="7400" w:val="left"/>
          <w:tab w:leader="none" w:pos="8520" w:val="left"/>
          <w:tab w:leader="none" w:pos="964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IN ATC</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NINE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$569.9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$477.0</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$48.7</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$ 0.2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211.9</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162.7</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33.3</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101.4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42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86.9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$ 33.5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w:t>
            </w: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Loss from</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 - Net of Tax</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$ 53.8</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 SEPTEMBER 30, 2006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$1,009.9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$192.0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$877.9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$822.6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$816.5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$775.9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320" w:type="dxa"/>
            <w:vAlign w:val="bottom"/>
          </w:tcPr>
          <w:p>
            <w:pPr>
              <w:spacing w:after="0"/>
              <w:rPr>
                <w:sz w:val="20"/>
                <w:szCs w:val="20"/>
                <w:color w:val="auto"/>
              </w:rPr>
            </w:pPr>
            <w:r>
              <w:rPr>
                <w:rFonts w:ascii="Courier New" w:cs="Courier New" w:eastAsia="Courier New" w:hAnsi="Courier New"/>
                <w:sz w:val="14"/>
                <w:szCs w:val="14"/>
                <w:color w:val="auto"/>
              </w:rPr>
              <w:t>FOR THE NINE MONTHS ENDED</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SEPTEMBER 30, 2005</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$545.1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$ 83.1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$ 0.3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Continuing Operations</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63.7</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(69.9)</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51.1</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(74.3)</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51.1</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(74.3)</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$ 31.3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r>
      <w:tr>
        <w:trPr>
          <w:trHeight w:val="166"/>
        </w:trPr>
        <w:tc>
          <w:tcPr>
            <w:tcW w:w="3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Loss from</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 - Net of Tax</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(7.7)</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 SEPTEMBER 30, 2005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$1,373.6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$899.6</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$183.4</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$852.0</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$729.5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$789.2</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$742.7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ectPr>
          <w:pgSz w:w="11900" w:h="16880" w:orient="portrait"/>
          <w:cols w:equalWidth="0" w:num="1">
            <w:col w:w="10440"/>
          </w:cols>
          <w:pgMar w:left="220" w:top="782" w:right="1239" w:bottom="0" w:gutter="0" w:footer="0" w:header="0"/>
        </w:sectPr>
      </w:pPr>
    </w:p>
    <w:bookmarkStart w:id="14" w:name="page15"/>
    <w:bookmarkEnd w:id="14"/>
    <w:p>
      <w:pPr>
        <w:spacing w:after="0"/>
        <w:tabs>
          <w:tab w:leader="none" w:pos="3860" w:val="left"/>
          <w:tab w:leader="none" w:pos="4820" w:val="left"/>
          <w:tab w:leader="none" w:pos="6020" w:val="left"/>
          <w:tab w:leader="none" w:pos="7400" w:val="left"/>
          <w:tab w:leader="none" w:pos="8520" w:val="left"/>
          <w:tab w:leader="none" w:pos="964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$40.4</w:t>
      </w:r>
      <w:r>
        <w:rPr>
          <w:sz w:val="20"/>
          <w:szCs w:val="20"/>
          <w:color w:val="auto"/>
        </w:rPr>
        <w:tab/>
      </w: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Operations  represented  $47.1 million of</w:t>
            </w:r>
          </w:p>
        </w:tc>
        <w:tc>
          <w:tcPr>
            <w:tcW w:w="4880" w:type="dxa"/>
            <w:vAlign w:val="bottom"/>
          </w:tcPr>
          <w:p>
            <w:pPr>
              <w:ind w:left="60"/>
              <w:spacing w:after="0"/>
              <w:rPr>
                <w:sz w:val="20"/>
                <w:szCs w:val="20"/>
                <w:color w:val="auto"/>
              </w:rPr>
            </w:pPr>
            <w:r>
              <w:rPr>
                <w:rFonts w:ascii="Courier New" w:cs="Courier New" w:eastAsia="Courier New" w:hAnsi="Courier New"/>
                <w:sz w:val="14"/>
                <w:szCs w:val="14"/>
                <w:color w:val="auto"/>
              </w:rPr>
              <w:t>total assets and $3.3 million  of  capital  expenditures</w:t>
            </w:r>
          </w:p>
        </w:tc>
      </w:tr>
      <w:tr>
        <w:trPr>
          <w:trHeight w:val="166"/>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2005.</w:t>
            </w:r>
          </w:p>
        </w:tc>
        <w:tc>
          <w:tcPr>
            <w:tcW w:w="3660" w:type="dxa"/>
            <w:vAlign w:val="bottom"/>
          </w:tcPr>
          <w:p>
            <w:pPr>
              <w:spacing w:after="0"/>
              <w:rPr>
                <w:sz w:val="14"/>
                <w:szCs w:val="14"/>
                <w:color w:val="auto"/>
              </w:rPr>
            </w:pPr>
          </w:p>
        </w:tc>
        <w:tc>
          <w:tcPr>
            <w:tcW w:w="4880" w:type="dxa"/>
            <w:vAlign w:val="bottom"/>
          </w:tcPr>
          <w:p>
            <w:pPr>
              <w:spacing w:after="0"/>
              <w:rPr>
                <w:sz w:val="14"/>
                <w:szCs w:val="14"/>
                <w:color w:val="auto"/>
              </w:rPr>
            </w:pPr>
          </w:p>
        </w:tc>
      </w:tr>
      <w:tr>
        <w:trPr>
          <w:trHeight w:val="828"/>
        </w:trPr>
        <w:tc>
          <w:tcPr>
            <w:tcW w:w="138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4"/>
              </w:rPr>
              <w:t>13</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ALLETE Third Quarter 2006 Form 10-Q</w:t>
            </w:r>
          </w:p>
        </w:tc>
        <w:tc>
          <w:tcPr>
            <w:tcW w:w="4880" w:type="dxa"/>
            <w:vAlign w:val="bottom"/>
          </w:tcPr>
          <w:p>
            <w:pPr>
              <w:spacing w:after="0"/>
              <w:rPr>
                <w:sz w:val="24"/>
                <w:szCs w:val="24"/>
                <w:color w:val="auto"/>
              </w:rPr>
            </w:pPr>
          </w:p>
        </w:tc>
      </w:tr>
    </w:tbl>
    <w:p>
      <w:pPr>
        <w:sectPr>
          <w:pgSz w:w="11900" w:h="16838" w:orient="portrait"/>
          <w:cols w:equalWidth="0" w:num="1">
            <w:col w:w="10440"/>
          </w:cols>
          <w:pgMar w:left="220" w:top="141" w:right="1239" w:bottom="1440" w:gutter="0" w:footer="0" w:header="0"/>
        </w:sectPr>
      </w:pPr>
    </w:p>
    <w:bookmarkStart w:id="15" w:name="page16"/>
    <w:bookmarkEnd w:id="15"/>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SHORT-TERM INVESTMENTS. At September 30, 2006 and December 31, 2005, we held $121.6 million and $116.9 million, respectively, of short-term investments, consisting of auction rate bonds and variable rate demand notes classified as available-for-sale securities. Our investments in these securities are recorded at fair market value because the variable interest rates for these securities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LONG-TERM INVESTMENTS. At September 30, 2006, Investments included the real estate assets of ALLETE Properties, our investment in ATC, debt and equity securities consisting primarily of securities held to fund employee benefits, and our emerging technology investments.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account for our investment in ATC under the equity method of accounting, pursuant to EITF 03-16, "Accounting for Investments in Limited Liability Companies," which requires the use of the equity method of accounting for investments in all limited liability companies.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5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9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$ 84.9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$ 73.7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35.9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166"/>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Investment in ATC (See Note 13)</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35.2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w:t>
            </w:r>
          </w:p>
        </w:tc>
        <w:tc>
          <w:tcPr>
            <w:tcW w:w="34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940" w:val="left"/>
        </w:tabs>
        <w:rPr>
          <w:sz w:val="20"/>
          <w:szCs w:val="20"/>
          <w:color w:val="auto"/>
        </w:rPr>
      </w:pPr>
      <w:r>
        <w:rPr>
          <w:rFonts w:ascii="Courier New" w:cs="Courier New" w:eastAsia="Courier New" w:hAnsi="Courier New"/>
          <w:sz w:val="14"/>
          <w:szCs w:val="14"/>
          <w:color w:val="auto"/>
        </w:rPr>
        <w:t>Total Investments</w:t>
      </w:r>
      <w:r>
        <w:rPr>
          <w:sz w:val="20"/>
          <w:szCs w:val="20"/>
          <w:color w:val="auto"/>
        </w:rPr>
        <w:tab/>
      </w:r>
      <w:r>
        <w:rPr>
          <w:rFonts w:ascii="Courier New" w:cs="Courier New" w:eastAsia="Courier New" w:hAnsi="Courier New"/>
          <w:sz w:val="14"/>
          <w:szCs w:val="14"/>
          <w:color w:val="auto"/>
        </w:rPr>
        <w:t>$165.1</w:t>
      </w:r>
      <w:r>
        <w:rPr>
          <w:sz w:val="20"/>
          <w:szCs w:val="20"/>
          <w:color w:val="auto"/>
        </w:rPr>
        <w:tab/>
      </w:r>
      <w:r>
        <w:rPr>
          <w:rFonts w:ascii="Courier New" w:cs="Courier New" w:eastAsia="Courier New" w:hAnsi="Courier New"/>
          <w:sz w:val="14"/>
          <w:szCs w:val="14"/>
          <w:color w:val="auto"/>
        </w:rPr>
        <w:t>$117.7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20"/>
        <w:spacing w:after="0"/>
        <w:tabs>
          <w:tab w:leader="none" w:pos="8780" w:val="left"/>
        </w:tabs>
        <w:rPr>
          <w:sz w:val="20"/>
          <w:szCs w:val="20"/>
          <w:color w:val="auto"/>
        </w:rPr>
      </w:pPr>
      <w:r>
        <w:rPr>
          <w:rFonts w:ascii="Courier New" w:cs="Courier New" w:eastAsia="Courier New" w:hAnsi="Courier New"/>
          <w:sz w:val="14"/>
          <w:szCs w:val="14"/>
          <w:color w:val="auto"/>
        </w:rPr>
        <w:t>NINE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6300"/>
        <w:spacing w:after="0"/>
        <w:tabs>
          <w:tab w:leader="none" w:pos="868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spacing w:after="0"/>
        <w:tabs>
          <w:tab w:leader="none" w:pos="6700" w:val="left"/>
          <w:tab w:leader="none" w:pos="9040" w:val="left"/>
        </w:tabs>
        <w:rPr>
          <w:sz w:val="20"/>
          <w:szCs w:val="20"/>
          <w:color w:val="auto"/>
        </w:rPr>
      </w:pPr>
      <w:r>
        <w:rPr>
          <w:rFonts w:ascii="Courier New" w:cs="Courier New" w:eastAsia="Courier New" w:hAnsi="Courier New"/>
          <w:sz w:val="14"/>
          <w:szCs w:val="14"/>
          <w:color w:val="auto"/>
        </w:rPr>
        <w:t>REAL ESTATE ASSETS</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Land Held for</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Sale Beginning</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$48.0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during period: Capitalized Improvements</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11.1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Purchases</w:t>
            </w:r>
          </w:p>
        </w:tc>
        <w:tc>
          <w:tcPr>
            <w:tcW w:w="24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Deductions during period: Cost of Real Estate Sold</w:t>
            </w:r>
          </w:p>
        </w:tc>
        <w:tc>
          <w:tcPr>
            <w:tcW w:w="24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Land Held for Sale Ending Balance</w:t>
            </w:r>
          </w:p>
        </w:tc>
        <w:tc>
          <w:tcPr>
            <w:tcW w:w="3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53.1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Long-Term Finance Receivables</w:t>
            </w:r>
          </w:p>
        </w:tc>
        <w:tc>
          <w:tcPr>
            <w:tcW w:w="3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3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15.3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Real Estate Assets</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$84.9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primarily of a shopping center.</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Finance receivables have maturities ranging up to seven years, accrue interest at market-based rates and are net of an allowance for doubtful accounts of $0.4 million at September 30, 2006 ($0.6 million at December 31, 2005).</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January 2006, we renewed, increased and extended a committed, syndicated, unsecured revolving credit facility (Line) with LaSalle Bank National Association, as Agent, for $150 million ($100 million at December 31, 2005). The Line matures on January 11, 2011, and requires an annual commitment fee of 0.125%. At our request and subject to certain conditions, the Line may be increased to $200 million and extended for two additional 12-month periods. The Line may be used for general corporate purposes and working capital, and to provide liquidity in support of our commercial paper program. We may prepay amounts outstanding under the Line in whole or in part at our discretion without premium or penalty. Additionally, we may irrevocably terminate or reduce the size of the Line prior to maturity without premium or penalty. No funds were drawn under this Line at September 30, 2006.</w:t>
      </w:r>
    </w:p>
    <w:p>
      <w:pPr>
        <w:spacing w:after="0" w:line="200" w:lineRule="exact"/>
        <w:rPr>
          <w:sz w:val="20"/>
          <w:szCs w:val="20"/>
          <w:color w:val="auto"/>
        </w:rPr>
      </w:pPr>
    </w:p>
    <w:p>
      <w:pPr>
        <w:spacing w:after="0" w:line="294"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616" w:right="1440" w:bottom="257" w:gutter="0" w:footer="0" w:header="0"/>
        </w:sectPr>
      </w:pPr>
    </w:p>
    <w:bookmarkStart w:id="16" w:name="page17"/>
    <w:bookmarkEnd w:id="16"/>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 (CONTINUED)</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Proceeds were used to redeem $50 million in principal amount of First Mortgage Bonds, 7% Series due March 1, 2008.</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July 2006, the Collier County Industrial Development Authority (Authority or Issuer) issued $27.8 million of Industrial Development Variable Rate Demand Refunding Revenue Bonds Series 2006 due 2025 (Refunding Bonds) on behalf of ALLETE. The interest rate on these bonds was 3.79% at September 30, 2006. Pursuant to a financing agreement between the Authority and ALLETE dated as of July 1, 2006, ALLETE is obligated to make payments to the Issuer sufficient to pay all principal and interest on the Refunding Bonds. ALLETE's obligations under the financing agreement are supported by a direct pay letter of credit. Proceeds from the Refunding Bonds and internally generated funds were used to redeem $29.1 million of outstanding Collier County Industrial Development Refunding Revenue Bonds 6.5% Series 1996 due 2025 on August 9, 2006. As a result of an early redemption premium, we recognized a $0.6 million pre-tax charge to other expense in the third quarter of 2006.</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September 2006, we accepted an offer from certain institutional buyers in the private placement market to purchase $60 million of ALLETE first mortgage bonds. When issued, on or about February 1, 2007, the bonds will carry an interest rate of 5.99% and will have a term of 20 years. We intend to use the proceeds from the bonds to retire $60 million in principal amount of First Mortgage Bonds, 7% Series due February 15, 2007.</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COMMON STOCK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SHAREHOLDER RIGHTS PLAN. In 1996, we adopted a rights plan that provides for a dividend distribution of one preferred share purchase right (Right) to be attached to each share of common stock. In July 2006, we amended the rights plan to extend the expiration of the Rights to July 11, 2009. The amendment also provides that the Company may not consolidate, merge, or sell a majority of its assets or earning power if doing so would be counter to the intended benefits of the Rights or would result in the distribution of Rights to the shareholders of the other parties to the transaction. Finally, the amendment provides for the creation of a committee of independent directors to annually review the terms and conditions of the amended rights plan (Rights Plan), as well as to consider whether termination or modification of the Rights Plan would be in the best interests of the shareholders and to make a recommendation based on such review to the Board of Directors.</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Rights, which are currently not exercisable or transferable apart from our common stock, entitle the holder to purchase one-and-a-half one-hundredths (three two-hundredths) of a share of ALLETE's Junior Serial Preferred Stock A, without par value. The purchase price, as defined in the Rights Plan, remains at $90. These Rights would become exercisable if a person or group acquires beneficial ownership of 15 percent or more of our common stock or announces a tender offer which would increase the person's or group's beneficial ownership interest to 15 percent or more of our common stock, subject to certain exceptions. If the 15 percent threshold is met, each Right entitles the holder (other than the acquiring person or group) to receive, upon payment of the purchase price, the number of shares of common stock (or, in certain circumstances, cash, property or other securities of ours) having a market value equal to twice the exercise price of the Right. If we are acquired in a merger or business combination, or more than 50 percent of our assets or earning power are sold, each exercisable Right entitles the holder to receive, upon payment of the purchase price, the number of shares of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17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Rights are nonvoting and may be redeemed by us at a price of $0.005 per Right at any time they are not exercisable. One million shares of Junior Serial Preferred Stock A have been authorized and are reserved for issuance under the Rights Plan.</w:t>
      </w:r>
    </w:p>
    <w:p>
      <w:pPr>
        <w:spacing w:after="0" w:line="328"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17" w:name="page18"/>
    <w:bookmarkEnd w:id="17"/>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KENDALL COUNTY CHARGE</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On April 1, 2005, Rainy River Energy, a wholly-owned subsidiary of ALLETE,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that remains in effect through mid-September 2017. The federal tax benefits of the payment were realized through a $24.3 million capital loss carryback refund in the third quarter of 2006. In addition, consent, advisory and closing costs of $4.9 million were incurred to complete the transaction. As a result of this transaction, ALLETE incurred a charge to operating expenses totaling $77.9 million ($50.4 million after tax, or $1.84 per diluted share) in the second quarter of 2005.</w:t>
      </w:r>
    </w:p>
    <w:p>
      <w:pPr>
        <w:spacing w:after="0" w:line="200" w:lineRule="exact"/>
        <w:rPr>
          <w:sz w:val="20"/>
          <w:szCs w:val="20"/>
          <w:color w:val="auto"/>
        </w:rPr>
      </w:pPr>
    </w:p>
    <w:p>
      <w:pPr>
        <w:spacing w:after="0" w:line="2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OTHER INCOME (EXPENSE)</w:t>
      </w:r>
    </w:p>
    <w:p>
      <w:pPr>
        <w:spacing w:after="0" w:line="200" w:lineRule="exact"/>
        <w:rPr>
          <w:sz w:val="20"/>
          <w:szCs w:val="20"/>
          <w:color w:val="auto"/>
        </w:rPr>
      </w:pPr>
    </w:p>
    <w:p>
      <w:pPr>
        <w:spacing w:after="0" w:line="304" w:lineRule="exact"/>
        <w:rPr>
          <w:sz w:val="20"/>
          <w:szCs w:val="20"/>
          <w:color w:val="auto"/>
        </w:rPr>
      </w:pPr>
    </w:p>
    <w:tbl>
      <w:tblPr>
        <w:tblLayout w:type="fixed"/>
        <w:tblInd w:w="5700" w:type="dxa"/>
        <w:tblCellMar>
          <w:top w:w="0" w:type="dxa"/>
          <w:left w:w="0" w:type="dxa"/>
          <w:bottom w:w="0" w:type="dxa"/>
          <w:right w:w="0" w:type="dxa"/>
        </w:tblCellMar>
      </w:tblPr>
      <w:tr>
        <w:trPr>
          <w:trHeight w:val="162"/>
        </w:trPr>
        <w:tc>
          <w:tcPr>
            <w:tcW w:w="19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QUARTER ENDED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19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SEPTEMBER 30,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2006</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5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Gain (Loss)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Emerging Technology</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Investments</w:t>
            </w:r>
          </w:p>
        </w:tc>
        <w:tc>
          <w:tcPr>
            <w:tcW w:w="10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Investment in ATC (See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Notes 3 and</w:t>
            </w:r>
          </w:p>
        </w:tc>
        <w:tc>
          <w:tcPr>
            <w:tcW w:w="10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Investment and</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Other Income</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Other Income (Expense)</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$ 0.4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8.INCOME TAX EXPENSE</w:t>
      </w:r>
    </w:p>
    <w:p>
      <w:pPr>
        <w:spacing w:after="0" w:line="200" w:lineRule="exact"/>
        <w:rPr>
          <w:sz w:val="20"/>
          <w:szCs w:val="20"/>
          <w:color w:val="auto"/>
        </w:rPr>
      </w:pPr>
    </w:p>
    <w:p>
      <w:pPr>
        <w:spacing w:after="0" w:line="304" w:lineRule="exact"/>
        <w:rPr>
          <w:sz w:val="20"/>
          <w:szCs w:val="20"/>
          <w:color w:val="auto"/>
        </w:rPr>
      </w:pPr>
    </w:p>
    <w:tbl>
      <w:tblPr>
        <w:tblLayout w:type="fixed"/>
        <w:tblInd w:w="5700" w:type="dxa"/>
        <w:tblCellMar>
          <w:top w:w="0" w:type="dxa"/>
          <w:left w:w="0" w:type="dxa"/>
          <w:bottom w:w="0" w:type="dxa"/>
          <w:right w:w="0" w:type="dxa"/>
        </w:tblCellMar>
      </w:tblPr>
      <w:tr>
        <w:trPr>
          <w:trHeight w:val="162"/>
        </w:trPr>
        <w:tc>
          <w:tcPr>
            <w:tcW w:w="2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QUARTER ENDED</w:t>
            </w: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ENDED</w:t>
            </w:r>
          </w:p>
        </w:tc>
      </w:tr>
      <w:tr>
        <w:trPr>
          <w:trHeight w:val="166"/>
        </w:trPr>
        <w:tc>
          <w:tcPr>
            <w:tcW w:w="2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SEPTEMBER 30,</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5"/>
              </w:rPr>
              <w:t>2006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Current Tax Expense (Benefit)</w:t>
            </w: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$ 5.2</w:t>
            </w: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$30.3</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00"/>
        <w:spacing w:after="0"/>
        <w:tabs>
          <w:tab w:leader="none" w:pos="6880" w:val="left"/>
          <w:tab w:leader="none" w:pos="8180" w:val="left"/>
          <w:tab w:leader="none" w:pos="9300" w:val="left"/>
        </w:tabs>
        <w:rPr>
          <w:sz w:val="20"/>
          <w:szCs w:val="20"/>
          <w:color w:val="auto"/>
        </w:rPr>
      </w:pPr>
      <w:r>
        <w:rPr>
          <w:rFonts w:ascii="Courier New" w:cs="Courier New" w:eastAsia="Courier New" w:hAnsi="Courier New"/>
          <w:sz w:val="14"/>
          <w:szCs w:val="14"/>
          <w:color w:val="auto"/>
        </w:rPr>
        <w:t>(11.9)</w:t>
      </w:r>
      <w:r>
        <w:rPr>
          <w:sz w:val="20"/>
          <w:szCs w:val="20"/>
          <w:color w:val="auto"/>
        </w:rPr>
        <w:tab/>
      </w: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37.1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w:t>
            </w:r>
          </w:p>
        </w:tc>
        <w:tc>
          <w:tcPr>
            <w:tcW w:w="560" w:type="dxa"/>
            <w:vAlign w:val="bottom"/>
          </w:tcPr>
          <w:p>
            <w:pPr>
              <w:spacing w:after="0"/>
              <w:rPr>
                <w:sz w:val="14"/>
                <w:szCs w:val="14"/>
                <w:color w:val="auto"/>
              </w:rPr>
            </w:pP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6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(0.5)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80"/>
        <w:spacing w:after="0"/>
        <w:tabs>
          <w:tab w:leader="none" w:pos="6880" w:val="left"/>
          <w:tab w:leader="none" w:pos="8180" w:val="left"/>
          <w:tab w:leader="none" w:pos="9200" w:val="left"/>
        </w:tabs>
        <w:rPr>
          <w:sz w:val="20"/>
          <w:szCs w:val="20"/>
          <w:color w:val="auto"/>
        </w:rPr>
      </w:pPr>
      <w:r>
        <w:rPr>
          <w:rFonts w:ascii="Courier New" w:cs="Courier New" w:eastAsia="Courier New" w:hAnsi="Courier New"/>
          <w:sz w:val="14"/>
          <w:szCs w:val="14"/>
          <w:color w:val="auto"/>
        </w:rPr>
        <w:t>24.3</w:t>
      </w:r>
      <w:r>
        <w:rPr>
          <w:sz w:val="20"/>
          <w:szCs w:val="20"/>
          <w:color w:val="auto"/>
        </w:rPr>
        <w:tab/>
      </w: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(36.5)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Expense (Benefit) from Continuing Operations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Benefit from Discontinued Operations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Total Income Tax Expense (Benefit)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 current federal tax benefit of $24.3 million and a deferred federal tax expense of $24.3 million related to the Kendall County refund. (See Note 6.)</w:t>
      </w:r>
    </w:p>
    <w:p>
      <w:pPr>
        <w:ind w:left="520" w:right="52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 current federal tax benefit of $1.3 million, current state tax benefit of $0.4 million and deferred federal tax benefit of $25.8 million related to the Kendall County charge. (See Note 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For the nine months ended September 30, 2006, the effective rate for income taxes was 36.2 percent (8.7 percent benefit for the nine months ended September 30, 2005). The increase in the effective rate compared to last year was primarily due to the emerging technology impairment and the Kendall County capital loss recorded in April 2005. The current benefit for these items was limited to the federal benefit as the state net capital loss carryforwards from 2005 were entirely reserved. The effective rate of 36.2 percent for the nine months ended September 30, 2006, was less than the statutory rate primarily because of investment tax credits, deductions for Medicare health subsidies, depletion and finalization of taxes related to the spin-off of ADESA.</w:t>
      </w:r>
    </w:p>
    <w:p>
      <w:pPr>
        <w:spacing w:after="0" w:line="163"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340"/>
          </w:cols>
          <w:pgMar w:left="220" w:top="616" w:right="1339" w:bottom="257" w:gutter="0" w:footer="0" w:header="0"/>
        </w:sectPr>
      </w:pPr>
    </w:p>
    <w:bookmarkStart w:id="18" w:name="page19"/>
    <w:bookmarkEnd w:id="18"/>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ENVENTIS TELECOM. On December 30, 2005, we sold all the stock of our telecommunications subsidiary, Enventis Telecom, to Hickory Tech Corporation of Mankato, Minnesota. In accordance with SFAS 144, "Accounting for the Impairment or Disposal of Long-Lived Assets," we reported our telecommunications business in discontinued operations for the quarter and nine months ended September 30, 2005.</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WATER SERVICES. In early 2005, we completed the exit from our Water Services businesses with the sale of our wastewater assets in Georgia, which resulted in an immaterial gain. In 2005, the Florida Public Service Commission approved the transfer of 63 water and wastewater systems from Florida Water to Aqua Utilities Florida, Inc. (Aqua Utilities) and ordered a $1.7 million reduction to plant investment. The Company reserved for the reduction in 2005. On March 15, 2006, the Company paid Aqua Utilities the adjustment refund amount of $1.7 million.</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quarter and nine months ended September 30, 2006, financial results reflected additional legal and administrative expenses incurred by the Company to exit the Water Services businesses.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37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QUARTER ENDED</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ENDED</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SEPTEMBER 30,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SUMMARY INCOME STATEMENT</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tabs>
          <w:tab w:leader="none" w:pos="6200" w:val="left"/>
          <w:tab w:leader="none" w:pos="7060" w:val="left"/>
          <w:tab w:leader="none" w:pos="8340" w:val="left"/>
          <w:tab w:leader="none" w:pos="9120" w:val="left"/>
        </w:tabs>
        <w:rPr>
          <w:sz w:val="20"/>
          <w:szCs w:val="20"/>
          <w:color w:val="auto"/>
        </w:rPr>
      </w:pPr>
      <w:r>
        <w:rPr>
          <w:rFonts w:ascii="Courier New" w:cs="Courier New" w:eastAsia="Courier New" w:hAnsi="Courier New"/>
          <w:sz w:val="14"/>
          <w:szCs w:val="14"/>
          <w:color w:val="auto"/>
        </w:rPr>
        <w:t>Operating Revenue - Enventis Telecom</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Pre-Tax Income from Operations</w:t>
            </w: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1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Enventis</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Telecom</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$ 0.3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$ 1.8</w:t>
            </w:r>
          </w:p>
        </w:tc>
      </w:tr>
      <w:tr>
        <w:trPr>
          <w:trHeight w:val="331"/>
        </w:trPr>
        <w:tc>
          <w:tcPr>
            <w:tcW w:w="4400" w:type="dxa"/>
            <w:vAlign w:val="bottom"/>
            <w:gridSpan w:val="2"/>
          </w:tcPr>
          <w:p>
            <w:pPr>
              <w:jc w:val="center"/>
              <w:ind w:right="2768"/>
              <w:spacing w:after="0"/>
              <w:rPr>
                <w:sz w:val="20"/>
                <w:szCs w:val="20"/>
                <w:color w:val="auto"/>
              </w:rPr>
            </w:pPr>
            <w:r>
              <w:rPr>
                <w:rFonts w:ascii="Courier New" w:cs="Courier New" w:eastAsia="Courier New" w:hAnsi="Courier New"/>
                <w:sz w:val="14"/>
                <w:szCs w:val="14"/>
                <w:color w:val="auto"/>
              </w:rPr>
              <w:t>Income Tax Expense</w:t>
            </w: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18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Enventis</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Telecom</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6200" w:val="left"/>
          <w:tab w:leader="none" w:pos="7140" w:val="left"/>
          <w:tab w:leader="none" w:pos="8340" w:val="left"/>
          <w:tab w:leader="none" w:pos="9300" w:val="left"/>
        </w:tabs>
        <w:rPr>
          <w:sz w:val="20"/>
          <w:szCs w:val="20"/>
          <w:color w:val="auto"/>
        </w:rPr>
      </w:pPr>
      <w:r>
        <w:rPr>
          <w:rFonts w:ascii="Courier New" w:cs="Courier New" w:eastAsia="Courier New" w:hAnsi="Courier New"/>
          <w:sz w:val="14"/>
          <w:szCs w:val="14"/>
          <w:color w:val="auto"/>
        </w:rPr>
        <w:t>Total Income from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Loss on Disposal</w:t>
            </w:r>
          </w:p>
        </w:tc>
        <w:tc>
          <w:tcPr>
            <w:tcW w:w="2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960"/>
        <w:spacing w:after="0"/>
        <w:tabs>
          <w:tab w:leader="none" w:pos="7060" w:val="left"/>
          <w:tab w:leader="none" w:pos="8080" w:val="left"/>
          <w:tab w:leader="none" w:pos="9200" w:val="left"/>
        </w:tabs>
        <w:rPr>
          <w:sz w:val="20"/>
          <w:szCs w:val="20"/>
          <w:color w:val="auto"/>
        </w:rPr>
      </w:pPr>
      <w:r>
        <w:rPr>
          <w:rFonts w:ascii="Courier New" w:cs="Courier New" w:eastAsia="Courier New" w:hAnsi="Courier New"/>
          <w:sz w:val="14"/>
          <w:szCs w:val="14"/>
          <w:color w:val="auto"/>
        </w:rPr>
        <w:t>(0.1)</w:t>
      </w:r>
      <w:r>
        <w:rPr>
          <w:sz w:val="20"/>
          <w:szCs w:val="20"/>
          <w:color w:val="auto"/>
        </w:rPr>
        <w:tab/>
      </w: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(0.8)</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Water</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20" w:type="dxa"/>
        <w:tblCellMar>
          <w:top w:w="0" w:type="dxa"/>
          <w:left w:w="0" w:type="dxa"/>
          <w:bottom w:w="0" w:type="dxa"/>
          <w:right w:w="0" w:type="dxa"/>
        </w:tblCellMar>
      </w:tblPr>
      <w:tr>
        <w:trPr>
          <w:trHeight w:val="162"/>
        </w:trPr>
        <w:tc>
          <w:tcPr>
            <w:tcW w:w="4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5940" w:val="left"/>
          <w:tab w:leader="none" w:pos="7060" w:val="left"/>
          <w:tab w:leader="none" w:pos="8080" w:val="left"/>
          <w:tab w:leader="none" w:pos="9200" w:val="left"/>
        </w:tabs>
        <w:rPr>
          <w:sz w:val="20"/>
          <w:szCs w:val="20"/>
          <w:color w:val="auto"/>
        </w:rPr>
      </w:pPr>
      <w:r>
        <w:rPr>
          <w:rFonts w:ascii="Courier New" w:cs="Courier New" w:eastAsia="Courier New" w:hAnsi="Courier New"/>
          <w:sz w:val="14"/>
          <w:szCs w:val="14"/>
          <w:color w:val="auto"/>
        </w:rPr>
        <w:t>Net Loss on Disposal</w:t>
      </w:r>
      <w:r>
        <w:rPr>
          <w:sz w:val="20"/>
          <w:szCs w:val="20"/>
          <w:color w:val="auto"/>
        </w:rPr>
        <w:tab/>
      </w:r>
      <w:r>
        <w:rPr>
          <w:rFonts w:ascii="Courier New" w:cs="Courier New" w:eastAsia="Courier New" w:hAnsi="Courier New"/>
          <w:sz w:val="14"/>
          <w:szCs w:val="14"/>
          <w:color w:val="auto"/>
        </w:rPr>
        <w:t>(0.1)</w:t>
      </w:r>
      <w:r>
        <w:rPr>
          <w:sz w:val="20"/>
          <w:szCs w:val="20"/>
          <w:color w:val="auto"/>
        </w:rPr>
        <w:tab/>
      </w:r>
      <w:r>
        <w:rPr>
          <w:rFonts w:ascii="Courier New" w:cs="Courier New" w:eastAsia="Courier New" w:hAnsi="Courier New"/>
          <w:sz w:val="14"/>
          <w:szCs w:val="14"/>
          <w:color w:val="auto"/>
        </w:rPr>
        <w:t>(0.7)</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840" w:val="left"/>
          <w:tab w:leader="none" w:pos="6960" w:val="left"/>
          <w:tab w:leader="none" w:pos="8000" w:val="left"/>
          <w:tab w:leader="none" w:pos="9120" w:val="left"/>
        </w:tabs>
        <w:rPr>
          <w:sz w:val="20"/>
          <w:szCs w:val="20"/>
          <w:color w:val="auto"/>
        </w:rPr>
      </w:pPr>
      <w:r>
        <w:rPr>
          <w:rFonts w:ascii="Courier New" w:cs="Courier New" w:eastAsia="Courier New" w:hAnsi="Courier New"/>
          <w:sz w:val="14"/>
          <w:szCs w:val="14"/>
          <w:color w:val="auto"/>
        </w:rPr>
        <w:t>Loss from Discontinued Operations</w:t>
      </w:r>
      <w:r>
        <w:rPr>
          <w:sz w:val="20"/>
          <w:szCs w:val="20"/>
          <w:color w:val="auto"/>
        </w:rPr>
        <w:tab/>
      </w:r>
      <w:r>
        <w:rPr>
          <w:rFonts w:ascii="Courier New" w:cs="Courier New" w:eastAsia="Courier New" w:hAnsi="Courier New"/>
          <w:sz w:val="14"/>
          <w:szCs w:val="14"/>
          <w:color w:val="auto"/>
        </w:rPr>
        <w:t>$(0.1)</w:t>
      </w:r>
      <w:r>
        <w:rPr>
          <w:sz w:val="20"/>
          <w:szCs w:val="20"/>
          <w:color w:val="auto"/>
        </w:rPr>
        <w:tab/>
      </w: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SUMMARY BALANCE SHEET INFORMATION</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Assets of Discontinued Operations</w:t>
            </w:r>
          </w:p>
        </w:tc>
        <w:tc>
          <w:tcPr>
            <w:tcW w:w="2580" w:type="dxa"/>
            <w:vAlign w:val="bottom"/>
          </w:tcPr>
          <w:p>
            <w:pPr>
              <w:spacing w:after="0"/>
              <w:rPr>
                <w:sz w:val="14"/>
                <w:szCs w:val="14"/>
                <w:color w:val="auto"/>
              </w:rPr>
            </w:pPr>
          </w:p>
        </w:tc>
      </w:tr>
      <w:tr>
        <w:trPr>
          <w:trHeight w:val="166"/>
        </w:trPr>
        <w:tc>
          <w:tcPr>
            <w:tcW w:w="5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Current Assets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Property,</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Liabilities of</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2580" w:type="dxa"/>
            <w:vAlign w:val="bottom"/>
          </w:tcPr>
          <w:p>
            <w:pPr>
              <w:spacing w:after="0"/>
              <w:rPr>
                <w:sz w:val="24"/>
                <w:szCs w:val="24"/>
                <w:color w:val="auto"/>
              </w:rPr>
            </w:pPr>
          </w:p>
        </w:tc>
      </w:tr>
      <w:tr>
        <w:trPr>
          <w:trHeight w:val="166"/>
        </w:trPr>
        <w:tc>
          <w:tcPr>
            <w:tcW w:w="5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19" w:name="page20"/>
    <w:bookmarkEnd w:id="19"/>
    <w:p>
      <w:pPr>
        <w:spacing w:after="0"/>
        <w:tabs>
          <w:tab w:leader="none" w:pos="120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September 30, 2006, total comprehensive income (loss), net of tax, was comprehensive income of $22.1 million ($13.6 million of comprehensive income, net of tax, for the quarter ended September 30, 2005). For the nine months ended September 30, 2006, total comprehensive income (loss), net of tax, was comprehensive income of $54.4 million (a $9.3 million comprehensive loss, net of tax, for the nine months ended September 30, 2005). Total comprehensive income (loss) includes net income (loss), unrealized gains and losses on securities classified as available-for-sale, and additional pension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258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2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2006</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Unrealized</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Gain on Securities</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Additional</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21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(14.9)</w:t>
            </w:r>
          </w:p>
        </w:tc>
        <w:tc>
          <w:tcPr>
            <w:tcW w:w="10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quarter and nine months ended September 30, 2006, no options to purchase shares of common stock were excluded in the computation of diluted earnings per share because the average market prices were greater than the option exercise prices. For the nine months ended September 30, 2005, 0.1 million dilutive securities were excluded in the computation of diluted earnings per share because their effect would have been anti-dilutive due to our loss from continuing operations (no options were excluded for the quarter ended September 30, 2005).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80"/>
        <w:spacing w:after="0"/>
        <w:tabs>
          <w:tab w:leader="none" w:pos="82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808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4200" w:val="left"/>
          <w:tab w:leader="none" w:pos="4900" w:val="left"/>
          <w:tab w:leader="none" w:pos="6100" w:val="left"/>
          <w:tab w:leader="none" w:pos="7300" w:val="left"/>
          <w:tab w:leader="none" w:pos="8000" w:val="left"/>
          <w:tab w:leader="none" w:pos="920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FOR THE QUARTER ENDED SEPTEMBER 30,</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NINE MONTHS ENDED SEPTEMBER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from Continuing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66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$(0.24)</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ectPr>
          <w:pgSz w:w="11900" w:h="16838" w:orient="portrait"/>
          <w:cols w:equalWidth="0" w:num="1">
            <w:col w:w="10239"/>
          </w:cols>
          <w:pgMar w:left="220" w:top="78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NOTE 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PENSION AND OTHER POSTRETIREMENT BENEFIT PLANS</w:t>
      </w:r>
    </w:p>
    <w:p>
      <w:pPr>
        <w:spacing w:after="0" w:line="200" w:lineRule="exact"/>
        <w:rPr>
          <w:sz w:val="20"/>
          <w:szCs w:val="20"/>
          <w:color w:val="auto"/>
        </w:rPr>
      </w:pPr>
    </w:p>
    <w:p>
      <w:pPr>
        <w:sectPr>
          <w:pgSz w:w="11900" w:h="16838" w:orient="portrait"/>
          <w:cols w:equalWidth="0" w:num="2">
            <w:col w:w="700" w:space="420"/>
            <w:col w:w="9119"/>
          </w:cols>
          <w:pgMar w:left="220" w:top="782" w:right="1440" w:bottom="1440" w:gutter="0" w:footer="0" w:header="0"/>
        </w:sectPr>
      </w:pPr>
    </w:p>
    <w:p>
      <w:pPr>
        <w:spacing w:after="0" w:line="304"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ind w:left="5700"/>
        <w:spacing w:after="0"/>
        <w:tabs>
          <w:tab w:leader="none" w:pos="818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080" w:val="left"/>
          <w:tab w:leader="none" w:pos="6440" w:val="left"/>
          <w:tab w:leader="none" w:pos="7920" w:val="left"/>
          <w:tab w:leader="none" w:pos="9300" w:val="left"/>
        </w:tabs>
        <w:rPr>
          <w:sz w:val="20"/>
          <w:szCs w:val="20"/>
          <w:color w:val="auto"/>
        </w:rPr>
      </w:pPr>
      <w:r>
        <w:rPr>
          <w:rFonts w:ascii="Courier New" w:cs="Courier New" w:eastAsia="Courier New" w:hAnsi="Courier New"/>
          <w:sz w:val="14"/>
          <w:szCs w:val="14"/>
          <w:color w:val="auto"/>
        </w:rPr>
        <w:t>COMPONENTS OF NET PERIODIC BENEFIT EXPENSE</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 THE QUARTER</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ENDED SEPTEMBER 30,</w:t>
            </w: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800" w:type="dxa"/>
            <w:vAlign w:val="bottom"/>
          </w:tcPr>
          <w:p>
            <w:pPr>
              <w:spacing w:after="0"/>
              <w:rPr>
                <w:sz w:val="24"/>
                <w:szCs w:val="2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80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Periodic Benefit Expense</w:t>
            </w:r>
          </w:p>
        </w:tc>
        <w:tc>
          <w:tcPr>
            <w:tcW w:w="2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NINE MONTHS ENDED SEPTEMBER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6.9</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Amortization of Net Loss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Net Periodic Benefit Expense</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6.1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2005, we determined that our postretirement health care plans met the requirements of the Centers for Medicare and Medicaid Services' (CMS) regulations and enrolled with the CMS to begin recovering the subsidy. We expect to receive the first subsidy check in early 2007 for 2006 credits.</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 July 2006, we made an $8.3 million contribution to the Company's defined benefit plan.</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August 9, 2006, ALLETE's Board of Directors approved amendments to the Minnesota Power and Affiliated Companies Retirement Plan A (Retirement Plan A) and the Minnesota Power and Affiliated Companies Retirement Savings and Stock Ownership Plan (RSOP).</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Retirement Plan A was amended to suspend further crediting service pursuant to the plan, effective as of September 30, 2006, and to close Retirement Plan A to new participants. Participants will continue to accrue benefits under the plan for future pay increases. In conjunction with this change, the Board of Directors took action to increase benefits employees will receive under the RSOP.</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modification of Retirement Plan A required us to re-measure our pension expense as of August 9, 2006. As a result of the re-measurement, Retirement Plan A pension expense for 2006 will be reduced by $0.2 million.</w:t>
      </w:r>
    </w:p>
    <w:p>
      <w:pPr>
        <w:spacing w:after="0" w:line="163"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type w:val="continuous"/>
        </w:sectPr>
      </w:pPr>
    </w:p>
    <w:bookmarkStart w:id="21" w:name="page22"/>
    <w:bookmarkEnd w:id="21"/>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OFF-BALANCE SHEET ARRANGEMENTS. 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was entitled to approximately 71 percent of the Unit's output under the Agreement prior to 2006. Beginning in 2006, Minnkota Power exercised its option to reduce Minnesota Power's entitlement by approximately 5 percent annually, to 66 percent. We received notices from Minnkota Power that they will further reduce our output entitlement by approximately 5 percent on January 1, 2007 and 2008, to 60 percent and 55 percent, respectively. Minnkota Power has the option to reduce Minnesota Power's entitlement to 50 percent. 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September 30, 2006, Square Butte had total debt outstanding of $304.0 million. Total annual debt service for Square Butte is expected to be approximately $26 million in each of the years 2006 through 2010.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BNI Coal is obligated to make lease payments for a dragline totaling $2.8 million annually for the lease term which expires in 2027. 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$6.4 million in 2006, $5.9 million in 2007, $5.2 million in 2008, $4.7 million in 2009, $4.2 million in 2010 and $46.9 million thereafter.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2006 to December 2009. We also have rail and shipping agreements for the transportation of all of our coal, with various expiration dates ranging from December 2006 to December 2011. Our minimum annual payment obligations under these coal, rail and shipping agreements are currently $45.2 million in 2006, $9.5 million in 2007, $9.7 million in 2008, $5.8 million in 2009 and no specific commitments beyond 2009. Our minimum annual payment obligations will increase when annual nominations are made for coal deliveries in future years.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FUEL CLAUSE RECOVERY OF MISO DAY 2 COSTS. Minnesota Power filed a petition with the MPUC in February 2005 to amend its fuel clause to accommodate costs and revenue related to the MISO Day 2 energy market, the market through which Minnesota Power engages in wholesale energy transactions in MISO's day-ahead and real-time markets (MISO Day 2). On April 7, 2005, the MPUC approved interim accounting treatment of MISO Day 2 costs to be accounted for on a net basis and recovered through the fuel clause, subject to refund with interest. This interim treatment has continued while the MPUC has addressed the cost recovery petitions from Xcel Energy Inc., Otter Tail Power Company, Alliant Energy Corporation and Minnesota Power.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December 21, 2005, the MPUC issued an order which denied recovery through the fuel clause of uplift charges, congestion revenue and expenses, and administrative costs related to Minnesota Power's MISO Day 2 market activities. Minnesota Power requested rehearing of the order in a filing made with the MPUC on January 10, 2006. The other three utilities affected by the order also filed for rehearing, as did the DOC and MISO. In a hearing on February 9, 2006, the MPUC granted rehearing of the MISO Day 2 docket and suspended the refund obligation for charges recovered through the fuel clause denied in the December 21, 2005 order. The MPUC requested that the affected utilities and interested parties provide a joint recommendation regarding the MISO Day 2 costs to determine which costs should be recovered on a current basis through the fuel clause and which costs are more appropriately deferred for potential</w:t>
      </w:r>
    </w:p>
    <w:p>
      <w:pPr>
        <w:spacing w:after="0" w:line="163"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16" w:right="1440" w:bottom="1440" w:gutter="0" w:footer="0" w:header="0"/>
        </w:sectPr>
      </w:pPr>
    </w:p>
    <w:bookmarkStart w:id="22" w:name="page23"/>
    <w:bookmarkEnd w:id="22"/>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recovery through base rates. The requested joint report and recommendations were filed with the MPUC on June 23, 2006. Comments on the joint report were received from the DOC and the Office of the Minnesota Attorney General on July 24, 2006. Reply comments were filed by the four utilities on August 7, 2006. A technical conference is scheduled for October 31, 2006, with a hearing currently scheduled for November 9, 2006. The Company is unable to predict the outcome of this matter.</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The carrying value of our direct investments in privately-held, start-up companies was zero at September 30, 2006, and December 31, 2005. We have committed to make additional investments in certain emerging technology venture capital funds. The total future commitment was $2.5 million at September 30, 2006 ($3.1 million at December 31, 2005), and may be invested at various times through 2007. We do not have plans to make any additional investments beyond this commitment.</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December 2005, we entered into an agreement with Wisconsin Public Service Corporation and WPS Investments, LLC that provides for our Wisconsin subsidiary, Rainy River Energy Corporation - Wisconsin, to invest $60 million in ATC. Our investment is expected to represent an estimated 9 percent ownership interest in ATC. On May 4, 2006, the PSCW reviewed and approved the request that allows us to invest in ATC. As of September 30, 2006, our equity investment in ATC was $35.2 million including reinvested earnings less dividends, which equated to approximately a 5 percent ownership interest. By the end of 2006, we anticipate having approximately $60 million invested in ATC.</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ENVIRONMENTAL MATTERS.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was to determine any impact to soil or ground water between the former MGP site and Superior Bay. Site work for this phase of the investigation was performed during October 2004, and a report was sent to the WDNR in March 2005. Additional site investigation was performed during September and October 2005. The investigation will continue through the fall of 2006. It is anticipated that the final report for this portion of the investigation will be completed during the first quarter of 2007.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at the time SWL&amp;P filed their 2005 rate request. In May 2006, SWL&amp;P filed an application with the PSCW for authority to increase retail utility rates by an average of 5.2 percent. This filing includes a request to recover an additional $186,000 of site investigation costs that had been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180"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23" w:name="page24"/>
    <w:bookmarkEnd w:id="23"/>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SQUARE BUTTE GENERATING FACILITY. On April 24, 2006, Minnkota Power announced a settlement agreement with the EPA and the State of North Dakota regarding emissions at the M.R. Young Station, which includes the Square Butte generating unit. In June 2002, Minnkota Power, the operator of Square Butte, received a Notice of Violation from the EPA regarding alleged New Source Review violations at the M.R. Young Station. The EPA claimed certain capital projects completed by Minnkota Power should have been reviewed pursuant to the New Source Review regulations, potentially resulting in new air permit operating conditions and possible significant capital expenditures to comply. As a result of the settlement agreement, the current Square Butte flue gas desulfurization system (FGD) will be upgraded in 2010 to increase its removal efficiency from 70 percent to 90 percent, and an over-fire air system will also be installed in 2007 to reduce NOx emissions. Capital expenditures for the emission control additions and modifications on Square Butte are estimated at $35 million. These estimated capital expenditures may be significantly offset by the sale of surplus SO2 allowance credits created by the early upgrade of the FGD system, which is being upgraded two years earlier than required by Federal rules. These additional surplus allowances could also be banked for future use. We expect Square Butte will utilize debt to finance such capital expenditures. Our future cost of purchased power from the Square Butte generating unit would include our pro rata share of this additional debt service. On April 24, 2006, a Complaint and a Consent Decree with respect to this settlement agreement were filed in U.S. District Court for the District of North Dakota, and the settlement was finalized on July 28, 2006. As finalized, the Consent Decree settlement requires Square Butte to pay approximately $0.6 million in administrative costs and penalties in 2006, $0.4 million of which was paid by Minnesota Power in conjunction with monthly purchased power billings. The Consent Decree settlement also requires Square Butte to pay $3.3 million toward additional environmental projects including wind power installations or power purchase agreements. Minnesota Power is obligated to pay its pro rata share of Square Butte's costs based on Minnesota Power's entitlement to the output from the Square Butte generating unit.</w:t>
      </w:r>
    </w:p>
    <w:p>
      <w:pPr>
        <w:spacing w:after="0" w:line="34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and NOx in many states in the eastern United States. The CAIR includes Minnesota as one of the 28 states it considers an "eastern" state. The EPA also announced the final Clean Air Mercury Rule (CAMR) that reduces and permanently caps electric utility mercury emissions in the continental United States. The CAIR and the CAMR regulations have been challenged in the federal court system, which may delay implementation or modify provisions. Minnesota Power is participating in a legal challenge to the CAIR, but is not participating in the challenge of the CAMR. However, if the CAMR and the CAIR do go into effect, Minnesota Power expects to be required to: (1) make emissions reductions; (2) purchase mercury, SO2 and NOx allowances through the EPA's cap-and-trade system; or (3) use a combination of both.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the CAIR contains flaws in its methodology and application, which will cause Minnesota Power to incur higher compliance costs. Consequently, on July 11, 2005, Minnesota Power filed a Petition for Review with the U.S. Court of Appeals for the District of Columbia Circuit (Court of Appeals). On November 22, 2005, the EPA agreed to reconsider certain aspects of the CAIR, including the Minnesota Power petition addressing modeling used to determine Minnesota's inclusion in the CAIR region and our claims about inequities in the SO2 allowance methodology. On March 15, 2006, the EPA announced that it would not make any changes to the CAIR as a result of the petitions for reconsideration. Petitions for Review (including Minnesota Power's) remain pending at the Court of Appeals. If the Petitions for Review filed with the Court of Appeals are successful, we expect to incur lower compliance costs, consistent with the rules applicable to those states considered as "western" states under the CAIR. Resolution of the CAIR Petition for Review with the Court of Appeals is anticipated by early 2008.</w:t>
      </w:r>
    </w:p>
    <w:p>
      <w:pPr>
        <w:spacing w:after="0" w:line="328"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782" w:right="1440" w:bottom="1440" w:gutter="0" w:footer="0" w:header="0"/>
        </w:sectPr>
      </w:pPr>
    </w:p>
    <w:bookmarkStart w:id="24" w:name="page25"/>
    <w:bookmarkEnd w:id="24"/>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COMMUNITY DEVELOPMENT DISTRICT OBLIGATIONS. TOWN CENTER. In March 2005, the Town Center District issued $26.4 million of tax-exempt, 6% Capital Improvement Revenue Bonds, Series 2005, due May 1, 2036. The bonds were issued to fund a portion of the Town Center development project.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will be included in the annual property tax bills of landowners beginning in November 2006. To the extent that we still own land at the time of the assessment, in accordance with EITF 91-10, we will recognize the cost of our portion of these assessments, based upon our ownership of benefited property. At September 30, 2006, we owned approximately 78 percent of the assessable land in the Town Center District.</w:t>
      </w:r>
    </w:p>
    <w:p>
      <w:pPr>
        <w:spacing w:after="0" w:line="33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PALM COAST PARK. In May 2006, the Palm Coast Park District issued $31.8 million of tax-exempt, 5.7% Special Assessment Bonds, Series 2006, due May 1, 2037. The bonds were issued to fund a portion of the Palm Coast Park development project. Bond proceeds of $26.3 million will be used for environmental and traffic mitigation, and the construction of infrastructure improvements, including utility extensions, roadways, parks, drainage, recreational facilities, landscaping and a multi-purpose trail system. The remaining funds will be used for capitalized interest, a debt service reserve fund and the costs of issuance.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included in the annual property tax bills of landowners beginning in November 2007. To the extent that we still own land at the time of the assessment, in accordance with EITF 91-10, we will recognize the cost of our portion of these assessments, based upon our ownership of benefited property. At September 30, 2006, we owned 97 percent of the assessable land in the Palm Coast Park District.</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25" w:name="page26"/>
    <w:bookmarkEnd w:id="25"/>
    <w:p>
      <w:pPr>
        <w:ind w:left="960" w:right="505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10-Q under the headings: "Safe Harbor Statement Under the Private Securities Litigation Reform Act of 1995" located on page 3 and "Risk Factors" located in Part I, Item 1A of our 2005 Form 10-K and Part II, Item 1A of our Quarterly Report on Form 10-Q for the quarter ended March 31, 2006. The risks and uncertainties described in this Form 10-Q and our 2005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ALLETE's operations focus on two core businesses--ENERGY and REAL ESTATE. In addition, we have other operations that provide earnings to the Company.</w:t>
      </w:r>
    </w:p>
    <w:p>
      <w:pPr>
        <w:spacing w:after="0" w:line="1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our Investment in ATC.</w:t>
      </w:r>
    </w:p>
    <w:p>
      <w:pPr>
        <w:spacing w:after="0" w:line="160" w:lineRule="exact"/>
        <w:rPr>
          <w:sz w:val="20"/>
          <w:szCs w:val="20"/>
          <w:color w:val="auto"/>
        </w:rPr>
      </w:pPr>
    </w:p>
    <w:p>
      <w:pPr>
        <w:jc w:val="both"/>
        <w:ind w:left="620" w:right="3339" w:hanging="353"/>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water and gas services in northeastern Minnesota and northwestern Wisconsin under the jurisdiction of state and federal regulatory authorities.</w:t>
      </w:r>
    </w:p>
    <w:p>
      <w:pPr>
        <w:spacing w:after="0" w:line="162" w:lineRule="exact"/>
        <w:rPr>
          <w:rFonts w:ascii="Courier New" w:cs="Courier New" w:eastAsia="Courier New" w:hAnsi="Courier New"/>
          <w:sz w:val="14"/>
          <w:szCs w:val="14"/>
          <w:color w:val="auto"/>
        </w:rPr>
      </w:pPr>
    </w:p>
    <w:p>
      <w:pPr>
        <w:jc w:val="both"/>
        <w:ind w:left="620" w:right="3339" w:hanging="353"/>
        <w:spacing w:after="0" w:line="252"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approximately 50 MW of nonregulated generation and Minnesota land sales.</w:t>
      </w:r>
    </w:p>
    <w:p>
      <w:pPr>
        <w:spacing w:after="0" w:line="162" w:lineRule="exact"/>
        <w:rPr>
          <w:rFonts w:ascii="Courier New" w:cs="Courier New" w:eastAsia="Courier New" w:hAnsi="Courier New"/>
          <w:sz w:val="14"/>
          <w:szCs w:val="14"/>
          <w:color w:val="auto"/>
        </w:rPr>
      </w:pPr>
    </w:p>
    <w:p>
      <w:pPr>
        <w:jc w:val="both"/>
        <w:ind w:left="6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2005, Nonregulated Energy Operations also included nonregulated generation (non-rate base generation sold at market-based rates primarily to the wholesale market) from our Taconite Harbor facility in northern Minnesota, and generation secured through the Kendall County power purchase agreement. Effective January 1, 2006, Taconite Harbor was integrated into our Regulated Utility business to help meet forecasted base load energy requirements. In April 2005, the Kendall County power purchase agreement was assigned to Constellation Energy Commodities.</w:t>
      </w:r>
    </w:p>
    <w:p>
      <w:pPr>
        <w:spacing w:after="0" w:line="163"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includes our equity ownership interest in ATC.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cash equivalents and short-term investments.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results by segment for the periods presented and discussed in this Form 10-Q were impacted by the integration of our Taconite Harbor facility into the Regulated Utility segment effective January 1, 2006. The redirection of Taconite Harbor from our Nonregulated Energy Operations segment to our Regulated Utility segment was in accordance with the Company's Resource Plan, as approved by the MPUC. Under the terms of our Resource Plan, we have operated the Taconite Harbor facility as a rate-based asset within the Minnesota retail jurisdiction effective January 1, 2006. Prior to January 1, 2006, we operated our Taconite Harbor facility as nonregulated generation. Historical financial results of Taconite Harbor for periods prior to the redirection are included in our Nonregulated Energy Operations segment.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results for the periods presented and discussed in this Form 10-Q were also impacted by the assignment of our Kendall County power purchase agreement to Constellation Energy Commodities, which was a key strategic accomplishment for the Company. As a result of this assignment, we incurred a charge to our operating expenses totaling $77.9 million ($50.4 million after tax, or $1.84 per diluted share) in the second quarter of 2005 (Kendall County Charge).</w:t>
      </w:r>
    </w:p>
    <w:p>
      <w:pPr>
        <w:spacing w:after="0" w:line="164"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78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200" w:lineRule="exact"/>
        <w:rPr>
          <w:sz w:val="20"/>
          <w:szCs w:val="20"/>
          <w:color w:val="auto"/>
        </w:rPr>
      </w:pPr>
    </w:p>
    <w:p>
      <w:pPr>
        <w:spacing w:after="0" w:line="304" w:lineRule="exact"/>
        <w:rPr>
          <w:sz w:val="20"/>
          <w:szCs w:val="20"/>
          <w:color w:val="auto"/>
        </w:rPr>
      </w:pPr>
    </w:p>
    <w:tbl>
      <w:tblPr>
        <w:tblLayout w:type="fixed"/>
        <w:tblInd w:w="5600" w:type="dxa"/>
        <w:tblCellMar>
          <w:top w:w="0" w:type="dxa"/>
          <w:left w:w="0" w:type="dxa"/>
          <w:bottom w:w="0" w:type="dxa"/>
          <w:right w:w="0" w:type="dxa"/>
        </w:tblCellMar>
      </w:tblPr>
      <w:tr>
        <w:trPr>
          <w:trHeight w:val="162"/>
        </w:trPr>
        <w:tc>
          <w:tcPr>
            <w:tcW w:w="1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ENDED</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NINE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19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SEPTEMBER 30,</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2006</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$137.4</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$477.0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$422.8</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38.9</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600"/>
        <w:spacing w:after="0"/>
        <w:tabs>
          <w:tab w:leader="none" w:pos="6700" w:val="left"/>
          <w:tab w:leader="none" w:pos="7920" w:val="left"/>
          <w:tab w:leader="none" w:pos="9040" w:val="left"/>
        </w:tabs>
        <w:rPr>
          <w:sz w:val="20"/>
          <w:szCs w:val="20"/>
          <w:color w:val="auto"/>
        </w:rPr>
      </w:pP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$177.4</w:t>
      </w:r>
      <w:r>
        <w:rPr>
          <w:sz w:val="20"/>
          <w:szCs w:val="20"/>
          <w:color w:val="auto"/>
        </w:rPr>
        <w:tab/>
      </w:r>
      <w:r>
        <w:rPr>
          <w:rFonts w:ascii="Courier New" w:cs="Courier New" w:eastAsia="Courier New" w:hAnsi="Courier New"/>
          <w:sz w:val="14"/>
          <w:szCs w:val="14"/>
          <w:color w:val="auto"/>
        </w:rPr>
        <w:t>$569.9</w:t>
      </w:r>
      <w:r>
        <w:rPr>
          <w:sz w:val="20"/>
          <w:szCs w:val="20"/>
          <w:color w:val="auto"/>
        </w:rPr>
        <w:tab/>
      </w:r>
      <w:r>
        <w:rPr>
          <w:rFonts w:ascii="Courier New" w:cs="Courier New" w:eastAsia="Courier New" w:hAnsi="Courier New"/>
          <w:sz w:val="13"/>
          <w:szCs w:val="13"/>
          <w:color w:val="auto"/>
        </w:rPr>
        <w:t>$545.1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$115.8</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$407.9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$359.1</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153.0</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600"/>
        <w:spacing w:after="0"/>
        <w:tabs>
          <w:tab w:leader="none" w:pos="6700" w:val="left"/>
          <w:tab w:leader="none" w:pos="7920" w:val="left"/>
          <w:tab w:leader="none" w:pos="9040" w:val="left"/>
        </w:tabs>
        <w:rPr>
          <w:sz w:val="20"/>
          <w:szCs w:val="20"/>
          <w:color w:val="auto"/>
        </w:rPr>
      </w:pPr>
      <w:r>
        <w:rPr>
          <w:rFonts w:ascii="Courier New" w:cs="Courier New" w:eastAsia="Courier New" w:hAnsi="Courier New"/>
          <w:sz w:val="14"/>
          <w:szCs w:val="14"/>
          <w:color w:val="auto"/>
        </w:rPr>
        <w:t>$160.4</w:t>
      </w:r>
      <w:r>
        <w:rPr>
          <w:sz w:val="20"/>
          <w:szCs w:val="20"/>
          <w:color w:val="auto"/>
        </w:rPr>
        <w:tab/>
      </w:r>
      <w:r>
        <w:rPr>
          <w:rFonts w:ascii="Courier New" w:cs="Courier New" w:eastAsia="Courier New" w:hAnsi="Courier New"/>
          <w:sz w:val="14"/>
          <w:szCs w:val="14"/>
          <w:color w:val="auto"/>
        </w:rPr>
        <w:t>$144.7</w:t>
      </w:r>
      <w:r>
        <w:rPr>
          <w:sz w:val="20"/>
          <w:szCs w:val="20"/>
          <w:color w:val="auto"/>
        </w:rPr>
        <w:tab/>
      </w:r>
      <w:r>
        <w:rPr>
          <w:rFonts w:ascii="Courier New" w:cs="Courier New" w:eastAsia="Courier New" w:hAnsi="Courier New"/>
          <w:sz w:val="14"/>
          <w:szCs w:val="14"/>
          <w:color w:val="auto"/>
        </w:rPr>
        <w:t>$468.5</w:t>
      </w:r>
      <w:r>
        <w:rPr>
          <w:sz w:val="20"/>
          <w:szCs w:val="20"/>
          <w:color w:val="auto"/>
        </w:rPr>
        <w:tab/>
      </w:r>
      <w:r>
        <w:rPr>
          <w:rFonts w:ascii="Courier New" w:cs="Courier New" w:eastAsia="Courier New" w:hAnsi="Courier New"/>
          <w:sz w:val="13"/>
          <w:szCs w:val="13"/>
          <w:color w:val="auto"/>
        </w:rPr>
        <w:t>$527.3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80"/>
        <w:spacing w:after="0"/>
        <w:tabs>
          <w:tab w:leader="none" w:pos="6880" w:val="left"/>
          <w:tab w:leader="none" w:pos="8000" w:val="left"/>
          <w:tab w:leader="none" w:pos="912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$20.1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$ 0.4</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Investment in ATC</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80"/>
        <w:spacing w:after="0"/>
        <w:tabs>
          <w:tab w:leader="none" w:pos="6880" w:val="left"/>
          <w:tab w:leader="none" w:pos="8080" w:val="left"/>
          <w:tab w:leader="none" w:pos="912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$0.4</w:t>
      </w:r>
      <w:r>
        <w:rPr>
          <w:sz w:val="20"/>
          <w:szCs w:val="20"/>
          <w:color w:val="auto"/>
        </w:rPr>
        <w:tab/>
      </w: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$ 10.6</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$33.5</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$ 31.3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Investment in ATC</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0.6</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15.7</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940" w:type="dxa"/>
            <w:vAlign w:val="bottom"/>
          </w:tcPr>
          <w:p>
            <w:pPr>
              <w:ind w:left="1160"/>
              <w:spacing w:after="0"/>
              <w:rPr>
                <w:sz w:val="20"/>
                <w:szCs w:val="20"/>
                <w:color w:val="auto"/>
              </w:rPr>
            </w:pPr>
            <w:r>
              <w:rPr>
                <w:rFonts w:ascii="Courier New" w:cs="Courier New" w:eastAsia="Courier New" w:hAnsi="Courier New"/>
                <w:sz w:val="14"/>
                <w:szCs w:val="14"/>
                <w:color w:val="auto"/>
              </w:rPr>
              <w:t>21.9</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15.8</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54.3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1940" w:type="dxa"/>
            <w:vAlign w:val="bottom"/>
          </w:tcPr>
          <w:p>
            <w:pPr>
              <w:ind w:left="1160"/>
              <w:spacing w:after="0"/>
              <w:rPr>
                <w:sz w:val="20"/>
                <w:szCs w:val="20"/>
                <w:color w:val="auto"/>
              </w:rPr>
            </w:pPr>
            <w:r>
              <w:rPr>
                <w:rFonts w:ascii="Courier New" w:cs="Courier New" w:eastAsia="Courier New" w:hAnsi="Courier New"/>
                <w:sz w:val="14"/>
                <w:szCs w:val="14"/>
                <w:color w:val="auto"/>
              </w:rPr>
              <w:t>(0.1)</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$ 15.2</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Diluted Average Shares of Common Stock</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Diluted Earnings (Loss)</w:t>
            </w:r>
          </w:p>
        </w:tc>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2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Per Share of Common Stock</w:t>
            </w:r>
          </w:p>
        </w:tc>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2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Continuing Operations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$0.78</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$0.58</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166"/>
        </w:trPr>
        <w:tc>
          <w:tcPr>
            <w:tcW w:w="42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Discontinued Operations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00"/>
        <w:spacing w:after="0"/>
        <w:tabs>
          <w:tab w:leader="none" w:pos="6800" w:val="left"/>
          <w:tab w:leader="none" w:pos="8000" w:val="left"/>
          <w:tab w:leader="none" w:pos="9040" w:val="left"/>
        </w:tabs>
        <w:rPr>
          <w:sz w:val="20"/>
          <w:szCs w:val="20"/>
          <w:color w:val="auto"/>
        </w:rPr>
      </w:pPr>
      <w:r>
        <w:rPr>
          <w:rFonts w:ascii="Courier New" w:cs="Courier New" w:eastAsia="Courier New" w:hAnsi="Courier New"/>
          <w:sz w:val="14"/>
          <w:szCs w:val="14"/>
          <w:color w:val="auto"/>
        </w:rPr>
        <w:t>$0.78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$(0.28)</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operating expenses totaling $77.9 million ($50.4 million after tax, or $1.84 per diluted share) related to the assignment of the Kendall County power purchase agreement. (See Note 6.)</w:t>
      </w:r>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60"/>
          </w:cols>
          <w:pgMar w:left="220" w:top="782" w:right="1419" w:bottom="1440" w:gutter="0" w:footer="0" w:header="0"/>
        </w:sectPr>
      </w:pPr>
    </w:p>
    <w:bookmarkStart w:id="27" w:name="page28"/>
    <w:bookmarkEnd w:id="27"/>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Net income for the quarter ended September 30, 2006, was $21.8 million, or $0.78 per diluted share ($15.2 million, or $0.56 per diluted share, for the quarter ended September 30, 2005). Net income was higher in 2006 due to a $3.1 million increase in income from Regulated Utility, a $1.1 million increase in income from Real Estate, a $0.4 million increase in earnings on cash and short-term investments, and $0.6 million of income from Investment in ATC.</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Net income for the nine months ended September 30, 2006, was $53.8 million, or $1.93 per diluted share (a $7.7 million, or $0.28 per diluted share, net loss for the nine months ended September 30, 2005). Net income was higher in 2006 due to the absence of: (1) the $50.4 million, or $1.84 per share, Kendall County Charge incurred in the second quarter of 2005; (2) Kendall County operating losses ($1.9 million in 2005); and (3) emerging technology impairments ($3.3 million in 2005). Net income in 2006 also reflected a $2.2 million increase in income from Regulated Utility, a $2.0 million increase in income from Real Estate, a $2.0 million increase in earnings on cash and short-term investments, and $0.6 million of income from Investment in ATC.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ENDED</w:t>
            </w:r>
          </w:p>
        </w:tc>
      </w:tr>
      <w:tr>
        <w:trPr>
          <w:trHeight w:val="166"/>
        </w:trPr>
        <w:tc>
          <w:tcPr>
            <w:tcW w:w="3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Retail and Municipals</w:t>
            </w: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48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263.0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804.2</w:t>
            </w:r>
          </w:p>
        </w:tc>
      </w:tr>
      <w:tr>
        <w:trPr>
          <w:trHeight w:val="166"/>
        </w:trPr>
        <w:tc>
          <w:tcPr>
            <w:tcW w:w="348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361.7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1,005.9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986.9</w:t>
            </w:r>
          </w:p>
        </w:tc>
      </w:tr>
      <w:tr>
        <w:trPr>
          <w:trHeight w:val="166"/>
        </w:trPr>
        <w:tc>
          <w:tcPr>
            <w:tcW w:w="348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1,836.9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1,782.8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5,429.1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5,306.8</w:t>
            </w:r>
          </w:p>
        </w:tc>
      </w:tr>
      <w:tr>
        <w:trPr>
          <w:trHeight w:val="166"/>
        </w:trPr>
        <w:tc>
          <w:tcPr>
            <w:tcW w:w="348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248.6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684.0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657.3</w:t>
            </w:r>
          </w:p>
        </w:tc>
      </w:tr>
      <w:tr>
        <w:trPr>
          <w:trHeight w:val="166"/>
        </w:trPr>
        <w:tc>
          <w:tcPr>
            <w:tcW w:w="348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00" w:type="dxa"/>
            <w:vAlign w:val="bottom"/>
          </w:tcPr>
          <w:p>
            <w:pPr>
              <w:ind w:left="780"/>
              <w:spacing w:after="0"/>
              <w:rPr>
                <w:sz w:val="20"/>
                <w:szCs w:val="20"/>
                <w:color w:val="auto"/>
              </w:rPr>
            </w:pPr>
            <w:r>
              <w:rPr>
                <w:rFonts w:ascii="Courier New" w:cs="Courier New" w:eastAsia="Courier New" w:hAnsi="Courier New"/>
                <w:sz w:val="14"/>
                <w:szCs w:val="14"/>
                <w:color w:val="auto"/>
              </w:rPr>
              <w:t>Total Retail and Municipals</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2,731.0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2,640.6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7,978.5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7,814.4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584.3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864.9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260" w:type="dxa"/>
            <w:vAlign w:val="bottom"/>
          </w:tcPr>
          <w:p>
            <w:pPr>
              <w:ind w:left="1420"/>
              <w:spacing w:after="0"/>
              <w:rPr>
                <w:sz w:val="20"/>
                <w:szCs w:val="20"/>
                <w:color w:val="auto"/>
              </w:rPr>
            </w:pPr>
            <w:r>
              <w:rPr>
                <w:rFonts w:ascii="Courier New" w:cs="Courier New" w:eastAsia="Courier New" w:hAnsi="Courier New"/>
                <w:sz w:val="14"/>
                <w:szCs w:val="14"/>
                <w:color w:val="auto"/>
              </w:rPr>
              <w:t>Total Regulated Utility</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3,315.3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2,901.9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9,583.4</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8,679.3</w:t>
            </w:r>
          </w:p>
        </w:tc>
      </w:tr>
      <w:tr>
        <w:trPr>
          <w:trHeight w:val="166"/>
        </w:trPr>
        <w:tc>
          <w:tcPr>
            <w:tcW w:w="140" w:type="dxa"/>
            <w:vAlign w:val="bottom"/>
          </w:tcPr>
          <w:p>
            <w:pPr>
              <w:spacing w:after="0"/>
              <w:rPr>
                <w:sz w:val="14"/>
                <w:szCs w:val="14"/>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1,159.6</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3,375.7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3,307.7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9,764.7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9,838.9</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77" w:orient="portrait"/>
          <w:cols w:equalWidth="0" w:num="1">
            <w:col w:w="10239"/>
          </w:cols>
          <w:pgMar w:left="220" w:top="78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SEPTEMBER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sectPr>
          <w:pgSz w:w="11900" w:h="16877" w:orient="portrait"/>
          <w:cols w:equalWidth="0" w:num="2">
            <w:col w:w="6860" w:space="720"/>
            <w:col w:w="2659"/>
          </w:cols>
          <w:pgMar w:left="220" w:top="782" w:right="1440" w:bottom="0" w:gutter="0" w:footer="0" w:header="0"/>
          <w:type w:val="continuous"/>
        </w:sectPr>
      </w:pPr>
    </w:p>
    <w:p>
      <w:pPr>
        <w:ind w:left="3620"/>
        <w:spacing w:after="0"/>
        <w:tabs>
          <w:tab w:leader="none" w:pos="5240" w:val="left"/>
          <w:tab w:leader="none" w:pos="7300" w:val="left"/>
          <w:tab w:leader="none" w:pos="894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3340" w:val="left"/>
          <w:tab w:leader="none" w:pos="3960" w:val="left"/>
          <w:tab w:leader="none" w:pos="4980" w:val="left"/>
          <w:tab w:leader="none" w:pos="5580" w:val="left"/>
          <w:tab w:leader="none" w:pos="7060" w:val="left"/>
          <w:tab w:leader="none" w:pos="7660" w:val="left"/>
          <w:tab w:leader="none" w:pos="8600" w:val="left"/>
          <w:tab w:leader="none" w:pos="9200" w:val="left"/>
        </w:tabs>
        <w:rPr>
          <w:sz w:val="20"/>
          <w:szCs w:val="20"/>
          <w:color w:val="auto"/>
        </w:rPr>
      </w:pPr>
      <w:r>
        <w:rPr>
          <w:rFonts w:ascii="Courier New" w:cs="Courier New" w:eastAsia="Courier New" w:hAnsi="Courier New"/>
          <w:sz w:val="14"/>
          <w:szCs w:val="14"/>
          <w:color w:val="auto"/>
        </w:rPr>
        <w:t>REVENUE AND SALES ACTIVITY</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p>
    <w:p>
      <w:pPr>
        <w:sectPr>
          <w:pgSz w:w="11900" w:h="16877"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Town Center Sales</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Commercial Sq. Ft.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114,300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364,995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 Land Sales</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Acres</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Lots</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Contract Sales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15.3</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12.6</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42.6</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47.7</w:t>
            </w:r>
          </w:p>
        </w:tc>
      </w:tr>
      <w:tr>
        <w:trPr>
          <w:trHeight w:val="331"/>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Revenue Recognized from</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Previously</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Deferred Sales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Deferred Revenue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640" w:type="dxa"/>
            <w:vAlign w:val="bottom"/>
          </w:tcPr>
          <w:p>
            <w:pPr>
              <w:spacing w:after="0"/>
              <w:rPr>
                <w:sz w:val="24"/>
                <w:szCs w:val="2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(0.7)</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(0.9)</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Revenue from Land Sales</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14.0</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9.4</w:t>
            </w:r>
          </w:p>
        </w:tc>
        <w:tc>
          <w:tcPr>
            <w:tcW w:w="18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r>
      <w:tr>
        <w:trPr>
          <w:trHeight w:val="170"/>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w:t>
            </w:r>
          </w:p>
        </w:tc>
        <w:tc>
          <w:tcPr>
            <w:tcW w:w="18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060"/>
        <w:spacing w:after="0"/>
        <w:tabs>
          <w:tab w:leader="none" w:pos="5680" w:val="left"/>
          <w:tab w:leader="none" w:pos="7660" w:val="left"/>
          <w:tab w:leader="none" w:pos="9300" w:val="left"/>
        </w:tabs>
        <w:rPr>
          <w:sz w:val="20"/>
          <w:szCs w:val="20"/>
          <w:color w:val="auto"/>
        </w:rPr>
      </w:pPr>
      <w:r>
        <w:rPr>
          <w:rFonts w:ascii="Courier New" w:cs="Courier New" w:eastAsia="Courier New" w:hAnsi="Courier New"/>
          <w:sz w:val="14"/>
          <w:szCs w:val="14"/>
          <w:color w:val="auto"/>
        </w:rPr>
        <w:t>$15.1</w:t>
      </w:r>
      <w:r>
        <w:rPr>
          <w:sz w:val="20"/>
          <w:szCs w:val="20"/>
          <w:color w:val="auto"/>
        </w:rPr>
        <w:tab/>
      </w: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$44.0</w:t>
      </w:r>
      <w:r>
        <w:rPr>
          <w:sz w:val="20"/>
          <w:szCs w:val="20"/>
          <w:color w:val="auto"/>
        </w:rPr>
        <w:tab/>
      </w:r>
      <w:r>
        <w:rPr>
          <w:rFonts w:ascii="Courier New" w:cs="Courier New" w:eastAsia="Courier New" w:hAnsi="Courier New"/>
          <w:sz w:val="14"/>
          <w:szCs w:val="14"/>
          <w:color w:val="auto"/>
        </w:rPr>
        <w:t>$38.9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Reflected total contract sales price on closed land transactions.</w:t>
      </w:r>
    </w:p>
    <w:p>
      <w:pPr>
        <w:spacing w:after="0" w:line="7" w:lineRule="exact"/>
        <w:rPr>
          <w:sz w:val="20"/>
          <w:szCs w:val="20"/>
          <w:color w:val="auto"/>
        </w:rPr>
      </w:pPr>
    </w:p>
    <w:p>
      <w:pPr>
        <w:ind w:left="100"/>
        <w:spacing w:after="0"/>
        <w:tabs>
          <w:tab w:leader="none" w:pos="3860" w:val="left"/>
        </w:tabs>
        <w:rPr>
          <w:sz w:val="20"/>
          <w:szCs w:val="20"/>
          <w:color w:val="auto"/>
        </w:rPr>
      </w:pPr>
      <w:r>
        <w:rPr>
          <w:rFonts w:ascii="Courier New" w:cs="Courier New" w:eastAsia="Courier New" w:hAnsi="Courier New"/>
          <w:sz w:val="14"/>
          <w:szCs w:val="14"/>
          <w:color w:val="auto"/>
        </w:rPr>
        <w:t>Contributed development dollars, which are</w:t>
        <w:tab/>
        <w:t>credited to cost of real estate sold.</w:t>
      </w:r>
    </w:p>
    <w:p>
      <w:pPr>
        <w:sectPr>
          <w:pgSz w:w="11900" w:h="16877" w:orient="portrait"/>
          <w:cols w:equalWidth="0" w:num="1">
            <w:col w:w="10239"/>
          </w:cols>
          <w:pgMar w:left="220" w:top="782" w:right="1440" w:bottom="0" w:gutter="0" w:footer="0" w:header="0"/>
          <w:type w:val="continuous"/>
        </w:sectPr>
      </w:pPr>
    </w:p>
    <w:bookmarkStart w:id="28" w:name="page29"/>
    <w:bookmarkEnd w:id="28"/>
    <w:tbl>
      <w:tblPr>
        <w:tblLayout w:type="fixed"/>
        <w:tblInd w:w="5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9019"/>
          </w:cols>
          <w:pgMar w:left="1440" w:top="638"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following income discussion summarizes a comparison of the nine months ended September 30, 2006, to the nine months ended September 30, 2005, by segment.</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REGULATED UTILITY contributed income of $33.5 million in 2006 ($31.3 million in 2005). Higher earnings in 2006 reflected a 10 percent increase in kilowatthour sales partially offset by higher operating expenses. Electric sales increased 904.1 million kilowatthours, primarily due to the inclusion of Taconite Harbor and its pre-existing wholesale energy sales obligations. Operating expenses were higher in 2006 due to the inclusion of Taconite Harbor, effective January 1, 2006, and increased planned maintenance, employee compensation and pension expenses.</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NONREGULATED ENERGY OPERATIONS reported income of $2.9 million in 2006 ($47.3 million loss in 2005). In April 2005, we completed the assignment of our Kendall County power purchase agreement to Constellation Energy Commodities. As a result of this transaction, we incurred a charge to operating expenses totaling $50.4 million after tax in the second quarter of 2005. In 2006, financial results reflected the absence of income from Taconite Harbor ($3.7 million in 2005) which is now reported as part of Regulated Utility and operating losses from Kendall County ($1.9 million in 2005). Income from our coal operations was up $0.4 million from 2005 primarily due to an 11 percent increase in the delivery price per ton due to higher coal production expenses.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contributed income of $0.6 million in 2006. We began investing in ATC in May 2006. As of September 30, 2006, our equity investment in ATC was $35.2 million including reinvested earnings less dividends, which equated to approximately a 5 percent ownership interest. By the end of 2006, we anticipate having approximately $60 million invested in ATC.</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contributed income of $15.7 million in 2006 ($13.7 million in 2005). Income was higher in 2006 due to the timing and mix of land sale transaction closings, and earnings from prior land sales at our Town Center development project which are accounted for under the percentage-of-completion method. The timing of the closing of real estate sales varies from period to period and impacts comparisons between years.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June 2005, we began selling property from our Town Center development project. In August 2006, we began selling property from our Palm Coast Park development project. Since land is being sold before completion of the project infrastructure, revenue, cost of real estate sold and selling expenses are recorded using the percentage-of-completion method as development obligations are completed. As of September 30, 2006, we had $9.5 million ($13.0 million revenue; $3.1 million cost of real estate sold; $0.4 million selling expense) of deferred profit on sales of real estate, before taxes and minority interest, on our balance sheet. Most of the deferred profit relates to Town Center.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spacing w:after="0"/>
        <w:tabs>
          <w:tab w:leader="none" w:pos="3080" w:val="left"/>
          <w:tab w:leader="none" w:pos="4720" w:val="left"/>
        </w:tabs>
        <w:rPr>
          <w:sz w:val="20"/>
          <w:szCs w:val="20"/>
          <w:color w:val="auto"/>
        </w:rPr>
      </w:pPr>
      <w:r>
        <w:rPr>
          <w:rFonts w:ascii="Courier New" w:cs="Courier New" w:eastAsia="Courier New" w:hAnsi="Courier New"/>
          <w:sz w:val="14"/>
          <w:szCs w:val="14"/>
          <w:color w:val="auto"/>
        </w:rPr>
        <w:t>AT SEPTEMBER 30, 2006</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789,977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24.0</w:t>
            </w: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1,241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2,269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60.3</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$ 114.5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339" w:hanging="344"/>
        <w:spacing w:after="0" w:line="251" w:lineRule="auto"/>
        <w:rPr>
          <w:sz w:val="20"/>
          <w:szCs w:val="20"/>
          <w:color w:val="auto"/>
        </w:rPr>
      </w:pPr>
      <w:r>
        <w:rPr>
          <w:rFonts w:ascii="Courier New" w:cs="Courier New" w:eastAsia="Courier New" w:hAnsi="Courier New"/>
          <w:sz w:val="14"/>
          <w:szCs w:val="14"/>
          <w:color w:val="auto"/>
        </w:rPr>
        <w:t>Acreage</w:t>
      </w:r>
      <w:r>
        <w:rPr>
          <w:sz w:val="20"/>
          <w:szCs w:val="20"/>
          <w:color w:val="auto"/>
        </w:rPr>
        <w:t xml:space="preserve"> </w:t>
      </w:r>
      <w:r>
        <w:rPr>
          <w:rFonts w:ascii="Courier New" w:cs="Courier New" w:eastAsia="Courier New" w:hAnsi="Courier New"/>
          <w:sz w:val="14"/>
          <w:szCs w:val="14"/>
          <w:color w:val="auto"/>
        </w:rPr>
        <w:t>amounts are approximate and shown on a gross basis, including wetlands and minority interest. Acreage amounts may vary due to platting or surveying activity. Wetland amounts vary by property and are often not formally determined prior to sale. Commercial square feet and residential units are estimated and include minority interest. The actual property allocation at full build-out may be different than these estimates.</w:t>
      </w:r>
    </w:p>
    <w:p>
      <w:pPr>
        <w:spacing w:after="0" w:line="200" w:lineRule="exact"/>
        <w:rPr>
          <w:sz w:val="20"/>
          <w:szCs w:val="20"/>
          <w:color w:val="auto"/>
        </w:rPr>
      </w:pPr>
    </w:p>
    <w:p>
      <w:pPr>
        <w:spacing w:after="0" w:line="296"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September 30, 2006, total pending land sales under contract were $114.5 million and are anticipated to close at various times through 2012. Pricing on these contracts range from $20 to $50 per commercial square foot, $8,600 to $34,000 per residential unit and $11,000 to $1,091,000 per acre for all other properties. The majority of the other properties under contract are zoned commercial or mixed use. Prices per acre are stated on a gross acreage basis and are dependent on the type and location of the properties sold. In addition, certain contracts will allow us to receive participation revenue when gross revenue from sales by our purchaser exceeds contractually defined price levels.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If a purchaser defaults under terms of a contract, our remedies generally include retention of the purchaser's deposit and the ability to remarket the property to other prospective buyers. In many cases the purchaser has also incurred significant costs in planning, designing and marketing of the property under contract before the contract closes.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reflected net income of $1.6 million in 2006 (a $4.3 million loss in 2005). In 2006, a $2.0 million increase in earnings on cash and short-term investments more than offset a $0.3 million increase in equity losses related to emerging technology investments and a $0.3 million call premium we incurred related to the early redemption of industrial development refunding revenue bonds. In 2005, we recorded $3.3 million of impairments related to two privately-held emerging technology investments and also recognized a $0.6 million charge due to the probable payment under our guarantee of Northwest Airlines debt.</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DISCONTINUED OPERATIONS included our Water Services businesses that we sold over the three-year period from 2003 to 2005, and Enventis Telecom, our telecommunications business that we sold in December 2005. In 2006, discontinued operations reflected a $0.5 million loss resulting from additional legal and administrative expenses related to exiting the Water Services businesses. In 2005, $0.8 million of income from Enventis Telecom was offset by $1.9 million of administrative and other expenses incurred to support Florida Water transfer proceedings. (See Note 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QUARTERS ENDED SEPTEMBER 30, 2006 AND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$30.7 million, or 22 percent, from 2005, reflecting increased kilowatthour sales and increased fuel clause recoveries. Electric sales increased 413.4 million kilowatthours, or 14 percent, due mostly to the addition of Taconite Harbor wholesale power obligations to the Regulated Utility segment effective January 1, 2006. In 2006, the majority of Taconite Harbor sales are reflected in sales to other power suppliers. Sales to other power suppliers were 584.3 million kilowatthours and $27.2 million in 2006 (261.3 million kilowatthours and $12.5 million in 2005). Absent the inclusion of pre-existing Taconite Harbor wholesale obligations, sales to other power suppliers were down reflecting less excess energy available for sale due to planned outages at Company generating facilities in 2006. Electric sales to retail and municipal customers increased 90.4 million kilowatthours, or 3 percent, and $16.3 million, as a result of strong demand from residential, commercial, and municipal customers due to record warm temperatures in 2006 and increased usage by industrial customers, primarily in the paper and pipeline industries. Fuel clause recoveries were higher in 2006 as a result of increased fuel and purchased power expenses in 2006.</w:t>
      </w:r>
    </w:p>
    <w:p>
      <w:pPr>
        <w:spacing w:after="0" w:line="339"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electric sales to taconite customers accounted for 24 percent of consolidated operating revenue in both 2006 and 2005. Revenue from electric sales to paper and pulp mills accounted for 9 percent of consolidated operating revenue in both 2006 and 2005.</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were up $24.5 million, or 21 percent, from 2005.</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FUEL AND PURCHASED POWER EXPENSE. Fuel and purchased power expense was up $20.6 million from 2005 reflecting the inclusion of Taconite Harbor beginning in 2006 ($5.8 million) and higher purchased power expense due to increased kilowatthour sales, less Company hydro generation available as a result of below normal precipitation levels, and planned maintenance outages at Company generating facilities in 2006.</w:t>
      </w:r>
    </w:p>
    <w:p>
      <w:pPr>
        <w:spacing w:after="0" w:line="164"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78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COMPARISON OF THE QUARTERS ENDED SEPTEMBER 30, 2006 AND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(CONTINUED)</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OPERATING EXPENSES. In total, other operating expenses were up $3.9 million from 2005. Employee compensation was up $1.7 million primarily due to the inclusion of Taconite Harbor, annual wage increases and the inclusion of union employees in our results sharing compensation awards program. Depreciation expense increased $1.2 million primarily due to the inclusion of Taconite Harbor. In total, plant maintenance expense increased $0.9 million from 2005 reflecting the inclusion of Taconite Harbor maintenance in 2006 ($0.8 million), a planned outage at our Boswell Unit 3 generating facility ($0.7 million) and increased equipment fuel expense ($0.4 million), partially offset by a $1.0 million reduction in expenses at our other generating facilities primarily due to the timing of outages. Pension expense increased $0.6 million due to a reduction in the discount rate. MISO expenses were down $0.5 million, primarily due to decreased transactions with other power suppliers.</w:t>
      </w:r>
    </w:p>
    <w:p>
      <w:pPr>
        <w:spacing w:after="0" w:line="162"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INTEREST EXPENSE was up $0.7 million, or 16 percent, from 2005 due to the inclusion of Taconite Harbor in 2006, partially offset by lower effective interest rates (5.91 percent in 2006; 6.02 percent in 2005).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$12.8 million, or 45 percent, from 2005 due to the absence of revenue from Taconite Harbor ($15.0 million in 2005). Effective January 1, 2006, Taconite Harbor is reported as part of the Regulated Utility segment. Coal revenue, realized under a cost-plus contract, was up $1.1 million from 2005 reflecting a 16 percent increase in the delivery price per ton due to higher coal production expenses (see operating expenses below), partially offset by a 3 percent decrease in tons of coal sold in 2006. Tons of coal sold were lower in 2006 primarily due to an outage at the Square Butte generating facility.</w:t>
      </w:r>
    </w:p>
    <w:p>
      <w:pPr>
        <w:spacing w:after="0" w:line="16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down $10.4 million, or 42 percent, from 2005 reflecting the absence of expenses related to Taconite Harbor ($12.2 million in 2005). Expenses related to coal operations were up $1.4 million, mainly due to increased equipment lease costs and increased fuel expenses in 2006.</w:t>
      </w:r>
    </w:p>
    <w:p>
      <w:pPr>
        <w:spacing w:after="0" w:line="328"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$0.8 million, or 44 percent, from 2005 primarily due to the absence of Taconite Harbor in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ATC</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OTHER INCOME (EXPENSE) reflected $1.0 million of income in 2006 from our equity investment in ATC, resulting from our share of ATC's earnings.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$3.9 million, or 35 percent, from 2005, due to the timing and mix of land sale transaction closings, and revenue from prior land sales at our Town Center development project which are accounted for under the percentage-of-completion method. Revenue from land sales was $14.0 million in 2006 which included $1.0 million of previously deferred revenue. In 2005, revenue from land sales was $9.4 million. In 2006, 242 acres of other land were sold (521 acres in 2005). Sales at Town Center represented 356 residential units and the rights to build up to 114,300 square feet of commercial space in 2006 (246,000 commercial square feet in 2005). Sales at Palm Coast Park represented 200 residential units in 2006. In 2006, revenue of $2.9 million ($2.5 million in 2005) was deferred and will be recognized on a percentage-of-completion basis as development obligations are completed.</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$2.1 million, or 72 percent, from 2005 reflecting a $1.4 million increase in the cost of real estate sold ($2.8 million in 2006; $1.4 million in 2005) due to the mix of land sold and increased expense recognition at our Town Center development project, which are accounted for under the percentage-of-completion method, and a $0.4 million increase in selling expenses due to higher brokerage fees.</w:t>
      </w:r>
    </w:p>
    <w:p>
      <w:pPr>
        <w:spacing w:after="0" w:line="16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COMPARISON OF THE QUARTERS ENDED SEPTEMBER 30, 2006 AND 2005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were down $0.5 million, or 50 percent, from 2005, reflecting lower general and administrative expenses in 2006.</w:t>
      </w:r>
    </w:p>
    <w:p>
      <w:pPr>
        <w:spacing w:after="0" w:line="160" w:lineRule="exact"/>
        <w:rPr>
          <w:sz w:val="20"/>
          <w:szCs w:val="20"/>
          <w:color w:val="auto"/>
        </w:rPr>
      </w:pPr>
    </w:p>
    <w:p>
      <w:pPr>
        <w:jc w:val="both"/>
        <w:ind w:left="440" w:right="3339"/>
        <w:spacing w:after="0" w:line="257" w:lineRule="auto"/>
        <w:rPr>
          <w:sz w:val="20"/>
          <w:szCs w:val="20"/>
          <w:color w:val="auto"/>
        </w:rPr>
      </w:pPr>
      <w:r>
        <w:rPr>
          <w:rFonts w:ascii="Courier New" w:cs="Courier New" w:eastAsia="Courier New" w:hAnsi="Courier New"/>
          <w:sz w:val="14"/>
          <w:szCs w:val="14"/>
          <w:color w:val="auto"/>
        </w:rPr>
        <w:t>INTEREST EXPENSE was up $0.9 million from 2005, primarily due to interest on additional taxes owed on the gain on the sale of our Florida Water assets.</w:t>
      </w:r>
    </w:p>
    <w:p>
      <w:pPr>
        <w:spacing w:after="0" w:line="32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was up $1.4 million from 2005 reflecting a $1.1 million increase in earnings on cash and short-term investments, and the absence of a $1.0 million charge recognized in 2005 for the probable payment under our guarantee of Northwest Airlines debt partially offset by a $0.6 million call premium related to the early redemption of industrial development refunding revenue bonds in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September 30, 2006, the effective rate for income taxes was 34.5 percent (36.6 percent for the quarter ended September 30, 2005). The decrease in the effective rate compared to last year was primarily due to finalization of taxes related to the spin-off of ADESA. The effective rate of 34.5 percent for the quarter ended September 30, 2006, was less than the statutory rate, primarily because of investment tax credits, deductions for Medicare health subsidies, depletion and finalization of taxes related to the spin-off of ADESA.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NINE MONTHS ENDED SEPTEMBER 30, 2006 AND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$54.2 million, or 13 percent, from 2005, reflecting increased kilowatthour sales and increased fuel clause recoveries. Electric sales increased 904.1 million kilowatthours, or 10 percent, due mostly to the addition of Taconite Harbor wholesale power obligations to the Regulated Utility segment effective January 1, 2006. In 2006, the majority of Taconite Harbor sales are reflected in sales to other power suppliers. Sales to other power suppliers were 1,604.9 million kilowatthours and $71.0 million (864.9 million kilowatthours and $38.6 million in 2005). Absent the inclusion of pre-existing Taconite Harbor wholesale obligations, sales to other power suppliers were down reflecting less excess energy available for sale due to planned outages at Company generating facilities in 2006. Electric sales to retail and municipal customers increased 164.1 million kilowatthours, or 2 percent, and $20.5 million, mainly due to strong demand from industrial customers. Fuel clause recoveries were higher in 2006 as a result of increased fuel and purchased power expenses in 2006.</w:t>
      </w:r>
    </w:p>
    <w:p>
      <w:pPr>
        <w:spacing w:after="0" w:line="328"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electric sales to taconite customers accounted for 24 percent of consolidated operating revenue in 2006 (23 percent in 2005). Revenue from electric sales to paper and pulp mills accounted for 9 percent of consolidated operating revenue in both 2006 and 2005.</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were up $48.8 million, or 14 percent, from 2005.</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FUEL AND PURCHASED POWER EXPENSE. Fuel and purchased power expense was up $29.8 million from 2005, reflecting the inclusion of Taconite Harbor operations beginning in 2006 ($16.6 million) and increased purchased power expense due to higher prices paid for purchased power, less Company hydro generation available as a result of below normal precipitation levels, and planned maintenance at Company generating facilities in 2006.</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OPERATING EXPENSES. In total, other operating expenses were up $19.0 million from 2005. Employee compensation was up $6.8 million primarily due to the inclusion of Taconite Harbor, annual wage increases and the inclusion of union employees in our results sharing compensation awards program. In total, plant maintenance expense increased $4.0 million from 2005 reflecting the inclusion of Taconite Harbor maintenance in 2006 ($3.0 million), increased planned maintenance expense at Boswell Unit 4 ($1.9 million) and increased equipment fuel expenses ($0.8 million) partially offset by a decrease in maintenance expense at Boswell Unit 3 ($1.6 million). In 2005, planned maintenance was performed at Boswell Unit 3 while the unit was down due to a cooling tower failure. Depreciation expense increased $3.8 million primarily due to the inclusion of Taconite Harbor. Pension expense increased $1.8 million due to a reduction in the discount rate.</w:t>
      </w:r>
    </w:p>
    <w:p>
      <w:pPr>
        <w:spacing w:after="0" w:line="328"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ectPr>
          <w:pgSz w:w="11900" w:h="16838" w:orient="portrait"/>
          <w:cols w:equalWidth="0" w:num="1">
            <w:col w:w="10239"/>
          </w:cols>
          <w:pgMar w:left="220" w:top="78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COMPARISON OF THE NINE MONTHS ENDED SEPTEMBER 30, 2006 AND 2005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(CONTINUED)</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INTEREST EXPENSE was up $2.0 million, or 15 percent, from 2005, due to the inclusion of Taconite Harbor in 2006 partially offset by lower effective interest rates (5.93 percent in 2006; 6.10 percent in 2005).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$34.4 million, or 41 percent, from 2005 due to the absence of revenue from Taconite Harbor ($39.6 million in 2005) and Kendall County ($3.1 million in 2005). Effective January 1, 2006, Taconite Harbor is reported as part of Regulated Utility. Kendall County operations ceased to be included with our operations effective April 1, 2005, when the Company assigned the power purchase agreement to Constellation Energy Commodities. Coal revenue, realized under a cost-plus contract, was up $3.3 million from 2005 reflecting an 11 percent increase in the delivery price per ton due to higher coal production expenses (see operating expenses below). In 2006, tons of coal sold were similar to 2005.</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$108.1 million, or 71 percent, from 2005 reflecting the absence of a $77.9 million charge related to the assignment of the Kendall County power purchase agreement to Constellation Energy Commodities on April 1, 2005, expenses related to Taconite Harbor ($31.2 million in 2005) and other expenses related to Kendall County ($6.3 million in 2005) that were incurred prior to April 1, 2005. Expenses related to coal operations were up $3.0 million mainly due to increased equipment lease costs and increased fuel expenses in 2006.</w:t>
      </w:r>
    </w:p>
    <w:p>
      <w:pPr>
        <w:spacing w:after="0" w:line="164"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$2.7 million, or 57 percent, primarily due to the absence of Taconite Harbor in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ATC</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OTHER INCOME (EXPENSE) reflected $1.0 million of income in 2006 from our equity investment in ATC, resulting from our share of ATC's earnings.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$5.1 million, or 13 percent, from 2005, due to the timing and mix of land sale transaction closings, and revenue from prior land sales at our Town Center development project which are accounted for under the percentage-of-completion method. Revenue from land sales was $40.2 million in 2006 which included $5.3 million of previously deferred revenue. In 2005, revenue from land sales was $35.1 million. In 2006, 708 acres of other land were sold (1,058 acres and 7 lots in 2005). Sales at Town Center represented 542 residential units and the rights to build up to 364,995 square feet of commercial space in 2006 (643,000 commercial square feet in 2005). Sales at Palm Coast Park represented 200 residential units in 2006. The first land sales for Town Center were recorded in June 2005 and the first land sales at Palm Coast Park were recorded in August 2006. In 2006, revenue of $6.8 million ($11.0 million in 2005) was deferred and will be recognized on a percentage-of-completion basis as development obligations are completed.</w:t>
      </w:r>
    </w:p>
    <w:p>
      <w:pPr>
        <w:spacing w:after="0" w:line="172"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up $0.9 million, or 7 percent, from 2005 reflecting a $0.2 million increase in the cost of real estate sold ($7.4 million in 2006; $7.2 million in 2005), and a $0.2 million increase in selling expenses.</w:t>
      </w:r>
    </w:p>
    <w:p>
      <w:pPr>
        <w:spacing w:after="0" w:line="162"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COMPARISON OF THE NINE MONTHS ENDED SEPTEMBER 30, 2006 AND 2005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were down $0.4 million, or 14 percent, from 2005, reflecting lower general and administrative expenses in 2006.</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INTEREST EXPENSE was up $1.0 million, or 48 percent, from 2005, primarily due to interest on additional taxes owed on the gain on the sale of our Florida Water assets.</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$9.0 million more income in 2006 due to a $3.6 million increase in earnings on cash and short-term investments, the absence of $5.1 million of impairments related to two privately-held emerging technology impairments recorded in 2005 and the absence of a $1.0 million charge recognized in 2005 for the probable payment under our guarantee of Northwest Airlines debt. In 2006, other income (expense) also reflected a $0.6 million call premium related to the early redemption of industrial development refunding revenue bonds and a $0.4 million increase in equity losses related to emerging technology investments.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nine months ended September 30, 2006, the effective rate for income taxes was 36.2 percent (8.7 percent benefit for the nine months ended September 30, 2005). The increase in the effective rate compared to last year was primarily due to the emerging technology impairment and the Kendall County capital loss recorded in April 2005. The current benefit for these items was limited to the federal benefit as the state net capital loss carryforwards from 2005 were entirely reserved. The effective rate of 36.2 percent for the nine months ended September 30, 2006, was less than the statutory rate primarily because of investment tax credits, deductions for Medicare health subsidies, depletion and finalization of taxes related to the spin-off of ADESA.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FINANCIAL MEASURES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prepare financial statements in accordance with GAAP. Along with this information, we disclose and discuss certain non-GAAP financial information in our quarterly earnings releases, on investor conference calls and during investor conferences and related events. Management believes that non-GAAP financial data supplements our GAAP financial statements by providing investors with additional information which enhances the investors' overall understanding of our financial performance and the comparability of our operating results from period to period. The presentation of this additional information is not meant to be considered in isolation or as a substitute for our results of operations prepared and presented in accordance with GAAP.</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earlier mentioned, our financial results for 2005 were significantly impacted by a $50.4 million after tax, or $1.84 per share, charge due to the assignment of the Kendall County power purchase agreement to Constellation Energy Commodities. (See Note 6.)</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Since the Kendall County transaction significantly impacted the financial results from continuing operations for the nine months ended September 30, 2005, we believe that, for comparative purposes and a more accurate reflection of our ongoing operations, it is useful to present diluted earnings per share from continuing operations for each applicable period excluding the impact of this transaction. The table below reconciles actual reported diluted earnings per share from continuing operations to the adjusted results that exclude the Kendall County transaction in the respective period.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300" w:type="dxa"/>
        <w:tblCellMar>
          <w:top w:w="0" w:type="dxa"/>
          <w:left w:w="0" w:type="dxa"/>
          <w:bottom w:w="0" w:type="dxa"/>
          <w:right w:w="0" w:type="dxa"/>
        </w:tblCellMar>
      </w:tblPr>
      <w:tr>
        <w:trPr>
          <w:trHeight w:val="162"/>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ENDED</w:t>
            </w:r>
          </w:p>
        </w:tc>
      </w:tr>
      <w:tr>
        <w:trPr>
          <w:trHeight w:val="166"/>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2006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 - As Reported</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0"/>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Add:   Kendall County Charge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spacing w:after="0"/>
        <w:tabs>
          <w:tab w:leader="none" w:pos="6200" w:val="left"/>
          <w:tab w:leader="none" w:pos="7400" w:val="left"/>
        </w:tabs>
        <w:rPr>
          <w:sz w:val="20"/>
          <w:szCs w:val="20"/>
          <w:color w:val="auto"/>
        </w:rPr>
      </w:pPr>
      <w:r>
        <w:rPr>
          <w:rFonts w:ascii="Courier New" w:cs="Courier New" w:eastAsia="Courier New" w:hAnsi="Courier New"/>
          <w:sz w:val="14"/>
          <w:szCs w:val="14"/>
          <w:color w:val="auto"/>
        </w:rPr>
        <w:t>Continuing Operations - As Adjusted</w:t>
      </w:r>
      <w:r>
        <w:rPr>
          <w:sz w:val="20"/>
          <w:szCs w:val="20"/>
          <w:color w:val="auto"/>
        </w:rPr>
        <w:tab/>
      </w:r>
      <w:r>
        <w:rPr>
          <w:rFonts w:ascii="Courier New" w:cs="Courier New" w:eastAsia="Courier New" w:hAnsi="Courier New"/>
          <w:sz w:val="14"/>
          <w:szCs w:val="14"/>
          <w:color w:val="auto"/>
        </w:rPr>
        <w:t>$1.95</w:t>
      </w:r>
      <w:r>
        <w:rPr>
          <w:sz w:val="20"/>
          <w:szCs w:val="20"/>
          <w:color w:val="auto"/>
        </w:rPr>
        <w:tab/>
      </w:r>
      <w:r>
        <w:rPr>
          <w:rFonts w:ascii="Courier New" w:cs="Courier New" w:eastAsia="Courier New" w:hAnsi="Courier New"/>
          <w:sz w:val="14"/>
          <w:szCs w:val="14"/>
          <w:color w:val="auto"/>
        </w:rPr>
        <w:t>$ 1.60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ALLETE Third Quarter 2006 Form 10-Q</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2">
            <w:col w:w="6000" w:space="720"/>
            <w:col w:w="3519"/>
          </w:cols>
          <w:pgMar w:left="220" w:top="782"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valuation of investments and provisions for environmental remediation. These policies are reviewed with the Audit Committee of our Board of Directors on a regular basis and summarized in our 2005 Form 10-K.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EARNINGS GUIDANCE. In February 2006, we projected ALLETE's earnings per share from continuing operations to grow by 15 percent to 20 percent in 2006 as outlined in our 2005 Form 10-K. We now expect ALLETE's 2006 earnings to be near the upper end of our earnings guidance range. The growth is expected to come from continued strong electric sales, increased earnings from real estate and our investment in ATC. It also reflects the absence of operating losses from Kendall County and impairments related to our emerging technology investments which impacted the Company's financial results in 2005.</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ENERGY. Over the next several years, we believe electric utilities will be facing the unfolding impacts of three major developments that occurred in 2005--changes in regional transmission operation, the development of rulemaking on the enactment of stricter environmental regulations and federal legislation impacting the structure and organization of the electric utility industry. We believe our energy businesses are well positioned to successfully deal with these issues and to compete successfully. Our access to and ownership of low-cost power are our greatest strengths. We anticipate that we will have ready access to sufficient capital for general business purposes.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RESOURCE PLAN. In 2006, the MPUC approved our Resource Plan, which detailed our retail energy demand projections and our energy sourcing options to meet projected demand. We project a load growth of approximately 150 MW by 2010, with another 200 MW of growth anticipated by 2015. One of the key components of the Resource Plan was the redirection of our Taconite Harbor generating facility from nonregulated energy operations to regulated utility operations effective January 1, 2006. The Taconite Harbor generation will be supplemented with a 50-MW long-term power purchase agreement with Manitoba Hydro which extends from 2009 to 2015. This agreement was executed in June 2006 and will be filed for approval with the MPUC. Expansion of our renewable generating assets to meet Minnesota's Renewable Energy Objective was also approved by the MPUC. The Renewable Energy Objective seeks a 10 percent supply of qualified renewable energy resources for each Minnesota utility by 2015. In April 2006, construction began on a 50-MW wind facility in North Dakota and is expected to be completed by the end of 2006. We will purchase the output from this wind facility under a 25-year power purchase agreement with an affiliate of FPL Energy, LLC. We anticipate that retail demand by customers in our service territory will increase at an average annual rate of 1.5 percent to 2019.</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AREA AND BOSWELL 3 EMISSION REDUCTION PLANS. In May 2006, the MPUC approved our filing for cost recovery of planned expenditures to reduce emissions to meet pending federal requirements at Taconite Harbor and Laskin under the AREA plan. The AREA plan approval allows Minnesota Power to recover Minnesota jurisdictional costs for SO2, NOx and mercury emission reductions made at these facilities without a rate proceeding. Minnesota cost recovery will include return on investment, depreciation, and incremental operations and maintenance expenses. Minnesota Power plans to complete installation of new equipment at the first of two Laskin units by the end of November 2006, with the first of three Taconite Harbor unit installations anticipated to be completed by mid-2007. Work on all units is anticipated to be completed by the end of 2008. Cost recovery filings are required to be made 90 days prior to the anticipated in-service date for the equipment at each unit, with rate recovery beginning the month following the in-service date.</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May 2006, we announced plans to make emission reduction investments at our Boswell Unit 3 generating unit. Plans include reductions of particulate, SO2, NOx and mercury emissions to meet pending federal and state requirements. The estimated cost for these reductions is $200 million, which the Company expects to spend from 2007 through 2009. On October 27, 2006, we submitted a filing to the MPCA for approval of the Boswell Unit 3 emission reduction plan. A filing with the MPUC for approval</w:t>
      </w:r>
    </w:p>
    <w:p>
      <w:pPr>
        <w:spacing w:after="0" w:line="16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of Minnesota jurisdictional related expenditures on Boswell Unit 3 will follow in approximately 60 days. MPUC approval would allow cost recovery on these investments without a rate proceeding. Filing approval would authorize a cash return on construction work in progress during the construction phase and allow recovery for a return on investment, depreciation and incremental operations and maintenance expenses once placed into service in late 2009.</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CONTRACTS. Electric power is a key component in the production of taconite and paper, and these industries represent more than half of Minnesota Power's regulated utility electric sales. In March and April 2006, the MPUC approved new all-requirements agreements with Stora Enso Oyj's Duluth mills through August 31, 2013, and UPM-Kymmene Corporation's Blandin Paper mill in Grand Rapids through April 30, 2010. Three other long-term agreements were approved by the MPUC in 2005, extending contracts for an additional four to eight years. The extension of our electric supply contracts is an important achievement for our large power customers and Minnesota Power because it provides planning certainty for both our customers and us.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MISO AND FUEL CLAUSE. In February 2006, the MPUC issued an order that granted rehearing of the MISO Day 2 docket and suspended the refund obligation. The Company worked with other Minnesota utilities, the DOC and other stakeholders to prepare a joint recommendation required by the MPUC in its February 2006 order, of which costs should be recovered on a current basis through the fuel clause and which costs are more appropriately deferred for potential recovery through base rates. The joint report and recommendations were filed with the MPUC in June 2006. A technical conference on the report is scheduled at the MPUC for October 31, 2006, with a hearing currently scheduled for November 9, 2006. (See Note 13.)</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EXCELSIOR ENERGY INC. (Excelsior) has proposed to construct two 600 MW (net) coal-gasification generation units in northern Minnesota. The project is in the early development stages but may be an option for our long-term forecasted energy and capacity needs. Excelsior says the facility could be operational in 2011, but it needs to obtain the necessary permits and financing. In 2003, the Minnesota legislature enacted several provisions that provide Excelsior with special considerations, including requiring utilities within the state to "consider" Excelsior before pursuing new fossil-fuel-fired resource additions within Minnesota. In December 2005, Excelsior filed a petition with the MPUC seeking approval of an unexecuted power purchase agreement with Xcel Energy Inc. In January 2006, Minnesota Power filed comments with the MPUC in Excelsior's proposed power purchase agreement proceeding, focusing on the importance to the state of maintaining a range of base load energy options, including multiple fuel types and generating technologies. In April 2006, the MPUC referred Excelsior's petition to an administrative law proceeding to further develop the record in the case for subsequent MPUC deliberations. Minnesota Power continues to be a participant in these proceedings, focusing its comments on energy policy and infrastructure impacts.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May 2006, the PSCW reviewed and approved the request that allows us to invest $60 million in ATC. As of September 30, 2006, our equity investment in ATC was $35.2 million including reinvested earnings less dividends, which equated to approximately a 5 percent ownership interest. By the end of 2006, we anticipate having approximately $60 million invested in ATC.</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SWL&amp;P RATE CASE. In May 2006, SWL&amp;P filed an application with the PSCW for authority to increase retail utility rates an average of 5.2 percent and requested an 11.7 percent return on common equity. Cost of service studies and rate designs for all retail customer classes were filed in June 2006. The PSCW has scheduled a public hearing for November 2006. The Company anticipates an order before year end and that new rates will become effective in January 2007.</w:t>
      </w:r>
    </w:p>
    <w:p>
      <w:pPr>
        <w:spacing w:after="0" w:line="164"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ectPr>
          <w:pgSz w:w="11900" w:h="16838" w:orient="portrait"/>
          <w:cols w:equalWidth="0" w:num="1">
            <w:col w:w="10239"/>
          </w:cols>
          <w:pgMar w:left="220" w:top="78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REAL ESTATE. Our real estate business, ALLETE Properties, is well positioned to continue year over year earnings growth. We have a diversified mix of property under contract and available for sale--residential, commercial and industrial. Rapid residential growth over the past few years in our markets has created a steady demand for our commercial properties. As of September 30, 2006, we had $114.5 million of pending contracts scheduled to close over the next several years. Once our Ormond Crossings development project approval process is complete, the amount of entitled property available for sale will increase. We believe the long-term growth indicators for Florida real estate remain strong.</w:t>
      </w:r>
    </w:p>
    <w:p>
      <w:pPr>
        <w:spacing w:after="0" w:line="164"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Progress continues on our three major planned development projects in Florida--Town Center, which will be a new downtown for Palm Coast; Palm Coast Park, which is located in northwest Palm Coast; and Ormond Crossings, which is located in Ormond Beach along Interstate 95.</w:t>
      </w:r>
    </w:p>
    <w:p>
      <w:pPr>
        <w:spacing w:after="0" w:line="162"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TOWN CENTER. We began selling property from our Town Center development project in northeast Florida in 2005. Developers who have purchased land from us have started construction activities. Since land is being sold before completion of the project infrastructure, revenue and cost of real estate sold are recorded using a percentage-of-completion method. Pending land sales under contract for properties at Town Center totaled $43.8 million at September 30, 2006.</w:t>
      </w:r>
    </w:p>
    <w:p>
      <w:pPr>
        <w:spacing w:after="0" w:line="164"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PALM COAST PARK. In May 2006, Palm Coast Park District issued $31.8 million of tax-exempt, special assessment bonds, the majority of which will be used to fund environmental and traffic mitigation, and the construction of infrastructure improvements at Palm Coast Park. We began selling property at Palm Coast Park in August 2006. At September 30, 2006, pending land sales under contract for properties at Palm Coast Park totaled $62.8 million. We have the opportunity to receive participation revenue as part of these sales contracts.</w:t>
      </w:r>
    </w:p>
    <w:p>
      <w:pPr>
        <w:spacing w:after="0" w:line="164"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ORMOND CROSSINGS. We anticipate that the Development of Regional Impact approval process will be concluded in late 2006, at which time we would receive a Development Order from the City of Ormond Beach. Engineering, design and permitting will continue through 2007. It is not anticipated that any sales will be made at Ormond Crossings until 2008.</w:t>
      </w:r>
    </w:p>
    <w:p>
      <w:pPr>
        <w:spacing w:after="0" w:line="165"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As of September 30, 2006, we had $9.5 million of deferred profit on sales of real estate, before taxes and minority interest, on our balance sheet. Most of the deferred profit relates to Town Center.</w:t>
      </w:r>
    </w:p>
    <w:p>
      <w:pPr>
        <w:spacing w:after="0" w:line="163"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ALLETE Properties provides seller financing, and outstanding finance receivables were $16.5 million at September 30, 2006, with maturities ranging up to seven years. Outstanding finance receivables accrue interest at market-based rates. These finance receivables are collateralized by the financed properties.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80"/>
        <w:spacing w:after="0" w:line="250" w:lineRule="auto"/>
        <w:rPr>
          <w:sz w:val="20"/>
          <w:szCs w:val="20"/>
          <w:color w:val="auto"/>
        </w:rPr>
      </w:pPr>
      <w:r>
        <w:rPr>
          <w:rFonts w:ascii="Courier New" w:cs="Courier New" w:eastAsia="Courier New" w:hAnsi="Courier New"/>
          <w:sz w:val="14"/>
          <w:szCs w:val="14"/>
          <w:color w:val="auto"/>
        </w:rPr>
        <w:t>SUMMARY OF DEVELOPMENT PROJECTS INVENTORY RESIDENTIAL COMMERCIAL FOR THE NINE MONTHS ENDED SEPTEMBER 30, 2006 OWNERSHIP UNITS SQ. FT.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at Palm Coast</w:t>
            </w:r>
          </w:p>
        </w:tc>
        <w:tc>
          <w:tcPr>
            <w:tcW w:w="440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80%</w:t>
            </w:r>
          </w:p>
        </w:tc>
        <w:tc>
          <w:tcPr>
            <w:tcW w:w="1500" w:type="dxa"/>
            <w:vAlign w:val="bottom"/>
          </w:tcPr>
          <w:p>
            <w:pPr>
              <w:spacing w:after="0"/>
              <w:rPr>
                <w:sz w:val="14"/>
                <w:szCs w:val="14"/>
                <w:color w:val="auto"/>
              </w:rPr>
            </w:pPr>
          </w:p>
        </w:tc>
      </w:tr>
      <w:tr>
        <w:trPr>
          <w:trHeight w:val="166"/>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4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2,833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2,927,700</w:t>
            </w:r>
          </w:p>
        </w:tc>
      </w:tr>
      <w:tr>
        <w:trPr>
          <w:trHeight w:val="166"/>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Sold</w:t>
            </w:r>
          </w:p>
        </w:tc>
        <w:tc>
          <w:tcPr>
            <w:tcW w:w="4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(542)</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(364,995)</w:t>
            </w: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Change</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in Estimate</w:t>
            </w:r>
          </w:p>
        </w:tc>
        <w:tc>
          <w:tcPr>
            <w:tcW w:w="4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247</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(23,130)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00"/>
        <w:spacing w:after="0"/>
        <w:tabs>
          <w:tab w:leader="none" w:pos="8680" w:val="left"/>
        </w:tabs>
        <w:rPr>
          <w:sz w:val="20"/>
          <w:szCs w:val="20"/>
          <w:color w:val="auto"/>
        </w:rPr>
      </w:pPr>
      <w:r>
        <w:rPr>
          <w:rFonts w:ascii="Courier New" w:cs="Courier New" w:eastAsia="Courier New" w:hAnsi="Courier New"/>
          <w:sz w:val="14"/>
          <w:szCs w:val="14"/>
          <w:color w:val="auto"/>
        </w:rPr>
        <w:t>2,538</w:t>
      </w:r>
      <w:r>
        <w:rPr>
          <w:sz w:val="20"/>
          <w:szCs w:val="20"/>
          <w:color w:val="auto"/>
        </w:rPr>
        <w:tab/>
      </w:r>
      <w:r>
        <w:rPr>
          <w:rFonts w:ascii="Courier New" w:cs="Courier New" w:eastAsia="Courier New" w:hAnsi="Courier New"/>
          <w:sz w:val="14"/>
          <w:szCs w:val="14"/>
          <w:color w:val="auto"/>
        </w:rPr>
        <w:t>2,539,575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444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100%</w:t>
            </w:r>
          </w:p>
        </w:tc>
        <w:tc>
          <w:tcPr>
            <w:tcW w:w="1420" w:type="dxa"/>
            <w:vAlign w:val="bottom"/>
          </w:tcPr>
          <w:p>
            <w:pPr>
              <w:spacing w:after="0"/>
              <w:rPr>
                <w:sz w:val="14"/>
                <w:szCs w:val="14"/>
                <w:color w:val="auto"/>
              </w:rPr>
            </w:pP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4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44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4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4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Ormond Crossings</w:t>
            </w:r>
          </w:p>
        </w:tc>
        <w:tc>
          <w:tcPr>
            <w:tcW w:w="478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100%</w:t>
            </w:r>
          </w:p>
        </w:tc>
        <w:tc>
          <w:tcPr>
            <w:tcW w:w="146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00"/>
        <w:spacing w:after="0"/>
        <w:tabs>
          <w:tab w:leader="none" w:pos="8680" w:val="left"/>
        </w:tabs>
        <w:rPr>
          <w:sz w:val="20"/>
          <w:szCs w:val="20"/>
          <w:color w:val="auto"/>
        </w:rPr>
      </w:pPr>
      <w:r>
        <w:rPr>
          <w:rFonts w:ascii="Courier New" w:cs="Courier New" w:eastAsia="Courier New" w:hAnsi="Courier New"/>
          <w:sz w:val="14"/>
          <w:szCs w:val="14"/>
          <w:color w:val="auto"/>
        </w:rPr>
        <w:t>5,938</w:t>
      </w:r>
      <w:r>
        <w:rPr>
          <w:sz w:val="20"/>
          <w:szCs w:val="20"/>
          <w:color w:val="auto"/>
        </w:rPr>
        <w:tab/>
      </w:r>
      <w:r>
        <w:rPr>
          <w:rFonts w:ascii="Courier New" w:cs="Courier New" w:eastAsia="Courier New" w:hAnsi="Courier New"/>
          <w:sz w:val="14"/>
          <w:szCs w:val="14"/>
          <w:color w:val="auto"/>
        </w:rPr>
        <w:t>5,739,575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1360" w:val="left"/>
          <w:tab w:leader="none" w:pos="2220" w:val="left"/>
        </w:tabs>
        <w:rPr>
          <w:sz w:val="20"/>
          <w:szCs w:val="20"/>
          <w:color w:val="auto"/>
        </w:rPr>
      </w:pPr>
      <w:r>
        <w:rPr>
          <w:rFonts w:ascii="Courier New" w:cs="Courier New" w:eastAsia="Courier New" w:hAnsi="Courier New"/>
          <w:sz w:val="14"/>
          <w:szCs w:val="14"/>
          <w:color w:val="auto"/>
        </w:rPr>
        <w:t>Estimated and</w:t>
        <w:tab/>
        <w:t>includes</w:t>
        <w:tab/>
        <w:t>minority interest. The actual property allocation at full build-out may be different than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these estimates.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Includes industrial, office and retail square footage.</w:t>
      </w:r>
    </w:p>
    <w:p>
      <w:pPr>
        <w:spacing w:after="0" w:line="7" w:lineRule="exact"/>
        <w:rPr>
          <w:sz w:val="20"/>
          <w:szCs w:val="20"/>
          <w:color w:val="auto"/>
        </w:rPr>
      </w:pPr>
    </w:p>
    <w:p>
      <w:pPr>
        <w:ind w:left="100"/>
        <w:spacing w:after="0"/>
        <w:tabs>
          <w:tab w:leader="none" w:pos="1540" w:val="left"/>
          <w:tab w:leader="none" w:pos="1880" w:val="left"/>
          <w:tab w:leader="none" w:pos="2740" w:val="left"/>
          <w:tab w:leader="none" w:pos="3440" w:val="left"/>
          <w:tab w:leader="none" w:pos="4560" w:val="left"/>
          <w:tab w:leader="none" w:pos="4980" w:val="left"/>
          <w:tab w:leader="none" w:pos="7740" w:val="left"/>
          <w:tab w:leader="none" w:pos="8080" w:val="left"/>
          <w:tab w:leader="none" w:pos="9200" w:val="left"/>
        </w:tabs>
        <w:rPr>
          <w:sz w:val="20"/>
          <w:szCs w:val="20"/>
          <w:color w:val="auto"/>
        </w:rPr>
      </w:pPr>
      <w:r>
        <w:rPr>
          <w:rFonts w:ascii="Courier New" w:cs="Courier New" w:eastAsia="Courier New" w:hAnsi="Courier New"/>
          <w:sz w:val="14"/>
          <w:szCs w:val="14"/>
          <w:color w:val="auto"/>
        </w:rPr>
        <w:t>The Development</w:t>
        <w:tab/>
        <w:t>of</w:t>
        <w:tab/>
        <w:t>Regional</w:t>
        <w:tab/>
        <w:t>Impact</w:t>
        <w:tab/>
        <w:t>Application</w:t>
        <w:tab/>
        <w:t>for</w:t>
        <w:tab/>
        <w:t>Development Approval submitted</w:t>
        <w:tab/>
        <w:t>in</w:t>
        <w:tab/>
        <w:t>August 2005</w:t>
        <w:tab/>
        <w:t>proposed</w:t>
      </w:r>
    </w:p>
    <w:p>
      <w:pPr>
        <w:spacing w:after="0" w:line="7" w:lineRule="exact"/>
        <w:rPr>
          <w:sz w:val="20"/>
          <w:szCs w:val="20"/>
          <w:color w:val="auto"/>
        </w:rPr>
      </w:pPr>
    </w:p>
    <w:p>
      <w:pPr>
        <w:ind w:left="440"/>
        <w:spacing w:after="0"/>
        <w:tabs>
          <w:tab w:leader="none" w:pos="1020" w:val="left"/>
          <w:tab w:leader="none" w:pos="6100" w:val="left"/>
          <w:tab w:leader="none" w:pos="7140" w:val="left"/>
        </w:tabs>
        <w:rPr>
          <w:sz w:val="20"/>
          <w:szCs w:val="20"/>
          <w:color w:val="auto"/>
        </w:rPr>
      </w:pPr>
      <w:r>
        <w:rPr>
          <w:rFonts w:ascii="Courier New" w:cs="Courier New" w:eastAsia="Courier New" w:hAnsi="Courier New"/>
          <w:sz w:val="14"/>
          <w:szCs w:val="14"/>
          <w:color w:val="auto"/>
        </w:rPr>
        <w:t>4,400</w:t>
        <w:tab/>
        <w:t>residential units and 5 million square feet of commercial</w:t>
        <w:tab/>
        <w:t>space, and</w:t>
        <w:tab/>
        <w:t>is subject to approval by regulating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governmental entities.</w:t>
      </w:r>
    </w:p>
    <w:p>
      <w:pPr>
        <w:sectPr>
          <w:pgSz w:w="11900" w:h="16838" w:orient="portrait"/>
          <w:cols w:equalWidth="0" w:num="1">
            <w:col w:w="10440"/>
          </w:cols>
          <w:pgMar w:left="220" w:top="782" w:right="1239" w:bottom="922"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Third Quarter 2006 Form 10-Q</w:t>
      </w:r>
    </w:p>
    <w:p>
      <w:pPr>
        <w:sectPr>
          <w:pgSz w:w="11900" w:h="16838" w:orient="portrait"/>
          <w:cols w:equalWidth="0" w:num="2">
            <w:col w:w="1100" w:space="720"/>
            <w:col w:w="8620"/>
          </w:cols>
          <w:pgMar w:left="220" w:top="782" w:right="1239" w:bottom="922"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OUTLOOK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NINE MONTHS ENDED</w:t>
      </w:r>
    </w:p>
    <w:p>
      <w:pPr>
        <w:spacing w:after="0" w:line="7" w:lineRule="exact"/>
        <w:rPr>
          <w:sz w:val="20"/>
          <w:szCs w:val="20"/>
          <w:color w:val="auto"/>
        </w:rPr>
      </w:pPr>
    </w:p>
    <w:p>
      <w:pPr>
        <w:spacing w:after="0"/>
        <w:tabs>
          <w:tab w:leader="none" w:pos="3260" w:val="left"/>
          <w:tab w:leader="none" w:pos="4460" w:val="left"/>
          <w:tab w:leader="none" w:pos="5320" w:val="left"/>
          <w:tab w:leader="none" w:pos="6440" w:val="left"/>
          <w:tab w:leader="none" w:pos="7660" w:val="left"/>
          <w:tab w:leader="none" w:pos="8780" w:val="left"/>
        </w:tabs>
        <w:rPr>
          <w:sz w:val="20"/>
          <w:szCs w:val="20"/>
          <w:color w:val="auto"/>
        </w:rPr>
      </w:pPr>
      <w:r>
        <w:rPr>
          <w:rFonts w:ascii="Courier New" w:cs="Courier New" w:eastAsia="Courier New" w:hAnsi="Courier New"/>
          <w:sz w:val="14"/>
          <w:szCs w:val="14"/>
          <w:color w:val="auto"/>
        </w:rPr>
        <w:t>SEPTEMBER 30, 2006</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ACRES</w:t>
            </w:r>
          </w:p>
        </w:tc>
        <w:tc>
          <w:tcPr>
            <w:tcW w:w="2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Palm Coast Holdings</w:t>
            </w:r>
          </w:p>
        </w:tc>
        <w:tc>
          <w:tcPr>
            <w:tcW w:w="24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80%</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2,566</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1,692</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Contributed Land</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(97)</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580"/>
        <w:spacing w:after="0"/>
        <w:tabs>
          <w:tab w:leader="none" w:pos="5580" w:val="left"/>
          <w:tab w:leader="none" w:pos="6880" w:val="left"/>
          <w:tab w:leader="none" w:pos="8080" w:val="left"/>
          <w:tab w:leader="none" w:pos="9200" w:val="left"/>
        </w:tabs>
        <w:rPr>
          <w:sz w:val="20"/>
          <w:szCs w:val="20"/>
          <w:color w:val="auto"/>
        </w:rPr>
      </w:pPr>
      <w:r>
        <w:rPr>
          <w:rFonts w:ascii="Courier New" w:cs="Courier New" w:eastAsia="Courier New" w:hAnsi="Courier New"/>
          <w:sz w:val="14"/>
          <w:szCs w:val="14"/>
          <w:color w:val="auto"/>
        </w:rPr>
        <w:t>2,157</w:t>
      </w:r>
      <w:r>
        <w:rPr>
          <w:sz w:val="20"/>
          <w:szCs w:val="20"/>
          <w:color w:val="auto"/>
        </w:rPr>
        <w:tab/>
      </w:r>
      <w:r>
        <w:rPr>
          <w:rFonts w:ascii="Courier New" w:cs="Courier New" w:eastAsia="Courier New" w:hAnsi="Courier New"/>
          <w:sz w:val="14"/>
          <w:szCs w:val="14"/>
          <w:color w:val="auto"/>
        </w:rPr>
        <w:t>1,403</w:t>
      </w:r>
      <w:r>
        <w:rPr>
          <w:sz w:val="20"/>
          <w:szCs w:val="20"/>
          <w:color w:val="auto"/>
        </w:rPr>
        <w:tab/>
      </w:r>
      <w:r>
        <w:rPr>
          <w:rFonts w:ascii="Courier New" w:cs="Courier New" w:eastAsia="Courier New" w:hAnsi="Courier New"/>
          <w:sz w:val="14"/>
          <w:szCs w:val="14"/>
          <w:color w:val="auto"/>
        </w:rPr>
        <w:t>346</w:t>
      </w:r>
      <w:r>
        <w:rPr>
          <w:sz w:val="20"/>
          <w:szCs w:val="20"/>
          <w:color w:val="auto"/>
        </w:rPr>
        <w:tab/>
      </w:r>
      <w:r>
        <w:rPr>
          <w:rFonts w:ascii="Courier New" w:cs="Courier New" w:eastAsia="Courier New" w:hAnsi="Courier New"/>
          <w:sz w:val="14"/>
          <w:szCs w:val="14"/>
          <w:color w:val="auto"/>
        </w:rPr>
        <w:t>259</w:t>
      </w:r>
      <w:r>
        <w:rPr>
          <w:sz w:val="20"/>
          <w:szCs w:val="20"/>
          <w:color w:val="auto"/>
        </w:rPr>
        <w:tab/>
      </w:r>
      <w:r>
        <w:rPr>
          <w:rFonts w:ascii="Courier New" w:cs="Courier New" w:eastAsia="Courier New" w:hAnsi="Courier New"/>
          <w:sz w:val="14"/>
          <w:szCs w:val="14"/>
          <w:color w:val="auto"/>
        </w:rPr>
        <w:t>149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5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5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613</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740"/>
        <w:spacing w:after="0"/>
        <w:tabs>
          <w:tab w:leader="none" w:pos="5940" w:val="left"/>
          <w:tab w:leader="none" w:pos="6880" w:val="left"/>
          <w:tab w:leader="none" w:pos="8180" w:val="left"/>
          <w:tab w:leader="none" w:pos="93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7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18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21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944</w:t>
            </w: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944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1,403</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w:t>
            </w:r>
          </w:p>
        </w:tc>
        <w:tc>
          <w:tcPr>
            <w:tcW w:w="18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1,102</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520" w:right="180" w:hanging="345"/>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 The actual property allocation at full build-out may be different than these estimates.</w:t>
      </w:r>
    </w:p>
    <w:p>
      <w:pPr>
        <w:spacing w:after="0" w:line="160" w:lineRule="exact"/>
        <w:rPr>
          <w:rFonts w:ascii="Courier New" w:cs="Courier New" w:eastAsia="Courier New" w:hAnsi="Courier New"/>
          <w:sz w:val="14"/>
          <w:szCs w:val="14"/>
          <w:color w:val="auto"/>
        </w:rPr>
      </w:pPr>
    </w:p>
    <w:p>
      <w:pPr>
        <w:ind w:left="520" w:right="52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land located in Ormond Beach, Florida, and other land located in Palm Coast, Florida not included in development projects.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pacing w:after="0" w:line="162"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and short-term investments of $173.0 million, and a debt to total capital ratio of 37 percent at September 30, 2006.</w:t>
      </w:r>
    </w:p>
    <w:p>
      <w:pPr>
        <w:spacing w:after="0" w:line="16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OPERATING ACTIVITIES. Cash flow from operating activities was $90.5 million for the nine months ended September 30, 2006 ($20.7 million for the nine months ended September 30, 2005). Cash from operating activities was higher in 2006, primarily due to the $77.9 million Kendall County Charge in 2005 and related $24.3 million deferred federal tax refund received in 2006. Cash used for inventories was $6.2 million higher in 2006 reflecting more coal purchases in anticipation of maintenance on some coal handling equipment which was completed at the end of September. Cash used for discontinued operations was higher in 2006 due to payment of approximately $13 million of 2005 accrued liabilities.</w:t>
      </w:r>
    </w:p>
    <w:p>
      <w:pPr>
        <w:spacing w:after="0" w:line="164"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INVESTING ACTIVITIES. Cash flow for investing activities was $101.6 million for the nine months ended September 30, 2006 (cash flow from investing activities was $34.0 million for the nine months ended September 30, 2005). Cash used for investing activities was higher in 2006 than 2005, primarily due to activities within our short-term investments. In 2006, net purchases of $4.7 million were used for short-term investments, while 2005 included $82.5 million of net proceeds that were received from the sale of short-term investments. Gross proceeds from the sale of available-for-sale securities were $483.9 million in 2006 ($323.5 million in 2005) and purchases were $488.6 million ($241.0 million in 2005). Cash used for investing activities in 2006 reflected $34.3 million invested in ATC and a $16.2 million increase in additions to property, plant and equipment which vary from year to year.</w:t>
      </w:r>
    </w:p>
    <w:p>
      <w:pPr>
        <w:spacing w:after="0" w:line="163"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ectPr>
          <w:pgSz w:w="11900" w:h="16838" w:orient="portrait"/>
          <w:cols w:equalWidth="0" w:num="1">
            <w:col w:w="10440"/>
          </w:cols>
          <w:pgMar w:left="220" w:top="782" w:right="123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FINANCING ACTIVITIES. Cash flow for financing activities was $27.1 million for the nine months ended September 30, 2006 ($9.4 million for the nine months ended September 30, 2005). Cash used for financing activities increased in 2006 due to an additional $7.7 million of dividends paid because of more shares outstanding and an increase in the dividend rate. Cash from financing activities was $4.3 million lower in 2006, primarily due to fewer shares issued under our long-term incentive compensation plan. In 2006, we refinanced $77.8 million of long-term debt at lower rates.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We have 0.6 million original issue shares of our common stock available for issuance through INVEST DIRECT, our direct stock purchase and dividend reinvestment plan. We have bank lines of credit aggregating $170.0 million, the majority of which expire in January 2011. In January 2006, we renewed, increased and extended a committed, syndicated, unsecured revolving credit facility with LaSalle Bank National Association, as Agent, for $150 million (Line). The Line matures on January 11, 2011. At our request and subject to certain conditions, the Line may be increased to $200 million and extended for two additional 12-month periods. We may prepay amounts outstanding under the Line in whole or in part at our discretion without premium or penalty. Additionally, we may irrevocably terminate or reduce the size of the Line prior to maturity without premium or penalty. The Line may be used for general corporate purposes and working capital, and to provide liquidity in support of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7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May 2006, Palm Coast Park District issued $31.8 million of tax-exempt, 5.7% Special Assessment Bonds, Series 2006, due May 1, 2037. The bonds were issued to fund a portion of the Palm Coast Park development project in Florida. Bond proceeds of $26.3 million will be used for environmental and traffic mitigation, and the construction of infrastructure improvements, including utility extensions, roadways, parks, drainage, recreational facilities, landscaping and a multi-purpose trail system. The remaining funds will be used for capitalized interest, a debt service reserve fund and the costs of issuance.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included in the annual property tax bills of landowners beginning in November 2007. To the extent that we still own land at the time of the assessment, in accordance with EITF 91-10, we will recognize the cost of our portion of these assessments, based upon our ownership of benefited property. At September 30, 2006, we owned 97 percent of the assessable land in the Palm Coast Park District.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above-mentioned securities will be made only by means of a prospectus meeting the requirements of the Securities Act of 1933 and the rules and regulations thereunder.</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Proceeds were used to redeem $50 million in principal amount of First Mortgage Bonds, 7% Series due March 1, 2008.</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July 5, 2006, the Collier County Industrial Development Authority (Authority or Issuer) issued $27.8 million of Industrial Development Variable Rate Demand Refunding Revenue Bonds Series 2006 due 2025 (Refunding Bonds) on behalf of ALLETE. The interest rate on these bonds was 3.7% at September 30, 2006. Pursuant to a financing agreement between the Authority and ALLETE dated as of July 1, 2006, ALLETE is obligated to make payments to the Issuer sufficient to pay all principal and interest on the Refunding Bonds. ALLETE's obligations under the financing agreement are supported by a direct pay letter of credit. Proceeds from the Refunding Bonds and internally generated funds were used to redeem $29.1 million of outstanding Collier County Industrial Development Refunding Revenue Bonds 6.5% Series 1996 due 2025 on August 9, 2006. As a result of an early redemption premium, we recognized a $0.6 million pre-tax charge to other expense in the third quarter of 2006.</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September 2006, we accepted an offer from certain institutional buyers in the private placement market to purchase $60 million of ALLETE first mortgage bonds. When issued, on or about February 1, 2007, the bonds will carry an interest rate of 5.99% and will have a term of 20 years. We intend to use the proceeds from the bonds to retire $60 million in principal amount of First Mortgage Bonds, 7% Series due February 15, 2007.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Off-balance sheet arrangements are summarized in our 2005 Form 10-K, with additional disclosure discussed in Note 13 of this Form 10-Q.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nine months ended September 30, 2006, capital expenditures for continuing operations totaled $53.3 million ($37.1 million in 2005). Expenditures for the nine months ended September 30, 2006, included $52.5 million for Regulated Utility and $0.8 million for Nonregulated Energy Operations. Internally-generated funds were the source of funding for these expenditures.</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development expenditures are and will be funded with a revolving development loan and tax-exempt bonds issued by community development districts. The Town Center District issued $26.4 million of tax-exempt bonds in 2005. Approximately $21 million of the bond proceeds will be used for construction of infrastructure improvements at Town Center, with the remaining funds to be used for capitalized interest, a debt service reserve fund and costs of issuance. The Palm Coast Park District issued $31.8 million of tax-exempt bonds in May 2006. Bond proceeds of $26.3 million will be used for environmental and traffic mitigation, and the construction of infrastructure improvements at Palm Coast Park, with the remaining funds to be used for capitalized interest, a debt service reserve fund and costs of issuance. Company expenditures related to our real estate developments in Florida increase the carrying value of our land assets, which are classified as Investments on our consolidated balance sheet.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discussed in our Critical Accounting Policies section,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are unable to predict the outcome of the issues discussed in Note 13.</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1.</w:t>
      </w:r>
    </w:p>
    <w:p>
      <w:pPr>
        <w:spacing w:after="0" w:line="338"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ectPr>
          <w:pgSz w:w="11900" w:h="16838" w:orient="portrait"/>
          <w:cols w:equalWidth="0" w:num="1">
            <w:col w:w="10239"/>
          </w:cols>
          <w:pgMar w:left="220" w:top="782" w:right="1440" w:bottom="1440" w:gutter="0" w:footer="0" w:header="0"/>
        </w:sectPr>
      </w:pPr>
    </w:p>
    <w:bookmarkStart w:id="41" w:name="page42"/>
    <w:bookmarkEnd w:id="41"/>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AVAILABLE-FOR-SALE SECURITIES. Our available-for-sale securities portfolio consists of securities in a grantor trust established to fund certain employee benefits included in Investments, and various auction rate bonds and variable rate demand notes included in Short-Term Investments. Available-for-sale securities are recorded at fair value with unrealized gains and losses included in accumulated other comprehensive income (loss), net of tax. Unrealized losses that are other than temporary are recognized in earnings. Our short-term investments classified as available-for-sale securities are recorded at fair market value which equates to cost because the variable interest rates for these securities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 Our available-for-sale securities portfolio had a fair value of $145.5 million at September 30, 2006 ($139.5 million at December 31, 2005) and a total unrealized after-tax gain of $2.7 million at September 30, 2006 ($2.1 million at December 31, 2005).</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 As a result of our periodic assessments, we did not record any impairment of available-for-sale securities for the nine months ended September 30, 2006.</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investments in venture capital funds under the equity method and account for our direct investments in privately-held companies under the cost method based primarily on our ownership percentages. The total carrying value of our emerging technology portfolio was $9.1 million at September 30, 2006 ($9.2 million at December 31, 2005).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September 30, 2006, and December 31, 2005.</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6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782" w:right="1440" w:bottom="1440" w:gutter="0" w:footer="0" w:header="0"/>
        </w:sectPr>
      </w:pPr>
    </w:p>
    <w:bookmarkStart w:id="42" w:name="page43"/>
    <w:bookmarkEnd w:id="42"/>
    <w:p>
      <w:pPr>
        <w:spacing w:after="0"/>
        <w:tabs>
          <w:tab w:leader="none" w:pos="84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at market prices.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with formula pricing based on variable production cost of a combustion-turbine, natural gas unit.</w:t>
      </w:r>
    </w:p>
    <w:p>
      <w:pPr>
        <w:spacing w:after="0" w:line="33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28"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ectPr>
          <w:pgSz w:w="11900" w:h="16838" w:orient="portrait"/>
          <w:cols w:equalWidth="0" w:num="1">
            <w:col w:w="10239"/>
          </w:cols>
          <w:pgMar w:left="220" w:top="616" w:right="1440" w:bottom="1440" w:gutter="0" w:footer="0" w:header="0"/>
        </w:sectPr>
      </w:pPr>
    </w:p>
    <w:bookmarkStart w:id="43" w:name="page44"/>
    <w:bookmarkEnd w:id="43"/>
    <w:p>
      <w:pPr>
        <w:spacing w:after="0"/>
        <w:tabs>
          <w:tab w:leader="none" w:pos="9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13, and are incorporated by reference herein.</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1A.</w:t>
      </w:r>
      <w:r>
        <w:rPr>
          <w:sz w:val="20"/>
          <w:szCs w:val="20"/>
          <w:color w:val="auto"/>
        </w:rPr>
        <w:tab/>
      </w: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There have been no material changes from the risk factors disclosed under the heading "Risk Factors" in Part I, Item 1A of our 2005 Form 10-K and Part II, Item 1A of our Form 10-Q for the Quarter Ended March 31, 2006.</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Reference is made to our 2005 Form 10-K for background information on the following updates. Unless otherwise indicated, cited references are to our 2005 Form 10-K.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7 - Minimum Revenue and Demand Under Contract 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Form 10-Q for the Quarter Ended March 31, 2006, Page 32 - Eighth Paragraph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759"/>
        <w:spacing w:after="0" w:line="247" w:lineRule="auto"/>
        <w:rPr>
          <w:sz w:val="20"/>
          <w:szCs w:val="20"/>
          <w:color w:val="auto"/>
        </w:rPr>
      </w:pPr>
      <w:r>
        <w:rPr>
          <w:rFonts w:ascii="Courier New" w:cs="Courier New" w:eastAsia="Courier New" w:hAnsi="Courier New"/>
          <w:sz w:val="14"/>
          <w:szCs w:val="14"/>
          <w:color w:val="auto"/>
        </w:rPr>
        <w:t>MINIMUM REVENUE AND DEMAND UNDER CONTRACT MINIMUM MONTHLY AS OF OCTOBER 1, 2006 ANNUAL REVENUE MEGAWATTS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980" w:type="dxa"/>
            <w:vAlign w:val="bottom"/>
          </w:tcPr>
          <w:p>
            <w:pPr>
              <w:jc w:val="right"/>
              <w:ind w:right="2568"/>
              <w:spacing w:after="0"/>
              <w:rPr>
                <w:sz w:val="20"/>
                <w:szCs w:val="20"/>
                <w:color w:val="auto"/>
              </w:rPr>
            </w:pPr>
            <w:r>
              <w:rPr>
                <w:rFonts w:ascii="Courier New" w:cs="Courier New" w:eastAsia="Courier New" w:hAnsi="Courier New"/>
                <w:sz w:val="14"/>
                <w:szCs w:val="14"/>
                <w:color w:val="auto"/>
                <w:w w:val="95"/>
              </w:rPr>
              <w:t>2006</w:t>
            </w:r>
          </w:p>
        </w:tc>
        <w:tc>
          <w:tcPr>
            <w:tcW w:w="47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$109.3 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711</w:t>
            </w:r>
          </w:p>
        </w:tc>
      </w:tr>
      <w:tr>
        <w:trPr>
          <w:trHeight w:val="166"/>
        </w:trPr>
        <w:tc>
          <w:tcPr>
            <w:tcW w:w="2980" w:type="dxa"/>
            <w:vAlign w:val="bottom"/>
          </w:tcPr>
          <w:p>
            <w:pPr>
              <w:jc w:val="right"/>
              <w:ind w:right="2568"/>
              <w:spacing w:after="0"/>
              <w:rPr>
                <w:sz w:val="20"/>
                <w:szCs w:val="20"/>
                <w:color w:val="auto"/>
              </w:rPr>
            </w:pPr>
            <w:r>
              <w:rPr>
                <w:rFonts w:ascii="Courier New" w:cs="Courier New" w:eastAsia="Courier New" w:hAnsi="Courier New"/>
                <w:sz w:val="14"/>
                <w:szCs w:val="14"/>
                <w:color w:val="auto"/>
                <w:w w:val="95"/>
              </w:rPr>
              <w:t>2007</w:t>
            </w:r>
          </w:p>
        </w:tc>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c>
          <w:tcPr>
            <w:tcW w:w="1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356</w:t>
            </w:r>
          </w:p>
        </w:tc>
      </w:tr>
      <w:tr>
        <w:trPr>
          <w:trHeight w:val="166"/>
        </w:trPr>
        <w:tc>
          <w:tcPr>
            <w:tcW w:w="2980" w:type="dxa"/>
            <w:vAlign w:val="bottom"/>
          </w:tcPr>
          <w:p>
            <w:pPr>
              <w:jc w:val="right"/>
              <w:ind w:right="2568"/>
              <w:spacing w:after="0"/>
              <w:rPr>
                <w:sz w:val="20"/>
                <w:szCs w:val="20"/>
                <w:color w:val="auto"/>
              </w:rPr>
            </w:pPr>
            <w:r>
              <w:rPr>
                <w:rFonts w:ascii="Courier New" w:cs="Courier New" w:eastAsia="Courier New" w:hAnsi="Courier New"/>
                <w:sz w:val="14"/>
                <w:szCs w:val="14"/>
                <w:color w:val="auto"/>
                <w:w w:val="95"/>
              </w:rPr>
              <w:t>2008</w:t>
            </w:r>
          </w:p>
        </w:tc>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c>
          <w:tcPr>
            <w:tcW w:w="1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2980" w:type="dxa"/>
            <w:vAlign w:val="bottom"/>
          </w:tcPr>
          <w:p>
            <w:pPr>
              <w:jc w:val="right"/>
              <w:ind w:right="2568"/>
              <w:spacing w:after="0"/>
              <w:rPr>
                <w:sz w:val="20"/>
                <w:szCs w:val="20"/>
                <w:color w:val="auto"/>
              </w:rPr>
            </w:pPr>
            <w:r>
              <w:rPr>
                <w:rFonts w:ascii="Courier New" w:cs="Courier New" w:eastAsia="Courier New" w:hAnsi="Courier New"/>
                <w:sz w:val="14"/>
                <w:szCs w:val="14"/>
                <w:color w:val="auto"/>
                <w:w w:val="95"/>
              </w:rPr>
              <w:t>2009</w:t>
            </w:r>
          </w:p>
        </w:tc>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$25.9</w:t>
            </w:r>
          </w:p>
        </w:tc>
        <w:tc>
          <w:tcPr>
            <w:tcW w:w="1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6"/>
        </w:trPr>
        <w:tc>
          <w:tcPr>
            <w:tcW w:w="2980" w:type="dxa"/>
            <w:vAlign w:val="bottom"/>
          </w:tcPr>
          <w:p>
            <w:pPr>
              <w:jc w:val="right"/>
              <w:ind w:right="2568"/>
              <w:spacing w:after="0"/>
              <w:rPr>
                <w:sz w:val="20"/>
                <w:szCs w:val="20"/>
                <w:color w:val="auto"/>
              </w:rPr>
            </w:pPr>
            <w:r>
              <w:rPr>
                <w:rFonts w:ascii="Courier New" w:cs="Courier New" w:eastAsia="Courier New" w:hAnsi="Courier New"/>
                <w:sz w:val="14"/>
                <w:szCs w:val="14"/>
                <w:color w:val="auto"/>
                <w:w w:val="95"/>
              </w:rPr>
              <w:t>2010</w:t>
            </w:r>
          </w:p>
        </w:tc>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c>
          <w:tcPr>
            <w:tcW w:w="1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million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bl>
    <w:p>
      <w:pPr>
        <w:spacing w:after="0" w:line="4"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679"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past experience, we believe revenue from our large power customers will be substantially in excess of the minimum contract amounts.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several contracts have a feature that allows demand to go to zero after a two-year advance notice of</w:t>
      </w:r>
    </w:p>
    <w:p>
      <w:pPr>
        <w:spacing w:after="0" w:line="7" w:lineRule="exact"/>
        <w:rPr>
          <w:rFonts w:ascii="Courier New" w:cs="Courier New" w:eastAsia="Courier New" w:hAnsi="Courier New"/>
          <w:sz w:val="14"/>
          <w:szCs w:val="14"/>
          <w:color w:val="auto"/>
        </w:rPr>
      </w:pPr>
    </w:p>
    <w:p>
      <w:pPr>
        <w:ind w:left="520" w:right="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permanent closure, this minimum revenue summary does not reflect this occurrence happening in the forecasted period because we believe it is unlikely.</w:t>
      </w:r>
    </w:p>
    <w:p>
      <w:pPr>
        <w:spacing w:after="0" w:line="200" w:lineRule="exact"/>
        <w:rPr>
          <w:sz w:val="20"/>
          <w:szCs w:val="20"/>
          <w:color w:val="auto"/>
        </w:rPr>
      </w:pPr>
    </w:p>
    <w:p>
      <w:pPr>
        <w:spacing w:after="0" w:line="291"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616" w:right="1440" w:bottom="1440" w:gutter="0" w:footer="0" w:header="0"/>
        </w:sectPr>
      </w:pPr>
    </w:p>
    <w:bookmarkStart w:id="44" w:name="page45"/>
    <w:bookmarkEnd w:id="44"/>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20 - Sixth Full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Form 10-Q for the Quarter Ended June 30, 2006, Page 41 - Third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June 16, 2006, Minnesota Power filed an application with the MPCA for a variance from a wastewater discharge standard for mercury included in its National Pollutant Discharge Elimination System (NPDES) permit for Laskin. The variance requested an extension for Laskin to meet mercury discharge requirements which become effective March 23, 2007, as set forth in Laskin's NPDES permit issued by the MPCA in May 2005. In view of the EPA's proposed changes relating to the implementation of mercury water policy and recent developments in mercury treatment technologies, the MPCA believes it is more appropriate at this time to forego the processing of mercury variances. Instead a permit modification will be used which will contain a compliance schedule that specifies interim actions and limits that lead to compliance with the final limits by March 31, 2010. This approach will allow Minnesota Power to further investigate treatment alternatives. It is expected that a permit modification will be issued in late 2006 or early 2007. In October 2006, Minnesota Power submitted a letter withdrawing its variance request. The Company is unable to predict the outcome of this matter.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20 - Insert before First Full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49 - Fifth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Form 10-Q for the Quarter Ended March 31, 2006, Page 34 - Last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October 27, 2006, we submitted a filing to the MPCA for approval of the Boswell Unit 3 emission reduction plan. A filing with the MPUC for approval of Minnesota jurisdictional related expenditures on Boswell Unit 3 will follow in approximately 60 days. MPUC approval would allow cost recovery on these investments without a rate proceeding. Filing approval would authorize a cash return on construction work in progress during the construction phase and allow recovery for a return on investment, depreciation and incremental operations and maintenance expenses once placed into service in late 2009.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21 - First Full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CLEAN WATER ACT - AQUATIC ORGANISMS. In June 2006, biological studies required by Section 316(b) Phase II Rule of the Clean Water Act at our Boswell, Laskin, Hibbard and Taconite Harbor generating facilities as well as the Square Butte generating facility were completed. Engineering analyses to determine best technology available for cooling water intake operations will take place during 2007. The estimated total cost of these biological studies and engineering analyses for our facilities is expected to be in the range of $0.5 million to $1.2 million. At this time, we cannot estimate the capital and/or aquatic restoration expenditures that may be required to comply with the Section 316(b) Phase II Rule.</w:t>
      </w:r>
    </w:p>
    <w:p>
      <w:pPr>
        <w:spacing w:after="0" w:line="200" w:lineRule="exact"/>
        <w:rPr>
          <w:sz w:val="20"/>
          <w:szCs w:val="20"/>
          <w:color w:val="auto"/>
        </w:rPr>
      </w:pPr>
    </w:p>
    <w:p>
      <w:pPr>
        <w:spacing w:after="0" w:line="295"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ALLETE Third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ectPr>
          <w:pgSz w:w="11900" w:h="16838" w:orient="portrait"/>
          <w:cols w:equalWidth="0" w:num="1">
            <w:col w:w="10239"/>
          </w:cols>
          <w:pgMar w:left="220" w:top="616" w:right="1440" w:bottom="1440" w:gutter="0" w:footer="0" w:header="0"/>
        </w:sectPr>
      </w:pPr>
    </w:p>
    <w:bookmarkStart w:id="45" w:name="page46"/>
    <w:bookmarkEnd w:id="45"/>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ind w:left="960" w:right="3339" w:hanging="69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+10(a)</w:t>
        <w:tab/>
        <w:t>August 2006 Amendments to the ALLETE and Affiliated Companies Supplemental Executive Retirement Plan.</w:t>
      </w:r>
    </w:p>
    <w:p>
      <w:pPr>
        <w:spacing w:after="0" w:line="160" w:lineRule="exact"/>
        <w:rPr>
          <w:sz w:val="20"/>
          <w:szCs w:val="20"/>
          <w:color w:val="auto"/>
        </w:rPr>
      </w:pPr>
    </w:p>
    <w:p>
      <w:pPr>
        <w:ind w:left="960" w:right="3339" w:hanging="69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+10(b)</w:t>
        <w:tab/>
        <w:t>August 2006 Amendment to the Minnesota Power and Affiliated Companies Executive Investment Plan I.</w:t>
      </w:r>
    </w:p>
    <w:p>
      <w:pPr>
        <w:spacing w:after="0" w:line="160" w:lineRule="exact"/>
        <w:rPr>
          <w:sz w:val="20"/>
          <w:szCs w:val="20"/>
          <w:color w:val="auto"/>
        </w:rPr>
      </w:pPr>
    </w:p>
    <w:p>
      <w:pPr>
        <w:ind w:left="960" w:right="3339" w:hanging="69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+10(c)</w:t>
        <w:tab/>
        <w:t>August 2006 Amendment to the Minnesota Power and Affiliated Companies Executive Investment Plan II.</w:t>
      </w:r>
    </w:p>
    <w:p>
      <w:pPr>
        <w:spacing w:after="0" w:line="160" w:lineRule="exact"/>
        <w:rPr>
          <w:sz w:val="20"/>
          <w:szCs w:val="20"/>
          <w:color w:val="auto"/>
        </w:rPr>
      </w:pPr>
    </w:p>
    <w:p>
      <w:pPr>
        <w:ind w:left="960" w:right="3339" w:hanging="69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+10(d)</w:t>
        <w:tab/>
        <w:t>August 2006 Amendment to the ALLETE Director Compensation Deferral Plan.</w:t>
      </w:r>
    </w:p>
    <w:p>
      <w:pPr>
        <w:spacing w:after="0" w:line="160" w:lineRule="exact"/>
        <w:rPr>
          <w:sz w:val="20"/>
          <w:szCs w:val="20"/>
          <w:color w:val="auto"/>
        </w:rPr>
      </w:pPr>
    </w:p>
    <w:p>
      <w:pPr>
        <w:ind w:left="960" w:right="3339" w:hanging="59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31(a)</w:t>
        <w:tab/>
        <w:t>Rule 13a-14(a)/15d-14(a) Certification by the Chief Executive Officer Pursuant to Section 302 of the Sarbanes-Oxley Act of 2002.</w:t>
      </w:r>
    </w:p>
    <w:p>
      <w:pPr>
        <w:spacing w:after="0" w:line="160" w:lineRule="exact"/>
        <w:rPr>
          <w:sz w:val="20"/>
          <w:szCs w:val="20"/>
          <w:color w:val="auto"/>
        </w:rPr>
      </w:pPr>
    </w:p>
    <w:p>
      <w:pPr>
        <w:ind w:left="960" w:right="3339" w:hanging="59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31(b)</w:t>
        <w:tab/>
        <w:t>Rule 13a-14(a)/15d-14(a) Certification by the Chief Financial Officer Pursuant to Section 302 of the Sarbanes-Oxley Act of 2002.</w:t>
      </w:r>
    </w:p>
    <w:p>
      <w:pPr>
        <w:spacing w:after="0" w:line="160" w:lineRule="exact"/>
        <w:rPr>
          <w:sz w:val="20"/>
          <w:szCs w:val="20"/>
          <w:color w:val="auto"/>
        </w:rPr>
      </w:pPr>
    </w:p>
    <w:p>
      <w:pPr>
        <w:jc w:val="both"/>
        <w:ind w:left="960" w:right="3339" w:hanging="435"/>
        <w:spacing w:after="0" w:line="252" w:lineRule="auto"/>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960" w:right="3339" w:hanging="435"/>
        <w:spacing w:after="0" w:line="251" w:lineRule="auto"/>
        <w:tabs>
          <w:tab w:leader="none" w:pos="9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October 30, 2006, announcing 2006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2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hanging="352"/>
        <w:spacing w:after="0"/>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w:t>
      </w:r>
    </w:p>
    <w:p>
      <w:pPr>
        <w:spacing w:after="0" w:line="338"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616" w:right="1440" w:bottom="1440" w:gutter="0" w:footer="0" w:header="0"/>
        </w:sectPr>
      </w:pPr>
    </w:p>
    <w:bookmarkStart w:id="46" w:name="page47"/>
    <w:bookmarkEnd w:id="46"/>
    <w:p>
      <w:pPr>
        <w:ind w:left="302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375" w:lineRule="exact"/>
        <w:rPr>
          <w:sz w:val="20"/>
          <w:szCs w:val="20"/>
          <w:color w:val="auto"/>
        </w:rPr>
      </w:pPr>
    </w:p>
    <w:p>
      <w:pPr>
        <w:sectPr>
          <w:pgSz w:w="11900" w:h="16838" w:orient="portrait"/>
          <w:cols w:equalWidth="0" w:num="2">
            <w:col w:w="4320" w:space="80"/>
            <w:col w:w="5839"/>
          </w:cols>
          <w:pgMar w:left="220" w:top="616"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October 30, 2006</w:t>
      </w:r>
      <w:r>
        <w:rPr>
          <w:sz w:val="20"/>
          <w:szCs w:val="20"/>
          <w:color w:val="auto"/>
        </w:rPr>
        <w:tab/>
      </w:r>
      <w:r>
        <w:rPr>
          <w:rFonts w:ascii="Courier New" w:cs="Courier New" w:eastAsia="Courier New" w:hAnsi="Courier New"/>
          <w:sz w:val="14"/>
          <w:szCs w:val="14"/>
          <w:color w:val="auto"/>
        </w:rPr>
        <w:t>Mark A. Schober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pacing w:after="0" w:line="304" w:lineRule="exact"/>
        <w:rPr>
          <w:sz w:val="20"/>
          <w:szCs w:val="20"/>
          <w:color w:val="auto"/>
        </w:rPr>
      </w:pPr>
    </w:p>
    <w:p>
      <w:pPr>
        <w:jc w:val="right"/>
        <w:ind w:right="3339"/>
        <w:spacing w:after="0"/>
        <w:tabs>
          <w:tab w:leader="none" w:pos="160" w:val="left"/>
        </w:tabs>
        <w:rPr>
          <w:sz w:val="20"/>
          <w:szCs w:val="20"/>
          <w:color w:val="auto"/>
        </w:rPr>
      </w:pPr>
      <w:r>
        <w:rPr>
          <w:rFonts w:ascii="Courier New" w:cs="Courier New" w:eastAsia="Courier New" w:hAnsi="Courier New"/>
          <w:sz w:val="14"/>
          <w:szCs w:val="14"/>
          <w:color w:val="auto"/>
        </w:rPr>
        <w:t>ALLETE Third Quarter 2006 Form 10-Q</w:t>
      </w:r>
      <w:r>
        <w:rPr>
          <w:sz w:val="20"/>
          <w:szCs w:val="20"/>
          <w:color w:val="auto"/>
        </w:rPr>
        <w:tab/>
      </w: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type w:val="continuous"/>
        </w:sectPr>
      </w:pPr>
    </w:p>
    <w:bookmarkStart w:id="47" w:name="page48"/>
    <w:bookmarkEnd w:id="47"/>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700" w:right="3339" w:hanging="599"/>
        <w:spacing w:after="0" w:line="255" w:lineRule="auto"/>
        <w:tabs>
          <w:tab w:leader="none" w:pos="680" w:val="left"/>
        </w:tabs>
        <w:rPr>
          <w:sz w:val="20"/>
          <w:szCs w:val="20"/>
          <w:color w:val="auto"/>
        </w:rPr>
      </w:pPr>
      <w:r>
        <w:rPr>
          <w:rFonts w:ascii="Courier New" w:cs="Courier New" w:eastAsia="Courier New" w:hAnsi="Courier New"/>
          <w:sz w:val="14"/>
          <w:szCs w:val="14"/>
          <w:color w:val="auto"/>
        </w:rPr>
        <w:t>10(a)</w:t>
        <w:tab/>
        <w:t>August 2006 Amendments to the ALLETE and Affiliated Companies Supplemental Executive Retirement Plan.</w:t>
      </w:r>
    </w:p>
    <w:p>
      <w:pPr>
        <w:spacing w:after="0" w:line="160" w:lineRule="exact"/>
        <w:rPr>
          <w:sz w:val="20"/>
          <w:szCs w:val="20"/>
          <w:color w:val="auto"/>
        </w:rPr>
      </w:pPr>
    </w:p>
    <w:p>
      <w:pPr>
        <w:ind w:left="700" w:right="3339" w:hanging="599"/>
        <w:spacing w:after="0" w:line="255" w:lineRule="auto"/>
        <w:tabs>
          <w:tab w:leader="none" w:pos="680" w:val="left"/>
        </w:tabs>
        <w:rPr>
          <w:sz w:val="20"/>
          <w:szCs w:val="20"/>
          <w:color w:val="auto"/>
        </w:rPr>
      </w:pPr>
      <w:r>
        <w:rPr>
          <w:rFonts w:ascii="Courier New" w:cs="Courier New" w:eastAsia="Courier New" w:hAnsi="Courier New"/>
          <w:sz w:val="14"/>
          <w:szCs w:val="14"/>
          <w:color w:val="auto"/>
        </w:rPr>
        <w:t>10(b)</w:t>
        <w:tab/>
        <w:t>August 2006 Amendment to the Minnesota Power and Affiliated Companies Executive Investment Plan I.</w:t>
      </w:r>
    </w:p>
    <w:p>
      <w:pPr>
        <w:spacing w:after="0" w:line="160" w:lineRule="exact"/>
        <w:rPr>
          <w:sz w:val="20"/>
          <w:szCs w:val="20"/>
          <w:color w:val="auto"/>
        </w:rPr>
      </w:pPr>
    </w:p>
    <w:p>
      <w:pPr>
        <w:ind w:left="700" w:right="3339" w:hanging="599"/>
        <w:spacing w:after="0" w:line="255" w:lineRule="auto"/>
        <w:tabs>
          <w:tab w:leader="none" w:pos="680" w:val="left"/>
        </w:tabs>
        <w:rPr>
          <w:sz w:val="20"/>
          <w:szCs w:val="20"/>
          <w:color w:val="auto"/>
        </w:rPr>
      </w:pPr>
      <w:r>
        <w:rPr>
          <w:rFonts w:ascii="Courier New" w:cs="Courier New" w:eastAsia="Courier New" w:hAnsi="Courier New"/>
          <w:sz w:val="14"/>
          <w:szCs w:val="14"/>
          <w:color w:val="auto"/>
        </w:rPr>
        <w:t>10(c)</w:t>
        <w:tab/>
        <w:t>August 2006 Amendment to the Minnesota Power and Affiliated Companies Executive Investment Plan II.</w:t>
      </w:r>
    </w:p>
    <w:p>
      <w:pPr>
        <w:spacing w:after="0" w:line="160" w:lineRule="exact"/>
        <w:rPr>
          <w:sz w:val="20"/>
          <w:szCs w:val="20"/>
          <w:color w:val="auto"/>
        </w:rPr>
      </w:pPr>
    </w:p>
    <w:p>
      <w:pPr>
        <w:ind w:left="100"/>
        <w:spacing w:after="0"/>
        <w:tabs>
          <w:tab w:leader="none" w:pos="680" w:val="left"/>
        </w:tabs>
        <w:rPr>
          <w:sz w:val="20"/>
          <w:szCs w:val="20"/>
          <w:color w:val="auto"/>
        </w:rPr>
      </w:pPr>
      <w:r>
        <w:rPr>
          <w:rFonts w:ascii="Courier New" w:cs="Courier New" w:eastAsia="Courier New" w:hAnsi="Courier New"/>
          <w:sz w:val="14"/>
          <w:szCs w:val="14"/>
          <w:color w:val="auto"/>
        </w:rPr>
        <w:t>10(d)</w:t>
        <w:tab/>
        <w:t>August 2006 Amendment to the ALLETE Director Compensation Deferral Plan.</w:t>
      </w:r>
    </w:p>
    <w:p>
      <w:pPr>
        <w:spacing w:after="0" w:line="173" w:lineRule="exact"/>
        <w:rPr>
          <w:sz w:val="20"/>
          <w:szCs w:val="20"/>
          <w:color w:val="auto"/>
        </w:rPr>
      </w:pPr>
    </w:p>
    <w:p>
      <w:pPr>
        <w:ind w:left="700" w:right="3339" w:hanging="599"/>
        <w:spacing w:after="0" w:line="255" w:lineRule="auto"/>
        <w:tabs>
          <w:tab w:leader="none" w:pos="680" w:val="left"/>
        </w:tabs>
        <w:rPr>
          <w:sz w:val="20"/>
          <w:szCs w:val="20"/>
          <w:color w:val="auto"/>
        </w:rPr>
      </w:pPr>
      <w:r>
        <w:rPr>
          <w:rFonts w:ascii="Courier New" w:cs="Courier New" w:eastAsia="Courier New" w:hAnsi="Courier New"/>
          <w:sz w:val="14"/>
          <w:szCs w:val="14"/>
          <w:color w:val="auto"/>
        </w:rPr>
        <w:t>31(a)</w:t>
        <w:tab/>
        <w:t>Rule 13a-14(a)/15d-14(a) Certification by the Chief Executive Officer Pursuant to Section 302 of the Sarbanes-Oxley Act of 2002.</w:t>
      </w:r>
    </w:p>
    <w:p>
      <w:pPr>
        <w:spacing w:after="0" w:line="160" w:lineRule="exact"/>
        <w:rPr>
          <w:sz w:val="20"/>
          <w:szCs w:val="20"/>
          <w:color w:val="auto"/>
        </w:rPr>
      </w:pPr>
    </w:p>
    <w:p>
      <w:pPr>
        <w:ind w:left="700" w:right="3339" w:hanging="599"/>
        <w:spacing w:after="0" w:line="255" w:lineRule="auto"/>
        <w:tabs>
          <w:tab w:leader="none" w:pos="680" w:val="left"/>
        </w:tabs>
        <w:rPr>
          <w:sz w:val="20"/>
          <w:szCs w:val="20"/>
          <w:color w:val="auto"/>
        </w:rPr>
      </w:pPr>
      <w:r>
        <w:rPr>
          <w:rFonts w:ascii="Courier New" w:cs="Courier New" w:eastAsia="Courier New" w:hAnsi="Courier New"/>
          <w:sz w:val="14"/>
          <w:szCs w:val="14"/>
          <w:color w:val="auto"/>
        </w:rPr>
        <w:t>31(b)</w:t>
        <w:tab/>
        <w:t>Rule 13a-14(a)/15d-14(a) Certification by the Chief Financial Officer Pursuant to Section 302 of the Sarbanes-Oxley Act of 2002.</w:t>
      </w:r>
    </w:p>
    <w:p>
      <w:pPr>
        <w:spacing w:after="0" w:line="160" w:lineRule="exact"/>
        <w:rPr>
          <w:sz w:val="20"/>
          <w:szCs w:val="20"/>
          <w:color w:val="auto"/>
        </w:rPr>
      </w:pPr>
    </w:p>
    <w:p>
      <w:pPr>
        <w:jc w:val="both"/>
        <w:ind w:left="700" w:right="3339" w:hanging="433"/>
        <w:spacing w:after="0" w:line="252" w:lineRule="auto"/>
        <w:tabs>
          <w:tab w:leader="none" w:pos="7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700" w:right="3339" w:hanging="433"/>
        <w:spacing w:after="0" w:line="251" w:lineRule="auto"/>
        <w:tabs>
          <w:tab w:leader="none" w:pos="7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October 30, 2006, announcing 2006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3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616" w:right="1440" w:bottom="1440" w:gutter="0" w:footer="0" w:header="0"/>
        </w:sectPr>
      </w:pPr>
    </w:p>
    <w:bookmarkStart w:id="48" w:name="page49"/>
    <w:bookmarkEnd w:id="48"/>
    <w:p>
      <w:pPr>
        <w:jc w:val="right"/>
        <w:ind w:right="3339"/>
        <w:spacing w:after="0"/>
        <w:rPr>
          <w:sz w:val="20"/>
          <w:szCs w:val="20"/>
          <w:color w:val="auto"/>
        </w:rPr>
      </w:pPr>
      <w:r>
        <w:rPr>
          <w:rFonts w:ascii="Courier New" w:cs="Courier New" w:eastAsia="Courier New" w:hAnsi="Courier New"/>
          <w:sz w:val="14"/>
          <w:szCs w:val="14"/>
          <w:color w:val="auto"/>
        </w:rPr>
        <w:t>EXHIBIT 10(a)</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AMENDMENT TO THE AMENDED AND RESTATED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ALLETE AND AFFILIATED COMPANIES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Amended and Restated ALLETE and Affiliated Companies Supplemental Executive Retirement Plan, dated effective January 1, 2004, is amended as follows:</w:t>
      </w:r>
    </w:p>
    <w:p>
      <w:pPr>
        <w:spacing w:after="0" w:line="160" w:lineRule="exact"/>
        <w:rPr>
          <w:sz w:val="20"/>
          <w:szCs w:val="20"/>
          <w:color w:val="auto"/>
        </w:rPr>
      </w:pPr>
    </w:p>
    <w:p>
      <w:pPr>
        <w:ind w:right="3339" w:firstLine="8"/>
        <w:spacing w:after="0" w:line="255" w:lineRule="auto"/>
        <w:tabs>
          <w:tab w:leader="none" w:pos="51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1, 2006, Section 3.1 is DELETED in its entirety and replaced with the following:</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ELIGIBILITY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Any employee of the Company shall become a Participant as follows:</w:t>
      </w:r>
    </w:p>
    <w:p>
      <w:pPr>
        <w:spacing w:after="0" w:line="173" w:lineRule="exact"/>
        <w:rPr>
          <w:sz w:val="20"/>
          <w:szCs w:val="20"/>
          <w:color w:val="auto"/>
        </w:rPr>
      </w:pPr>
    </w:p>
    <w:p>
      <w:pPr>
        <w:jc w:val="both"/>
        <w:ind w:left="1040" w:right="3339" w:hanging="515"/>
        <w:spacing w:after="0" w:line="251"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benefits under Section 4.1, an employee who was a Participant as of September 30, 2006 shall remain a Participant and be eligible to participate in this Plan for so long as such employee continuously remains in ALLETE management salary grade SA-SM and continuously participates in the ALLETE Executive Annual Incentive Plan or is eligible to receive an Other Award. For benefits under Section 4.1, an employee who was not a Participant as of September 30, 2006, or who was a Participant as of September 30, 2006 and subsequently ceased to meet the eligibility requirements stated above, shall become eligible to participate in this Plan beginning with the first calendar year in which such employee is in ALLETE management salary grade SF-SM and becomes eligible to receive an Annual Incentive Award or Other Award.</w:t>
      </w:r>
    </w:p>
    <w:p>
      <w:pPr>
        <w:spacing w:after="0" w:line="16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One of the following conditions must also be satisfied:</w:t>
      </w:r>
    </w:p>
    <w:p>
      <w:pPr>
        <w:spacing w:after="0" w:line="172" w:lineRule="exact"/>
        <w:rPr>
          <w:rFonts w:ascii="Courier New" w:cs="Courier New" w:eastAsia="Courier New" w:hAnsi="Courier New"/>
          <w:sz w:val="14"/>
          <w:szCs w:val="14"/>
          <w:color w:val="auto"/>
        </w:rPr>
      </w:pPr>
    </w:p>
    <w:p>
      <w:pPr>
        <w:ind w:left="1300" w:right="3339" w:hanging="430"/>
        <w:spacing w:after="0" w:line="255" w:lineRule="auto"/>
        <w:tabs>
          <w:tab w:leader="none" w:pos="130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in the employment of the Company on the last day of the calendar year;</w:t>
      </w:r>
    </w:p>
    <w:p>
      <w:pPr>
        <w:spacing w:after="0" w:line="159" w:lineRule="exact"/>
        <w:rPr>
          <w:rFonts w:ascii="Courier New" w:cs="Courier New" w:eastAsia="Courier New" w:hAnsi="Courier New"/>
          <w:sz w:val="14"/>
          <w:szCs w:val="14"/>
          <w:color w:val="auto"/>
        </w:rPr>
      </w:pPr>
    </w:p>
    <w:p>
      <w:pPr>
        <w:ind w:left="1300" w:right="3339" w:hanging="516"/>
        <w:spacing w:after="0" w:line="255" w:lineRule="auto"/>
        <w:tabs>
          <w:tab w:leader="none" w:pos="130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died while employed by the Company during such calendar year;</w:t>
      </w:r>
    </w:p>
    <w:p>
      <w:pPr>
        <w:spacing w:after="0" w:line="159" w:lineRule="exact"/>
        <w:rPr>
          <w:rFonts w:ascii="Courier New" w:cs="Courier New" w:eastAsia="Courier New" w:hAnsi="Courier New"/>
          <w:sz w:val="14"/>
          <w:szCs w:val="14"/>
          <w:color w:val="auto"/>
        </w:rPr>
      </w:pPr>
    </w:p>
    <w:p>
      <w:pPr>
        <w:ind w:left="1300" w:hanging="603"/>
        <w:spacing w:after="0"/>
        <w:tabs>
          <w:tab w:leader="none" w:pos="130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Retired during such calendar year;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7" w:right="1440" w:bottom="1440" w:gutter="0" w:footer="0" w:header="0"/>
        </w:sectPr>
      </w:pPr>
    </w:p>
    <w:bookmarkStart w:id="49" w:name="page50"/>
    <w:bookmarkEnd w:id="49"/>
    <w:p>
      <w:pPr>
        <w:jc w:val="both"/>
        <w:ind w:left="775" w:right="3339" w:hanging="516"/>
        <w:spacing w:after="0" w:line="252" w:lineRule="auto"/>
        <w:tabs>
          <w:tab w:leader="none" w:pos="77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disabled and is receiving benefit payments under the Company's Long-Term Disability Benefit Plan during such calendar year; or</w:t>
      </w:r>
    </w:p>
    <w:p>
      <w:pPr>
        <w:spacing w:after="0" w:line="162" w:lineRule="exact"/>
        <w:rPr>
          <w:rFonts w:ascii="Courier New" w:cs="Courier New" w:eastAsia="Courier New" w:hAnsi="Courier New"/>
          <w:sz w:val="14"/>
          <w:szCs w:val="14"/>
          <w:color w:val="auto"/>
        </w:rPr>
      </w:pPr>
    </w:p>
    <w:p>
      <w:pPr>
        <w:jc w:val="both"/>
        <w:ind w:left="775" w:right="3339" w:hanging="430"/>
        <w:spacing w:after="0" w:line="252" w:lineRule="auto"/>
        <w:tabs>
          <w:tab w:leader="none" w:pos="77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on an authorized leave of absence on the last day of such calendar year and received Compensation from the Company during such year.</w:t>
      </w:r>
    </w:p>
    <w:p>
      <w:pPr>
        <w:spacing w:after="0" w:line="162" w:lineRule="exact"/>
        <w:rPr>
          <w:rFonts w:ascii="Courier New" w:cs="Courier New" w:eastAsia="Courier New" w:hAnsi="Courier New"/>
          <w:sz w:val="14"/>
          <w:szCs w:val="14"/>
          <w:color w:val="auto"/>
        </w:rPr>
      </w:pPr>
    </w:p>
    <w:p>
      <w:pPr>
        <w:jc w:val="both"/>
        <w:ind w:left="515" w:right="3339" w:hanging="515"/>
        <w:spacing w:after="0" w:line="251" w:lineRule="auto"/>
        <w:tabs>
          <w:tab w:leader="none" w:pos="51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benefits under Sections 4.2, 4.3 and 4.4, an employee in ALLETE management salary grade SA-SM, or other employees as approved by the Committee, who participates in the ALLETE Executive Annual Incentive Plan or is eligible to receive an Other Award, shall be eligible to participate in this Plan beginning with the first calendar year in which such employee becomes eligible to receive Annual Incentive Awards or Other Awards.</w:t>
      </w:r>
    </w:p>
    <w:p>
      <w:pPr>
        <w:spacing w:after="0" w:line="164" w:lineRule="exact"/>
        <w:rPr>
          <w:rFonts w:ascii="Courier New" w:cs="Courier New" w:eastAsia="Courier New" w:hAnsi="Courier New"/>
          <w:sz w:val="14"/>
          <w:szCs w:val="14"/>
          <w:color w:val="auto"/>
        </w:rPr>
      </w:pPr>
    </w:p>
    <w:p>
      <w:pPr>
        <w:ind w:left="515"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benefits under Section 4.3, one of the following conditions must also be satisfied:</w:t>
      </w:r>
    </w:p>
    <w:p>
      <w:pPr>
        <w:spacing w:after="0" w:line="159" w:lineRule="exact"/>
        <w:rPr>
          <w:rFonts w:ascii="Courier New" w:cs="Courier New" w:eastAsia="Courier New" w:hAnsi="Courier New"/>
          <w:sz w:val="14"/>
          <w:szCs w:val="14"/>
          <w:color w:val="auto"/>
        </w:rPr>
      </w:pPr>
    </w:p>
    <w:p>
      <w:pPr>
        <w:ind w:left="775" w:right="3339" w:hanging="516"/>
        <w:spacing w:after="0" w:line="255" w:lineRule="auto"/>
        <w:tabs>
          <w:tab w:leader="none" w:pos="77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in the employment of the Company on the last day of the calendar year;</w:t>
      </w:r>
    </w:p>
    <w:p>
      <w:pPr>
        <w:spacing w:after="0" w:line="159" w:lineRule="exact"/>
        <w:rPr>
          <w:rFonts w:ascii="Courier New" w:cs="Courier New" w:eastAsia="Courier New" w:hAnsi="Courier New"/>
          <w:sz w:val="14"/>
          <w:szCs w:val="14"/>
          <w:color w:val="auto"/>
        </w:rPr>
      </w:pPr>
    </w:p>
    <w:p>
      <w:pPr>
        <w:ind w:left="775" w:right="3339" w:hanging="603"/>
        <w:spacing w:after="0" w:line="255" w:lineRule="auto"/>
        <w:tabs>
          <w:tab w:leader="none" w:pos="77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died while employed by the Company during such calendar year;</w:t>
      </w:r>
    </w:p>
    <w:p>
      <w:pPr>
        <w:spacing w:after="0" w:line="159" w:lineRule="exact"/>
        <w:rPr>
          <w:rFonts w:ascii="Courier New" w:cs="Courier New" w:eastAsia="Courier New" w:hAnsi="Courier New"/>
          <w:sz w:val="14"/>
          <w:szCs w:val="14"/>
          <w:color w:val="auto"/>
        </w:rPr>
      </w:pPr>
    </w:p>
    <w:p>
      <w:pPr>
        <w:ind w:left="775" w:hanging="689"/>
        <w:spacing w:after="0"/>
        <w:tabs>
          <w:tab w:leader="none" w:pos="77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Retired during such calendar year;</w:t>
      </w:r>
    </w:p>
    <w:p>
      <w:pPr>
        <w:spacing w:after="0" w:line="172" w:lineRule="exact"/>
        <w:rPr>
          <w:rFonts w:ascii="Courier New" w:cs="Courier New" w:eastAsia="Courier New" w:hAnsi="Courier New"/>
          <w:sz w:val="14"/>
          <w:szCs w:val="14"/>
          <w:color w:val="auto"/>
        </w:rPr>
      </w:pPr>
    </w:p>
    <w:p>
      <w:pPr>
        <w:jc w:val="both"/>
        <w:ind w:left="775" w:right="3339" w:hanging="516"/>
        <w:spacing w:after="0" w:line="252" w:lineRule="auto"/>
        <w:tabs>
          <w:tab w:leader="none" w:pos="77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disabled and is receiving benefit payments under the Company's Long-Term Disability Benefit Plan during such calendar year; or</w:t>
      </w:r>
    </w:p>
    <w:p>
      <w:pPr>
        <w:spacing w:after="0" w:line="162" w:lineRule="exact"/>
        <w:rPr>
          <w:rFonts w:ascii="Courier New" w:cs="Courier New" w:eastAsia="Courier New" w:hAnsi="Courier New"/>
          <w:sz w:val="14"/>
          <w:szCs w:val="14"/>
          <w:color w:val="auto"/>
        </w:rPr>
      </w:pPr>
    </w:p>
    <w:p>
      <w:pPr>
        <w:jc w:val="both"/>
        <w:ind w:left="775" w:right="3339" w:hanging="430"/>
        <w:spacing w:after="0" w:line="252" w:lineRule="auto"/>
        <w:tabs>
          <w:tab w:leader="none" w:pos="77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is on an authorized leave of absence on the last day of such calendar year and received Compensation from the Company during such year.</w:t>
      </w:r>
    </w:p>
    <w:p>
      <w:pPr>
        <w:spacing w:after="0" w:line="329"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14"/>
          </w:cols>
          <w:pgMar w:left="745" w:top="616" w:right="1440" w:bottom="1440" w:gutter="0" w:footer="0" w:header="0"/>
        </w:sectPr>
      </w:pPr>
    </w:p>
    <w:bookmarkStart w:id="50" w:name="page51"/>
    <w:bookmarkEnd w:id="50"/>
    <w:p>
      <w:pPr>
        <w:jc w:val="both"/>
        <w:ind w:left="1032" w:right="3339" w:hanging="515"/>
        <w:spacing w:after="0" w:line="252" w:lineRule="auto"/>
        <w:tabs>
          <w:tab w:leader="none" w:pos="1032"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benefits under Section 4.5, senior executive employees are eligible as approved by the Company's Board of Directors. Effective January 20, 2003, no additional employees are eligible for the benefits provided under Section 4.5.</w:t>
      </w:r>
    </w:p>
    <w:p>
      <w:pPr>
        <w:spacing w:after="0" w:line="162" w:lineRule="exact"/>
        <w:rPr>
          <w:rFonts w:ascii="Courier New" w:cs="Courier New" w:eastAsia="Courier New" w:hAnsi="Courier New"/>
          <w:sz w:val="14"/>
          <w:szCs w:val="14"/>
          <w:color w:val="auto"/>
        </w:rPr>
      </w:pPr>
    </w:p>
    <w:p>
      <w:pPr>
        <w:jc w:val="both"/>
        <w:ind w:left="1032" w:right="3339" w:hanging="515"/>
        <w:spacing w:after="0" w:line="251" w:lineRule="auto"/>
        <w:tabs>
          <w:tab w:leader="none" w:pos="1032"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benefits under Section 4.6, an employee who received an Annual Incentive Award or Other Award while in ALLETE management salary grades SA-SM shall be eligible to participate in this Plan. Notwithstanding the foregoing, effective October 1, 2006, no additional employees are eligible for benefits under Section 4.6.</w:t>
      </w:r>
    </w:p>
    <w:p>
      <w:pPr>
        <w:spacing w:after="0" w:line="164" w:lineRule="exact"/>
        <w:rPr>
          <w:rFonts w:ascii="Courier New" w:cs="Courier New" w:eastAsia="Courier New" w:hAnsi="Courier New"/>
          <w:sz w:val="14"/>
          <w:szCs w:val="14"/>
          <w:color w:val="auto"/>
        </w:rPr>
      </w:pPr>
    </w:p>
    <w:p>
      <w:pPr>
        <w:ind w:left="-8" w:right="3339" w:firstLine="8"/>
        <w:spacing w:after="0" w:line="255" w:lineRule="auto"/>
        <w:tabs>
          <w:tab w:leader="none" w:pos="50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1, 2006, Section 4.1, Subsection (B) shall be DELETED and replaced with the following:</w:t>
      </w:r>
    </w:p>
    <w:p>
      <w:pPr>
        <w:spacing w:after="0" w:line="159" w:lineRule="exact"/>
        <w:rPr>
          <w:rFonts w:ascii="Courier New" w:cs="Courier New" w:eastAsia="Courier New" w:hAnsi="Courier New"/>
          <w:sz w:val="14"/>
          <w:szCs w:val="14"/>
          <w:color w:val="auto"/>
        </w:rPr>
      </w:pPr>
    </w:p>
    <w:p>
      <w:pPr>
        <w:jc w:val="both"/>
        <w:ind w:left="1032" w:right="3339" w:hanging="515"/>
        <w:spacing w:after="0" w:line="251" w:lineRule="auto"/>
        <w:tabs>
          <w:tab w:leader="none" w:pos="103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RSOP ALLOCATION MAKEUP. For a Participant who was a Participant as of September 30, 2006, for so long as he or she remains continuously eligible as a Participant, an amount equal to the sum of 1.5% plus any percentage being contributed under Section 4.4(c)(10) of the RSOP multiplied by the sum of (1) the total of the Participant's Annual Incentive Award and Other Award for such year, plus (2) the amount of the Participant's Compensation not included in calculating benefits under the RSOP due to limitations under IRS Code Section 404(l). For a Participant who becomes a Participant on or after October 1, 2006, an amount equal to the sum of 6% plus any percentage being contributed under Section 4.4(c)(10) of the RSOP multiplied by the sum of (1) the total of the Participant's Annual Incentive Award and Other Award for such year, plus (2) the amount of the Participant's Compensation not included in calculating benefits under the RSOP due to limitations under IRS Code Section 404(l).</w:t>
      </w:r>
    </w:p>
    <w:p>
      <w:pPr>
        <w:spacing w:after="0" w:line="327" w:lineRule="exact"/>
        <w:rPr>
          <w:rFonts w:ascii="Courier New" w:cs="Courier New" w:eastAsia="Courier New" w:hAnsi="Courier New"/>
          <w:sz w:val="14"/>
          <w:szCs w:val="14"/>
          <w:color w:val="auto"/>
        </w:rPr>
      </w:pPr>
    </w:p>
    <w:p>
      <w:pPr>
        <w:jc w:val="both"/>
        <w:ind w:left="10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transfers to an ineligible status, dies or Retires during the year, this calculation will be based on the full Annual Incentive Award and Other Award. If a Participant's annual Pay exceeds that amount allowed under IRS qualified plan's compensation limit, the amount of Participant's annual Pay will be prorated for the number of months in an eligible status.</w:t>
      </w:r>
    </w:p>
    <w:p>
      <w:pPr>
        <w:spacing w:after="0" w:line="164" w:lineRule="exact"/>
        <w:rPr>
          <w:rFonts w:ascii="Courier New" w:cs="Courier New" w:eastAsia="Courier New" w:hAnsi="Courier New"/>
          <w:sz w:val="14"/>
          <w:szCs w:val="14"/>
          <w:color w:val="auto"/>
        </w:rPr>
      </w:pPr>
    </w:p>
    <w:p>
      <w:pPr>
        <w:ind w:left="-8" w:right="3339" w:firstLine="8"/>
        <w:spacing w:after="0" w:line="255" w:lineRule="auto"/>
        <w:tabs>
          <w:tab w:leader="none" w:pos="50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1, 2006, Section 4.1, Subsection (C) shall be DELETED and replaced with the following:</w:t>
      </w: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616" w:right="1440" w:bottom="1440" w:gutter="0" w:footer="0" w:header="0"/>
        </w:sectPr>
      </w:pPr>
    </w:p>
    <w:bookmarkStart w:id="51" w:name="page52"/>
    <w:bookmarkEnd w:id="51"/>
    <w:p>
      <w:pPr>
        <w:jc w:val="both"/>
        <w:ind w:left="1032" w:right="3339" w:hanging="515"/>
        <w:spacing w:after="0" w:line="250" w:lineRule="auto"/>
        <w:tabs>
          <w:tab w:leader="none" w:pos="1032"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RSOP MATCH ALLOCATION MAKEUP. For a Participant who was a Participant as of September 30, 2006, for so long as he or she remains continuously eligible as a Participant, an amount equal to 100% of the amount deferred by the Participant under Section 4.2 of this Plan plus any amount deferred under Section 5.1 of the RSOP, provided, however, that for any calendar year, such match shall not apply to any amount deferred by a Participant in excess of the amount specified in Subsection 4.4(e)(3)(A) of the RSOP of the Participant's Compensation plus Annual Incentive Award and Other Award. For a Participant who becomes a Participant on or after October 1, 2006, an amount equal to 100% of the amount deferred by the Participant under Section 4.2 of this Plan plus any amount deferred under Section 5.1 of the RSOP, provided, however, that for any calendar year, such match shall not apply to any amount deferred by a Participant in excess of the amount specified in Subsection 4.4(e)(3)(B) of the RSOP of the Participant's Compensation plus Annual Incentive Award and Other Award. All amounts provided herein shall be reduced by any amount being contributed by the Company under Subsection 4.4(e) of the RSOP.</w:t>
      </w:r>
    </w:p>
    <w:p>
      <w:pPr>
        <w:spacing w:after="0" w:line="173" w:lineRule="exact"/>
        <w:rPr>
          <w:rFonts w:ascii="Courier New" w:cs="Courier New" w:eastAsia="Courier New" w:hAnsi="Courier New"/>
          <w:sz w:val="14"/>
          <w:szCs w:val="14"/>
          <w:color w:val="auto"/>
        </w:rPr>
      </w:pPr>
    </w:p>
    <w:p>
      <w:pPr>
        <w:ind w:left="-8" w:right="3339" w:firstLine="8"/>
        <w:spacing w:after="0" w:line="255" w:lineRule="auto"/>
        <w:tabs>
          <w:tab w:leader="none" w:pos="50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2007, Section 4.9 shall be amended to ADD the following at the end of the first sentence of the first paragraph:</w:t>
      </w:r>
    </w:p>
    <w:p>
      <w:pPr>
        <w:spacing w:after="0" w:line="160" w:lineRule="exact"/>
        <w:rPr>
          <w:sz w:val="20"/>
          <w:szCs w:val="20"/>
          <w:color w:val="auto"/>
        </w:rPr>
      </w:pPr>
    </w:p>
    <w:p>
      <w:pPr>
        <w:jc w:val="both"/>
        <w:ind w:left="1032" w:right="3339"/>
        <w:spacing w:after="0" w:line="251" w:lineRule="auto"/>
        <w:rPr>
          <w:sz w:val="20"/>
          <w:szCs w:val="20"/>
          <w:color w:val="auto"/>
        </w:rPr>
      </w:pPr>
      <w:r>
        <w:rPr>
          <w:rFonts w:ascii="Courier New" w:cs="Courier New" w:eastAsia="Courier New" w:hAnsi="Courier New"/>
          <w:sz w:val="14"/>
          <w:szCs w:val="14"/>
          <w:color w:val="auto"/>
        </w:rPr>
        <w:t>Any annuity provided under this section shall be calculated using a 7.5% interest rate, or other rate as approved by the Committee. Notwithstanding the foregoing, annuities under this section shall be calculated using an 8% interest rate in any circumstance in which one of the following conditions applies: (i) the Participant left service prior to January 1, 2007; or (ii) the Participant provided official notice of retirement to the Company prior to January 1, 2007 with an effective retirement date on or before April 1, 2007.</w:t>
      </w:r>
    </w:p>
    <w:p>
      <w:pPr>
        <w:spacing w:after="0" w:line="32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616" w:right="1440" w:bottom="1440" w:gutter="0" w:footer="0" w:header="0"/>
        </w:sectPr>
      </w:pPr>
    </w:p>
    <w:bookmarkStart w:id="52" w:name="page53"/>
    <w:bookmarkEnd w:id="52"/>
    <w:p>
      <w:pPr>
        <w:ind w:right="3339" w:firstLine="8"/>
        <w:spacing w:after="0" w:line="255" w:lineRule="auto"/>
        <w:tabs>
          <w:tab w:leader="none" w:pos="51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1, 2006, Section 4.15 ("Supplemental Tax Benefit") is DELETED in its entirety.</w:t>
      </w:r>
    </w:p>
    <w:p>
      <w:pPr>
        <w:spacing w:after="0" w:line="32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President &amp;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 Counsel &amp; Secretary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3" w:name="page54"/>
    <w:bookmarkEnd w:id="53"/>
    <w:p>
      <w:pPr>
        <w:jc w:val="right"/>
        <w:ind w:right="3339"/>
        <w:spacing w:after="0"/>
        <w:rPr>
          <w:sz w:val="20"/>
          <w:szCs w:val="20"/>
          <w:color w:val="auto"/>
        </w:rPr>
      </w:pPr>
      <w:r>
        <w:rPr>
          <w:rFonts w:ascii="Courier New" w:cs="Courier New" w:eastAsia="Courier New" w:hAnsi="Courier New"/>
          <w:sz w:val="14"/>
          <w:szCs w:val="14"/>
          <w:color w:val="auto"/>
        </w:rPr>
        <w:t>EXHIBIT 10(b)</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AMENDMENT TO THE AMENDED AND RESTATED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MINNESOTA POWER AND AFFILIATED COMPANIES EXECUTIVE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INVESTMENT PLAN I</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Amended and Restated Minnesota Power and Affiliated Companies Executive Investment Plan I effective January 1, 1988, is amended as follows:</w:t>
      </w:r>
    </w:p>
    <w:p>
      <w:pPr>
        <w:spacing w:after="0" w:line="326" w:lineRule="exact"/>
        <w:rPr>
          <w:sz w:val="20"/>
          <w:szCs w:val="20"/>
          <w:color w:val="auto"/>
        </w:rPr>
      </w:pPr>
    </w:p>
    <w:p>
      <w:pPr>
        <w:ind w:left="520" w:right="3339" w:firstLine="5"/>
        <w:spacing w:after="0" w:line="255" w:lineRule="auto"/>
        <w:tabs>
          <w:tab w:leader="none" w:pos="103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9, 2006, Section 6.4.1 is amended to DELETE the following:</w:t>
      </w:r>
    </w:p>
    <w:p>
      <w:pPr>
        <w:spacing w:after="0" w:line="160" w:lineRule="exact"/>
        <w:rPr>
          <w:sz w:val="20"/>
          <w:szCs w:val="20"/>
          <w:color w:val="auto"/>
        </w:rPr>
      </w:pPr>
    </w:p>
    <w:p>
      <w:pPr>
        <w:jc w:val="both"/>
        <w:ind w:left="1040" w:right="3339"/>
        <w:spacing w:after="0" w:line="251" w:lineRule="auto"/>
        <w:rPr>
          <w:sz w:val="20"/>
          <w:szCs w:val="20"/>
          <w:color w:val="auto"/>
        </w:rPr>
      </w:pPr>
      <w:r>
        <w:rPr>
          <w:rFonts w:ascii="Courier New" w:cs="Courier New" w:eastAsia="Courier New" w:hAnsi="Courier New"/>
          <w:sz w:val="14"/>
          <w:szCs w:val="14"/>
          <w:color w:val="auto"/>
        </w:rPr>
        <w:t>In the event that there is a Change in Control, and if, within twelve (12) months after a Change in Control a Participant is involuntarily terminated, the Participant shall be entitled to an additional benefit equal to forty percent (40%) of any amount distributed ("Supplemental Tax Benefit") pursuant to Section 6.4.1. If a Participant is eligible for Retirement, no Supplemental Tax Benefit will be paid.</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President &amp;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 Counsel &amp; Secretary</w:t>
      </w:r>
    </w:p>
    <w:p>
      <w:pPr>
        <w:sectPr>
          <w:pgSz w:w="11900" w:h="16838" w:orient="portrait"/>
          <w:cols w:equalWidth="0" w:num="1">
            <w:col w:w="10239"/>
          </w:cols>
          <w:pgMar w:left="220" w:top="307" w:right="1440" w:bottom="1440" w:gutter="0" w:footer="0" w:header="0"/>
        </w:sectPr>
      </w:pPr>
    </w:p>
    <w:bookmarkStart w:id="54" w:name="page55"/>
    <w:bookmarkEnd w:id="54"/>
    <w:p>
      <w:pPr>
        <w:jc w:val="right"/>
        <w:ind w:right="3339"/>
        <w:spacing w:after="0"/>
        <w:rPr>
          <w:sz w:val="20"/>
          <w:szCs w:val="20"/>
          <w:color w:val="auto"/>
        </w:rPr>
      </w:pPr>
      <w:r>
        <w:rPr>
          <w:rFonts w:ascii="Courier New" w:cs="Courier New" w:eastAsia="Courier New" w:hAnsi="Courier New"/>
          <w:sz w:val="14"/>
          <w:szCs w:val="14"/>
          <w:color w:val="auto"/>
        </w:rPr>
        <w:t>EXHIBIT 10(c)</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AMENDED AND RESTATED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MINNESOTA POWER AND AFFILIATED COMPANIES EXECUTIVE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INVESTMENT PLAN II</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Amended and Restated Minnesota Power and Affiliated Companies Executive Investment Plan I effective November 1, 1988, is amended as follows:</w:t>
      </w:r>
    </w:p>
    <w:p>
      <w:pPr>
        <w:spacing w:after="0" w:line="326" w:lineRule="exact"/>
        <w:rPr>
          <w:sz w:val="20"/>
          <w:szCs w:val="20"/>
          <w:color w:val="auto"/>
        </w:rPr>
      </w:pPr>
    </w:p>
    <w:p>
      <w:pPr>
        <w:ind w:left="520" w:right="3339" w:firstLine="5"/>
        <w:spacing w:after="0" w:line="255" w:lineRule="auto"/>
        <w:tabs>
          <w:tab w:leader="none" w:pos="103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9, 2006, Section 6.4.1 is amended to DELETE the following:</w:t>
      </w:r>
    </w:p>
    <w:p>
      <w:pPr>
        <w:spacing w:after="0" w:line="160" w:lineRule="exact"/>
        <w:rPr>
          <w:sz w:val="20"/>
          <w:szCs w:val="20"/>
          <w:color w:val="auto"/>
        </w:rPr>
      </w:pPr>
    </w:p>
    <w:p>
      <w:pPr>
        <w:jc w:val="both"/>
        <w:ind w:left="1040" w:right="3339"/>
        <w:spacing w:after="0" w:line="251" w:lineRule="auto"/>
        <w:rPr>
          <w:sz w:val="20"/>
          <w:szCs w:val="20"/>
          <w:color w:val="auto"/>
        </w:rPr>
      </w:pPr>
      <w:r>
        <w:rPr>
          <w:rFonts w:ascii="Courier New" w:cs="Courier New" w:eastAsia="Courier New" w:hAnsi="Courier New"/>
          <w:sz w:val="14"/>
          <w:szCs w:val="14"/>
          <w:color w:val="auto"/>
        </w:rPr>
        <w:t>In the event that there is a Change in Control, and if, within twelve (12) months after a Change in Control a Participant is involuntarily terminated, the Participant shall be entitled to an additional benefit equal to forty percent (40%) of any amount distributed ("Supplemental Tax Benefit") pursuant to Section 6.4.1. If a Participant is eligible for Retirement, no Supplemental Tax Benefit will be paid.</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President &amp;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 Counsel &amp; Secretary</w:t>
      </w:r>
    </w:p>
    <w:p>
      <w:pPr>
        <w:sectPr>
          <w:pgSz w:w="11900" w:h="16838" w:orient="portrait"/>
          <w:cols w:equalWidth="0" w:num="1">
            <w:col w:w="10239"/>
          </w:cols>
          <w:pgMar w:left="220" w:top="307" w:right="1440" w:bottom="1440" w:gutter="0" w:footer="0" w:header="0"/>
        </w:sectPr>
      </w:pPr>
    </w:p>
    <w:bookmarkStart w:id="55" w:name="page56"/>
    <w:bookmarkEnd w:id="55"/>
    <w:p>
      <w:pPr>
        <w:jc w:val="right"/>
        <w:ind w:right="3339"/>
        <w:spacing w:after="0"/>
        <w:rPr>
          <w:sz w:val="20"/>
          <w:szCs w:val="20"/>
          <w:color w:val="auto"/>
        </w:rPr>
      </w:pPr>
      <w:r>
        <w:rPr>
          <w:rFonts w:ascii="Courier New" w:cs="Courier New" w:eastAsia="Courier New" w:hAnsi="Courier New"/>
          <w:sz w:val="14"/>
          <w:szCs w:val="14"/>
          <w:color w:val="auto"/>
        </w:rPr>
        <w:t>EXHIBIT 10(d)</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AMENDED AND RESTATED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DIRECTOR COMPENSATION DEFERRAL PLAN</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Amended and Restated ALLETE Director Compensation Deferral Plan, dated effective January 1, 1990, is amended as follows:</w:t>
      </w:r>
    </w:p>
    <w:p>
      <w:pPr>
        <w:spacing w:after="0" w:line="160" w:lineRule="exact"/>
        <w:rPr>
          <w:sz w:val="20"/>
          <w:szCs w:val="20"/>
          <w:color w:val="auto"/>
        </w:rPr>
      </w:pPr>
    </w:p>
    <w:p>
      <w:pPr>
        <w:ind w:left="520" w:hanging="512"/>
        <w:spacing w:after="0"/>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1, 2006, Section 5.1 is amended to ADD the following:</w:t>
      </w:r>
    </w:p>
    <w:p>
      <w:pPr>
        <w:spacing w:after="0" w:line="172" w:lineRule="exact"/>
        <w:rPr>
          <w:rFonts w:ascii="Courier New" w:cs="Courier New" w:eastAsia="Courier New" w:hAnsi="Courier New"/>
          <w:sz w:val="14"/>
          <w:szCs w:val="14"/>
          <w:color w:val="auto"/>
        </w:rPr>
      </w:pPr>
    </w:p>
    <w:p>
      <w:pPr>
        <w:jc w:val="both"/>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annuity provided under this section shall be calculated using a 7.5% interest rate, or such other rate as approved by the Board. Notwithstanding the foregoing, annuities under this section shall be calculated using an 8% interest rate in any circumstance in which one of the following conditions applies: (i) the Director left service prior to January 1, 2007; or (ii) the Director provided official notice of retirement to the Company prior to January 1, 2007 with an effective retirement date on or before April 1, 2007.</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President &amp;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 Counsel &amp; Secretary</w:t>
      </w:r>
    </w:p>
    <w:p>
      <w:pPr>
        <w:sectPr>
          <w:pgSz w:w="11900" w:h="16838" w:orient="portrait"/>
          <w:cols w:equalWidth="0" w:num="1">
            <w:col w:w="10239"/>
          </w:cols>
          <w:pgMar w:left="220" w:top="307" w:right="1440" w:bottom="1440" w:gutter="0" w:footer="0" w:header="0"/>
        </w:sectPr>
      </w:pPr>
    </w:p>
    <w:bookmarkStart w:id="56" w:name="page57"/>
    <w:bookmarkEnd w:id="56"/>
    <w:p>
      <w:pPr>
        <w:ind w:left="5780"/>
        <w:spacing w:after="0"/>
        <w:rPr>
          <w:sz w:val="20"/>
          <w:szCs w:val="20"/>
          <w:color w:val="auto"/>
        </w:rPr>
      </w:pPr>
      <w:r>
        <w:rPr>
          <w:rFonts w:ascii="Courier New" w:cs="Courier New" w:eastAsia="Courier New" w:hAnsi="Courier New"/>
          <w:sz w:val="14"/>
          <w:szCs w:val="14"/>
          <w:color w:val="auto"/>
        </w:rPr>
        <w:t>EXHIBIT 31(a)</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tabs>
          <w:tab w:leader="none" w:pos="2400" w:val="left"/>
          <w:tab w:leader="none" w:pos="3340" w:val="left"/>
          <w:tab w:leader="none" w:pos="4300" w:val="left"/>
        </w:tabs>
        <w:rPr>
          <w:sz w:val="20"/>
          <w:szCs w:val="20"/>
          <w:color w:val="auto"/>
        </w:rPr>
      </w:pPr>
      <w:r>
        <w:rPr>
          <w:rFonts w:ascii="Courier New" w:cs="Courier New" w:eastAsia="Courier New" w:hAnsi="Courier New"/>
          <w:sz w:val="14"/>
          <w:szCs w:val="14"/>
          <w:color w:val="auto"/>
        </w:rPr>
        <w:t>I, Donald J. Shippar,</w:t>
        <w:tab/>
        <w:t>Chairman,</w:t>
        <w:tab/>
        <w:t>President</w:t>
        <w:tab/>
        <w:t>and Chief Executive 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September 30, 2006,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00" w:right="3339" w:hanging="261"/>
        <w:spacing w:after="0" w:line="251" w:lineRule="auto"/>
        <w:tabs>
          <w:tab w:leader="none" w:pos="7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00" w:right="3339" w:hanging="261"/>
        <w:spacing w:after="0" w:line="251" w:lineRule="auto"/>
        <w:tabs>
          <w:tab w:leader="none" w:pos="7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00" w:right="3339" w:hanging="261"/>
        <w:spacing w:after="0" w:line="252" w:lineRule="auto"/>
        <w:tabs>
          <w:tab w:leader="none" w:pos="7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00" w:right="3339" w:hanging="261"/>
        <w:spacing w:after="0" w:line="251" w:lineRule="auto"/>
        <w:tabs>
          <w:tab w:leader="none" w:pos="7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00" w:right="3339" w:hanging="261"/>
        <w:spacing w:after="0" w:line="252" w:lineRule="auto"/>
        <w:tabs>
          <w:tab w:leader="none" w:pos="7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239"/>
          </w:cols>
          <w:pgMar w:left="220" w:top="307" w:right="1440" w:bottom="1440" w:gutter="0" w:footer="0" w:header="0"/>
        </w:sectPr>
      </w:pPr>
    </w:p>
    <w:p>
      <w:pPr>
        <w:spacing w:after="0" w:line="162" w:lineRule="exact"/>
        <w:rPr>
          <w:sz w:val="20"/>
          <w:szCs w:val="20"/>
          <w:color w:val="auto"/>
        </w:rPr>
      </w:pPr>
    </w:p>
    <w:p>
      <w:pPr>
        <w:ind w:left="700" w:hanging="259"/>
        <w:spacing w:after="0" w:line="252" w:lineRule="auto"/>
        <w:tabs>
          <w:tab w:leader="none" w:pos="680" w:val="left"/>
        </w:tabs>
        <w:rPr>
          <w:sz w:val="20"/>
          <w:szCs w:val="20"/>
          <w:color w:val="auto"/>
        </w:rPr>
      </w:pPr>
      <w:r>
        <w:rPr>
          <w:rFonts w:ascii="Courier New" w:cs="Courier New" w:eastAsia="Courier New" w:hAnsi="Courier New"/>
          <w:sz w:val="14"/>
          <w:szCs w:val="14"/>
          <w:color w:val="auto"/>
        </w:rPr>
        <w:t>b.</w:t>
        <w:tab/>
        <w:t>Any fraud, whether or not material, employees who have a significant control over financial reporting.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4"/>
          <w:szCs w:val="14"/>
          <w:color w:val="auto"/>
        </w:rPr>
        <w:t>that involves</w:t>
        <w:tab/>
        <w:t>management or other</w:t>
      </w:r>
    </w:p>
    <w:p>
      <w:pPr>
        <w:spacing w:after="0" w:line="7" w:lineRule="exact"/>
        <w:rPr>
          <w:sz w:val="20"/>
          <w:szCs w:val="20"/>
          <w:color w:val="auto"/>
        </w:rPr>
      </w:pPr>
    </w:p>
    <w:p>
      <w:pPr>
        <w:spacing w:after="0"/>
        <w:tabs>
          <w:tab w:leader="none" w:pos="1100" w:val="left"/>
          <w:tab w:leader="none" w:pos="2320" w:val="left"/>
        </w:tabs>
        <w:rPr>
          <w:sz w:val="20"/>
          <w:szCs w:val="20"/>
          <w:color w:val="auto"/>
        </w:rPr>
      </w:pPr>
      <w:r>
        <w:rPr>
          <w:rFonts w:ascii="Courier New" w:cs="Courier New" w:eastAsia="Courier New" w:hAnsi="Courier New"/>
          <w:sz w:val="14"/>
          <w:szCs w:val="14"/>
          <w:color w:val="auto"/>
        </w:rPr>
        <w:t>role in the</w:t>
        <w:tab/>
        <w:t>registrant's</w:t>
        <w:tab/>
        <w:t>internal</w:t>
      </w:r>
    </w:p>
    <w:p>
      <w:pPr>
        <w:spacing w:after="0" w:line="375" w:lineRule="exact"/>
        <w:rPr>
          <w:sz w:val="20"/>
          <w:szCs w:val="20"/>
          <w:color w:val="auto"/>
        </w:rPr>
      </w:pPr>
    </w:p>
    <w:p>
      <w:pPr>
        <w:sectPr>
          <w:pgSz w:w="11900" w:h="16838" w:orient="portrait"/>
          <w:cols w:equalWidth="0" w:num="2">
            <w:col w:w="3800" w:space="80"/>
            <w:col w:w="6359"/>
          </w:cols>
          <w:pgMar w:left="220" w:top="307" w:right="1440" w:bottom="1440" w:gutter="0" w:footer="0" w:header="0"/>
          <w:type w:val="continuous"/>
        </w:sectPr>
      </w:pPr>
    </w:p>
    <w:p>
      <w:pPr>
        <w:spacing w:after="0" w:line="129" w:lineRule="exact"/>
        <w:rPr>
          <w:sz w:val="20"/>
          <w:szCs w:val="20"/>
          <w:color w:val="auto"/>
        </w:rPr>
      </w:pPr>
    </w:p>
    <w:p>
      <w:pPr>
        <w:spacing w:after="0"/>
        <w:tabs>
          <w:tab w:leader="none" w:pos="600" w:val="left"/>
          <w:tab w:leader="none" w:pos="2840" w:val="left"/>
        </w:tabs>
        <w:rPr>
          <w:sz w:val="20"/>
          <w:szCs w:val="20"/>
          <w:color w:val="auto"/>
        </w:rPr>
      </w:pPr>
      <w:r>
        <w:rPr>
          <w:rFonts w:ascii="Courier New" w:cs="Courier New" w:eastAsia="Courier New" w:hAnsi="Courier New"/>
          <w:sz w:val="14"/>
          <w:szCs w:val="14"/>
          <w:color w:val="auto"/>
        </w:rPr>
        <w:t>Date:</w:t>
        <w:tab/>
        <w:t>October 27, 2006</w:t>
      </w:r>
      <w:r>
        <w:rPr>
          <w:sz w:val="20"/>
          <w:szCs w:val="20"/>
          <w:color w:val="auto"/>
        </w:rPr>
        <w:tab/>
      </w: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Chairman, President and Chief Executive Officer</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307" w:right="1440" w:bottom="1440" w:gutter="0" w:footer="0" w:header="0"/>
          <w:type w:val="continuous"/>
        </w:sectPr>
      </w:pPr>
    </w:p>
    <w:bookmarkStart w:id="57" w:name="page58"/>
    <w:bookmarkEnd w:id="57"/>
    <w:p>
      <w:pPr>
        <w:ind w:left="5780"/>
        <w:spacing w:after="0"/>
        <w:rPr>
          <w:sz w:val="20"/>
          <w:szCs w:val="20"/>
          <w:color w:val="auto"/>
        </w:rPr>
      </w:pPr>
      <w:r>
        <w:rPr>
          <w:rFonts w:ascii="Courier New" w:cs="Courier New" w:eastAsia="Courier New" w:hAnsi="Courier New"/>
          <w:sz w:val="14"/>
          <w:szCs w:val="14"/>
          <w:color w:val="auto"/>
        </w:rPr>
        <w:t>EXHIBIT 31(b)</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tabs>
          <w:tab w:leader="none" w:pos="2220" w:val="left"/>
          <w:tab w:leader="none" w:pos="3340" w:val="left"/>
          <w:tab w:leader="none" w:pos="4640" w:val="left"/>
        </w:tabs>
        <w:rPr>
          <w:sz w:val="20"/>
          <w:szCs w:val="20"/>
          <w:color w:val="auto"/>
        </w:rPr>
      </w:pPr>
      <w:r>
        <w:rPr>
          <w:rFonts w:ascii="Courier New" w:cs="Courier New" w:eastAsia="Courier New" w:hAnsi="Courier New"/>
          <w:sz w:val="14"/>
          <w:szCs w:val="14"/>
          <w:color w:val="auto"/>
        </w:rPr>
        <w:t>I, Mark A. Schober,</w:t>
        <w:tab/>
        <w:t>Senior Vice</w:t>
        <w:tab/>
        <w:t>President and</w:t>
        <w:tab/>
        <w:t>Chief Financial 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September 30, 2006,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00" w:right="3339" w:hanging="261"/>
        <w:spacing w:after="0" w:line="251" w:lineRule="auto"/>
        <w:tabs>
          <w:tab w:leader="none" w:pos="70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00" w:right="3339" w:hanging="261"/>
        <w:spacing w:after="0" w:line="251" w:lineRule="auto"/>
        <w:tabs>
          <w:tab w:leader="none" w:pos="70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00" w:right="3339" w:hanging="261"/>
        <w:spacing w:after="0" w:line="252" w:lineRule="auto"/>
        <w:tabs>
          <w:tab w:leader="none" w:pos="70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00" w:right="3339" w:hanging="261"/>
        <w:spacing w:after="0" w:line="251" w:lineRule="auto"/>
        <w:tabs>
          <w:tab w:leader="none" w:pos="70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00" w:right="3339" w:hanging="261"/>
        <w:spacing w:after="0" w:line="252" w:lineRule="auto"/>
        <w:tabs>
          <w:tab w:leader="none" w:pos="70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239"/>
          </w:cols>
          <w:pgMar w:left="220" w:top="307" w:right="1440" w:bottom="1440" w:gutter="0" w:footer="0" w:header="0"/>
        </w:sectPr>
      </w:pPr>
    </w:p>
    <w:p>
      <w:pPr>
        <w:spacing w:after="0" w:line="162" w:lineRule="exact"/>
        <w:rPr>
          <w:sz w:val="20"/>
          <w:szCs w:val="20"/>
          <w:color w:val="auto"/>
        </w:rPr>
      </w:pPr>
    </w:p>
    <w:p>
      <w:pPr>
        <w:ind w:left="700" w:hanging="259"/>
        <w:spacing w:after="0" w:line="252" w:lineRule="auto"/>
        <w:tabs>
          <w:tab w:leader="none" w:pos="680" w:val="left"/>
        </w:tabs>
        <w:rPr>
          <w:sz w:val="20"/>
          <w:szCs w:val="20"/>
          <w:color w:val="auto"/>
        </w:rPr>
      </w:pPr>
      <w:r>
        <w:rPr>
          <w:rFonts w:ascii="Courier New" w:cs="Courier New" w:eastAsia="Courier New" w:hAnsi="Courier New"/>
          <w:sz w:val="14"/>
          <w:szCs w:val="14"/>
          <w:color w:val="auto"/>
        </w:rPr>
        <w:t>b.</w:t>
        <w:tab/>
        <w:t>Any fraud, whether or not material, employees who have a significant control over financial reporting.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4"/>
          <w:szCs w:val="14"/>
          <w:color w:val="auto"/>
        </w:rPr>
        <w:t>that involves</w:t>
        <w:tab/>
        <w:t>management or other</w:t>
      </w:r>
    </w:p>
    <w:p>
      <w:pPr>
        <w:spacing w:after="0" w:line="7" w:lineRule="exact"/>
        <w:rPr>
          <w:sz w:val="20"/>
          <w:szCs w:val="20"/>
          <w:color w:val="auto"/>
        </w:rPr>
      </w:pPr>
    </w:p>
    <w:p>
      <w:pPr>
        <w:spacing w:after="0"/>
        <w:tabs>
          <w:tab w:leader="none" w:pos="1100" w:val="left"/>
          <w:tab w:leader="none" w:pos="2320" w:val="left"/>
        </w:tabs>
        <w:rPr>
          <w:sz w:val="20"/>
          <w:szCs w:val="20"/>
          <w:color w:val="auto"/>
        </w:rPr>
      </w:pPr>
      <w:r>
        <w:rPr>
          <w:rFonts w:ascii="Courier New" w:cs="Courier New" w:eastAsia="Courier New" w:hAnsi="Courier New"/>
          <w:sz w:val="14"/>
          <w:szCs w:val="14"/>
          <w:color w:val="auto"/>
        </w:rPr>
        <w:t>role in the</w:t>
        <w:tab/>
        <w:t>registrant's</w:t>
        <w:tab/>
        <w:t>internal</w:t>
      </w:r>
    </w:p>
    <w:p>
      <w:pPr>
        <w:spacing w:after="0" w:line="375" w:lineRule="exact"/>
        <w:rPr>
          <w:sz w:val="20"/>
          <w:szCs w:val="20"/>
          <w:color w:val="auto"/>
        </w:rPr>
      </w:pPr>
    </w:p>
    <w:p>
      <w:pPr>
        <w:sectPr>
          <w:pgSz w:w="11900" w:h="16838" w:orient="portrait"/>
          <w:cols w:equalWidth="0" w:num="2">
            <w:col w:w="3800" w:space="80"/>
            <w:col w:w="6359"/>
          </w:cols>
          <w:pgMar w:left="220" w:top="307" w:right="1440" w:bottom="1440" w:gutter="0" w:footer="0" w:header="0"/>
          <w:type w:val="continuous"/>
        </w:sectPr>
      </w:pPr>
    </w:p>
    <w:p>
      <w:pPr>
        <w:spacing w:after="0" w:line="129" w:lineRule="exact"/>
        <w:rPr>
          <w:sz w:val="20"/>
          <w:szCs w:val="20"/>
          <w:color w:val="auto"/>
        </w:rPr>
      </w:pPr>
    </w:p>
    <w:p>
      <w:pPr>
        <w:spacing w:after="0"/>
        <w:tabs>
          <w:tab w:leader="none" w:pos="600" w:val="left"/>
          <w:tab w:leader="none" w:pos="2660" w:val="left"/>
        </w:tabs>
        <w:rPr>
          <w:sz w:val="20"/>
          <w:szCs w:val="20"/>
          <w:color w:val="auto"/>
        </w:rPr>
      </w:pPr>
      <w:r>
        <w:rPr>
          <w:rFonts w:ascii="Courier New" w:cs="Courier New" w:eastAsia="Courier New" w:hAnsi="Courier New"/>
          <w:sz w:val="14"/>
          <w:szCs w:val="14"/>
          <w:color w:val="auto"/>
        </w:rPr>
        <w:t>Date:</w:t>
        <w:tab/>
        <w:t>October 27, 2006</w:t>
      </w:r>
      <w:r>
        <w:rPr>
          <w:sz w:val="20"/>
          <w:szCs w:val="20"/>
          <w:color w:val="auto"/>
        </w:rPr>
        <w:tab/>
      </w:r>
      <w:r>
        <w:rPr>
          <w:rFonts w:ascii="Courier New" w:cs="Courier New" w:eastAsia="Courier New" w:hAnsi="Courier New"/>
          <w:sz w:val="14"/>
          <w:szCs w:val="14"/>
          <w:color w:val="auto"/>
        </w:rPr>
        <w:t>Mark A. Schober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307" w:right="1440" w:bottom="1440" w:gutter="0" w:footer="0" w:header="0"/>
          <w:type w:val="continuous"/>
        </w:sectPr>
      </w:pPr>
    </w:p>
    <w:bookmarkStart w:id="58" w:name="page59"/>
    <w:bookmarkEnd w:id="58"/>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440" w:right="3339" w:hanging="432"/>
        <w:spacing w:after="0" w:line="252" w:lineRule="auto"/>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September 30, 2006,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307"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27,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1360" w:space="700"/>
            <w:col w:w="7559"/>
          </w:cols>
          <w:pgMar w:left="220" w:top="307"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27, 2006</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360" w:space="700"/>
            <w:col w:w="7559"/>
          </w:cols>
          <w:pgMar w:left="220" w:top="307" w:right="1440" w:bottom="1440" w:gutter="0" w:footer="0" w:header="0"/>
          <w:type w:val="continuous"/>
        </w:sect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33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Third Quarter 2006 Form 10-Q</w:t>
      </w:r>
    </w:p>
    <w:p>
      <w:pPr>
        <w:sectPr>
          <w:pgSz w:w="11900" w:h="16838" w:orient="portrait"/>
          <w:cols w:equalWidth="0" w:num="1">
            <w:col w:w="10239"/>
          </w:cols>
          <w:pgMar w:left="220" w:top="307" w:right="1440" w:bottom="1440" w:gutter="0" w:footer="0" w:header="0"/>
          <w:type w:val="continuous"/>
        </w:sectPr>
      </w:pPr>
    </w:p>
    <w:bookmarkStart w:id="59" w:name="page60"/>
    <w:bookmarkEnd w:id="59"/>
    <w:p>
      <w:pPr>
        <w:ind w:left="6040"/>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ectPr>
          <w:pgSz w:w="11900" w:h="16838" w:orient="portrait"/>
          <w:cols w:equalWidth="0" w:num="1">
            <w:col w:w="10239"/>
          </w:cols>
          <w:pgMar w:left="220" w:top="307" w:right="1440" w:bottom="1440" w:gutter="0" w:footer="0" w:header="0"/>
        </w:sectPr>
      </w:pP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For Release: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30,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Olson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eolson@allete.com</w:t>
      </w:r>
    </w:p>
    <w:p>
      <w:pPr>
        <w:spacing w:after="0" w:line="173" w:lineRule="exact"/>
        <w:rPr>
          <w:sz w:val="20"/>
          <w:szCs w:val="20"/>
          <w:color w:val="auto"/>
        </w:rPr>
      </w:pPr>
    </w:p>
    <w:p>
      <w:pPr>
        <w:sectPr>
          <w:pgSz w:w="11900" w:h="16838" w:orient="portrait"/>
          <w:cols w:equalWidth="0" w:num="2">
            <w:col w:w="4740" w:space="600"/>
            <w:col w:w="4899"/>
          </w:cols>
          <w:pgMar w:left="220" w:top="307"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4"/>
          <w:szCs w:val="14"/>
          <w:color w:val="auto"/>
        </w:rPr>
        <w:t>INVESTOR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7" w:lineRule="exact"/>
        <w:rPr>
          <w:sz w:val="20"/>
          <w:szCs w:val="20"/>
          <w:color w:val="auto"/>
        </w:rPr>
      </w:pPr>
    </w:p>
    <w:p>
      <w:pPr>
        <w:sectPr>
          <w:pgSz w:w="11900" w:h="16838" w:orient="portrait"/>
          <w:cols w:equalWidth="0" w:num="2">
            <w:col w:w="4620" w:space="720"/>
            <w:col w:w="489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THIRD QUARTER EPS FROM CONTINUING OPERATIONS RISES 34%;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2006 EARNINGS NOW PROJECTED TO BE NEAR THE UPPER END OF GUIDANCE RANGE</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ALLETE, Inc. (NYSE: ALE) today reported earnings from continuing operations of 78 cents per share in the third quarter of 2006, a 34 percent increase over the 58 cents per share recorded in the third quarter a year ago. Net income for the quarter was $21.8 million on revenue of $199.1 million.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Income from ALLETE's energy businesses was up 26 percent from a year ago, driven by higher industrial power sales to taconite facilities, paper mills and petroleum pipelines and by additional summer cooling load needed by municipal, residential, and commercial customers. Returns on ALLETE's investment in the American Transmission Company also contributed to income. ALLETE had invested $35.2 million in ATC by the end of the third quarter.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ALLETE Properties income, which was 28 percent higher than in the third quarter of 2005, continued to benefit from contract closings, recognition of deferred profit from earlier sales at ALLETE's Town Center at Palm Coast development project and from other non-project property sales. ALLETE Properties had $114.5 million in land sales under contract as of Sept. 30, 2006.</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"We're very pleased with the earnings momentum demonstrated by our two primary businesses," said Don Shippar, ALLETE's chairman, president and CEO. "We now expect to be near the upper end of our 2006 earnings guidance range."</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ALLETE's 2006 earnings guidance, issued in February, projected earnings per share growth of 15 to 20 percent compared with 2005. The guidance was based on diluted earnings from continuing operations in 2005 of $2.26 per share, which excluded transactions not representative of ongoing operations.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ALLETE's corporate headquarters are located in Duluth, Minnesota. ALLETE provides energy services in the upper Midwest and has significant real estate holdings in Florida. More information about the company is available on ALLETE's Web site, www.allete.com.</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[recycle logo] RECYCLED PAPER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ALLETE - 30 WEST SUPERIOR STREET, DULUTH, MINNESOTA 55802</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WWW.ALLETE.COM</w:t>
      </w:r>
    </w:p>
    <w:p>
      <w:pPr>
        <w:sectPr>
          <w:pgSz w:w="11900" w:h="16838" w:orient="portrait"/>
          <w:cols w:equalWidth="0" w:num="1">
            <w:col w:w="10239"/>
          </w:cols>
          <w:pgMar w:left="220" w:top="307" w:right="1440" w:bottom="1440" w:gutter="0" w:footer="0" w:header="0"/>
          <w:type w:val="continuous"/>
        </w:sectPr>
      </w:pPr>
    </w:p>
    <w:bookmarkStart w:id="60" w:name="page61"/>
    <w:bookmarkEnd w:id="60"/>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FOR THE PERIODS ENDED SEPTEMBER 30, 2006 AND 2005</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p>
      <w:pPr>
        <w:jc w:val="center"/>
        <w:ind w:left="6300"/>
        <w:spacing w:after="0"/>
        <w:tabs>
          <w:tab w:leader="none" w:pos="14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jc w:val="center"/>
        <w:ind w:left="6300"/>
        <w:spacing w:after="0"/>
        <w:tabs>
          <w:tab w:leader="none" w:pos="920" w:val="left"/>
          <w:tab w:leader="none" w:pos="940" w:val="left"/>
          <w:tab w:leader="none" w:pos="84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5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$545.1</w:t>
            </w:r>
          </w:p>
        </w:tc>
      </w:tr>
    </w:tbl>
    <w:p>
      <w:pPr>
        <w:spacing w:after="0" w:line="4"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201.9</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211.8</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6800" w:val="left"/>
          <w:tab w:leader="none" w:pos="8080" w:val="left"/>
          <w:tab w:leader="none" w:pos="9380" w:val="left"/>
          <w:tab w:leader="none" w:pos="1058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4"/>
          <w:szCs w:val="14"/>
          <w:color w:val="auto"/>
        </w:rPr>
        <w:t>160.4</w:t>
      </w:r>
      <w:r>
        <w:rPr>
          <w:sz w:val="20"/>
          <w:szCs w:val="20"/>
          <w:color w:val="auto"/>
        </w:rPr>
        <w:tab/>
      </w:r>
      <w:r>
        <w:rPr>
          <w:rFonts w:ascii="Courier New" w:cs="Courier New" w:eastAsia="Courier New" w:hAnsi="Courier New"/>
          <w:sz w:val="14"/>
          <w:szCs w:val="14"/>
          <w:color w:val="auto"/>
        </w:rPr>
        <w:t>144.7</w:t>
      </w:r>
      <w:r>
        <w:rPr>
          <w:sz w:val="20"/>
          <w:szCs w:val="20"/>
          <w:color w:val="auto"/>
        </w:rPr>
        <w:tab/>
      </w:r>
      <w:r>
        <w:rPr>
          <w:rFonts w:ascii="Courier New" w:cs="Courier New" w:eastAsia="Courier New" w:hAnsi="Courier New"/>
          <w:sz w:val="14"/>
          <w:szCs w:val="14"/>
          <w:color w:val="auto"/>
        </w:rPr>
        <w:t>468.5</w:t>
      </w:r>
      <w:r>
        <w:rPr>
          <w:sz w:val="20"/>
          <w:szCs w:val="20"/>
          <w:color w:val="auto"/>
        </w:rPr>
        <w:tab/>
      </w:r>
      <w:r>
        <w:rPr>
          <w:rFonts w:ascii="Courier New" w:cs="Courier New" w:eastAsia="Courier New" w:hAnsi="Courier New"/>
          <w:sz w:val="14"/>
          <w:szCs w:val="14"/>
          <w:color w:val="auto"/>
        </w:rPr>
        <w:t>527.3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880" w:val="left"/>
          <w:tab w:leader="none" w:pos="8180" w:val="left"/>
          <w:tab w:leader="none" w:pos="9380" w:val="left"/>
          <w:tab w:leader="none" w:pos="10660" w:val="left"/>
        </w:tabs>
        <w:rPr>
          <w:sz w:val="20"/>
          <w:szCs w:val="20"/>
          <w:color w:val="auto"/>
        </w:rPr>
      </w:pPr>
      <w:r>
        <w:rPr>
          <w:rFonts w:ascii="Courier New" w:cs="Courier New" w:eastAsia="Courier New" w:hAnsi="Courier New"/>
          <w:sz w:val="14"/>
          <w:szCs w:val="14"/>
          <w:color w:val="auto"/>
        </w:rPr>
        <w:t>OPERATING INCOME FROM CONTINUING OPERATIONS</w:t>
      </w:r>
      <w:r>
        <w:rPr>
          <w:sz w:val="20"/>
          <w:szCs w:val="20"/>
          <w:color w:val="auto"/>
        </w:rPr>
        <w:tab/>
      </w:r>
      <w:r>
        <w:rPr>
          <w:rFonts w:ascii="Courier New" w:cs="Courier New" w:eastAsia="Courier New" w:hAnsi="Courier New"/>
          <w:sz w:val="14"/>
          <w:szCs w:val="14"/>
          <w:color w:val="auto"/>
        </w:rPr>
        <w:t>38.7</w:t>
      </w:r>
      <w:r>
        <w:rPr>
          <w:sz w:val="20"/>
          <w:szCs w:val="20"/>
          <w:color w:val="auto"/>
        </w:rPr>
        <w:tab/>
      </w: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17.8</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1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bl>
    <w:p>
      <w:pPr>
        <w:spacing w:after="0" w:line="4"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bl>
    <w:p>
      <w:pPr>
        <w:spacing w:after="0" w:line="4"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54.3</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$ 53.8</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(7.7)</w:t>
            </w:r>
          </w:p>
        </w:tc>
      </w:tr>
    </w:tbl>
    <w:p>
      <w:pPr>
        <w:spacing w:after="0" w:line="4"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bl>
    <w:p>
      <w:pPr>
        <w:spacing w:after="0" w:line="4"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$0.78</w:t>
            </w:r>
          </w:p>
        </w:tc>
        <w:tc>
          <w:tcPr>
            <w:tcW w:w="1320" w:type="dxa"/>
            <w:vAlign w:val="bottom"/>
          </w:tcPr>
          <w:p>
            <w:pPr>
              <w:ind w:left="420"/>
              <w:spacing w:after="0"/>
              <w:rPr>
                <w:sz w:val="20"/>
                <w:szCs w:val="20"/>
                <w:color w:val="auto"/>
              </w:rPr>
            </w:pPr>
            <w:r>
              <w:rPr>
                <w:rFonts w:ascii="Courier New" w:cs="Courier New" w:eastAsia="Courier New" w:hAnsi="Courier New"/>
                <w:sz w:val="14"/>
                <w:szCs w:val="14"/>
                <w:color w:val="auto"/>
              </w:rPr>
              <w:t>$0.58</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$1.96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420"/>
              <w:spacing w:after="0"/>
              <w:rPr>
                <w:sz w:val="20"/>
                <w:szCs w:val="20"/>
                <w:color w:val="auto"/>
              </w:rPr>
            </w:pPr>
            <w:r>
              <w:rPr>
                <w:rFonts w:ascii="Courier New" w:cs="Courier New" w:eastAsia="Courier New" w:hAnsi="Courier New"/>
                <w:sz w:val="14"/>
                <w:szCs w:val="14"/>
                <w:color w:val="auto"/>
              </w:rPr>
              <w:t>(0.02)</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(0.02)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820"/>
        <w:spacing w:after="0"/>
        <w:tabs>
          <w:tab w:leader="none" w:pos="8080" w:val="left"/>
          <w:tab w:leader="none" w:pos="9380" w:val="left"/>
          <w:tab w:leader="none" w:pos="10500" w:val="left"/>
        </w:tabs>
        <w:rPr>
          <w:sz w:val="20"/>
          <w:szCs w:val="20"/>
          <w:color w:val="auto"/>
        </w:rPr>
      </w:pPr>
      <w:r>
        <w:rPr>
          <w:rFonts w:ascii="Courier New" w:cs="Courier New" w:eastAsia="Courier New" w:hAnsi="Courier New"/>
          <w:sz w:val="14"/>
          <w:szCs w:val="14"/>
          <w:color w:val="auto"/>
        </w:rPr>
        <w:t>$0.78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$1.94</w:t>
      </w:r>
      <w:r>
        <w:rPr>
          <w:sz w:val="20"/>
          <w:szCs w:val="20"/>
          <w:color w:val="auto"/>
        </w:rPr>
        <w:tab/>
      </w:r>
      <w:r>
        <w:rPr>
          <w:rFonts w:ascii="Courier New" w:cs="Courier New" w:eastAsia="Courier New" w:hAnsi="Courier New"/>
          <w:sz w:val="14"/>
          <w:szCs w:val="14"/>
          <w:color w:val="auto"/>
        </w:rPr>
        <w:t>$(0.28)</w:t>
      </w:r>
    </w:p>
    <w:p>
      <w:pPr>
        <w:spacing w:after="0" w:line="7"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$0.78</w:t>
            </w:r>
          </w:p>
        </w:tc>
        <w:tc>
          <w:tcPr>
            <w:tcW w:w="1320" w:type="dxa"/>
            <w:vAlign w:val="bottom"/>
          </w:tcPr>
          <w:p>
            <w:pPr>
              <w:ind w:left="420"/>
              <w:spacing w:after="0"/>
              <w:rPr>
                <w:sz w:val="20"/>
                <w:szCs w:val="20"/>
                <w:color w:val="auto"/>
              </w:rPr>
            </w:pPr>
            <w:r>
              <w:rPr>
                <w:rFonts w:ascii="Courier New" w:cs="Courier New" w:eastAsia="Courier New" w:hAnsi="Courier New"/>
                <w:sz w:val="14"/>
                <w:szCs w:val="14"/>
                <w:color w:val="auto"/>
              </w:rPr>
              <w:t>$0.58</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$1.95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420"/>
              <w:spacing w:after="0"/>
              <w:rPr>
                <w:sz w:val="20"/>
                <w:szCs w:val="20"/>
                <w:color w:val="auto"/>
              </w:rPr>
            </w:pPr>
            <w:r>
              <w:rPr>
                <w:rFonts w:ascii="Courier New" w:cs="Courier New" w:eastAsia="Courier New" w:hAnsi="Courier New"/>
                <w:sz w:val="14"/>
                <w:szCs w:val="14"/>
                <w:color w:val="auto"/>
              </w:rPr>
              <w:t>(0.02)</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(0.02)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820"/>
        <w:spacing w:after="0"/>
        <w:tabs>
          <w:tab w:leader="none" w:pos="8080" w:val="left"/>
          <w:tab w:leader="none" w:pos="9380" w:val="left"/>
          <w:tab w:leader="none" w:pos="10500" w:val="left"/>
        </w:tabs>
        <w:rPr>
          <w:sz w:val="20"/>
          <w:szCs w:val="20"/>
          <w:color w:val="auto"/>
        </w:rPr>
      </w:pPr>
      <w:r>
        <w:rPr>
          <w:rFonts w:ascii="Courier New" w:cs="Courier New" w:eastAsia="Courier New" w:hAnsi="Courier New"/>
          <w:sz w:val="14"/>
          <w:szCs w:val="14"/>
          <w:color w:val="auto"/>
        </w:rPr>
        <w:t>$0.78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620" w:val="left"/>
          <w:tab w:leader="none" w:pos="7920" w:val="left"/>
          <w:tab w:leader="none" w:pos="9200" w:val="left"/>
          <w:tab w:leader="none" w:pos="1042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$0.3625</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$1.0875</w:t>
      </w:r>
      <w:r>
        <w:rPr>
          <w:sz w:val="20"/>
          <w:szCs w:val="20"/>
          <w:color w:val="auto"/>
        </w:rPr>
        <w:tab/>
      </w:r>
      <w:r>
        <w:rPr>
          <w:rFonts w:ascii="Courier New" w:cs="Courier New" w:eastAsia="Courier New" w:hAnsi="Courier New"/>
          <w:sz w:val="14"/>
          <w:szCs w:val="14"/>
          <w:color w:val="auto"/>
        </w:rPr>
        <w:t>$0.9300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532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5320"/>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ind w:left="4140"/>
        <w:spacing w:after="0"/>
        <w:tabs>
          <w:tab w:leader="none" w:pos="5420" w:val="left"/>
        </w:tabs>
        <w:rPr>
          <w:sz w:val="20"/>
          <w:szCs w:val="20"/>
          <w:color w:val="auto"/>
        </w:rPr>
      </w:pPr>
      <w:r>
        <w:rPr>
          <w:rFonts w:ascii="Courier New" w:cs="Courier New" w:eastAsia="Courier New" w:hAnsi="Courier New"/>
          <w:sz w:val="14"/>
          <w:szCs w:val="14"/>
          <w:color w:val="auto"/>
        </w:rPr>
        <w:t>SEPT. 30,</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ind w:left="4320"/>
        <w:spacing w:after="0"/>
        <w:tabs>
          <w:tab w:leader="none" w:pos="550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89.6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167.0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877.9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860.4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$1,400.9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$1,398.8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106.7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387.8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288.5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645.8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32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$1,400.9</w:t>
      </w:r>
      <w:r>
        <w:rPr>
          <w:sz w:val="20"/>
          <w:szCs w:val="20"/>
          <w:color w:val="auto"/>
        </w:rPr>
        <w:tab/>
      </w:r>
      <w:r>
        <w:rPr>
          <w:rFonts w:ascii="Courier New" w:cs="Courier New" w:eastAsia="Courier New" w:hAnsi="Courier New"/>
          <w:sz w:val="14"/>
          <w:szCs w:val="14"/>
          <w:color w:val="auto"/>
        </w:rPr>
        <w:t>$1,398.8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425" w:gutter="0" w:footer="0" w:header="0"/>
        </w:sectPr>
      </w:pPr>
    </w:p>
    <w:bookmarkStart w:id="61" w:name="page62"/>
    <w:bookmarkEnd w:id="61"/>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7080"/>
        <w:spacing w:after="0"/>
        <w:tabs>
          <w:tab w:leader="none" w:pos="96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ind w:left="7080"/>
        <w:spacing w:after="0"/>
        <w:tabs>
          <w:tab w:leader="none" w:pos="964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spacing w:after="0"/>
        <w:tabs>
          <w:tab w:leader="none" w:pos="6800" w:val="left"/>
          <w:tab w:leader="none" w:pos="8080" w:val="left"/>
          <w:tab w:leader="none" w:pos="9380" w:val="left"/>
          <w:tab w:leader="none" w:pos="10660" w:val="left"/>
        </w:tabs>
        <w:rPr>
          <w:sz w:val="20"/>
          <w:szCs w:val="20"/>
          <w:color w:val="auto"/>
        </w:rPr>
      </w:pPr>
      <w:r>
        <w:rPr>
          <w:rFonts w:ascii="Courier New" w:cs="Courier New" w:eastAsia="Courier New" w:hAnsi="Courier New"/>
          <w:sz w:val="14"/>
          <w:szCs w:val="14"/>
          <w:color w:val="auto"/>
        </w:rPr>
        <w:t>ALLETE, INC.</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7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7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2.9</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ATC</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Courier New" w:cs="Courier New" w:eastAsia="Courier New" w:hAnsi="Courier New"/>
                <w:sz w:val="14"/>
                <w:szCs w:val="14"/>
                <w:color w:val="auto"/>
              </w:rPr>
              <w:t>Income (Loss) from Continuing Operations</w:t>
            </w:r>
          </w:p>
        </w:tc>
        <w:tc>
          <w:tcPr>
            <w:tcW w:w="2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21.9</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54.3</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4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Courier New" w:cs="Courier New" w:eastAsia="Courier New" w:hAnsi="Courier New"/>
                <w:sz w:val="14"/>
                <w:szCs w:val="14"/>
                <w:color w:val="auto"/>
              </w:rPr>
              <w:t>Loss from Discontinued Operations</w:t>
            </w:r>
          </w:p>
        </w:tc>
        <w:tc>
          <w:tcPr>
            <w:tcW w:w="2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Courier New" w:cs="Courier New" w:eastAsia="Courier New" w:hAnsi="Courier New"/>
                <w:sz w:val="14"/>
                <w:szCs w:val="14"/>
                <w:color w:val="auto"/>
              </w:rPr>
              <w:t>Net Income (Loss)</w:t>
            </w:r>
          </w:p>
        </w:tc>
        <w:tc>
          <w:tcPr>
            <w:tcW w:w="2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$21.8</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$53.8</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w:t>
            </w:r>
          </w:p>
        </w:tc>
      </w:tr>
    </w:tbl>
    <w:p>
      <w:pPr>
        <w:spacing w:after="0" w:line="4"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Continuing Operations</w:t>
            </w:r>
          </w:p>
        </w:tc>
        <w:tc>
          <w:tcPr>
            <w:tcW w:w="3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$0.78</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$0.58</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$1.95</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$(0.24)</w:t>
            </w:r>
          </w:p>
        </w:tc>
      </w:tr>
      <w:tr>
        <w:trPr>
          <w:trHeight w:val="166"/>
        </w:trPr>
        <w:tc>
          <w:tcPr>
            <w:tcW w:w="14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Discontinued Operations</w:t>
            </w:r>
          </w:p>
        </w:tc>
        <w:tc>
          <w:tcPr>
            <w:tcW w:w="3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(0.02)</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(0.02)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(0.04)</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$0.78</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$0.56</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$1.93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500" w:hanging="344"/>
        <w:spacing w:after="0" w:line="250" w:lineRule="auto"/>
        <w:rPr>
          <w:sz w:val="20"/>
          <w:szCs w:val="20"/>
          <w:color w:val="auto"/>
        </w:rPr>
      </w:pPr>
      <w:r>
        <w:rPr>
          <w:rFonts w:ascii="Courier New" w:cs="Courier New" w:eastAsia="Courier New" w:hAnsi="Courier New"/>
          <w:sz w:val="14"/>
          <w:szCs w:val="14"/>
          <w:color w:val="auto"/>
        </w:rPr>
        <w:t>In 2006, financial results for ALLETE's Taconite</w:t>
      </w:r>
      <w:r>
        <w:rPr>
          <w:sz w:val="20"/>
          <w:szCs w:val="20"/>
          <w:color w:val="auto"/>
        </w:rPr>
        <w:t xml:space="preserve"> </w:t>
      </w:r>
      <w:r>
        <w:rPr>
          <w:rFonts w:ascii="Courier New" w:cs="Courier New" w:eastAsia="Courier New" w:hAnsi="Courier New"/>
          <w:sz w:val="14"/>
          <w:szCs w:val="14"/>
          <w:color w:val="auto"/>
        </w:rPr>
        <w:t>Harbor Energy Center are included in the Regulated Utility segment. In 2005, Taconite Harbor is included in the Nonregulated Energy Operations segment.</w:t>
      </w:r>
    </w:p>
    <w:p>
      <w:pPr>
        <w:spacing w:after="0" w:line="1" w:lineRule="exact"/>
        <w:rPr>
          <w:sz w:val="20"/>
          <w:szCs w:val="20"/>
          <w:color w:val="auto"/>
        </w:rPr>
      </w:pPr>
    </w:p>
    <w:p>
      <w:pPr>
        <w:ind w:left="440" w:right="500" w:hanging="344"/>
        <w:spacing w:after="0" w:line="255" w:lineRule="auto"/>
        <w:rPr>
          <w:sz w:val="20"/>
          <w:szCs w:val="20"/>
          <w:color w:val="auto"/>
        </w:rPr>
      </w:pPr>
      <w:r>
        <w:rPr>
          <w:rFonts w:ascii="Courier New" w:cs="Courier New" w:eastAsia="Courier New" w:hAnsi="Courier New"/>
          <w:sz w:val="14"/>
          <w:szCs w:val="14"/>
          <w:color w:val="auto"/>
        </w:rPr>
        <w:t>In April 2005, ALLETE</w:t>
      </w:r>
      <w:r>
        <w:rPr>
          <w:sz w:val="20"/>
          <w:szCs w:val="20"/>
          <w:color w:val="auto"/>
        </w:rPr>
        <w:t xml:space="preserve"> </w:t>
      </w:r>
      <w:r>
        <w:rPr>
          <w:rFonts w:ascii="Courier New" w:cs="Courier New" w:eastAsia="Courier New" w:hAnsi="Courier New"/>
          <w:sz w:val="14"/>
          <w:szCs w:val="14"/>
          <w:color w:val="auto"/>
        </w:rPr>
        <w:t>recorded a $50.4 million, or $1.84 per diluted share, charge related to the assignment of the Kendall County power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80"/>
        <w:spacing w:after="0"/>
        <w:tabs>
          <w:tab w:leader="none" w:pos="96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ind w:left="7080"/>
        <w:spacing w:after="0"/>
        <w:tabs>
          <w:tab w:leader="none" w:pos="964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6820"/>
        <w:spacing w:after="0"/>
        <w:tabs>
          <w:tab w:leader="none" w:pos="8080" w:val="left"/>
          <w:tab w:leader="none" w:pos="9380" w:val="left"/>
          <w:tab w:leader="none" w:pos="106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STATISTICAL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High</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$51.70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$51.70</w:t>
            </w: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Low</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$43.26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$42.80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$42.99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$35.65</w:t>
            </w: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Close</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$43.45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$45.81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$45.81</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$19.57</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3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3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Retail and Municipals</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Residential</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804.2</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Commercial</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361.7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346.6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986.9</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Industrial</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1,836.9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1,782.8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5,429.1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5,306.8</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Municipals</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684.0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657.3</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2,731.0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2,640.6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7,978.5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7,814.4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584.3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864.9</w:t>
            </w:r>
          </w:p>
        </w:tc>
      </w:tr>
    </w:tbl>
    <w:p>
      <w:pPr>
        <w:spacing w:after="0" w:line="4"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3,315.32,901.99,583.48,679.3</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405.8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640"/>
        <w:spacing w:after="0"/>
        <w:tabs>
          <w:tab w:leader="none" w:pos="7920" w:val="left"/>
          <w:tab w:leader="none" w:pos="9200" w:val="left"/>
          <w:tab w:leader="none" w:pos="10500" w:val="left"/>
        </w:tabs>
        <w:rPr>
          <w:sz w:val="20"/>
          <w:szCs w:val="20"/>
          <w:color w:val="auto"/>
        </w:rPr>
      </w:pPr>
      <w:r>
        <w:rPr>
          <w:rFonts w:ascii="Courier New" w:cs="Courier New" w:eastAsia="Courier New" w:hAnsi="Courier New"/>
          <w:sz w:val="14"/>
          <w:szCs w:val="14"/>
          <w:color w:val="auto"/>
        </w:rPr>
        <w:t>3,375.7</w:t>
      </w:r>
      <w:r>
        <w:rPr>
          <w:sz w:val="20"/>
          <w:szCs w:val="20"/>
          <w:color w:val="auto"/>
        </w:rPr>
        <w:tab/>
      </w:r>
      <w:r>
        <w:rPr>
          <w:rFonts w:ascii="Courier New" w:cs="Courier New" w:eastAsia="Courier New" w:hAnsi="Courier New"/>
          <w:sz w:val="14"/>
          <w:szCs w:val="14"/>
          <w:color w:val="auto"/>
        </w:rPr>
        <w:t>3,307.7</w:t>
      </w:r>
      <w:r>
        <w:rPr>
          <w:sz w:val="20"/>
          <w:szCs w:val="20"/>
          <w:color w:val="auto"/>
        </w:rPr>
        <w:tab/>
      </w:r>
      <w:r>
        <w:rPr>
          <w:rFonts w:ascii="Courier New" w:cs="Courier New" w:eastAsia="Courier New" w:hAnsi="Courier New"/>
          <w:sz w:val="14"/>
          <w:szCs w:val="14"/>
          <w:color w:val="auto"/>
        </w:rPr>
        <w:t>9,764.7</w:t>
      </w:r>
      <w:r>
        <w:rPr>
          <w:sz w:val="20"/>
          <w:szCs w:val="20"/>
          <w:color w:val="auto"/>
        </w:rPr>
        <w:tab/>
      </w:r>
      <w:r>
        <w:rPr>
          <w:rFonts w:ascii="Courier New" w:cs="Courier New" w:eastAsia="Courier New" w:hAnsi="Courier New"/>
          <w:sz w:val="14"/>
          <w:szCs w:val="14"/>
          <w:color w:val="auto"/>
        </w:rPr>
        <w:t>9,838.9</w:t>
      </w:r>
    </w:p>
    <w:p>
      <w:pPr>
        <w:spacing w:after="0" w:line="7"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Town Center Development Project</w:t>
            </w: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Commercial Square Footage Sold</w:t>
            </w:r>
          </w:p>
        </w:tc>
        <w:tc>
          <w:tcPr>
            <w:tcW w:w="2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114,300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246,000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364,995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643,000</w:t>
            </w: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2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Palm Coast Park Development Project</w:t>
            </w:r>
          </w:p>
        </w:tc>
        <w:tc>
          <w:tcPr>
            <w:tcW w:w="2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2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2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Acres Sold</w:t>
            </w:r>
          </w:p>
        </w:tc>
        <w:tc>
          <w:tcPr>
            <w:tcW w:w="2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1,058</w:t>
            </w: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Lots Sold</w:t>
            </w:r>
          </w:p>
        </w:tc>
        <w:tc>
          <w:tcPr>
            <w:tcW w:w="2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540"/>
          </w:cols>
          <w:pgMar w:left="220" w:top="616" w:right="139" w:bottom="83"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32"/>
    </w:lvl>
  </w:abstractNum>
  <w:abstractNum w:abstractNumId="39">
    <w:nsid w:val="4F4EF005"/>
    <w:multiLevelType w:val="hybridMultilevel"/>
    <w:lvl w:ilvl="0">
      <w:lvlJc w:val="left"/>
      <w:lvlText w:val="-"/>
      <w:numFmt w:val="bullet"/>
      <w:start w:val="1"/>
    </w:lvl>
    <w:lvl w:ilvl="1">
      <w:lvlJc w:val="left"/>
      <w:lvlText w:val="%2"/>
      <w:numFmt w:val="decimal"/>
      <w:start w:val="99"/>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32"/>
    </w:lvl>
  </w:abstractNum>
  <w:abstractNum w:abstractNumId="42">
    <w:nsid w:val="275AC794"/>
    <w:multiLevelType w:val="hybridMultilevel"/>
    <w:lvl w:ilvl="0">
      <w:lvlJc w:val="left"/>
      <w:lvlText w:val="%1"/>
      <w:numFmt w:val="decimal"/>
      <w:start w:val="99"/>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upperLetter"/>
      <w:start w:val="1"/>
    </w:lvl>
    <w:lvl w:ilvl="1">
      <w:lvlJc w:val="left"/>
      <w:lvlText w:val="%2."/>
      <w:numFmt w:val="lowerRoman"/>
      <w:start w:val="1"/>
    </w:lvl>
  </w:abstractNum>
  <w:abstractNum w:abstractNumId="45">
    <w:nsid w:val="180115BE"/>
    <w:multiLevelType w:val="hybridMultilevel"/>
    <w:lvl w:ilvl="0">
      <w:lvlJc w:val="left"/>
      <w:lvlText w:val="%1"/>
      <w:numFmt w:val="upperLetter"/>
      <w:start w:val="1"/>
    </w:lvl>
    <w:lvl w:ilvl="1">
      <w:lvlJc w:val="left"/>
      <w:lvlText w:val="%2."/>
      <w:numFmt w:val="lowerRoman"/>
      <w:start w:val="4"/>
    </w:lvl>
  </w:abstractNum>
  <w:abstractNum w:abstractNumId="46">
    <w:nsid w:val="235BA861"/>
    <w:multiLevelType w:val="hybridMultilevel"/>
    <w:lvl w:ilvl="0">
      <w:lvlJc w:val="left"/>
      <w:lvlText w:val="(%1)"/>
      <w:numFmt w:val="upperLetter"/>
      <w:start w:val="2"/>
    </w:lvl>
    <w:lvl w:ilvl="1">
      <w:lvlJc w:val="left"/>
      <w:lvlText w:val="%2."/>
      <w:numFmt w:val="lowerRoman"/>
      <w:start w:val="6"/>
    </w:lvl>
  </w:abstractNum>
  <w:abstractNum w:abstractNumId="47">
    <w:nsid w:val="47398C89"/>
    <w:multiLevelType w:val="hybridMultilevel"/>
    <w:lvl w:ilvl="0">
      <w:lvlJc w:val="left"/>
      <w:lvlText w:val="%1"/>
      <w:numFmt w:val="decimal"/>
      <w:start w:val="1"/>
    </w:lvl>
    <w:lvl w:ilvl="1">
      <w:lvlJc w:val="left"/>
      <w:lvlText w:val="(%2)"/>
      <w:numFmt w:val="upperLetter"/>
      <w:start w:val="3"/>
    </w:lvl>
  </w:abstractNum>
  <w:abstractNum w:abstractNumId="48">
    <w:nsid w:val="354FE9F9"/>
    <w:multiLevelType w:val="hybridMultilevel"/>
    <w:lvl w:ilvl="0">
      <w:lvlJc w:val="left"/>
      <w:lvlText w:val="%1."/>
      <w:numFmt w:val="decimal"/>
      <w:start w:val="2"/>
    </w:lvl>
    <w:lvl w:ilvl="1">
      <w:lvlJc w:val="left"/>
      <w:lvlText w:val="(%2)"/>
      <w:numFmt w:val="upperLetter"/>
      <w:start w:val="2"/>
    </w:lvl>
  </w:abstractNum>
  <w:abstractNum w:abstractNumId="49">
    <w:nsid w:val="15B5AF5C"/>
    <w:multiLevelType w:val="hybridMultilevel"/>
    <w:lvl w:ilvl="0">
      <w:lvlJc w:val="left"/>
      <w:lvlText w:val="%1"/>
      <w:numFmt w:val="decimal"/>
      <w:start w:val="1"/>
    </w:lvl>
    <w:lvl w:ilvl="1">
      <w:lvlJc w:val="left"/>
      <w:lvlText w:val="(%2)"/>
      <w:numFmt w:val="upperLetter"/>
      <w:start w:val="3"/>
    </w:lvl>
  </w:abstractNum>
  <w:abstractNum w:abstractNumId="50">
    <w:nsid w:val="741226BB"/>
    <w:multiLevelType w:val="hybridMultilevel"/>
    <w:lvl w:ilvl="0">
      <w:lvlJc w:val="left"/>
      <w:lvlText w:val="%1."/>
      <w:numFmt w:val="decimal"/>
      <w:start w:val="4"/>
    </w:lvl>
    <w:lvl w:ilvl="1">
      <w:lvlJc w:val="left"/>
      <w:lvlText w:val="%2"/>
      <w:numFmt w:val="upperLetter"/>
      <w:start w:val="1"/>
    </w:lvl>
  </w:abstractNum>
  <w:abstractNum w:abstractNumId="51">
    <w:nsid w:val="D34B6A8"/>
    <w:multiLevelType w:val="hybridMultilevel"/>
    <w:lvl w:ilvl="0">
      <w:lvlJc w:val="left"/>
      <w:lvlText w:val="%1."/>
      <w:numFmt w:val="decimal"/>
      <w:start w:val="5"/>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lvl w:ilvl="1">
      <w:lvlJc w:val="left"/>
      <w:lvlText w:val="%2."/>
      <w:numFmt w:val="lowerLetter"/>
      <w:start w:val="1"/>
    </w:lvl>
  </w:abstractNum>
  <w:abstractNum w:abstractNumId="56">
    <w:nsid w:val="77AE35EB"/>
    <w:multiLevelType w:val="hybridMultilevel"/>
    <w:lvl w:ilvl="0">
      <w:lvlJc w:val="left"/>
      <w:lvlText w:val="%1."/>
      <w:numFmt w:val="decimal"/>
      <w:start w:val="1"/>
    </w:lvl>
    <w:lvl w:ilvl="1">
      <w:lvlJc w:val="left"/>
      <w:lvlText w:val="%2."/>
      <w:numFmt w:val="lowerLetter"/>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2019-12-13T04:14:34Z</dcterms:created>
  <dcterms:modified xsi:type="dcterms:W3CDTF">2019-12-13T04:14:34Z</dcterms:modified>
</cp:coreProperties>
</file>