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2012</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22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22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T Yes £ No</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309"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Large Accelerated Filer 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86" w:lineRule="exact"/>
        <w:rPr>
          <w:sz w:val="24"/>
          <w:szCs w:val="24"/>
          <w:color w:val="auto"/>
        </w:rPr>
      </w:pPr>
    </w:p>
    <w:p>
      <w:pPr>
        <w:sectPr>
          <w:pgSz w:w="11900" w:h="16838" w:orient="portrait"/>
          <w:cols w:equalWidth="0" w:num="2">
            <w:col w:w="7140" w:space="720"/>
            <w:col w:w="3560"/>
          </w:cols>
          <w:pgMar w:left="240" w:top="229"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w:t>
      </w:r>
    </w:p>
    <w:p>
      <w:pPr>
        <w:spacing w:after="0" w:line="200" w:lineRule="exact"/>
        <w:rPr>
          <w:sz w:val="24"/>
          <w:szCs w:val="24"/>
          <w:color w:val="auto"/>
        </w:rPr>
      </w:pPr>
    </w:p>
    <w:p>
      <w:pPr>
        <w:sectPr>
          <w:pgSz w:w="11900" w:h="16838" w:orient="portrait"/>
          <w:cols w:equalWidth="0" w:num="2">
            <w:col w:w="6300" w:space="720"/>
            <w:col w:w="4400"/>
          </w:cols>
          <w:pgMar w:left="240" w:top="229"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 Yes  T No</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no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38,288,789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June 30, 2012</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0" w:type="dxa"/>
            <w:vAlign w:val="bottom"/>
            <w:gridSpan w:val="3"/>
          </w:tcPr>
          <w:p>
            <w:pPr>
              <w:ind w:left="100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20" w:type="dxa"/>
            <w:vAlign w:val="bottom"/>
            <w:gridSpan w:val="10"/>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Forward-Looking Statements</w:t>
              </w:r>
            </w:hyperlink>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4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3520" w:type="dxa"/>
            <w:vAlign w:val="bottom"/>
            <w:gridSpan w:val="6"/>
            <w:shd w:val="clear" w:color="auto" w:fill="CCEEFF"/>
          </w:tcPr>
          <w:p>
            <w:pPr>
              <w:ind w:left="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6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54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line="202"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Financial Statements (Unaudited)</w:t>
              </w:r>
            </w:hyperlink>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6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9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rPr>
                <w:sz w:val="20"/>
                <w:szCs w:val="20"/>
                <w:color w:val="auto"/>
              </w:rPr>
            </w:pPr>
            <w:r>
              <w:rPr>
                <w:rFonts w:ascii="Arial" w:cs="Arial" w:eastAsia="Arial" w:hAnsi="Arial"/>
                <w:sz w:val="18"/>
                <w:szCs w:val="18"/>
                <w:color w:val="auto"/>
              </w:rPr>
              <w:t>June 30, 2012 and December 31, 2011</w:t>
            </w:r>
          </w:p>
        </w:tc>
        <w:tc>
          <w:tcPr>
            <w:tcW w:w="200" w:type="dxa"/>
            <w:vAlign w:val="bottom"/>
            <w:gridSpan w:val="3"/>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Quarter and Six Months Ended June 30, 2012 and 2011</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line="202" w:lineRule="exact"/>
              <w:rPr>
                <w:sz w:val="20"/>
                <w:szCs w:val="20"/>
                <w:color w:val="auto"/>
              </w:rPr>
            </w:pPr>
            <w:r>
              <w:rPr>
                <w:rFonts w:ascii="Arial" w:cs="Arial" w:eastAsia="Arial" w:hAnsi="Arial"/>
                <w:sz w:val="18"/>
                <w:szCs w:val="18"/>
                <w:color w:val="auto"/>
              </w:rPr>
              <w:t>Quarter and Six Months Ended June 30, 2012 and 2011</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Six Months Ended June 30, 2012 and 2011</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and Results of Operations</w:t>
              </w:r>
            </w:hyperlink>
          </w:p>
        </w:tc>
        <w:tc>
          <w:tcPr>
            <w:tcW w:w="4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Part II.</w:t>
              </w:r>
            </w:hyperlink>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1A.</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5.</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Signatures</w:t>
              </w:r>
            </w:hyperlink>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r>
      <w:tr>
        <w:trPr>
          <w:trHeight w:val="40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900" w:type="dxa"/>
            <w:vAlign w:val="bottom"/>
            <w:tcBorders>
              <w:top w:val="single" w:sz="8" w:color="CCEEFF"/>
            </w:tcBorders>
            <w:gridSpan w:val="5"/>
          </w:tcPr>
          <w:p>
            <w:pPr>
              <w:ind w:left="160"/>
              <w:spacing w:after="0"/>
              <w:rPr>
                <w:sz w:val="20"/>
                <w:szCs w:val="20"/>
                <w:color w:val="auto"/>
              </w:rPr>
            </w:pPr>
            <w:r>
              <w:rPr>
                <w:rFonts w:ascii="Arial" w:cs="Arial" w:eastAsia="Arial" w:hAnsi="Arial"/>
                <w:sz w:val="14"/>
                <w:szCs w:val="14"/>
                <w:color w:val="auto"/>
              </w:rPr>
              <w:t>ALLETE Second Quarter 2012 Form 10-Q</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Alternating Current</w:t>
            </w:r>
          </w:p>
        </w:tc>
      </w:tr>
      <w:tr>
        <w:trPr>
          <w:trHeight w:val="229"/>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tcPr>
          <w:p>
            <w:pPr>
              <w:spacing w:after="0"/>
              <w:rPr>
                <w:sz w:val="20"/>
                <w:szCs w:val="20"/>
                <w:color w:val="auto"/>
              </w:rPr>
            </w:pPr>
            <w:r>
              <w:rPr>
                <w:rFonts w:ascii="Arial" w:cs="Arial" w:eastAsia="Arial" w:hAnsi="Arial"/>
                <w:sz w:val="18"/>
                <w:szCs w:val="18"/>
                <w:color w:val="auto"/>
                <w:w w:val="97"/>
              </w:rPr>
              <w:t>Allowance for Funds Used During Construction – consisting of the cost of both the debt and equity funds used to</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finance utility plant additions during construction periods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Clean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ARS</w:t>
            </w:r>
          </w:p>
        </w:tc>
        <w:tc>
          <w:tcPr>
            <w:tcW w:w="8760" w:type="dxa"/>
            <w:vAlign w:val="bottom"/>
            <w:gridSpan w:val="2"/>
          </w:tcPr>
          <w:p>
            <w:pPr>
              <w:spacing w:after="0"/>
              <w:rPr>
                <w:sz w:val="20"/>
                <w:szCs w:val="20"/>
                <w:color w:val="auto"/>
              </w:rPr>
            </w:pPr>
            <w:r>
              <w:rPr>
                <w:rFonts w:ascii="Arial" w:cs="Arial" w:eastAsia="Arial" w:hAnsi="Arial"/>
                <w:sz w:val="18"/>
                <w:szCs w:val="18"/>
                <w:color w:val="auto"/>
              </w:rPr>
              <w:t>Auction Rate Securities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1</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1 Wind Facility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 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2 Wind Project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3</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3 Wind Project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Coal, Ltd.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CAIR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Clean Air Interstate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760" w:type="dxa"/>
            <w:vAlign w:val="bottom"/>
            <w:gridSpan w:val="2"/>
          </w:tcPr>
          <w:p>
            <w:pPr>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76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Hibbard</w:t>
            </w:r>
          </w:p>
        </w:tc>
        <w:tc>
          <w:tcPr>
            <w:tcW w:w="8760" w:type="dxa"/>
            <w:vAlign w:val="bottom"/>
            <w:gridSpan w:val="2"/>
          </w:tcPr>
          <w:p>
            <w:pPr>
              <w:spacing w:after="0"/>
              <w:rPr>
                <w:sz w:val="20"/>
                <w:szCs w:val="20"/>
                <w:color w:val="auto"/>
              </w:rPr>
            </w:pPr>
            <w:r>
              <w:rPr>
                <w:rFonts w:ascii="Arial" w:cs="Arial" w:eastAsia="Arial" w:hAnsi="Arial"/>
                <w:sz w:val="18"/>
                <w:szCs w:val="18"/>
                <w:color w:val="auto"/>
              </w:rPr>
              <w:t>Hibbard Renewable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76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Medicare Part D</w:t>
            </w:r>
          </w:p>
        </w:tc>
        <w:tc>
          <w:tcPr>
            <w:tcW w:w="8760" w:type="dxa"/>
            <w:vAlign w:val="bottom"/>
            <w:gridSpan w:val="2"/>
          </w:tcPr>
          <w:p>
            <w:pPr>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Mesabi Nugget Delaware,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MISO</w:t>
            </w:r>
          </w:p>
        </w:tc>
        <w:tc>
          <w:tcPr>
            <w:tcW w:w="8760" w:type="dxa"/>
            <w:vAlign w:val="bottom"/>
            <w:gridSpan w:val="2"/>
          </w:tcPr>
          <w:p>
            <w:pPr>
              <w:spacing w:after="0"/>
              <w:rPr>
                <w:sz w:val="20"/>
                <w:szCs w:val="20"/>
                <w:color w:val="auto"/>
              </w:rPr>
            </w:pPr>
            <w:r>
              <w:rPr>
                <w:rFonts w:ascii="Arial" w:cs="Arial" w:eastAsia="Arial" w:hAnsi="Arial"/>
                <w:sz w:val="18"/>
                <w:szCs w:val="18"/>
                <w:color w:val="auto"/>
              </w:rPr>
              <w:t>Midwest Independent Transmission System Operator,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404"/>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400"/>
              <w:spacing w:after="0"/>
              <w:rPr>
                <w:sz w:val="20"/>
                <w:szCs w:val="20"/>
                <w:color w:val="auto"/>
              </w:rPr>
            </w:pPr>
            <w:r>
              <w:rPr>
                <w:rFonts w:ascii="Arial" w:cs="Arial" w:eastAsia="Arial" w:hAnsi="Arial"/>
                <w:sz w:val="14"/>
                <w:szCs w:val="14"/>
                <w:color w:val="auto"/>
              </w:rPr>
              <w:t>ALLETE Second Quarter 2012 Form 10-Q</w:t>
            </w: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340" w:type="dxa"/>
            <w:vAlign w:val="bottom"/>
          </w:tcPr>
          <w:p>
            <w:pPr>
              <w:jc w:val="center"/>
              <w:ind w:right="2999"/>
              <w:spacing w:after="0"/>
              <w:rPr>
                <w:sz w:val="20"/>
                <w:szCs w:val="20"/>
                <w:color w:val="auto"/>
              </w:rPr>
            </w:pPr>
            <w:r>
              <w:rPr>
                <w:rFonts w:ascii="Arial" w:cs="Arial" w:eastAsia="Arial" w:hAnsi="Arial"/>
                <w:sz w:val="18"/>
                <w:szCs w:val="18"/>
                <w:b w:val="1"/>
                <w:bCs w:val="1"/>
                <w:color w:val="auto"/>
                <w:w w:val="91"/>
              </w:rPr>
              <w:t>Definitions (Continued)</w:t>
            </w:r>
          </w:p>
        </w:tc>
      </w:tr>
      <w:tr>
        <w:trPr>
          <w:trHeight w:val="446"/>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76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w:t>
            </w:r>
          </w:p>
        </w:tc>
        <w:tc>
          <w:tcPr>
            <w:tcW w:w="8760" w:type="dxa"/>
            <w:vAlign w:val="bottom"/>
            <w:gridSpan w:val="2"/>
          </w:tcPr>
          <w:p>
            <w:pPr>
              <w:spacing w:after="0"/>
              <w:rPr>
                <w:sz w:val="20"/>
                <w:szCs w:val="20"/>
                <w:color w:val="auto"/>
              </w:rPr>
            </w:pPr>
            <w:r>
              <w:rPr>
                <w:rFonts w:ascii="Arial" w:cs="Arial" w:eastAsia="Arial" w:hAnsi="Arial"/>
                <w:sz w:val="18"/>
                <w:szCs w:val="18"/>
                <w:color w:val="auto"/>
              </w:rPr>
              <w:t>Power Purchase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Patient Protection and Affordable Care Act of 2010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76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76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Taconite Ridge</w:t>
            </w:r>
          </w:p>
        </w:tc>
        <w:tc>
          <w:tcPr>
            <w:tcW w:w="8760" w:type="dxa"/>
            <w:vAlign w:val="bottom"/>
            <w:gridSpan w:val="2"/>
          </w:tcPr>
          <w:p>
            <w:pPr>
              <w:spacing w:after="0"/>
              <w:rPr>
                <w:sz w:val="20"/>
                <w:szCs w:val="20"/>
                <w:color w:val="auto"/>
              </w:rPr>
            </w:pPr>
            <w:r>
              <w:rPr>
                <w:rFonts w:ascii="Arial" w:cs="Arial" w:eastAsia="Arial" w:hAnsi="Arial"/>
                <w:sz w:val="18"/>
                <w:szCs w:val="18"/>
                <w:color w:val="auto"/>
              </w:rPr>
              <w:t>Taconite Ridge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WDNR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Wisconsin Department of Natural Resources</w:t>
            </w:r>
          </w:p>
        </w:tc>
      </w:tr>
      <w:tr>
        <w:trPr>
          <w:trHeight w:val="620"/>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jc w:val="center"/>
              <w:ind w:right="2979"/>
              <w:spacing w:after="0"/>
              <w:rPr>
                <w:sz w:val="20"/>
                <w:szCs w:val="20"/>
                <w:color w:val="auto"/>
              </w:rPr>
            </w:pPr>
            <w:r>
              <w:rPr>
                <w:rFonts w:ascii="Arial" w:cs="Arial" w:eastAsia="Arial" w:hAnsi="Arial"/>
                <w:sz w:val="14"/>
                <w:szCs w:val="14"/>
                <w:color w:val="auto"/>
                <w:w w:val="94"/>
              </w:rPr>
              <w:t>ALLETE Second Quarter 2012 Form 10-Q</w:t>
            </w:r>
          </w:p>
        </w:tc>
      </w:tr>
    </w:tbl>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or legislative actions, including changes in governmental policies of the United States Congress, state legislatures, the FERC, the MPUC, the PSCW, the NDPSC, the EPA and various state, local and county regulators, and city administrators, about allowed rates of return, capital structure,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26 of our 2011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$0.9)</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66.7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79.7</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25.5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27.1</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170.1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2,177.5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1,982.7</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336.9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102.6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98.9</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136.0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39.1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39.2</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$2,962.2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$2,876.0</w:t>
            </w:r>
          </w:p>
        </w:tc>
      </w:tr>
      <w:tr>
        <w:trPr>
          <w:trHeight w:val="264"/>
        </w:trPr>
        <w:tc>
          <w:tcPr>
            <w:tcW w:w="832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$78.3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$71.8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12.8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37"/>
        </w:trPr>
        <w:tc>
          <w:tcPr>
            <w:tcW w:w="8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232.4</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163.1</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808.4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388.0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373.6</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253.8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253.5</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r>
      <w:tr>
        <w:trPr>
          <w:trHeight w:val="237"/>
        </w:trPr>
        <w:tc>
          <w:tcPr>
            <w:tcW w:w="8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1,842.5</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1,796.7</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38.3 and 37.5 Shares Outstanding</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737.3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(24.9)</w:t>
            </w:r>
          </w:p>
        </w:tc>
        <w:tc>
          <w:tcPr>
            <w:tcW w:w="15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434.9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431.6</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1,119.7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1,079.3</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$2,962.2</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$2,876.0</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4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94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3"/>
                <w:szCs w:val="23"/>
                <w:color w:val="auto"/>
              </w:rPr>
            </w:pPr>
          </w:p>
        </w:tc>
        <w:tc>
          <w:tcPr>
            <w:tcW w:w="20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5940" w:type="dxa"/>
            <w:vAlign w:val="bottom"/>
          </w:tcPr>
          <w:p>
            <w:pPr>
              <w:spacing w:after="0"/>
              <w:rPr>
                <w:sz w:val="23"/>
                <w:szCs w:val="23"/>
                <w:color w:val="auto"/>
              </w:rPr>
            </w:pPr>
          </w:p>
        </w:tc>
        <w:tc>
          <w:tcPr>
            <w:tcW w:w="2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2011</w:t>
            </w: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9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$216.4</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$219.9</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$456.4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w:t>
            </w:r>
          </w:p>
        </w:tc>
      </w:tr>
      <w:tr>
        <w:trPr>
          <w:trHeight w:val="264"/>
        </w:trPr>
        <w:tc>
          <w:tcPr>
            <w:tcW w:w="594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72.1</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76.0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149.2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155.0</w:t>
            </w: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96.2</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95.7</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196.1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24.8</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22.1</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49.4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44.4</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193.1</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193.8</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394.7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385.2</w:t>
            </w:r>
          </w:p>
        </w:tc>
      </w:tr>
      <w:tr>
        <w:trPr>
          <w:trHeight w:val="270"/>
        </w:trPr>
        <w:tc>
          <w:tcPr>
            <w:tcW w:w="59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23.3</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26.1</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64"/>
        </w:trPr>
        <w:tc>
          <w:tcPr>
            <w:tcW w:w="594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(11.0)</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4.8</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4.6</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Other</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(5.4)</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594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19.2</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20.7</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4.8</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14.4</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16.9</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37"/>
        </w:trPr>
        <w:tc>
          <w:tcPr>
            <w:tcW w:w="59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(0.1)</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$14.4</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$17.0</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r>
      <w:tr>
        <w:trPr>
          <w:trHeight w:val="264"/>
        </w:trPr>
        <w:tc>
          <w:tcPr>
            <w:tcW w:w="594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80"/>
              <w:spacing w:after="0"/>
              <w:rPr>
                <w:sz w:val="20"/>
                <w:szCs w:val="20"/>
                <w:color w:val="auto"/>
              </w:rPr>
            </w:pPr>
            <w:r>
              <w:rPr>
                <w:rFonts w:ascii="Arial" w:cs="Arial" w:eastAsia="Arial" w:hAnsi="Arial"/>
                <w:sz w:val="18"/>
                <w:szCs w:val="18"/>
                <w:color w:val="auto"/>
              </w:rPr>
              <w:t>Basic</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37.3</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35.0</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37.0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37.4</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35.1</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64"/>
        </w:trPr>
        <w:tc>
          <w:tcPr>
            <w:tcW w:w="594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$0.39</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$0.49</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$0.39</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$0.48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5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94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420" w:type="dxa"/>
            <w:vAlign w:val="bottom"/>
          </w:tcPr>
          <w:p>
            <w:pPr>
              <w:jc w:val="right"/>
              <w:ind w:right="370"/>
              <w:spacing w:after="0"/>
              <w:rPr>
                <w:sz w:val="20"/>
                <w:szCs w:val="20"/>
                <w:color w:val="auto"/>
              </w:rPr>
            </w:pPr>
            <w:r>
              <w:rPr>
                <w:rFonts w:ascii="Arial" w:cs="Arial" w:eastAsia="Arial" w:hAnsi="Arial"/>
                <w:sz w:val="18"/>
                <w:szCs w:val="18"/>
                <w:color w:val="auto"/>
              </w:rPr>
              <w:t>$0.46</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$0.445</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$0.92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$0.89</w:t>
            </w:r>
          </w:p>
        </w:tc>
      </w:tr>
      <w:tr>
        <w:trPr>
          <w:trHeight w:val="27"/>
        </w:trPr>
        <w:tc>
          <w:tcPr>
            <w:tcW w:w="83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360" w:type="dxa"/>
            <w:vAlign w:val="bottom"/>
            <w:gridSpan w:val="2"/>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2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Quarter Ended</w:t>
            </w:r>
          </w:p>
        </w:tc>
        <w:tc>
          <w:tcPr>
            <w:tcW w:w="20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70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2011</w:t>
            </w:r>
          </w:p>
        </w:tc>
        <w:tc>
          <w:tcPr>
            <w:tcW w:w="13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$14.4</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$16.9</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$38.8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37"/>
        </w:trPr>
        <w:tc>
          <w:tcPr>
            <w:tcW w:w="7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77"/>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Taxes of $(0.5), $0.2, $0.2 and $0.8</w:t>
            </w:r>
          </w:p>
        </w:tc>
        <w:tc>
          <w:tcPr>
            <w:tcW w:w="14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(0.5)</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0.5</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Unrealized Loss on Derivatives</w:t>
            </w: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Net of Income Taxes of $—, $—, $(0.1) and $—</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302"/>
        </w:trPr>
        <w:tc>
          <w:tcPr>
            <w:tcW w:w="7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of Income Taxes of $0.4, $0.2, $0.7 and $0.5</w:t>
            </w:r>
          </w:p>
        </w:tc>
        <w:tc>
          <w:tcPr>
            <w:tcW w:w="14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0.5</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70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4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(0.1)</w:t>
            </w:r>
          </w:p>
        </w:tc>
        <w:tc>
          <w:tcPr>
            <w:tcW w:w="8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0.6</w:t>
            </w:r>
          </w:p>
        </w:tc>
        <w:tc>
          <w:tcPr>
            <w:tcW w:w="1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1.3</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4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$14.3</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$17.5</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$40.1</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ALLETE</w:t>
            </w:r>
          </w:p>
        </w:tc>
        <w:tc>
          <w:tcPr>
            <w:tcW w:w="14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$14.3</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$17.6</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$40.1</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0"/>
        </w:trPr>
        <w:tc>
          <w:tcPr>
            <w:tcW w:w="70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5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0"/>
        </w:trPr>
        <w:tc>
          <w:tcPr>
            <w:tcW w:w="8580" w:type="dxa"/>
            <w:vAlign w:val="bottom"/>
          </w:tcPr>
          <w:p>
            <w:pPr>
              <w:spacing w:after="0"/>
              <w:rPr>
                <w:sz w:val="23"/>
                <w:szCs w:val="23"/>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2012</w:t>
            </w: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8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$38.8</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$54.0</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Assets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49.4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44.4</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13.1</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ESOP Compensation Expense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3.7</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and Postretirement Benefit Expense</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13.8</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0.5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12.4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27.2</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Prepayments and Other</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Contributions to Defined Benefit Pension and Other Postretirement Benefit Plans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6.9</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r>
      <w:tr>
        <w:trPr>
          <w:trHeight w:val="237"/>
        </w:trPr>
        <w:tc>
          <w:tcPr>
            <w:tcW w:w="85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Cash from Operating Activities</w:t>
            </w:r>
          </w:p>
        </w:tc>
        <w:tc>
          <w:tcPr>
            <w:tcW w:w="18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128.1</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130.0</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(221.8)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Sale of Assets</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(227.0)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183"/>
        </w:trPr>
        <w:tc>
          <w:tcPr>
            <w:tcW w:w="85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30.5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22.9</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15.6</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(Payments) from (for) Notes Payable</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Reductions of Long-Term Debt</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(35.5)</w:t>
            </w: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from (for) Financing Activities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183"/>
        </w:trPr>
        <w:tc>
          <w:tcPr>
            <w:tcW w:w="85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(92.5)</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101.1</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44.9</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$8.6</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$79.4</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4"/>
        </w:trPr>
        <w:tc>
          <w:tcPr>
            <w:tcW w:w="8580" w:type="dxa"/>
            <w:vAlign w:val="bottom"/>
          </w:tcPr>
          <w:p>
            <w:pPr>
              <w:ind w:left="32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ALLETE Second Quarter 2012 Form 10-Q</w:t>
      </w:r>
    </w:p>
    <w:p>
      <w:pPr>
        <w:sectPr>
          <w:pgSz w:w="11900" w:h="16838" w:orient="portrait"/>
          <w:cols w:equalWidth="0" w:num="1">
            <w:col w:w="11300"/>
          </w:cols>
          <w:pgMar w:left="360" w:top="580" w:right="239" w:bottom="1440" w:gutter="0" w:footer="0" w:header="0"/>
        </w:sectPr>
      </w:pPr>
    </w:p>
    <w:p>
      <w:pPr>
        <w:spacing w:after="0" w:line="19" w:lineRule="exact"/>
        <w:rPr>
          <w:sz w:val="20"/>
          <w:szCs w:val="20"/>
          <w:color w:val="auto"/>
        </w:rPr>
      </w:pPr>
    </w:p>
    <w:p>
      <w:pPr>
        <w:ind w:left="112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00"/>
          </w:cols>
          <w:pgMar w:left="36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2011, Consolidated Balance Sheet was derived from audited financial statements but does not include all disclosures required by GAAP. All adjustments are of a normal, recurring nature, except as otherwise disclosed. Operating results for the period ended June 30, 2012, are not necessarily indicative of results that may be expected for any other interim period or for the year ending December 31, 2012. For further information, refer to the consolidated financial statements and notes included in our 2011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448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4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4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w:t>
            </w:r>
          </w:p>
        </w:tc>
        <w:tc>
          <w:tcPr>
            <w:tcW w:w="4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Materials and Supplies</w:t>
            </w:r>
          </w:p>
        </w:tc>
        <w:tc>
          <w:tcPr>
            <w:tcW w:w="4480" w:type="dxa"/>
            <w:vAlign w:val="bottom"/>
          </w:tcPr>
          <w:p>
            <w:pPr>
              <w:jc w:val="right"/>
              <w:ind w:right="150"/>
              <w:spacing w:after="0"/>
              <w:rPr>
                <w:sz w:val="20"/>
                <w:szCs w:val="20"/>
                <w:color w:val="auto"/>
              </w:rPr>
            </w:pPr>
            <w:r>
              <w:rPr>
                <w:rFonts w:ascii="Arial" w:cs="Arial" w:eastAsia="Arial" w:hAnsi="Arial"/>
                <w:sz w:val="18"/>
                <w:szCs w:val="18"/>
                <w:color w:val="auto"/>
              </w:rPr>
              <w:t>41.8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54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Inventories</w:t>
            </w:r>
          </w:p>
        </w:tc>
        <w:tc>
          <w:tcPr>
            <w:tcW w:w="4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0"/>
        </w:trPr>
        <w:tc>
          <w:tcPr>
            <w:tcW w:w="548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37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 Adjustment Clause</w:t>
            </w:r>
          </w:p>
        </w:tc>
        <w:tc>
          <w:tcPr>
            <w:tcW w:w="3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Other</w:t>
            </w:r>
          </w:p>
        </w:tc>
        <w:tc>
          <w:tcPr>
            <w:tcW w:w="370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6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Prepayments and Other Current Assets</w:t>
            </w:r>
          </w:p>
        </w:tc>
        <w:tc>
          <w:tcPr>
            <w:tcW w:w="3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0"/>
        </w:trPr>
        <w:tc>
          <w:tcPr>
            <w:tcW w:w="626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42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2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76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w:t>
            </w:r>
          </w:p>
        </w:tc>
        <w:tc>
          <w:tcPr>
            <w:tcW w:w="4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Other</w:t>
            </w:r>
          </w:p>
        </w:tc>
        <w:tc>
          <w:tcPr>
            <w:tcW w:w="4200" w:type="dxa"/>
            <w:vAlign w:val="bottom"/>
          </w:tcPr>
          <w:p>
            <w:pPr>
              <w:jc w:val="right"/>
              <w:ind w:right="150"/>
              <w:spacing w:after="0"/>
              <w:rPr>
                <w:sz w:val="20"/>
                <w:szCs w:val="20"/>
                <w:color w:val="auto"/>
              </w:rPr>
            </w:pPr>
            <w:r>
              <w:rPr>
                <w:rFonts w:ascii="Arial" w:cs="Arial" w:eastAsia="Arial" w:hAnsi="Arial"/>
                <w:sz w:val="18"/>
                <w:szCs w:val="18"/>
                <w:color w:val="auto"/>
              </w:rPr>
              <w:t>25.5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576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Current Liabilities</w:t>
            </w:r>
          </w:p>
        </w:tc>
        <w:tc>
          <w:tcPr>
            <w:tcW w:w="4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r>
      <w:tr>
        <w:trPr>
          <w:trHeight w:val="20"/>
        </w:trPr>
        <w:tc>
          <w:tcPr>
            <w:tcW w:w="576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34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4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5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Retirement Obligation</w:t>
            </w:r>
          </w:p>
        </w:tc>
        <w:tc>
          <w:tcPr>
            <w:tcW w:w="3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w:t>
            </w:r>
          </w:p>
        </w:tc>
        <w:tc>
          <w:tcPr>
            <w:tcW w:w="3420" w:type="dxa"/>
            <w:vAlign w:val="bottom"/>
          </w:tcPr>
          <w:p>
            <w:pPr>
              <w:jc w:val="right"/>
              <w:ind w:right="150"/>
              <w:spacing w:after="0"/>
              <w:rPr>
                <w:sz w:val="20"/>
                <w:szCs w:val="20"/>
                <w:color w:val="auto"/>
              </w:rPr>
            </w:pPr>
            <w:r>
              <w:rPr>
                <w:rFonts w:ascii="Arial" w:cs="Arial" w:eastAsia="Arial" w:hAnsi="Arial"/>
                <w:sz w:val="18"/>
                <w:szCs w:val="18"/>
                <w:color w:val="auto"/>
              </w:rPr>
              <w:t>49.6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48.1</w:t>
            </w:r>
          </w:p>
        </w:tc>
      </w:tr>
      <w:tr>
        <w:trPr>
          <w:trHeight w:val="27"/>
        </w:trPr>
        <w:tc>
          <w:tcPr>
            <w:tcW w:w="65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Liabilities</w:t>
            </w:r>
          </w:p>
        </w:tc>
        <w:tc>
          <w:tcPr>
            <w:tcW w:w="3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426"/>
        </w:trPr>
        <w:tc>
          <w:tcPr>
            <w:tcW w:w="6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34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8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00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8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00" w:type="dxa"/>
            <w:vAlign w:val="bottom"/>
          </w:tcPr>
          <w:p>
            <w:pPr>
              <w:jc w:val="right"/>
              <w:ind w:right="310"/>
              <w:spacing w:after="0"/>
              <w:rPr>
                <w:sz w:val="20"/>
                <w:szCs w:val="20"/>
                <w:color w:val="auto"/>
              </w:rPr>
            </w:pPr>
            <w:r>
              <w:rPr>
                <w:rFonts w:ascii="Arial" w:cs="Arial" w:eastAsia="Arial" w:hAnsi="Arial"/>
                <w:sz w:val="18"/>
                <w:szCs w:val="18"/>
                <w:color w:val="auto"/>
              </w:rPr>
              <w:t>$14.8</w:t>
            </w: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8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 Equity</w:t>
            </w:r>
          </w:p>
        </w:tc>
        <w:tc>
          <w:tcPr>
            <w:tcW w:w="2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0"/>
        </w:trPr>
        <w:tc>
          <w:tcPr>
            <w:tcW w:w="84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Accounts receivable are reported on the Consolidated Balance Sheet net of an allowance for doubtful accounts. The allowance is based</w:t>
      </w:r>
      <w:r>
        <w:rPr>
          <w:rFonts w:ascii="Arial" w:cs="Arial" w:eastAsia="Arial" w:hAnsi="Arial"/>
          <w:sz w:val="16"/>
          <w:szCs w:val="16"/>
          <w:b w:val="1"/>
          <w:bCs w:val="1"/>
          <w:color w:val="auto"/>
        </w:rPr>
        <w:t xml:space="preserve"> </w:t>
      </w:r>
      <w:r>
        <w:rPr>
          <w:rFonts w:ascii="Arial" w:cs="Arial" w:eastAsia="Arial" w:hAnsi="Arial"/>
          <w:sz w:val="16"/>
          <w:szCs w:val="16"/>
          <w:color w:val="auto"/>
        </w:rPr>
        <w:t>on our evaluation of the receivable portfolio under current conditions, overall portfolio quality, review of specific problems and such other factors that, in our judgment, deserve recognition in estimating losses. In the third quarter of 2011, one of Minnesota Power’s Large Power Customers, NewPage Corporation, filed for Chapter 11 bankruptcy protection. Minnesota Power had a pre-bankruptcy petition receivable of $3.2 million as of June 30, 2012. Based on our assessment of the facts and circumstances existing as of June 30, 2012, we have determined that it is not probable that the pre-petition receivable has been impaired at this time. We will continue to assess for impairment as the bankruptcy proceeds and as facts and circumstances change. This customer’s operations have continued without interruption and we continue to provide electric and steam service to this customer. We have received payment of scheduled post-petition receivable balances and we expect continued payment of all other post-petition receivables.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In May 2011, the FASB issued an accounting standards update on fair value measurement. This update requires disclosure of a sensitivity analysis</w:t>
      </w:r>
      <w:r>
        <w:rPr>
          <w:rFonts w:ascii="Arial" w:cs="Arial" w:eastAsia="Arial" w:hAnsi="Arial"/>
          <w:sz w:val="16"/>
          <w:szCs w:val="16"/>
          <w:i w:val="1"/>
          <w:iCs w:val="1"/>
          <w:color w:val="auto"/>
        </w:rPr>
        <w:t xml:space="preserve"> </w:t>
      </w:r>
      <w:r>
        <w:rPr>
          <w:rFonts w:ascii="Arial" w:cs="Arial" w:eastAsia="Arial" w:hAnsi="Arial"/>
          <w:sz w:val="16"/>
          <w:szCs w:val="16"/>
          <w:color w:val="auto"/>
        </w:rPr>
        <w:t>for fair value measurements within Level 3 and the valuation process used. No retrospective application of this guidance is required. If we utilize Level 3 fair value measurements in the future, this guidance would significantly increase our disclosures in this area. This guidance was effective beginning with the quarter ended March 31, 2012, and did not have a material impact on our consolidated financial position, results of operations or cash flows.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Statement of Comprehensive Income. </w:t>
      </w:r>
      <w:r>
        <w:rPr>
          <w:rFonts w:ascii="Arial" w:cs="Arial" w:eastAsia="Arial" w:hAnsi="Arial"/>
          <w:sz w:val="18"/>
          <w:szCs w:val="18"/>
          <w:color w:val="auto"/>
        </w:rPr>
        <w:t>In June 2011, the FASB issued an accounting standards update on the presentation of comprehensive income. This</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was effective beginning with the quarter ended March 31, 2012, and modified our presentation of other comprehensive income, moving it from the footnotes to the face of the financial statements in a separate Consolidated Statement of Comprehensive Income immediately following the Consolidated Statement of Income. The components of net income and other comprehensive income are unchanged and earnings per share continues to be based on net income.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aimed at developing or acquiring capital projects that create energy solutions via wind, solar, biomass, hydro, natural gas/liquids, shale resources, clean coal and other clean energy innovations. The Investments and Other segment also includes a small amount of non-rate base generation, approximately 5,500 acres of land available-for-sale in Minnesota, and earnings on cash and investments.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2012</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$216.4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$197.0</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72.1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72.1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96.2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24.8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23.3</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ALLETE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2011</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$219.9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76.0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76.0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95.7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22.1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26.1</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(11.0)</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0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76"/>
        </w:trPr>
        <w:tc>
          <w:tcPr>
            <w:tcW w:w="6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2012</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$456.4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$415.6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149.2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149.2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196.1</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49.4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46.6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61.7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(21.1)</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(19.5)</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13.1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18.7</w:t>
            </w: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ALLETE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12"/>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June 30, 2012</w:t>
            </w:r>
          </w:p>
        </w:tc>
        <w:tc>
          <w:tcPr>
            <w:tcW w:w="24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$2,962.2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$2,755.4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$2,177.5</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$2,119.9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$1,124.5</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$1,070.1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$235.1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$232.3</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2011</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$462.1</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$424.8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155.0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155.0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185.8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44.4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42.1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76.9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(21.7)</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9.0</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66.0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12.0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54.0</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(0.2)</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534"/>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June 30, 2011</w:t>
            </w:r>
          </w:p>
        </w:tc>
        <w:tc>
          <w:tcPr>
            <w:tcW w:w="24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$2,645.5</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$2,381.6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$1,861.1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$1,808.9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$1,062.6</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$1,011.3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$79.7</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$69.3</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$10.4</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to fund employee benefits and land available-for-sale in Minnesota.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42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Investments</w:t>
            </w:r>
          </w:p>
        </w:tc>
        <w:tc>
          <w:tcPr>
            <w:tcW w:w="44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5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4420" w:type="dxa"/>
            <w:vAlign w:val="bottom"/>
          </w:tcPr>
          <w:p>
            <w:pPr>
              <w:jc w:val="right"/>
              <w:ind w:right="210"/>
              <w:spacing w:after="0"/>
              <w:rPr>
                <w:sz w:val="20"/>
                <w:szCs w:val="20"/>
                <w:color w:val="auto"/>
              </w:rPr>
            </w:pPr>
            <w:r>
              <w:rPr>
                <w:rFonts w:ascii="Arial" w:cs="Arial" w:eastAsia="Arial" w:hAnsi="Arial"/>
                <w:sz w:val="18"/>
                <w:szCs w:val="18"/>
                <w:color w:val="auto"/>
              </w:rPr>
              <w:t>26.7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55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Investments</w:t>
            </w:r>
          </w:p>
        </w:tc>
        <w:tc>
          <w:tcPr>
            <w:tcW w:w="4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$136.0</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r>
      <w:tr>
        <w:trPr>
          <w:trHeight w:val="27"/>
        </w:trPr>
        <w:tc>
          <w:tcPr>
            <w:tcW w:w="55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26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26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7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 (January 1, 2012 and 2011, respectively)</w:t>
            </w:r>
          </w:p>
        </w:tc>
        <w:tc>
          <w:tcPr>
            <w:tcW w:w="2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7240" w:type="dxa"/>
            <w:vAlign w:val="bottom"/>
          </w:tcPr>
          <w:p>
            <w:pPr>
              <w:ind w:left="280"/>
              <w:spacing w:after="0"/>
              <w:rPr>
                <w:sz w:val="20"/>
                <w:szCs w:val="20"/>
                <w:color w:val="auto"/>
              </w:rPr>
            </w:pPr>
            <w:r>
              <w:rPr>
                <w:rFonts w:ascii="Arial" w:cs="Arial" w:eastAsia="Arial" w:hAnsi="Arial"/>
                <w:sz w:val="18"/>
                <w:szCs w:val="18"/>
                <w:color w:val="auto"/>
              </w:rPr>
              <w:t>Deeds to Collateralized Property</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0.5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 Impairment</w:t>
            </w:r>
          </w:p>
        </w:tc>
        <w:tc>
          <w:tcPr>
            <w:tcW w:w="2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240" w:type="dxa"/>
            <w:vAlign w:val="bottom"/>
          </w:tcPr>
          <w:p>
            <w:pPr>
              <w:ind w:left="280"/>
              <w:spacing w:after="0"/>
              <w:rPr>
                <w:sz w:val="20"/>
                <w:szCs w:val="20"/>
                <w:color w:val="auto"/>
              </w:rPr>
            </w:pPr>
            <w:r>
              <w:rPr>
                <w:rFonts w:ascii="Arial" w:cs="Arial" w:eastAsia="Arial" w:hAnsi="Arial"/>
                <w:sz w:val="18"/>
                <w:szCs w:val="18"/>
                <w:color w:val="auto"/>
              </w:rPr>
              <w:t>Capitalized Improvements and Other</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7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7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Real Estate Sold</w:t>
            </w:r>
          </w:p>
        </w:tc>
        <w:tc>
          <w:tcPr>
            <w:tcW w:w="2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7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2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86.6</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7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2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7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2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20"/>
        </w:trPr>
        <w:tc>
          <w:tcPr>
            <w:tcW w:w="72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and no impairments were recorded for the six months ended June 30, 2012 ($1.7 million as of December 31, 2011). In the fourth quarter of 2011, an impairment analysis of estimated future undiscounted cash flows was conducted and indicated that the cash flows were not adequate to recover the carrying basis of certain properties not strategic to our three major development projects. Consequently, we reduced the cost basis to estimated fair value resulting in a pretax impairment charge of $1.7 million. Fair value was determined based on property tax assessed values, discounted cash flow analysis, or a combination thereof.</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Finance Receivables. </w:t>
      </w:r>
      <w:r>
        <w:rPr>
          <w:rFonts w:ascii="Arial" w:cs="Arial" w:eastAsia="Arial" w:hAnsi="Arial"/>
          <w:sz w:val="17"/>
          <w:szCs w:val="17"/>
          <w:color w:val="auto"/>
        </w:rPr>
        <w:t>As of June 30, 2012, long-term finance receivables were $1.4 million net of allowance ($2.0 million net of allowance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2011). Long-term finance receivables are collateralized by property sold, accrue interest at market-based rates and are net of an allowance for doubtful accounts. As of June 30, 2012, we had an allowance for doubtful accounts of $0.6 million ($0.6 million as of December 31, 2011).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DERIVATIVES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third quarter of 2011, we entered into a variable-to-fixed interest rate swap (Swap), designated as a cash flow hedge, in order to manage the interest rate risk associated with a $75.0 million Term Loan. The Term Loan has a variable interest rate equal to the one-month LIBOR plus 1.00 percent, has a maturity of August 25, 2014, and represents approximately 9 percent of the Company’s outstanding long-term debt as of June 30, 2012. (See Note 8. Short-Term and Long-Term Debt.) The Swap agreement has a notional amount equal to the underlying debt principal and matures on August 25, 2014. The Swap agreement involves the receipt of variable rate amounts in exchange for fixed rate interest payments over the life of the agreement without an exchange of the underlying notional amount. The variable rate of the Swap is equal to the one-month LIBOR and the fixed rate is equal to 0.825 percent. Cash flows from the interest rate swap are expected to be highly effective in offsetting the variable interest expense of the debt attributable to fluctuations in the one-month LIBOR interest rate over the life of the Swap. If it is determined that a derivative is not or has ceased to be effective as a hedge, the Company prospectively discontinues hedge accounting. The shortcut method is used to assess hedge effectiveness. At inception, all shortcut method requirements were satisfied; thus changes in value of the Swap designated as the hedging instrument will be deemed 100 percent effective. As a result, there was no ineffectiveness recorded for the quarter and six months ended June 30, 2012. The mark-to-market fluctuation on the cash flow hedge was recorded in accumulated other comprehensive income on the Consolidated Balance Sheet. As of June 30, 2012, a $0.7 million decrease (a $0.4 million decrease as of December 31, 2011) in fair value has been recorded and is included in other non-current liabilities on the Consolidated Balance Sheet. Cash flows from derivative activities are presented in the same category as the item being hedged on the Consolidated Statement of Cash Flows. Amounts recorded in other comprehensive income related to cash flow hedges will be recognized in earnings when the hedged transactions occur or when it is probable that the hedged transactions will not occur. Gains or losses on interest rate hedging transactions are reflected as a component of interest expense on the Consolidated Statement of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2011 Form 10-K.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June 30, 2012 and December 31, 2011.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5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Fair Value as of June 30, 2012</w:t>
            </w:r>
          </w:p>
        </w:tc>
        <w:tc>
          <w:tcPr>
            <w:tcW w:w="880" w:type="dxa"/>
            <w:vAlign w:val="bottom"/>
          </w:tcPr>
          <w:p>
            <w:pPr>
              <w:spacing w:after="0"/>
              <w:rPr>
                <w:sz w:val="20"/>
                <w:szCs w:val="20"/>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3680" w:type="dxa"/>
            <w:vAlign w:val="bottom"/>
          </w:tcPr>
          <w:p>
            <w:pPr>
              <w:jc w:val="right"/>
              <w:ind w:right="112"/>
              <w:spacing w:after="0"/>
              <w:rPr>
                <w:sz w:val="20"/>
                <w:szCs w:val="20"/>
                <w:color w:val="auto"/>
              </w:rPr>
            </w:pPr>
            <w:r>
              <w:rPr>
                <w:rFonts w:ascii="Arial" w:cs="Arial" w:eastAsia="Arial" w:hAnsi="Arial"/>
                <w:sz w:val="18"/>
                <w:szCs w:val="18"/>
                <w:b w:val="1"/>
                <w:bCs w:val="1"/>
                <w:color w:val="auto"/>
              </w:rPr>
              <w:t>Level 1</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43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680" w:type="dxa"/>
            <w:vAlign w:val="bottom"/>
          </w:tcPr>
          <w:p>
            <w:pPr>
              <w:jc w:val="right"/>
              <w:spacing w:after="0"/>
              <w:rPr>
                <w:sz w:val="20"/>
                <w:szCs w:val="20"/>
                <w:color w:val="auto"/>
              </w:rPr>
            </w:pPr>
            <w:r>
              <w:rPr>
                <w:rFonts w:ascii="Arial" w:cs="Arial" w:eastAsia="Arial" w:hAnsi="Arial"/>
                <w:sz w:val="18"/>
                <w:szCs w:val="18"/>
                <w:color w:val="auto"/>
              </w:rPr>
              <w:t>$18.0</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4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Available-for-sale Securities – Corporate Debt Securities</w:t>
            </w:r>
          </w:p>
        </w:tc>
        <w:tc>
          <w:tcPr>
            <w:tcW w:w="3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w:t>
            </w:r>
          </w:p>
        </w:tc>
        <w:tc>
          <w:tcPr>
            <w:tcW w:w="1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680" w:type="dxa"/>
            <w:vAlign w:val="bottom"/>
          </w:tcPr>
          <w:p>
            <w:pPr>
              <w:jc w:val="right"/>
              <w:spacing w:after="0"/>
              <w:rPr>
                <w:sz w:val="20"/>
                <w:szCs w:val="20"/>
                <w:color w:val="auto"/>
              </w:rPr>
            </w:pPr>
            <w:r>
              <w:rPr>
                <w:rFonts w:ascii="Arial" w:cs="Arial" w:eastAsia="Arial" w:hAnsi="Arial"/>
                <w:sz w:val="18"/>
                <w:szCs w:val="18"/>
                <w:color w:val="auto"/>
              </w:rPr>
              <w:t>14.6</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43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3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w:t>
            </w:r>
          </w:p>
        </w:tc>
        <w:tc>
          <w:tcPr>
            <w:tcW w:w="1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r>
      <w:tr>
        <w:trPr>
          <w:trHeight w:val="277"/>
        </w:trPr>
        <w:tc>
          <w:tcPr>
            <w:tcW w:w="4300" w:type="dxa"/>
            <w:vAlign w:val="bottom"/>
            <w:tcBorders>
              <w:top w:val="single" w:sz="8" w:color="auto"/>
            </w:tcBorders>
          </w:tcPr>
          <w:p>
            <w:pPr>
              <w:spacing w:after="0"/>
              <w:rPr>
                <w:sz w:val="24"/>
                <w:szCs w:val="24"/>
                <w:color w:val="auto"/>
              </w:rPr>
            </w:pPr>
          </w:p>
        </w:tc>
        <w:tc>
          <w:tcPr>
            <w:tcW w:w="36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$14.3</w:t>
            </w:r>
          </w:p>
        </w:tc>
        <w:tc>
          <w:tcPr>
            <w:tcW w:w="120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4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Interest Rate Swap</w:t>
            </w:r>
          </w:p>
        </w:tc>
        <w:tc>
          <w:tcPr>
            <w:tcW w:w="3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1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4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3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$15.0</w:t>
            </w:r>
          </w:p>
        </w:tc>
        <w:tc>
          <w:tcPr>
            <w:tcW w:w="12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43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4300" w:type="dxa"/>
            <w:vAlign w:val="bottom"/>
            <w:tcBorders>
              <w:bottom w:val="single" w:sz="8" w:color="auto"/>
            </w:tcBorders>
            <w:shd w:val="clear" w:color="auto" w:fill="CCEEFF"/>
          </w:tcPr>
          <w:p>
            <w:pPr>
              <w:spacing w:after="0"/>
              <w:rPr>
                <w:sz w:val="24"/>
                <w:szCs w:val="24"/>
                <w:color w:val="auto"/>
              </w:rPr>
            </w:pPr>
          </w:p>
        </w:tc>
        <w:tc>
          <w:tcPr>
            <w:tcW w:w="36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3680" w:type="dxa"/>
            <w:vAlign w:val="bottom"/>
          </w:tcPr>
          <w:p>
            <w:pPr>
              <w:jc w:val="right"/>
              <w:spacing w:after="0"/>
              <w:rPr>
                <w:sz w:val="20"/>
                <w:szCs w:val="20"/>
                <w:color w:val="auto"/>
              </w:rPr>
            </w:pPr>
            <w:r>
              <w:rPr>
                <w:rFonts w:ascii="Arial" w:cs="Arial" w:eastAsia="Arial" w:hAnsi="Arial"/>
                <w:sz w:val="18"/>
                <w:szCs w:val="18"/>
                <w:color w:val="auto"/>
              </w:rPr>
              <w:t>$32.6</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20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43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98"/>
        </w:trPr>
        <w:tc>
          <w:tcPr>
            <w:tcW w:w="4300" w:type="dxa"/>
            <w:vAlign w:val="bottom"/>
          </w:tcPr>
          <w:p>
            <w:pPr>
              <w:spacing w:after="0"/>
              <w:rPr>
                <w:sz w:val="24"/>
                <w:szCs w:val="24"/>
                <w:color w:val="auto"/>
              </w:rPr>
            </w:pPr>
          </w:p>
        </w:tc>
        <w:tc>
          <w:tcPr>
            <w:tcW w:w="3680" w:type="dxa"/>
            <w:vAlign w:val="bottom"/>
          </w:tcPr>
          <w:p>
            <w:pPr>
              <w:jc w:val="right"/>
              <w:ind w:right="932"/>
              <w:spacing w:after="0"/>
              <w:rPr>
                <w:sz w:val="20"/>
                <w:szCs w:val="20"/>
                <w:color w:val="auto"/>
              </w:rPr>
            </w:pPr>
            <w:r>
              <w:rPr>
                <w:rFonts w:ascii="Arial" w:cs="Arial" w:eastAsia="Arial" w:hAnsi="Arial"/>
                <w:sz w:val="14"/>
                <w:szCs w:val="14"/>
                <w:color w:val="auto"/>
              </w:rPr>
              <w:t>ALLETE Second Quarter 2012 Form 10-Q</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jc w:val="right"/>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8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94"/>
        </w:trPr>
        <w:tc>
          <w:tcPr>
            <w:tcW w:w="5680" w:type="dxa"/>
            <w:vAlign w:val="bottom"/>
          </w:tcPr>
          <w:p>
            <w:pPr>
              <w:spacing w:after="0"/>
              <w:rPr>
                <w:sz w:val="24"/>
                <w:szCs w:val="24"/>
                <w:color w:val="auto"/>
              </w:rPr>
            </w:pPr>
          </w:p>
        </w:tc>
        <w:tc>
          <w:tcPr>
            <w:tcW w:w="4960" w:type="dxa"/>
            <w:vAlign w:val="bottom"/>
            <w:gridSpan w:val="3"/>
          </w:tcPr>
          <w:p>
            <w:pPr>
              <w:ind w:left="2180"/>
              <w:spacing w:after="0"/>
              <w:rPr>
                <w:sz w:val="20"/>
                <w:szCs w:val="20"/>
                <w:color w:val="auto"/>
              </w:rPr>
            </w:pPr>
            <w:r>
              <w:rPr>
                <w:rFonts w:ascii="Arial" w:cs="Arial" w:eastAsia="Arial" w:hAnsi="Arial"/>
                <w:sz w:val="18"/>
                <w:szCs w:val="18"/>
                <w:b w:val="1"/>
                <w:bCs w:val="1"/>
                <w:color w:val="auto"/>
                <w:w w:val="91"/>
              </w:rPr>
              <w:t>Fair Value as of December 31, 2011</w:t>
            </w:r>
          </w:p>
        </w:tc>
        <w:tc>
          <w:tcPr>
            <w:tcW w:w="780" w:type="dxa"/>
            <w:vAlign w:val="bottom"/>
          </w:tcPr>
          <w:p>
            <w:pPr>
              <w:spacing w:after="0"/>
              <w:rPr>
                <w:sz w:val="24"/>
                <w:szCs w:val="24"/>
                <w:color w:val="auto"/>
              </w:rPr>
            </w:pP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4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30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56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$17.6</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 – Corporate Debt Securities</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w:t>
            </w:r>
          </w:p>
        </w:tc>
        <w:tc>
          <w:tcPr>
            <w:tcW w:w="1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56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$29.0</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w:t>
            </w:r>
          </w:p>
        </w:tc>
        <w:tc>
          <w:tcPr>
            <w:tcW w:w="1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77"/>
        </w:trPr>
        <w:tc>
          <w:tcPr>
            <w:tcW w:w="56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$12.8</w:t>
            </w:r>
          </w:p>
        </w:tc>
        <w:tc>
          <w:tcPr>
            <w:tcW w:w="130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5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Interest Rate Swap</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$13.2</w:t>
            </w:r>
          </w:p>
        </w:tc>
        <w:tc>
          <w:tcPr>
            <w:tcW w:w="13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56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680" w:type="dxa"/>
            <w:vAlign w:val="bottom"/>
            <w:tcBorders>
              <w:bottom w:val="single" w:sz="8" w:color="auto"/>
            </w:tcBorders>
            <w:shd w:val="clear" w:color="auto" w:fill="CCEEFF"/>
          </w:tcPr>
          <w:p>
            <w:pPr>
              <w:spacing w:after="0"/>
              <w:rPr>
                <w:sz w:val="24"/>
                <w:szCs w:val="24"/>
                <w:color w:val="auto"/>
              </w:rPr>
            </w:pPr>
          </w:p>
        </w:tc>
        <w:tc>
          <w:tcPr>
            <w:tcW w:w="24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$29.0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30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56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560" w:type="dxa"/>
            <w:vAlign w:val="bottom"/>
          </w:tcPr>
          <w:p>
            <w:pPr>
              <w:jc w:val="center"/>
              <w:ind w:left="2230"/>
              <w:spacing w:after="0"/>
              <w:rPr>
                <w:sz w:val="20"/>
                <w:szCs w:val="20"/>
                <w:color w:val="auto"/>
              </w:rPr>
            </w:pPr>
            <w:r>
              <w:rPr>
                <w:rFonts w:ascii="Arial" w:cs="Arial" w:eastAsia="Arial" w:hAnsi="Arial"/>
                <w:sz w:val="18"/>
                <w:szCs w:val="18"/>
                <w:b w:val="1"/>
                <w:bCs w:val="1"/>
                <w:color w:val="auto"/>
                <w:w w:val="88"/>
              </w:rPr>
              <w:t>Debt Securities</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560" w:type="dxa"/>
            <w:vAlign w:val="bottom"/>
          </w:tcPr>
          <w:p>
            <w:pPr>
              <w:jc w:val="center"/>
              <w:ind w:left="2230"/>
              <w:spacing w:after="0"/>
              <w:rPr>
                <w:sz w:val="20"/>
                <w:szCs w:val="20"/>
                <w:color w:val="auto"/>
              </w:rPr>
            </w:pPr>
            <w:r>
              <w:rPr>
                <w:rFonts w:ascii="Arial" w:cs="Arial" w:eastAsia="Arial" w:hAnsi="Arial"/>
                <w:sz w:val="18"/>
                <w:szCs w:val="18"/>
                <w:b w:val="1"/>
                <w:bCs w:val="1"/>
                <w:color w:val="auto"/>
                <w:w w:val="87"/>
              </w:rPr>
              <w:t>Issued by States</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3560" w:type="dxa"/>
            <w:vAlign w:val="bottom"/>
          </w:tcPr>
          <w:p>
            <w:pPr>
              <w:jc w:val="center"/>
              <w:ind w:left="2230"/>
              <w:spacing w:after="0"/>
              <w:rPr>
                <w:sz w:val="20"/>
                <w:szCs w:val="20"/>
                <w:color w:val="auto"/>
              </w:rPr>
            </w:pPr>
            <w:r>
              <w:rPr>
                <w:rFonts w:ascii="Arial" w:cs="Arial" w:eastAsia="Arial" w:hAnsi="Arial"/>
                <w:sz w:val="18"/>
                <w:szCs w:val="18"/>
                <w:b w:val="1"/>
                <w:bCs w:val="1"/>
                <w:color w:val="auto"/>
                <w:w w:val="90"/>
              </w:rPr>
              <w:t>of the United</w:t>
            </w: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3560" w:type="dxa"/>
            <w:vAlign w:val="bottom"/>
          </w:tcPr>
          <w:p>
            <w:pPr>
              <w:jc w:val="center"/>
              <w:ind w:left="2230"/>
              <w:spacing w:after="0"/>
              <w:rPr>
                <w:sz w:val="20"/>
                <w:szCs w:val="20"/>
                <w:color w:val="auto"/>
              </w:rPr>
            </w:pPr>
            <w:r>
              <w:rPr>
                <w:rFonts w:ascii="Arial" w:cs="Arial" w:eastAsia="Arial" w:hAnsi="Arial"/>
                <w:sz w:val="18"/>
                <w:szCs w:val="18"/>
                <w:b w:val="1"/>
                <w:bCs w:val="1"/>
                <w:color w:val="auto"/>
                <w:w w:val="91"/>
              </w:rPr>
              <w:t>States (ARS)</w:t>
            </w:r>
          </w:p>
        </w:tc>
        <w:tc>
          <w:tcPr>
            <w:tcW w:w="4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 and 2010, respectively</w:t>
            </w:r>
          </w:p>
        </w:tc>
        <w:tc>
          <w:tcPr>
            <w:tcW w:w="3560" w:type="dxa"/>
            <w:vAlign w:val="bottom"/>
            <w:tcBorders>
              <w:bottom w:val="single" w:sz="8" w:color="CCEEFF"/>
            </w:tcBorders>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$6.7</w:t>
            </w: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 xml:space="preserve">Redeemed During the Period </w:t>
            </w:r>
            <w:r>
              <w:rPr>
                <w:rFonts w:ascii="Arial" w:cs="Arial" w:eastAsia="Arial" w:hAnsi="Arial"/>
                <w:sz w:val="18"/>
                <w:szCs w:val="18"/>
                <w:i w:val="1"/>
                <w:iCs w:val="1"/>
                <w:color w:val="auto"/>
              </w:rPr>
              <w:t>(a)</w:t>
            </w:r>
          </w:p>
        </w:tc>
        <w:tc>
          <w:tcPr>
            <w:tcW w:w="3560" w:type="dxa"/>
            <w:vAlign w:val="bottom"/>
          </w:tcPr>
          <w:p>
            <w:pPr>
              <w:ind w:left="26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2012 and 2011, respectively</w:t>
            </w:r>
          </w:p>
        </w:tc>
        <w:tc>
          <w:tcPr>
            <w:tcW w:w="3560" w:type="dxa"/>
            <w:vAlign w:val="bottom"/>
            <w:tcBorders>
              <w:bottom w:val="single" w:sz="8" w:color="CCEEFF"/>
            </w:tcBorders>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0"/>
        </w:trPr>
        <w:tc>
          <w:tcPr>
            <w:tcW w:w="20" w:type="dxa"/>
            <w:vAlign w:val="bottom"/>
          </w:tcPr>
          <w:p>
            <w:pPr>
              <w:spacing w:after="0"/>
              <w:rPr>
                <w:sz w:val="17"/>
                <w:szCs w:val="17"/>
                <w:color w:val="auto"/>
              </w:rPr>
            </w:pPr>
          </w:p>
        </w:tc>
        <w:tc>
          <w:tcPr>
            <w:tcW w:w="74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remaining ARS were redeemed at carrying value on January 5, 2011.</w:t>
            </w:r>
          </w:p>
        </w:tc>
        <w:tc>
          <w:tcPr>
            <w:tcW w:w="35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policy is to recognize transfers in and transfers out of a given hierarchy level as of the actual date of the event or of the change in circumstances that caused the transfer. For the six months ended June 30, 2012 and 2011, there were no transfers in or out of Levels 1, 2 or 3.</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 listed below, the estimated fair value of all financial instruments approximates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amount. The fair value for the item listed below was based on quoted market prices for the same or similar instruments (Level 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2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Carrying Amount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4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June 30, 2012</w:t>
            </w:r>
          </w:p>
        </w:tc>
        <w:tc>
          <w:tcPr>
            <w:tcW w:w="4120" w:type="dxa"/>
            <w:vAlign w:val="bottom"/>
          </w:tcPr>
          <w:p>
            <w:pPr>
              <w:jc w:val="center"/>
              <w:ind w:left="1690"/>
              <w:spacing w:after="0"/>
              <w:rPr>
                <w:sz w:val="20"/>
                <w:szCs w:val="20"/>
                <w:color w:val="auto"/>
              </w:rPr>
            </w:pPr>
            <w:r>
              <w:rPr>
                <w:rFonts w:ascii="Arial" w:cs="Arial" w:eastAsia="Arial" w:hAnsi="Arial"/>
                <w:sz w:val="18"/>
                <w:szCs w:val="18"/>
                <w:color w:val="auto"/>
                <w:w w:val="90"/>
              </w:rPr>
              <w:t>$875.8</w:t>
            </w: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0"/>
              </w:rPr>
              <w:t>$984.3</w:t>
            </w:r>
          </w:p>
        </w:tc>
      </w:tr>
      <w:tr>
        <w:trPr>
          <w:trHeight w:val="27"/>
        </w:trPr>
        <w:tc>
          <w:tcPr>
            <w:tcW w:w="5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2011</w:t>
            </w:r>
          </w:p>
        </w:tc>
        <w:tc>
          <w:tcPr>
            <w:tcW w:w="412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0"/>
              </w:rPr>
              <w:t>$863.3</w:t>
            </w:r>
          </w:p>
        </w:tc>
        <w:tc>
          <w:tcPr>
            <w:tcW w:w="18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$966.4</w:t>
            </w:r>
          </w:p>
        </w:tc>
      </w:tr>
      <w:tr>
        <w:trPr>
          <w:trHeight w:val="20"/>
        </w:trPr>
        <w:tc>
          <w:tcPr>
            <w:tcW w:w="546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2010 Minnesota Rate Case. </w:t>
      </w:r>
      <w:r>
        <w:rPr>
          <w:rFonts w:ascii="Arial" w:cs="Arial" w:eastAsia="Arial" w:hAnsi="Arial"/>
          <w:sz w:val="16"/>
          <w:szCs w:val="16"/>
          <w:color w:val="auto"/>
        </w:rPr>
        <w:t>Minnesota Power’s current retail rates are based on a 2011 MPUC retail rate order, effective June 1, 2011, that allowed for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10.38 percent return on common equity and a 54.29 percent equity ratio.</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2011, Minnesota Power appealed the MPUC’s interim rate decision in the Company’s 2010 rate case with the Minnesota 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On February 14, 2012, the Minnesota Supreme Court granted the petition for review. We cannot predict the outcome at this time.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calculated using a cost-based formula methodology that is set each July 1,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The 17 MW of average monthly demand provided to this customer is expected to be used to supply energy to prospective additional load customers beginning in 2014.</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2010 PSCW retail rate order, effective January 1, 2011, that allowed for a 10.9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In May 2012, SWL&amp;P filed a rate increase request with the PSCW seeking an average overall increase of 2.5 percent for retail customers (a 1.2 percent increase in electric rates, a 0.7 percent increase in natural gas rates, and a 13.4 percent increase in water rates). The rate filing seeks an overall return on equity of 10.9 percent, and a capital structure consisting of approximately 55 percent equity and 45 percent debt. On an annualized basis, the requested rate increase would generate approximately $1.8 million in additional revenue. Evidentiary and public hearings will be scheduled in late 2012. The Company anticipates new rates will take effect during the first quarter of 2013. We cannot predict the level of rates that may be approved by the PSCW.</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In August 2011, the Company filed with the MPUC for approval of certain affiliated interest agreements between ALLETE and</w:t>
      </w:r>
      <w:r>
        <w:rPr>
          <w:rFonts w:ascii="Arial" w:cs="Arial" w:eastAsia="Arial" w:hAnsi="Arial"/>
          <w:sz w:val="18"/>
          <w:szCs w:val="18"/>
          <w:b w:val="1"/>
          <w:bCs w:val="1"/>
          <w:color w:val="auto"/>
        </w:rPr>
        <w:t xml:space="preserve"> </w:t>
      </w:r>
      <w:r>
        <w:rPr>
          <w:rFonts w:ascii="Arial" w:cs="Arial" w:eastAsia="Arial" w:hAnsi="Arial"/>
          <w:sz w:val="18"/>
          <w:szCs w:val="18"/>
          <w:color w:val="auto"/>
        </w:rPr>
        <w:t>ALLETE Clean Energy. These agreements relate to various relationships between the parties,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On July 23, 2012, the MPUC issued an order approving certain administrative items related to accounting for shared services as well as the approval of the transfer of meteorological towers, while deferring decisions related to transmission and wind development rights pending the MPUC’s further review of Minnesota Power’s future retail electric service needs.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The Patient Protection and Affordable Care Act of 2010 (PPACA). </w:t>
      </w:r>
      <w:r>
        <w:rPr>
          <w:rFonts w:ascii="Arial" w:cs="Arial" w:eastAsia="Arial" w:hAnsi="Arial"/>
          <w:sz w:val="17"/>
          <w:szCs w:val="17"/>
          <w:color w:val="auto"/>
        </w:rPr>
        <w:t>In March 2010, PPACA was signed into law. One of the provisions changed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PPACA. On May 24, 2011, the MPUC approved our request for deferral until the next rate case and as a result we recorded an income tax benefit of $2.9 million and a related regulatory asset of $5.0 million in the second quarter of 2011.</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Pension. </w:t>
      </w:r>
      <w:r>
        <w:rPr>
          <w:rFonts w:ascii="Arial" w:cs="Arial" w:eastAsia="Arial" w:hAnsi="Arial"/>
          <w:sz w:val="18"/>
          <w:szCs w:val="18"/>
          <w:color w:val="auto"/>
        </w:rPr>
        <w:t>In December 2011, the Company filed a petition with the MPUC requesting a mechanism to recover the cost of capital associated with the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asset (or liability) created by the required contributions under the pension plan in excess of (or less than) annual pension expense. The Company further requested a mechanism to defer pension expenses in excess of (or less than) those currently being recovered in base rates. If our petition is successful, the impact would be deferred in a regulatory asset (or liability) for recovery (or refund) in the Company’s next general rate case. We cannot predict the outcome at this time.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which are probable of recovery in future utility rates as regulatory assets. Regulatory liabilities represent amounts expected to be refunded or credited to customers in rates. No regulatory assets or liabilities are currently earning a return.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288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8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7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28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70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Assets</w:t>
            </w:r>
          </w:p>
        </w:tc>
        <w:tc>
          <w:tcPr>
            <w:tcW w:w="28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18.5</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7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8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Future Benefit Obligations Under</w:t>
            </w:r>
          </w:p>
        </w:tc>
        <w:tc>
          <w:tcPr>
            <w:tcW w:w="28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7040" w:type="dxa"/>
            <w:vAlign w:val="bottom"/>
          </w:tcPr>
          <w:p>
            <w:pPr>
              <w:ind w:left="500"/>
              <w:spacing w:after="0"/>
              <w:rPr>
                <w:sz w:val="20"/>
                <w:szCs w:val="20"/>
                <w:color w:val="auto"/>
              </w:rPr>
            </w:pPr>
            <w:r>
              <w:rPr>
                <w:rFonts w:ascii="Arial" w:cs="Arial" w:eastAsia="Arial" w:hAnsi="Arial"/>
                <w:sz w:val="18"/>
                <w:szCs w:val="18"/>
                <w:color w:val="auto"/>
              </w:rPr>
              <w:t>Defined Benefit Pension and Other Postretirement Benefit Plans</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282.0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292.8</w:t>
            </w:r>
          </w:p>
        </w:tc>
      </w:tr>
      <w:tr>
        <w:trPr>
          <w:trHeight w:val="27"/>
        </w:trPr>
        <w:tc>
          <w:tcPr>
            <w:tcW w:w="7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Asset Retirement Obligation</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7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Cost Recovery Riders</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336.9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r>
      <w:tr>
        <w:trPr>
          <w:trHeight w:val="264"/>
        </w:trPr>
        <w:tc>
          <w:tcPr>
            <w:tcW w:w="7040" w:type="dxa"/>
            <w:vAlign w:val="bottom"/>
            <w:tcBorders>
              <w:top w:val="single" w:sz="8" w:color="auto"/>
            </w:tcBorders>
          </w:tcPr>
          <w:p>
            <w:pPr>
              <w:spacing w:after="0"/>
              <w:rPr>
                <w:sz w:val="22"/>
                <w:szCs w:val="22"/>
                <w:color w:val="auto"/>
              </w:rPr>
            </w:pPr>
          </w:p>
        </w:tc>
        <w:tc>
          <w:tcPr>
            <w:tcW w:w="28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75"/>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$355.4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r>
      <w:tr>
        <w:trPr>
          <w:trHeight w:val="264"/>
        </w:trPr>
        <w:tc>
          <w:tcPr>
            <w:tcW w:w="7040" w:type="dxa"/>
            <w:vAlign w:val="bottom"/>
            <w:tcBorders>
              <w:top w:val="single" w:sz="8" w:color="auto"/>
            </w:tcBorders>
          </w:tcPr>
          <w:p>
            <w:pPr>
              <w:spacing w:after="0"/>
              <w:rPr>
                <w:sz w:val="22"/>
                <w:szCs w:val="22"/>
                <w:color w:val="auto"/>
              </w:rPr>
            </w:pPr>
          </w:p>
        </w:tc>
        <w:tc>
          <w:tcPr>
            <w:tcW w:w="28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8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$20.5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7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6.3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70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8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$49.3</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Current regulatory assets are included in prepayments and other on the Consolidated Balance Sheet.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June 30, 2012, our equity investment in ATC was $102.6 million ($98.9 million at December 31, 2011). In the first six months of 2012, we invested $2.0 million in ATC, and on July 31, 2012, we invested an additional $1.9 million. In total, we expect to invest $4.7 million in 2012.</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2011</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June 30, 2012</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0"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NOTE 7. INVESTMENT IN ATC (Continued)</w:t>
            </w:r>
          </w:p>
        </w:tc>
        <w:tc>
          <w:tcPr>
            <w:tcW w:w="2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w w:val="91"/>
              </w:rPr>
              <w:t>ATC’s summarized financial data for the quarters and six months ended June 30, 2012 and 2011, is as follows:</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5240" w:type="dxa"/>
            <w:vAlign w:val="bottom"/>
          </w:tcPr>
          <w:p>
            <w:pPr>
              <w:spacing w:after="0"/>
              <w:rPr>
                <w:sz w:val="24"/>
                <w:szCs w:val="24"/>
                <w:color w:val="auto"/>
              </w:rPr>
            </w:pPr>
          </w:p>
        </w:tc>
        <w:tc>
          <w:tcPr>
            <w:tcW w:w="39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2011</w:t>
            </w:r>
          </w:p>
        </w:tc>
        <w:tc>
          <w:tcPr>
            <w:tcW w:w="1440" w:type="dxa"/>
            <w:vAlign w:val="bottom"/>
          </w:tcPr>
          <w:p>
            <w:pPr>
              <w:jc w:val="right"/>
              <w:ind w:right="730"/>
              <w:spacing w:after="0"/>
              <w:rPr>
                <w:sz w:val="20"/>
                <w:szCs w:val="20"/>
                <w:color w:val="auto"/>
              </w:rPr>
            </w:pPr>
            <w:r>
              <w:rPr>
                <w:rFonts w:ascii="Arial" w:cs="Arial" w:eastAsia="Arial" w:hAnsi="Arial"/>
                <w:sz w:val="18"/>
                <w:szCs w:val="18"/>
                <w:b w:val="1"/>
                <w:bCs w:val="1"/>
                <w:color w:val="auto"/>
              </w:rPr>
              <w:t>2012</w:t>
            </w: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5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$152.2</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$138.2</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$299.8</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880" w:type="dxa"/>
            <w:vAlign w:val="bottom"/>
          </w:tcPr>
          <w:p>
            <w:pPr>
              <w:jc w:val="right"/>
              <w:ind w:right="390"/>
              <w:spacing w:after="0"/>
              <w:rPr>
                <w:sz w:val="20"/>
                <w:szCs w:val="20"/>
                <w:color w:val="auto"/>
              </w:rPr>
            </w:pPr>
            <w:r>
              <w:rPr>
                <w:rFonts w:ascii="Arial" w:cs="Arial" w:eastAsia="Arial" w:hAnsi="Arial"/>
                <w:sz w:val="18"/>
                <w:szCs w:val="18"/>
                <w:color w:val="auto"/>
              </w:rPr>
              <w:t>71.8</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63.0</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141.3</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126.1</w:t>
            </w:r>
          </w:p>
        </w:tc>
      </w:tr>
      <w:tr>
        <w:trPr>
          <w:trHeight w:val="27"/>
        </w:trPr>
        <w:tc>
          <w:tcPr>
            <w:tcW w:w="5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21.1</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19.6</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41.1</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8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$59.3</w:t>
            </w: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$55.6</w:t>
            </w: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$117.4</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$109.8</w:t>
            </w:r>
          </w:p>
        </w:tc>
      </w:tr>
      <w:tr>
        <w:trPr>
          <w:trHeight w:val="27"/>
        </w:trPr>
        <w:tc>
          <w:tcPr>
            <w:tcW w:w="5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240" w:type="dxa"/>
            <w:vAlign w:val="bottom"/>
            <w:shd w:val="clear" w:color="auto" w:fill="CCEEFF"/>
          </w:tcPr>
          <w:p>
            <w:pPr>
              <w:spacing w:after="0"/>
              <w:rPr>
                <w:sz w:val="22"/>
                <w:szCs w:val="22"/>
                <w:color w:val="auto"/>
              </w:rPr>
            </w:pPr>
          </w:p>
        </w:tc>
        <w:tc>
          <w:tcPr>
            <w:tcW w:w="28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2880" w:type="dxa"/>
            <w:vAlign w:val="bottom"/>
          </w:tcPr>
          <w:p>
            <w:pPr>
              <w:jc w:val="right"/>
              <w:ind w:right="390"/>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$4.6</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$9.4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5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June 30, 2012, total short-term debt outstanding was $67.4 million ($6.5 million as of December 31, 2011) and consisted of long-term debt due within one year and notes payable. Short-term debt increased from year end primarily due to $60 million of long-term debt maturing in April 2013, which we intend to refinance prior to its maturity.</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June 30, 2012, total long-term debt outstanding was $808.4 million ($857.9 million as of December 31, 2011). As of June 30, 2012,</w:t>
      </w:r>
      <w:r>
        <w:rPr>
          <w:rFonts w:ascii="Arial" w:cs="Arial" w:eastAsia="Arial" w:hAnsi="Arial"/>
          <w:sz w:val="18"/>
          <w:szCs w:val="18"/>
          <w:b w:val="1"/>
          <w:bCs w:val="1"/>
          <w:color w:val="auto"/>
        </w:rPr>
        <w:t xml:space="preserve"> </w:t>
      </w:r>
      <w:r>
        <w:rPr>
          <w:rFonts w:ascii="Arial" w:cs="Arial" w:eastAsia="Arial" w:hAnsi="Arial"/>
          <w:sz w:val="18"/>
          <w:szCs w:val="18"/>
          <w:color w:val="auto"/>
        </w:rPr>
        <w:t>we had borrowed $14.0 million under our $150.0 million line of credit due in January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On July 2, 2012, we issued $160.0 million of the Company’s First Mortgage Bonds (Bonds) in the private placement market in two series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8"/>
              </w:rPr>
              <w:t>Issue Date</w:t>
            </w:r>
          </w:p>
        </w:tc>
        <w:tc>
          <w:tcPr>
            <w:tcW w:w="3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1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2"/>
              </w:rPr>
              <w:t>Principal Amount</w:t>
            </w:r>
          </w:p>
        </w:tc>
        <w:tc>
          <w:tcPr>
            <w:tcW w:w="238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1"/>
              </w:rPr>
              <w:t>Interest Rate</w:t>
            </w:r>
          </w:p>
        </w:tc>
      </w:tr>
      <w:tr>
        <w:trPr>
          <w:trHeight w:val="243"/>
        </w:trPr>
        <w:tc>
          <w:tcPr>
            <w:tcW w:w="2900" w:type="dxa"/>
            <w:vAlign w:val="bottom"/>
          </w:tcPr>
          <w:p>
            <w:pPr>
              <w:jc w:val="center"/>
              <w:ind w:left="10"/>
              <w:spacing w:after="0"/>
              <w:rPr>
                <w:sz w:val="20"/>
                <w:szCs w:val="20"/>
                <w:color w:val="auto"/>
              </w:rPr>
            </w:pPr>
            <w:r>
              <w:rPr>
                <w:rFonts w:ascii="Arial" w:cs="Arial" w:eastAsia="Arial" w:hAnsi="Arial"/>
                <w:sz w:val="18"/>
                <w:szCs w:val="18"/>
                <w:color w:val="auto"/>
                <w:w w:val="90"/>
              </w:rPr>
              <w:t>July 2, 2012</w:t>
            </w: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July 15, 2026</w:t>
            </w:r>
          </w:p>
        </w:tc>
        <w:tc>
          <w:tcPr>
            <w:tcW w:w="3120" w:type="dxa"/>
            <w:vAlign w:val="bottom"/>
          </w:tcPr>
          <w:p>
            <w:pPr>
              <w:jc w:val="center"/>
              <w:ind w:left="50"/>
              <w:spacing w:after="0"/>
              <w:rPr>
                <w:sz w:val="20"/>
                <w:szCs w:val="20"/>
                <w:color w:val="auto"/>
              </w:rPr>
            </w:pPr>
            <w:r>
              <w:rPr>
                <w:rFonts w:ascii="Arial" w:cs="Arial" w:eastAsia="Arial" w:hAnsi="Arial"/>
                <w:sz w:val="18"/>
                <w:szCs w:val="18"/>
                <w:color w:val="auto"/>
                <w:w w:val="99"/>
              </w:rPr>
              <w:t>$75 Million</w:t>
            </w:r>
          </w:p>
        </w:tc>
        <w:tc>
          <w:tcPr>
            <w:tcW w:w="2380" w:type="dxa"/>
            <w:vAlign w:val="bottom"/>
          </w:tcPr>
          <w:p>
            <w:pPr>
              <w:jc w:val="center"/>
              <w:ind w:left="130"/>
              <w:spacing w:after="0"/>
              <w:rPr>
                <w:sz w:val="20"/>
                <w:szCs w:val="20"/>
                <w:color w:val="auto"/>
              </w:rPr>
            </w:pPr>
            <w:r>
              <w:rPr>
                <w:rFonts w:ascii="Arial" w:cs="Arial" w:eastAsia="Arial" w:hAnsi="Arial"/>
                <w:sz w:val="18"/>
                <w:szCs w:val="18"/>
                <w:color w:val="auto"/>
                <w:w w:val="93"/>
              </w:rPr>
              <w:t>3.20%</w:t>
            </w:r>
          </w:p>
        </w:tc>
      </w:tr>
      <w:tr>
        <w:trPr>
          <w:trHeight w:val="27"/>
        </w:trPr>
        <w:tc>
          <w:tcPr>
            <w:tcW w:w="2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July 2, 2012</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15, 2042</w:t>
            </w:r>
          </w:p>
        </w:tc>
        <w:tc>
          <w:tcPr>
            <w:tcW w:w="31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9"/>
              </w:rPr>
              <w:t>$85 Million</w:t>
            </w:r>
          </w:p>
        </w:tc>
        <w:tc>
          <w:tcPr>
            <w:tcW w:w="23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3"/>
              </w:rPr>
              <w:t>4.08%</w:t>
            </w:r>
          </w:p>
        </w:tc>
      </w:tr>
      <w:tr>
        <w:trPr>
          <w:trHeight w:val="20"/>
        </w:trPr>
        <w:tc>
          <w:tcPr>
            <w:tcW w:w="29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the option to prepay all or a portion of the 3.20 percent Bonds at our discretion at any time prior to January 15, 2026, subject to a make-whole provision, and at any time on or after January 15, 2026, at par, including, in each case, accrued and unpaid interest. We also have the option to prepay all or a portion of the 4.08 percent Bonds at our discretion at any time prior to January 15, 2042, subject to a make-whole provision, and at any time on or after January 15, 2042, at par, including, in each case, accrued and unpaid interest. The Bonds are subject to the additional terms and conditions of our utility mortgage. In July 2012, we used a portion of the proceeds from the sale of the Bonds to redeem $6.0 million of our 6.50 percent Industrial Development Revenue Bonds and to repay the outstanding borrowings on our $150.0 million line of credit. The remaining proceeds will be used to fund utility capital expenditures and/or for general corporate purposes. The Bonds were sold in reliance on an exemption from registration under Section 4(a)(2) of the Securities Act of 1933, as amended, to certain institutional accredited investors.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2012, our ratio was approximately 0.43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June 30, 2012,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NOTE 9. OTHER INCOME (EXPENSE)</w:t>
            </w:r>
          </w:p>
        </w:tc>
        <w:tc>
          <w:tcPr>
            <w:tcW w:w="3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4"/>
        </w:trPr>
        <w:tc>
          <w:tcPr>
            <w:tcW w:w="5280" w:type="dxa"/>
            <w:vAlign w:val="bottom"/>
          </w:tcPr>
          <w:p>
            <w:pPr>
              <w:spacing w:after="0"/>
              <w:rPr>
                <w:sz w:val="24"/>
                <w:szCs w:val="24"/>
                <w:color w:val="auto"/>
              </w:rPr>
            </w:pPr>
          </w:p>
        </w:tc>
        <w:tc>
          <w:tcPr>
            <w:tcW w:w="40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3"/>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80" w:type="dxa"/>
            <w:vAlign w:val="bottom"/>
          </w:tcPr>
          <w:p>
            <w:pPr>
              <w:spacing w:after="0"/>
              <w:rPr>
                <w:sz w:val="23"/>
                <w:szCs w:val="23"/>
                <w:color w:val="auto"/>
              </w:rPr>
            </w:pPr>
          </w:p>
        </w:tc>
        <w:tc>
          <w:tcPr>
            <w:tcW w:w="3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5280" w:type="dxa"/>
            <w:vAlign w:val="bottom"/>
          </w:tcPr>
          <w:p>
            <w:pPr>
              <w:spacing w:after="0"/>
              <w:rPr>
                <w:sz w:val="23"/>
                <w:szCs w:val="23"/>
                <w:color w:val="auto"/>
              </w:rPr>
            </w:pPr>
          </w:p>
        </w:tc>
        <w:tc>
          <w:tcPr>
            <w:tcW w:w="31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2011</w:t>
            </w: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2011</w:t>
            </w:r>
          </w:p>
        </w:tc>
        <w:tc>
          <w:tcPr>
            <w:tcW w:w="20" w:type="dxa"/>
            <w:vAlign w:val="bottom"/>
          </w:tcPr>
          <w:p>
            <w:pPr>
              <w:spacing w:after="0"/>
              <w:rPr>
                <w:sz w:val="23"/>
                <w:szCs w:val="23"/>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31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w:t>
            </w:r>
          </w:p>
        </w:tc>
        <w:tc>
          <w:tcPr>
            <w:tcW w:w="31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42"/>
        </w:trPr>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10. INCOME TAX EXPENSE</w:t>
            </w:r>
          </w:p>
        </w:tc>
        <w:tc>
          <w:tcPr>
            <w:tcW w:w="3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378"/>
        </w:trPr>
        <w:tc>
          <w:tcPr>
            <w:tcW w:w="5280" w:type="dxa"/>
            <w:vAlign w:val="bottom"/>
          </w:tcPr>
          <w:p>
            <w:pPr>
              <w:spacing w:after="0"/>
              <w:rPr>
                <w:sz w:val="24"/>
                <w:szCs w:val="24"/>
                <w:color w:val="auto"/>
              </w:rPr>
            </w:pPr>
          </w:p>
        </w:tc>
        <w:tc>
          <w:tcPr>
            <w:tcW w:w="40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3"/>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80" w:type="dxa"/>
            <w:vAlign w:val="bottom"/>
          </w:tcPr>
          <w:p>
            <w:pPr>
              <w:spacing w:after="0"/>
              <w:rPr>
                <w:sz w:val="23"/>
                <w:szCs w:val="23"/>
                <w:color w:val="auto"/>
              </w:rPr>
            </w:pPr>
          </w:p>
        </w:tc>
        <w:tc>
          <w:tcPr>
            <w:tcW w:w="3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5280" w:type="dxa"/>
            <w:vAlign w:val="bottom"/>
          </w:tcPr>
          <w:p>
            <w:pPr>
              <w:spacing w:after="0"/>
              <w:rPr>
                <w:sz w:val="23"/>
                <w:szCs w:val="23"/>
                <w:color w:val="auto"/>
              </w:rPr>
            </w:pPr>
          </w:p>
        </w:tc>
        <w:tc>
          <w:tcPr>
            <w:tcW w:w="31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2011</w:t>
            </w:r>
          </w:p>
        </w:tc>
        <w:tc>
          <w:tcPr>
            <w:tcW w:w="13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23"/>
                <w:szCs w:val="23"/>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3"/>
                <w:szCs w:val="23"/>
                <w:color w:val="auto"/>
              </w:rPr>
            </w:pPr>
          </w:p>
        </w:tc>
      </w:tr>
      <w:tr>
        <w:trPr>
          <w:trHeight w:val="237"/>
        </w:trPr>
        <w:tc>
          <w:tcPr>
            <w:tcW w:w="5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3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3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3160" w:type="dxa"/>
            <w:vAlign w:val="bottom"/>
          </w:tcPr>
          <w:p>
            <w:pPr>
              <w:jc w:val="right"/>
              <w:ind w:right="450"/>
              <w:spacing w:after="0"/>
              <w:rPr>
                <w:sz w:val="20"/>
                <w:szCs w:val="20"/>
                <w:color w:val="auto"/>
              </w:rPr>
            </w:pPr>
            <w:r>
              <w:rPr>
                <w:rFonts w:ascii="Arial" w:cs="Arial" w:eastAsia="Arial" w:hAnsi="Arial"/>
                <w:sz w:val="18"/>
                <w:szCs w:val="18"/>
                <w:color w:val="auto"/>
              </w:rPr>
              <w:t>$5.0</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4.0</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$13.7</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(0.4)</w:t>
            </w:r>
          </w:p>
        </w:tc>
        <w:tc>
          <w:tcPr>
            <w:tcW w:w="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 xml:space="preserve">Change in Valuation Allowance </w:t>
            </w:r>
            <w:r>
              <w:rPr>
                <w:rFonts w:ascii="Arial" w:cs="Arial" w:eastAsia="Arial" w:hAnsi="Arial"/>
                <w:sz w:val="18"/>
                <w:szCs w:val="18"/>
                <w:i w:val="1"/>
                <w:iCs w:val="1"/>
                <w:color w:val="auto"/>
              </w:rPr>
              <w:t>(c)</w:t>
            </w:r>
          </w:p>
        </w:tc>
        <w:tc>
          <w:tcPr>
            <w:tcW w:w="3160" w:type="dxa"/>
            <w:vAlign w:val="bottom"/>
          </w:tcPr>
          <w:p>
            <w:pPr>
              <w:jc w:val="right"/>
              <w:ind w:right="450"/>
              <w:spacing w:after="0"/>
              <w:rPr>
                <w:sz w:val="20"/>
                <w:szCs w:val="20"/>
                <w:color w:val="auto"/>
              </w:rPr>
            </w:pPr>
            <w:r>
              <w:rPr>
                <w:rFonts w:ascii="Arial" w:cs="Arial" w:eastAsia="Arial" w:hAnsi="Arial"/>
                <w:sz w:val="18"/>
                <w:szCs w:val="18"/>
                <w:color w:val="auto"/>
              </w:rPr>
              <w:t>0.4</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1.0</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3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3"/>
                <w:szCs w:val="23"/>
                <w:color w:val="auto"/>
              </w:rPr>
            </w:pPr>
          </w:p>
        </w:tc>
      </w:tr>
      <w:tr>
        <w:trPr>
          <w:trHeight w:val="237"/>
        </w:trPr>
        <w:tc>
          <w:tcPr>
            <w:tcW w:w="5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Tax Expense</w:t>
            </w:r>
          </w:p>
        </w:tc>
        <w:tc>
          <w:tcPr>
            <w:tcW w:w="3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4.8</w:t>
            </w:r>
          </w:p>
        </w:tc>
        <w:tc>
          <w:tcPr>
            <w:tcW w:w="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3.7</w:t>
            </w:r>
          </w:p>
        </w:tc>
        <w:tc>
          <w:tcPr>
            <w:tcW w:w="13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13.1</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$4.8</w:t>
            </w:r>
          </w:p>
        </w:tc>
        <w:tc>
          <w:tcPr>
            <w:tcW w:w="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$3.8</w:t>
            </w:r>
          </w:p>
        </w:tc>
        <w:tc>
          <w:tcPr>
            <w:tcW w:w="13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$13.1</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1"/>
                <w:szCs w:val="2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jc w:val="both"/>
        <w:ind w:left="340" w:hanging="332"/>
        <w:spacing w:after="0" w:line="283" w:lineRule="auto"/>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For the quarter and six months ended June 30, 2012, the federal and state current tax expense of zero and zero, respectively, ($0.1 million and $0.2 million for the quarter and six months ended June 30, 2011) is due to a net operating loss (NOL) which resulted primarily from the bonus depreciation provision of the Tax Relief, Unemployment Insurance Reauthorization, and Job Creation Act of 2010. The 2011 and 2012 federal and state NOLs will be carried forward to offset future taxable income.</w:t>
      </w:r>
    </w:p>
    <w:p>
      <w:pPr>
        <w:spacing w:after="0" w:line="1"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six months ended June 30, 2012, the state deferred tax benefit of $0.4 million and $1.2 million, respectively, is due to state renewable tax credits earned which will be carried forward to offset future state tax. The quarter ended June 30, 2011, includes a $2.9 million income tax benefit related to the MPUC approval of our request to defer the retail portion of the tax charge taken in 2010 resulting from PPACA. The six months ended June 30, 2011, includes the second quarter item above and the reversal in the first quarter of a $6.2 million deferred tax liability related to a revenue receivable that Minnesota Power agreed to forgo as part of a stipulation and settlement agreement in its 2010 rate case.</w:t>
      </w:r>
    </w:p>
    <w:p>
      <w:pPr>
        <w:spacing w:after="0" w:line="2"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increase in valuation allowance in 2012 is due to state renewable tax credits earned in 2012 which are not expected to be utilized within their allowable tax carryforward period.</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six months ended June 30, 2012, the effective tax rate was 25.2 percent (18.2 percent for the six months ended June 30, 2011; the effective tax rate for the six months ended June 30, 2011, was lowered by 4.4 percentage points due to the non-recurring income tax benefit related to the MPUC approval of our request to defer the retail portion of the tax charge taken in 2010 resulting from PPACA and by 9.4 percentage points due to the non-recurring reversal of the deferred tax liability related to a revenue receivable that Minnesota Power agreed to forgo as part of a stipulation and settlement agreement in its 2010 rate case). The increase in the effective tax rate from June 30, 2011, was primarily due to the 2011 non-recurring items above, partially offset by increased renewable tax credits in 2012. The effective tax rate deviated from the statutory rate of approximately 41 percent primarily due to deductions for AFUDC – Equity, investment tax credits, renewable tax credits and depletion, and in 2011, for the non-recurring items discussed above.</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2012, we had gross unrecognized tax benefits of $2.9 million ($11.4 million as of December 31, 2011). The $8.5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decrease in the unrecognized tax benefits balance for the six months ended June 30, 2012, was due to the resolution of a federal audit matter for prior years’ activity. Of this total, $0.5 million represents the amount of unrecognized tax benefits included in the Consolidated Balance Sheet, that, if recognized, would favorably impact the effective income tax rate.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INCOME TAX EXPENSE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ALLETE’s IRS exam for tax years 2005 through 2009 is currently awaiting review at the IRS appeals office. If the IRS appeals process is completed during the next twelve months, substantially all of the unrecognized tax benefits as of June 30, 2012, could be reversed. The unrecognized tax benefits are primarily due to tax positions which are timing in nature and therefore would have an immaterial impact on our effective tax rate if recognized.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difference between basic and diluted earnings per share, if any, arises from outstanding stock options and performance share awards granted under our Executive and Director Long-Term Incentive Compensation Plans. For the quarter and six months ended June 30, 2012 and 2011, 0.3 million and 0.3 million options, respectively, to purchase shares of common stock were excluded from the computation of diluted earnings per share because the option exercise prices were greater than the average market prices; therefore, their effect would have been anti-dilutive.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$14.4</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Common Shares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37.3</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35.0</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$0.39</w:t>
            </w:r>
          </w:p>
        </w:tc>
        <w:tc>
          <w:tcPr>
            <w:tcW w:w="1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$0.49</w:t>
            </w:r>
          </w:p>
        </w:tc>
        <w:tc>
          <w:tcPr>
            <w:tcW w:w="1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$38.8</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$54.2</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Common Shares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37.0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34.8</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$1.56</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39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2011</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6.6</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6.8</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(8.9)</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$4.5</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$3.2</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64"/>
        </w:trPr>
        <w:tc>
          <w:tcPr>
            <w:tcW w:w="668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$4.6</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13.2</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13.7</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(17.7)</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(17.3)</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(5.0)</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8.7</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3.8</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$9.0</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$6.4</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$4.8</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ectPr>
          <w:pgSz w:w="11900" w:h="16838" w:orient="portrait"/>
          <w:cols w:equalWidth="0" w:num="1">
            <w:col w:w="11420"/>
          </w:cols>
          <w:pgMar w:left="240" w:top="796"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96"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2012, no contributions were made to our defined benefit pension plan (no contributions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ended June 30, 2011). For the six months ended June 30, 2012, no contributions were made to our other postretirement benefit plan ($10.9 million for the six months ended June 30, 2011). We do not expect to make any contributions to our defined benefit pension plan in 2012, and we expect to contribute $8.7 million to our other postretirement benefit plan in 2012. In July 2012, Congress passed new legislation which included a pension funding stabilization provision. The provision, which is designed to stabilize the discount rate used to determine funding requirements from the effects of interest rate volatility, will not have a material impact on our contributions in 2012.</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postretirement health benefits that include prescription drug benefits, which qualify for the federal subsidy under the Act. For the six months ended June 30, 2012, we received $0.3 million in prescription drug reimbursements.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June 30, 2012, Square Butte had total debt outstanding of $419.2 million. Annual debt service for Square Butte is expected to be approximately $44 million in each of the five years, 2012 through 2016,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this agreement until Minnkota Power has placed in service a new AC transmission line, which is anticipated to occur in late 2013. This new AC transmission line will allow Minnkota Power to transmit its entitlement from Square Butte directly to its customers, which in turn will enable Minnesota Power the ability to transmit additional wind generation on the existing DC transmission line.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Wind PPAs. </w:t>
      </w:r>
      <w:r>
        <w:rPr>
          <w:rFonts w:ascii="Arial" w:cs="Arial" w:eastAsia="Arial" w:hAnsi="Arial"/>
          <w:sz w:val="16"/>
          <w:szCs w:val="16"/>
          <w:color w:val="auto"/>
        </w:rPr>
        <w:t>In 2006 and 2007, Minnesota Power entered into two long-term wind PPAs with an affiliate of NextEra Energy, Inc. to purchase the output from</w:t>
      </w:r>
      <w:r>
        <w:rPr>
          <w:rFonts w:ascii="Arial" w:cs="Arial" w:eastAsia="Arial" w:hAnsi="Arial"/>
          <w:sz w:val="16"/>
          <w:szCs w:val="16"/>
          <w:i w:val="1"/>
          <w:iCs w:val="1"/>
          <w:color w:val="auto"/>
        </w:rPr>
        <w:t xml:space="preserve"> </w:t>
      </w:r>
      <w:r>
        <w:rPr>
          <w:rFonts w:ascii="Arial" w:cs="Arial" w:eastAsia="Arial" w:hAnsi="Arial"/>
          <w:sz w:val="16"/>
          <w:szCs w:val="16"/>
          <w:color w:val="auto"/>
        </w:rPr>
        <w:t>Oliver Wind I (50 MW) and Oliver Wind II (48 MW)—wind facilities located near Center, North Dakota. Each agreement is for 25 years and provides for the purchase of all output from the facilities at fixed prices. There are no fixed capacity charges and we only pay for energy as it is delivered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Hydro PPAs. </w:t>
      </w:r>
      <w:r>
        <w:rPr>
          <w:rFonts w:ascii="Arial" w:cs="Arial" w:eastAsia="Arial" w:hAnsi="Arial"/>
          <w:sz w:val="18"/>
          <w:szCs w:val="18"/>
          <w:color w:val="auto"/>
        </w:rPr>
        <w:t>Minnesota Power has a PPA with Manitoba Hydro that expires in April 2015. Under this agreement Minnesota Power is purchasing 50 MW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the energy associated with that capacity. Both the capacity price and the energy price are adjusted annually by the change in a governmental inflationary index.</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9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a separate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 In March 2011, the MPUC approved this PPA with Manitoba Hydro.</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2011, Minnesota Power and Manitoba Hydro signed a long-term PPA. The PPA calls for Manitoba Hydro to sell 250 MW of capacity and energy to Minnesota Power for 15 years beginning in 2020 and requires construction of additional transmission capacity between Manitoba and the U.S.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 In February 2012, Minnesota Power and Manitoba Hydro proposed construction of a 500 kV transmission line between Manitoba and Minnesota’s Iron Range in order to strengthen the electric grid, enhance regional reliability and promote a greater exchange of sustainable energy, which is expected to be in service in 2020. Total project cost and cost allocations are still to be determined.</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Bison 1 is an 82 MW wind facility in North Dakota, which was completed in two phases. The first phase was completed in 2010, and the second phase was completed in January 2012. The project also included construction of a 22-mile, 230 kV transmission line. Bison 1 had a total project cost of $173.8 million. We expect to incur additional costs of $3.6 million through 2013, related to land restoration and completion of remaining associated upgrades for the 250 kV DC transmission line, of which $2.6 million was spent through June 30, 2012. The MPUC has approved current cost recovery for Bison 1 investments and expenses, and current customer billing rates for Bison 1 are based on a November 2011 MPUC order.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2 and Bison 3 are both 105 MW wind projects in North Dakota which are expected to be completed by the end of 2012. Construction is currently underway for both projects and the total project costs for Bison 2 and Bison 3 are estimated to be approximately $160 million each, of which $123.5 million and $100.7 million, respectively, was spent through June 30, 2012. In September 2011 and November 2011, the MPUC approved Minnesota Power’s petitions seeking current cost recovery for investments and expenses related to Bison 2 and Bison 3, respectively. In August 2011 and October 2011, the NDPSC issued a Certificate of Site Compatibility for Bison 2 and Bison 3, respectively. We anticipate filing a petition with the MPUC in the second half of 2012 to establish customer billing rates for the approved cost recovery.</w:t>
      </w:r>
    </w:p>
    <w:p>
      <w:pPr>
        <w:spacing w:after="0" w:line="18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We have coal supply agreements providing for the purchase of a significant portion of our coal requirements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expire in 2013. We also have coal transportation agreements in place for the delivery of a significant portion of our coal requirements with expiration dates through 2015. Our minimum annual payment obligation under these supply and transportation agreements for 2012 is $29.9 million, and for 2013 is $24.5 million.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 million termination fee. We lease other properties and equipment under operating lease agreements with terms expiring through 2016. The aggregate amount of minimum lease payments for all operating leases is $10.9 million in 2012, $11.1 million in 2013, $11.4 million in 2014, $11.2 million in 2015, $9.2 million in 2016 and $43.0 million thereafter.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are making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(individually or in combination with others), and our investment in ATC.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76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In June 2011, we filed an updated billing factor that includes additional transmission projects and expenses, which we expect to be approved in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 is currently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Based on projected costs of the three transmission lines and the allocation agreements among participating utilities, Minnesota Power plans to invest between $100 million and $125 million in the CapX2020 initiative through 2015, of which $39.6 million was spent through June 30, 2012 ($27.8 million as of December 31, 2011). As future CapX2020 projects are identified, Minnesota Power may elect to participate on a project-by-project basis.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2010, the MPUC approved a route permit for the 28-mile 345 kV line between Monticello and St. Cloud. The project was completed and placed into service in December 2011. In June 2011, the MPUC approved the route permit for the Minnesota portion of the Fargo to St. Cloud project. The North Dakota permitting process is underway. The entire 238-mile, 345 kV line from Fargo to Monticello is expected to be in service by 2015.</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November 2010, the MPUC approved a route permit for the Bemidji to Grand Rapids, Minnesota line and construction for the 230 kV line project commenced in January 2011. The Leech Lake Band of Ojibwe (LLBO) subsequently petitioned the MPUC to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The MPUC has taken no action in the matter in light of ongoing litigation in federal and tribal courts. In June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On June 28, 2012, in a letter to the MPUC, the LLBO withdrew its petition to suspend or revoke the route permit issued to the CapX2020 owners. A consent decree dismissing the federal court action was also approved and executed by the LLBO and will be filed with the District Court in August once the LLBO revocation rights with respect to the consent decree have expired.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determine prominent power supply trends and impacts on customers. All coal-fired generating facilities could potentially be impacted, with the possibility that additional environmental control installations will be needed. At Laskin and Taconite Harbor, we will also be considering options such as remissioning, repowering and retirement.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Air. </w:t>
      </w:r>
      <w:r>
        <w:rPr>
          <w:rFonts w:ascii="Arial" w:cs="Arial" w:eastAsia="Arial" w:hAnsi="Arial"/>
          <w:sz w:val="17"/>
          <w:szCs w:val="17"/>
          <w:color w:val="auto"/>
        </w:rPr>
        <w:t>The electric utility industry is heavily regulated both at the federal and state level to address air emissions. Minnesota Power’s generating facilities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mainly burn low-sulfur western sub-bituminous coal. Square Butte, located in North Dakota, burns lignite coal. All of Minnesota Power’s coal-fired generating facilities are equipped with pollution control equipment such as scrubbers, bag houses and low NO</w:t>
      </w:r>
      <w:r>
        <w:rPr>
          <w:rFonts w:ascii="Arial" w:cs="Arial" w:eastAsia="Arial" w:hAnsi="Arial"/>
          <w:sz w:val="11"/>
          <w:szCs w:val="11"/>
          <w:color w:val="auto"/>
        </w:rPr>
        <w:t>X</w:t>
      </w:r>
      <w:r>
        <w:rPr>
          <w:rFonts w:ascii="Arial" w:cs="Arial" w:eastAsia="Arial" w:hAnsi="Arial"/>
          <w:sz w:val="17"/>
          <w:szCs w:val="17"/>
          <w:color w:val="auto"/>
        </w:rPr>
        <w:t xml:space="preserve"> technologies. At this time, under currently applicable environmental regulations, these facilities are substantially compliant with applicable emission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New Source Review (NSR)</w:t>
      </w:r>
      <w:r>
        <w:rPr>
          <w:rFonts w:ascii="Arial" w:cs="Arial" w:eastAsia="Arial" w:hAnsi="Arial"/>
          <w:sz w:val="17"/>
          <w:szCs w:val="17"/>
          <w:color w:val="auto"/>
        </w:rPr>
        <w:t>. 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We are engaged in discussions with the EPA regarding resolution of these matters, but we are unable to predict the outcome of these discussions.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Resolution of the NOVs could result in civil penalties and the installation of control technology, some of which is already planned or which has been completed to comply with other regulatory requirements. Any costs of installing pollution control technology would likely be eligible for recovery in rates over time subject to MPUC and FERC approval in a rate proceeding.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151515"/>
        </w:rPr>
        <w:t>Cross-State Air Pollution Rule (CSAPR)</w:t>
      </w:r>
      <w:r>
        <w:rPr>
          <w:rFonts w:ascii="Arial" w:cs="Arial" w:eastAsia="Arial" w:hAnsi="Arial"/>
          <w:sz w:val="17"/>
          <w:szCs w:val="17"/>
          <w:color w:val="000000"/>
        </w:rPr>
        <w:t>. In July 2011, the EPA issued the CSAPR, which went into effect in October 2011. The final rule replaced the EPA’s</w:t>
      </w:r>
      <w:r>
        <w:rPr>
          <w:rFonts w:ascii="Arial" w:cs="Arial" w:eastAsia="Arial" w:hAnsi="Arial"/>
          <w:sz w:val="17"/>
          <w:szCs w:val="17"/>
          <w:i w:val="1"/>
          <w:iCs w:val="1"/>
          <w:color w:val="151515"/>
        </w:rPr>
        <w:t xml:space="preserve"> </w:t>
      </w:r>
      <w:r>
        <w:rPr>
          <w:rFonts w:ascii="Arial" w:cs="Arial" w:eastAsia="Arial" w:hAnsi="Arial"/>
          <w:sz w:val="17"/>
          <w:szCs w:val="17"/>
          <w:color w:val="000000"/>
        </w:rPr>
        <w:t>2005 Clean Air Interstate Rule (CAIR). However, on December 30, 2011, the United States Court of Appeals for the District of Columbia Circuit issued a ruling staying implementation of the CSAPR, pending judicial review, and ordered that the CAIR remain in place while the CSAPR is stayed.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CSAPR is reinstated after judicial review, it will require states in the CSAPR region to significantly improve air quality by reducing power plant emissions that contribute to ozone and/or fine particle pollution in other states. These regulations do not directly require the installation of controls. Instead, they require facilities to have sufficient emission allowances to cover their emissions on an annual basis. These allowances would be allocated to facilities annually by the EPA and would also be able to be bought and sold.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CAIR regulations similarly require certain states to improve air quality by reducing power plant emissions that contribute to ozone and/or fine particle pollution in other states. Minnesota participation in the CAIR was stayed by EPA administrative action while the EPA completed a review of air quality modeling issues in conjunction with the development of a final replacement rule. In its final determination, the EPA listed Minnesota as a CSAPR-affected state based on new 24-hour fine particulate NAAQS analysis. While the CAIR remains in effect, Minnesota participation in the CAIR will continue to be stayed. It is uncertain if the CSAPR-related emission restrictions will become effective for Minnesota utilities.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Our analysis, based on our expected generation rates, indicates that these emission reductions would satisfy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2012. We will continue to evaluate our compliance strategy under the CSAPR and, if any capital investments or allowance purchases are required, we would likely seek recovery of those costs. We are unable to predict any additional CSAPR compliance costs we might incur if CSAPR is reinstated.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Minnesota Regional Haze</w:t>
      </w:r>
      <w:r>
        <w:rPr>
          <w:rFonts w:ascii="Arial" w:cs="Arial" w:eastAsia="Arial" w:hAnsi="Arial"/>
          <w:sz w:val="18"/>
          <w:szCs w:val="18"/>
          <w:color w:val="auto"/>
        </w:rPr>
        <w:t>. The federal regional haze rule requires states to submit SIPs to the EPA to address regional haze visibility impairment in 156</w:t>
      </w:r>
      <w:r>
        <w:rPr>
          <w:rFonts w:ascii="Arial" w:cs="Arial" w:eastAsia="Arial" w:hAnsi="Arial"/>
          <w:sz w:val="18"/>
          <w:szCs w:val="18"/>
          <w:i w:val="1"/>
          <w:iCs w:val="1"/>
          <w:color w:val="auto"/>
        </w:rPr>
        <w:t xml:space="preserve"> </w:t>
      </w:r>
      <w:r>
        <w:rPr>
          <w:rFonts w:ascii="Arial" w:cs="Arial" w:eastAsia="Arial" w:hAnsi="Arial"/>
          <w:sz w:val="18"/>
          <w:szCs w:val="18"/>
          <w:color w:val="auto"/>
        </w:rPr>
        <w:t>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the CAIR. However, a formal SIP was not filed at that time due to the United States Court of Appeals for the District of Columbia Circuit’s remand of the CAIR. Subsequently, 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2011, the EPA published in the Federal Register a proposal to approve the trading program in the CSAPR as an alternative to determining BART. On May 30, 2012, the EPA finalized this rule allowing states participating in the CSAPR trading programs to use those programs in place of source-specific BART for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emissions from power plants.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 2012, the MPCA submitted to the EPA a draft supplemental Minnesota regional haze SIP stating that it would rely on the CSAPR to satisfy BART requirements for SO</w:t>
      </w:r>
      <w:r>
        <w:rPr>
          <w:rFonts w:ascii="Arial" w:cs="Arial" w:eastAsia="Arial" w:hAnsi="Arial"/>
          <w:sz w:val="11"/>
          <w:szCs w:val="11"/>
          <w:color w:val="auto"/>
        </w:rPr>
        <w:t>2</w:t>
      </w:r>
      <w:r>
        <w:rPr>
          <w:rFonts w:ascii="Arial" w:cs="Arial" w:eastAsia="Arial" w:hAnsi="Arial"/>
          <w:sz w:val="17"/>
          <w:szCs w:val="17"/>
          <w:color w:val="auto"/>
        </w:rPr>
        <w:t xml:space="preserve"> and NO</w:t>
      </w:r>
      <w:r>
        <w:rPr>
          <w:rFonts w:ascii="Arial" w:cs="Arial" w:eastAsia="Arial" w:hAnsi="Arial"/>
          <w:sz w:val="11"/>
          <w:szCs w:val="11"/>
          <w:color w:val="auto"/>
        </w:rPr>
        <w:t>x</w:t>
      </w:r>
      <w:r>
        <w:rPr>
          <w:rFonts w:ascii="Arial" w:cs="Arial" w:eastAsia="Arial" w:hAnsi="Arial"/>
          <w:sz w:val="17"/>
          <w:szCs w:val="17"/>
          <w:color w:val="auto"/>
        </w:rPr>
        <w:t xml:space="preserve"> for electric generating units. On January 25, 2012, the EPA published in the Federal Register a proposal to approve the Minnesota SIP, including the supplemental Minnesota SIP. The MPCA submitted the final supplemental SIP to the EPA on May 8, 2012. The EPA approved the portion of the Minnesota SIP pertaining to elimination of BART requirements for those power plants which are required to comply with the CSAPR in a final rule published in the Federal Register on June 12, 2012. If the CSAPR is reinstated, Minnesota Power does not foresee a need to make significant additional expenditures at Taconite Harbor Unit 3 to comply with the regional haze rule.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additional regional haze related controls are ultimately required, Minnesota Power will have up to five years from the final promulgation deadline to bring Taconite Harbor Unit 3 into compliance with the regional haze rule requirements. It is uncertain what controls would ultimately be required at Taconite Harbor Unit 3 under this scenario.</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on February 16, 2012, addressing such emissions from coal-fired utility units greater than 25 MW. There are currently 188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February 2015. States have the authority to grant sources a one-year extension and the EPA is assessing other means for granting additional extensions when justified. Compliance at our Boswell Unit 4 to address the final MATS rule is expected to result in capital expenditures totaling between $350 million to $400 million through 2016. Some additional controls for complying with the rule at our remaining coal-fired generating units may be required, the costs of which cannot be estimated at this time.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EPA National Emission Standards for Hazardous Air Pollutants for Major Sources: Industrial, Commercial and Institutional Boilers and Process Heaters</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On January 9, 2012, the United States District Court for the District of Columbia ruled that the EPA stay of the Industrial Boiler MACT was unlawful, effectively reinstating the March 2011 rule and associated compliance deadlines. A final rule based on the December 2011 proposal, which will supersede the final March 2011 rule, is expected in 2012. Major sources are expected to have three years to achieve compliance with the final rule expected in 2012. It is not known yet whether the final rule will establish new compliance deadlines. Costs for complying with the final rule cannot be estimated at this time.</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Mercury Emission Reduction Act</w:t>
      </w:r>
      <w:r>
        <w:rPr>
          <w:rFonts w:ascii="Arial" w:cs="Arial" w:eastAsia="Arial" w:hAnsi="Arial"/>
          <w:sz w:val="18"/>
          <w:szCs w:val="18"/>
          <w:color w:val="auto"/>
        </w:rPr>
        <w:t>. Under Minnesota law, a mercury emissions reduction plan for Boswell Unit 4 is required to be submitted by July</w:t>
      </w:r>
      <w:r>
        <w:rPr>
          <w:rFonts w:ascii="Arial" w:cs="Arial" w:eastAsia="Arial" w:hAnsi="Arial"/>
          <w:sz w:val="18"/>
          <w:szCs w:val="18"/>
          <w:i w:val="1"/>
          <w:iCs w:val="1"/>
          <w:color w:val="auto"/>
        </w:rPr>
        <w:t xml:space="preserve"> </w:t>
      </w:r>
      <w:r>
        <w:rPr>
          <w:rFonts w:ascii="Arial" w:cs="Arial" w:eastAsia="Arial" w:hAnsi="Arial"/>
          <w:sz w:val="18"/>
          <w:szCs w:val="18"/>
          <w:color w:val="auto"/>
        </w:rPr>
        <w:t>1, 2015, with implementation no later than December 31, 2018. The applicable statute also calls for an evaluation of a mercury control alternative which provides for environmental and public health benefits without imposing excessive costs on the utility’s customers. Until Minnesota Power files its mercury emission reduction plan for Boswell Unit 4, it must file an annual report updating the MPUC and other stakeholders on the status of emission reduction planning for Boswell Unit 4. This annual report was filed on July 2,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Mercury emission limits have also been included in the recently finalized MATS rule. We anticipate that the emission reduction plan implemented to comply with the MATS rule will satisfy the mercury emission limits under Minnesota law. Costs for the Boswell Unit 4 emission reduction plan are included in the estimated capital expenditures required for compliance with the MATS rule discussed above.</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it will reduce emissions to attain the NAAQS. These state plans often include more stringent air emission limitations on sources of air pollutants than the NAAQS require. Four NAAQS have either recently been revised or are currently proposed for revision, as described below.</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The EPA was scheduled to decide upon the 2008 eight-hour ozone standard in July 2011, but has announced that it is deferring revision of this standard until 2013.</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NAAQS Particulate Matter standards in September 2006. Since then, the EPA established a more stringent</w:t>
      </w:r>
      <w:r>
        <w:rPr>
          <w:rFonts w:ascii="Arial" w:cs="Arial" w:eastAsia="Arial" w:hAnsi="Arial"/>
          <w:sz w:val="18"/>
          <w:szCs w:val="18"/>
          <w:i w:val="1"/>
          <w:iCs w:val="1"/>
          <w:color w:val="auto"/>
        </w:rPr>
        <w:t xml:space="preserve"> </w:t>
      </w:r>
      <w:r>
        <w:rPr>
          <w:rFonts w:ascii="Arial" w:cs="Arial" w:eastAsia="Arial" w:hAnsi="Arial"/>
          <w:sz w:val="18"/>
          <w:szCs w:val="18"/>
          <w:color w:val="auto"/>
        </w:rPr>
        <w:t>24-hour average fine particulate matter (PM</w:t>
      </w:r>
      <w:r>
        <w:rPr>
          <w:rFonts w:ascii="Arial" w:cs="Arial" w:eastAsia="Arial" w:hAnsi="Arial"/>
          <w:sz w:val="12"/>
          <w:szCs w:val="12"/>
          <w:color w:val="auto"/>
        </w:rPr>
        <w:t>2.5</w:t>
      </w:r>
      <w:r>
        <w:rPr>
          <w:rFonts w:ascii="Arial" w:cs="Arial" w:eastAsia="Arial" w:hAnsi="Arial"/>
          <w:sz w:val="18"/>
          <w:szCs w:val="18"/>
          <w:color w:val="auto"/>
        </w:rPr>
        <w:t>) standard and kept the annual average fine particulate matter standard and the 24-hour coarse particulate matter standard unchanged. The United States Court of Appeals for the District of Columbia Circuit has remanded the PM</w:t>
      </w:r>
      <w:r>
        <w:rPr>
          <w:rFonts w:ascii="Arial" w:cs="Arial" w:eastAsia="Arial" w:hAnsi="Arial"/>
          <w:sz w:val="12"/>
          <w:szCs w:val="12"/>
          <w:color w:val="auto"/>
        </w:rPr>
        <w:t>2.5</w:t>
      </w:r>
      <w:r>
        <w:rPr>
          <w:rFonts w:ascii="Arial" w:cs="Arial" w:eastAsia="Arial" w:hAnsi="Arial"/>
          <w:sz w:val="18"/>
          <w:szCs w:val="18"/>
          <w:color w:val="auto"/>
        </w:rPr>
        <w:t xml:space="preserve"> standard to the EPA, requiring consideration of lower annual average standard values. The EPA proposed a new PM</w:t>
      </w:r>
      <w:r>
        <w:rPr>
          <w:rFonts w:ascii="Arial" w:cs="Arial" w:eastAsia="Arial" w:hAnsi="Arial"/>
          <w:sz w:val="12"/>
          <w:szCs w:val="12"/>
          <w:color w:val="auto"/>
        </w:rPr>
        <w:t>2.5</w:t>
      </w:r>
      <w:r>
        <w:rPr>
          <w:rFonts w:ascii="Arial" w:cs="Arial" w:eastAsia="Arial" w:hAnsi="Arial"/>
          <w:sz w:val="18"/>
          <w:szCs w:val="18"/>
          <w:color w:val="auto"/>
        </w:rPr>
        <w:t xml:space="preserve"> standard on June 14, 2012, with a goal of finalizing the standard by December 14, 2012. The EPA has proposed a decrease to the current annual average fine particulate standard, which has been in place since 1997. The EPA’s proposal also includes a separate fine particulate standard to improve visibility (see </w:t>
      </w:r>
      <w:r>
        <w:rPr>
          <w:rFonts w:ascii="Arial" w:cs="Arial" w:eastAsia="Arial" w:hAnsi="Arial"/>
          <w:sz w:val="18"/>
          <w:szCs w:val="18"/>
          <w:i w:val="1"/>
          <w:iCs w:val="1"/>
          <w:color w:val="auto"/>
        </w:rPr>
        <w:t>Minnesota Regional Haze</w:t>
      </w:r>
      <w:r>
        <w:rPr>
          <w:rFonts w:ascii="Arial" w:cs="Arial" w:eastAsia="Arial" w:hAnsi="Arial"/>
          <w:sz w:val="18"/>
          <w:szCs w:val="18"/>
          <w:color w:val="auto"/>
        </w:rPr>
        <w:t>). State attainment status determination with these new NAAQS will occur after the rule is finalized. It is not known when affected sources would have to take additional control measures if modeling demonstrates non-compliance.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new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be 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require the EPA to evaluate modeling data to determine attainment. The EPA notified states that their SIPs for attainment of the standard will be required to be submitted to the EPA for approval by June 2013. One-hour NAAQS attainment will be required by 2017.</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MPCA initiated modeling activities that included 65 sources within Minnesota that emit greater than 100 tons of SO</w:t>
      </w:r>
      <w:r>
        <w:rPr>
          <w:rFonts w:ascii="Arial" w:cs="Arial" w:eastAsia="Arial" w:hAnsi="Arial"/>
          <w:sz w:val="11"/>
          <w:szCs w:val="11"/>
          <w:color w:val="auto"/>
        </w:rPr>
        <w:t>2</w:t>
      </w:r>
      <w:r>
        <w:rPr>
          <w:rFonts w:ascii="Arial" w:cs="Arial" w:eastAsia="Arial" w:hAnsi="Arial"/>
          <w:sz w:val="17"/>
          <w:szCs w:val="17"/>
          <w:color w:val="auto"/>
        </w:rPr>
        <w:t xml:space="preserve"> per year. However, on April 12, 2012, the MPCA notified Minnesota Power that such modeling had been suspended as a result of the EPA’s announcement that the June 2013 SIP submittals would no longer require modeling demonstrations for states, such as Minnesota, in which ambient monitors indicate compliance with the new standard. The MPCA is awaiting updated EPA guidance and will communicate with affected sources once the MPCA has more information on how the state will meet the EPA’s SIP requirements. The costs for complying with the final standard cannot be estimated at this time.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at existing facilities that undergo major modifications and at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2012, the EPA announced its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applies only to new or re-powered units and was open for public comment through June 25, 2012. It is anticipated that the EPA will issue NSPS for existing fossil fuel-fired generating units in the future. We cannot predict what CO</w:t>
      </w:r>
      <w:r>
        <w:rPr>
          <w:rFonts w:ascii="Arial" w:cs="Arial" w:eastAsia="Arial" w:hAnsi="Arial"/>
          <w:sz w:val="12"/>
          <w:szCs w:val="12"/>
          <w:color w:val="auto"/>
        </w:rPr>
        <w:t>2</w:t>
      </w:r>
      <w:r>
        <w:rPr>
          <w:rFonts w:ascii="Arial" w:cs="Arial" w:eastAsia="Arial" w:hAnsi="Arial"/>
          <w:sz w:val="18"/>
          <w:szCs w:val="18"/>
          <w:color w:val="auto"/>
        </w:rPr>
        <w:t xml:space="preserve"> control measures, if any, may be required by such NSPS.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challenges were filed with respect to the EPA’s regulation of GHG emissions, including the Tailoring Rule. On June 26, 2012, the United States District Court for the District of Columbia upheld most of the EPA’s proposed regulations, including the Tailoring Rule criteria, citing how the Clean Air Act compels the EPA to regulate in the manner the EPA proposed. Comments to the permitting guidance were also submitted by Minnesota Power and others and may be addressed by the EPA in the form of revised guidance documents.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published in the Federal Register proposed regulations under Section 316(b) of the Clean</w:t>
      </w:r>
      <w:r>
        <w:rPr>
          <w:rFonts w:ascii="Arial" w:cs="Arial" w:eastAsia="Arial" w:hAnsi="Arial"/>
          <w:sz w:val="17"/>
          <w:szCs w:val="17"/>
          <w:i w:val="1"/>
          <w:iCs w:val="1"/>
          <w:color w:val="auto"/>
        </w:rPr>
        <w:t xml:space="preserve"> </w:t>
      </w:r>
      <w:r>
        <w:rPr>
          <w:rFonts w:ascii="Arial" w:cs="Arial" w:eastAsia="Arial" w:hAnsi="Arial"/>
          <w:sz w:val="17"/>
          <w:szCs w:val="17"/>
          <w:color w:val="auto"/>
        </w:rPr>
        <w:t>Water 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The EPA is obligated to finalize the rule by June 27, 2013. We are currently reviewing the rule and are unable to predict the compliance costs we might incur; however, the costs could be material. We would seek recovery of any additional costs through cost recovery riders or in a general rate case.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EPA Steam Electric Power Generating Effluent Guidelines. </w:t>
      </w:r>
      <w:r>
        <w:rPr>
          <w:rFonts w:ascii="Arial" w:cs="Arial" w:eastAsia="Arial" w:hAnsi="Arial"/>
          <w:sz w:val="17"/>
          <w:szCs w:val="17"/>
          <w:color w:val="auto"/>
        </w:rPr>
        <w:t>In late 2009, the EPA announced that it will be reviewing and reissuing the federal effluent</w:t>
      </w:r>
      <w:r>
        <w:rPr>
          <w:rFonts w:ascii="Arial" w:cs="Arial" w:eastAsia="Arial" w:hAnsi="Arial"/>
          <w:sz w:val="17"/>
          <w:szCs w:val="17"/>
          <w:i w:val="1"/>
          <w:iCs w:val="1"/>
          <w:color w:val="auto"/>
        </w:rPr>
        <w:t xml:space="preserve"> </w:t>
      </w:r>
      <w:r>
        <w:rPr>
          <w:rFonts w:ascii="Arial" w:cs="Arial" w:eastAsia="Arial" w:hAnsi="Arial"/>
          <w:sz w:val="17"/>
          <w:szCs w:val="17"/>
          <w:color w:val="auto"/>
        </w:rPr>
        <w:t>guidelines for steam electric stations. These are the underlying federal water discharge rules that apply to all steam electric stations. The EPA has indicated that the new rule promulgating these guidelines will be proposed in late 2012 and finalized in 2014. As part of the review phase for this new rule, the EPA issued an Information Collection Request (ICR) in June 2010, to most thermal electric generating stations in the country, including all five of Minnesota Power’s generating stations. The ICR was completed and submitted to the EPA in September 2010, for Boswell, Laskin, Taconite Harbor, Hibbard, and Rapids Energy Center. The ICR was designed to gather extensive information on the nature and extent of all water discharge and related wastewater handling at power plants. The information gathered through the ICR will form a basis for development of the eventual new rule, which could include more restrictive requirements on wastewater discharge, flue gas desulfurization, and wet ash handling operations. We are unable to predict the costs we might incur to comply with potential future water discharge regulations at this time.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Coal Ash Management Facilities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late 2012 or early 2013. We are unable to predict the compliance cost we might incur; however, the costs could be material. We would seek recovery of any additional costs through cost recovery riders or in a general rate case.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As of June 30, 2012, we had a $0.5 million liability for this site and a corresponding regulatory asset as we expect recovery of remediation costs to be allowed by the PSCW.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June 30, 2012, BNI Coal had surety bonds outstanding of $29.8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which is currently estimated at $32.4 million. BNI Coal does not believe it is likely that any of these outstanding surety bonds or letters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June 30, 2012,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$10.2 million primarily related to development and maintenance obligations in various projects. The estimated cost of the remaining development work is approximately $7.4 million, of which $0.5 million is the contractual obligation of land purchasers. ALLETE Properties does not believe it is likely that any of these outstanding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June 30, 2012, we owned 73 percent of the assessable land in the Town Center District (73 percent at December 31, 2011) and 93 percent of the assessable land in the Palm Coast Park District (93 percent at December 31, 2011). At these ownership levels, our annual assessments are approximately $1.5 million for Town Center and $2.2 million for Palm Coast Park. As we sell property, the obligation to pay special assessments will pass to the new landowners. Under accounting guidance, these bonds are not reflected as debt on our Consolidated Balance Sheet.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The Company believes that it has strong defenses to the lawsuit and intends to vigorously assert such defenses. An accrual related to any damages that may result from the lawsuit has not been recorded as of June 30, 2012, because a potential loss is not currently probable or reasonable estimable; however, the Company believes it has adequate insurance coverage for any potential loss.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and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2011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“Forward-Looking Statements” located on page 5 and “Risk Factors” located in Part I, Item 1A, page 26 of our 2011 Form 10-K. The risks and uncertainties described in this Form 10-Q and our 2011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set forth are realized.</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and ALLETE Clean Energy, aimed at developing or acquiring capital projects that create energy solutions via wind, solar, biomass, hydro, natural gas/liquids, shale resources, clean coal and other clean energy innovations. This segment also includes a small amount of non-rate base generation, approximately 5,500 acres of land available-for-sale in Minnesota, and earnings on cash and investments.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2012,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2012, to the six months ended June 30, 2011.</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ALLETE for the six months ended June 30, 2012, was $38.8 million, or $1.05 per diluted share, compared to $54.2 million, or $1.55 per diluted share, for the same period of 2011. Net income for 2011 included the reversal of a $6.2 million, or $0.18 per share, deferred tax liability related to a revenue receivable Minnesota Power agreed to forgo as part of a stipulation and settlement agreement in its 2010 rate case. Net income for 2011 also included the recognition of a $2.9 million, or $0.08 per share, income tax benefit related to the MPUC approval of our request to defer the retail portion of the tax charge taken in 2010 resulting from the PPACA. The remaining decrease resulted from a 1.8 percent reduction in kilowatt-hour sales, higher costs under our Square Butte PPA, increased operating and maintenance expense, and higher depreciation expense. The decrease in net income was partially offset by higher current cost recovery rider revenue.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OVERVIEW (Continued)</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net income attributable to ALLETE was $38.8 million for the first six months of 2012, compared to $56.7 million for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of 2011. Net income for 2011 included the reversal of a $6.2 million deferred tax liability related to a revenue receivable Minnesota Power agreed to forgo as part of a stipulation and settlement agreement in its 2010 rate case. Net income for 2011 also included the recognition of a $2.9 million income tax benefit related to the MPUC approval of our request to defer the retail portion of the tax charge taken in 2010 resulting from the PPACA. The remaining decrease resulted from a 1.8 percent reduction in kilowatt-hour sales, higher costs under our Square Butte PPA, increased operating and maintenance expense, and higher depreciation and interest expense. The decrease in net income was partially offset by higher current cost recovery rider revenue.</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reflected no net income attributable to ALLETE for the first six months of 2012, compared to a net loss of $2.5 million in 2011.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2012 was primarily due to lower state income tax and interest expenses.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JUNE 30,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$4.8 million, or 2 percent, from 2011 primarily due to lower fuel adjustment clause recoveries and a 2.3 percent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kilowatt-hours sold, lower revenue from our municipal customers and lower gas sales. These decreases were partially offset by higher current cost recovery rider revenue and transmission revenue.</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decreased $3.5 million, or 18 percent, from 2011 due to lower fuel and purchased power costs attributable to our retail and municipal customers. (See Operating Expenses - Fuel and Purchased Power Expense.)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decreased $5.0 million due to a 2.3 percent reduction in kilowatt-hour sales. The decrease in kilowatt-hour sales was primarily due to lower sales to residential customers and other power suppliers. Residential sales were down primarily due to unseasonably warm weather during April 2012. Sales to our industrial customers remained strong, increasing 3.4 percent over last year.</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our municipal customers decreased $3.4 million due to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Gas sales at SWL&amp;P decreased $1.2 million from last year, also due to the unseasonably warm weather during April 2012 (see Operating Expenses - Operating and Maintenance Expense).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cost recovery rider revenue increased $6.1 million primarily due to higher capital expenditures related to our Bison projects.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$1.9 million primarily due to higher MISO Regional Expansion Criteria and Benefits (RECB) revenue related to our investment in CapX2020.</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226</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326</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328</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1,842</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234</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2,628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492</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614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3,120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3,192</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0"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QUARTERS ENDED JUNE 30, 2012 AND 2011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Industrial Revenue. </w:t>
      </w:r>
      <w:r>
        <w:rPr>
          <w:rFonts w:ascii="Arial" w:cs="Arial" w:eastAsia="Arial" w:hAnsi="Arial"/>
          <w:sz w:val="16"/>
          <w:szCs w:val="16"/>
          <w:color w:val="auto"/>
        </w:rPr>
        <w:t>Revenue from electric sales to taconite customers accounted for 28 percent of consolidated operating revenue in 2012 (27 percent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Revenue from electric sales to paper and pulp mills accounted for 9 percent of consolidated operating revenue in 2012 (9 percent in 2011). Revenue from electric sales to pipelines and other industrials accounted for 7 percent of consolidated operating revenue in 2012 (8 percent in 2011).</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$2.5 million, or 1 percent, from 2011.</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$3.9 million, or 5 percent, from 2011 as lower wholesale power prices and a decrease in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generation were partially offset by higher coal prices and increased costs under our Square Butte PPA. (See Operating Revenue.)</w:t>
      </w:r>
    </w:p>
    <w:p>
      <w:pPr>
        <w:spacing w:after="0" w:line="147"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decreased $1.1 million, or 1 percent, from 2011 primarily due to lower purchased gas costs at SWL&amp;P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reduction in gas sales that resulted from unseasonably warm weather during April 2012; purchased gas costs are recovered through a purchased gas adjustment clause from customers (see Operating Revenue).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$2.5 million, or 12 percent, from 2011 reflecting additional property, plant and equipment in service.</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$0.8 million, or 9 percent, from 2011 primarily due to higher average long-term debt balances, partially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AFUDC - Debt.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Despite lower earnings, </w:t>
      </w: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xml:space="preserve"> increased $1.6 million, or 29 percent, from 2011, primarily due to the recognition of a $2.9 million income tax benefit related to the MPUC approval of our request to defer the retail portion of the tax charge taken in 2010 resulting from PPACA, which was partially offset by higher renewable tax credits in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$1.3 million, or 7 percent, from 2011 primarily due to a $1.8 million increase in revenue at BNI Coal, which operates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cost-plus contract and recorded higher sales revenue primarily as a result of higher expenses in 2012 (see Operating Expense).</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$1.8 million, or 9 percent, from 2011 reflecting higher expenses at BNI Coal of $1.7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new equipment leases; these costs are recovered through the cost-plus contract (see Operating Revenue).</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$1.7 million from 2011 primarily due to an increase in the proportion of ALLETE interest expense allocated to Minnesota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We record interest expense for Regulated Operations based on Minnesota Power’s rate base and authorized capital structure, and allocate the balance to Investments and Other. Interest expense also decreased due to the reversal of interest accrued in previous years related to our uncertain tax positions.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increased $0.6 million primarily due to lower state tax expense in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For the quarter ended June 30, 2012, the effective tax rate was 25.0 percent (18.4 percent for the quarter ended June 30, 2011; the effective tax rate for the quarter ended June 30, 2011, was lowered by 14.0 percentage points due to the non-recurring income tax benefit related to the MPUC approval of our request to defer the retail portion of the tax charge taken in 2010 resulting from the PPACA). The increase in the effective tax rate from June 30, 2011, was primarily due to the 2011 non-recurring item above, partially offset by increased renewable tax credits in 2012. The effective tax rate deviated from the statutory rate of approximately 41 percent primarily due to deductions for AFUDC - Equity, investment tax credits, renewable tax credits and depletion, and in 2011, for the non-recurring item discussed above. (See Note 10. Income Tax Expense.)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SIX MONTHS ENDED JUNE 30,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$9.2 million, or 2 percent, from 2011 primarily due to lower fuel adjustment clause recoveries, a 1.8 percent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kilowatt-hours sold, lower revenue from our municipal customers and lower gas sales. These decreases were partially offset by higher current cost recovery rider revenue and transmission revenue.</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decreased $8.9 million, or 19 percent, from 2011 due to lower fuel and purchased power costs attributable to our retail and municipal customers. (See Operating Expenses - Fuel and Purchased Power Expense.)</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decreased $6.7 million due to a 1.8 percent reduction in kilowatt-hour sales. The decrease in kilowatt-hour sales was primarily due to lower sales to residential customers and other power suppliers. Residential sales were down primarily due to unseasonably warm weather during the first four months of 2012; heating degree days in Duluth, Minnesota were approximately 22 percent lower than the first four months of 2011. Sales to our industrial customers remained strong, increasing 2.5 percent over the last year.</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our municipal customers decreased $3.4 million due to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Gas sales at SWL&amp;P decreased $2.9 million from last year, also due to the unseasonably warm weather during the first four months of 2012 (see Operating Expenses - Operating and Maintenance Expense).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cost recovery rider revenue increased by $8.8 million primarily due to higher capital expenditures related to our Bison projects.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$3.5 million primarily due to higher MISO Regional Expansion Criteria and Benefits (RECB) revenue related to our investment in CapX2020.</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552</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690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704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3,710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498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499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5,450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5,423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7"/>
        </w:trPr>
        <w:tc>
          <w:tcPr>
            <w:tcW w:w="49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1,009</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1,154</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(145)</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6,459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6,577</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Industrial Revenue. </w:t>
      </w:r>
      <w:r>
        <w:rPr>
          <w:rFonts w:ascii="Arial" w:cs="Arial" w:eastAsia="Arial" w:hAnsi="Arial"/>
          <w:sz w:val="16"/>
          <w:szCs w:val="16"/>
          <w:color w:val="auto"/>
        </w:rPr>
        <w:t>Revenue from electric sales to taconite customers accounted for 27 percent of consolidated operating revenue in 2012 (26 percent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Revenue from electric sales to paper and pulp mills accounted for 9 percent of consolidated operating revenue in 2012 (9 percent in 2011). Revenue from electric sales to pipelines and other industrials accounted for 7 percent of consolidated operating revenue in 2012 (7 percent in 2011).</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$4.5 million, or 1 percent, from 2011.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SIX MONTHS ENDED JUNE 30, 2012 AND 2011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$5.8 million, or 4 percent, from 2011 as lower wholesale power prices and a decrease in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generation were partially offset by higher coal prices and increased costs under our Square Butte PPA. (See Operating Revenue.)</w:t>
      </w:r>
    </w:p>
    <w:p>
      <w:pPr>
        <w:spacing w:after="0" w:line="14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$5.8 million or 4 percent, from 2011 due to increased salary, benefit, and transmission expenses,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lower purchased gas costs. Benefit expenses increased primarily due to higher pension expense resulting from lower discount rates. Transmission expense increased primarily due to higher MISO RECB expenses. Purchased gas costs at SWL&amp;P decreased due to a reduction in gas sales due to unseasonably warm weather during the first four months of 2012; purchased gas costs are recovered from customers through a purchased gas adjustment clause(see Operating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$4.5 million, or 11 percent, from 2011 reflecting additional property, plant and equipment in service.</w:t>
      </w:r>
    </w:p>
    <w:p>
      <w:pPr>
        <w:spacing w:after="0" w:line="225"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$1.8 million, or 10 percent, from 2011 primarily due to higher average long-term debt balances, partially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AFUDC - Debt.</w:t>
      </w:r>
    </w:p>
    <w:p>
      <w:pPr>
        <w:spacing w:after="0" w:line="170"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 xml:space="preserve">Despite lower earnings, </w:t>
      </w: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xml:space="preserve"> increased $3.6 million, or 24 percent, from 2011, primarily due to the 2011 reversal of a $6.2 million deferred tax liability related to a revenue receivable Minnesota Power agreed to forgo as part of a stipulation and settlement agreement in its 2010 rate case and the recognition of a $2.9 million income tax benefit related to the MPUC approval of our request to defer the retail portion of the tax charge taken in 2010 resulting from PPACA. These increases were partially offset by increased renewable tax credits in 2012.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$3.5 million, or 9 percent, from 2011 primarily due to a $4.9 million increase in revenue at BNI Coal, which operates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cost-plus contract and recorded higher sales revenue primarily as a result of higher expenses in 2012 (see Operating Expense). Revenue at ALLETE Properties decreased $0.8 million from 2011 primarily due to a land sale in March 2011.</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740" w:type="dxa"/>
            <w:vAlign w:val="bottom"/>
          </w:tcPr>
          <w:p>
            <w:pPr>
              <w:spacing w:after="0"/>
              <w:rPr>
                <w:sz w:val="20"/>
                <w:szCs w:val="20"/>
                <w:color w:val="auto"/>
              </w:rPr>
            </w:pPr>
          </w:p>
        </w:tc>
        <w:tc>
          <w:tcPr>
            <w:tcW w:w="1360" w:type="dxa"/>
            <w:vAlign w:val="bottom"/>
          </w:tcPr>
          <w:p>
            <w:pPr>
              <w:jc w:val="right"/>
              <w:ind w:right="910"/>
              <w:spacing w:after="0"/>
              <w:rPr>
                <w:sz w:val="20"/>
                <w:szCs w:val="20"/>
                <w:color w:val="auto"/>
              </w:rPr>
            </w:pPr>
            <w:r>
              <w:rPr>
                <w:rFonts w:ascii="Arial" w:cs="Arial" w:eastAsia="Arial" w:hAnsi="Arial"/>
                <w:sz w:val="18"/>
                <w:szCs w:val="18"/>
                <w:b w:val="1"/>
                <w:bCs w:val="1"/>
                <w:color w:val="auto"/>
                <w:w w:val="84"/>
              </w:rPr>
              <w:t>2012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780" w:type="dxa"/>
            <w:vAlign w:val="bottom"/>
          </w:tcPr>
          <w:p>
            <w:pPr>
              <w:spacing w:after="0"/>
              <w:rPr>
                <w:sz w:val="20"/>
                <w:szCs w:val="20"/>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740" w:type="dxa"/>
            <w:vAlign w:val="bottom"/>
          </w:tcPr>
          <w:p>
            <w:pPr>
              <w:ind w:left="2000"/>
              <w:spacing w:after="0"/>
              <w:rPr>
                <w:sz w:val="20"/>
                <w:szCs w:val="20"/>
                <w:color w:val="auto"/>
              </w:rPr>
            </w:pPr>
            <w:r>
              <w:rPr>
                <w:rFonts w:ascii="Arial" w:cs="Arial" w:eastAsia="Arial" w:hAnsi="Arial"/>
                <w:sz w:val="18"/>
                <w:szCs w:val="18"/>
                <w:b w:val="1"/>
                <w:bCs w:val="1"/>
                <w:color w:val="auto"/>
                <w:w w:val="98"/>
              </w:rPr>
              <w:t>Quantity</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Quantity</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4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2740" w:type="dxa"/>
            <w:vAlign w:val="bottom"/>
          </w:tcPr>
          <w:p>
            <w:pPr>
              <w:ind w:left="2560"/>
              <w:spacing w:after="0"/>
              <w:rPr>
                <w:sz w:val="20"/>
                <w:szCs w:val="20"/>
                <w:color w:val="auto"/>
              </w:rPr>
            </w:pPr>
            <w:r>
              <w:rPr>
                <w:rFonts w:ascii="Arial" w:cs="Arial" w:eastAsia="Arial" w:hAnsi="Arial"/>
                <w:sz w:val="18"/>
                <w:szCs w:val="18"/>
                <w:color w:val="auto"/>
                <w:w w:val="88"/>
              </w:rPr>
              <w:t>—</w:t>
            </w:r>
          </w:p>
        </w:tc>
        <w:tc>
          <w:tcPr>
            <w:tcW w:w="1360" w:type="dxa"/>
            <w:vAlign w:val="bottom"/>
          </w:tcPr>
          <w:p>
            <w:pPr>
              <w:jc w:val="center"/>
              <w:ind w:lef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2740" w:type="dxa"/>
            <w:vAlign w:val="bottom"/>
          </w:tcPr>
          <w:p>
            <w:pPr>
              <w:spacing w:after="0"/>
              <w:rPr>
                <w:sz w:val="21"/>
                <w:szCs w:val="21"/>
                <w:color w:val="auto"/>
              </w:rPr>
            </w:pPr>
          </w:p>
        </w:tc>
        <w:tc>
          <w:tcPr>
            <w:tcW w:w="1360" w:type="dxa"/>
            <w:vAlign w:val="bottom"/>
          </w:tcPr>
          <w:p>
            <w:pPr>
              <w:jc w:val="center"/>
              <w:ind w:left="570"/>
              <w:spacing w:after="0"/>
              <w:rPr>
                <w:sz w:val="20"/>
                <w:szCs w:val="20"/>
                <w:color w:val="auto"/>
              </w:rPr>
            </w:pPr>
            <w:r>
              <w:rPr>
                <w:rFonts w:ascii="Arial" w:cs="Arial" w:eastAsia="Arial" w:hAnsi="Arial"/>
                <w:sz w:val="18"/>
                <w:szCs w:val="18"/>
                <w:color w:val="auto"/>
                <w:w w:val="85"/>
              </w:rPr>
              <w:t>$0.3</w:t>
            </w: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4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5"/>
              </w:rPr>
              <w:t>$0.3</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5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ind w:left="680" w:hanging="348"/>
        <w:spacing w:after="0"/>
        <w:tabs>
          <w:tab w:leader="none" w:pos="6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w:t>
      </w:r>
    </w:p>
    <w:p>
      <w:pPr>
        <w:spacing w:after="0" w:line="9" w:lineRule="exact"/>
        <w:rPr>
          <w:rFonts w:ascii="Arial" w:cs="Arial" w:eastAsia="Arial" w:hAnsi="Arial"/>
          <w:sz w:val="16"/>
          <w:szCs w:val="16"/>
          <w:i w:val="1"/>
          <w:iCs w:val="1"/>
          <w:color w:val="auto"/>
        </w:rPr>
      </w:pPr>
    </w:p>
    <w:p>
      <w:pPr>
        <w:ind w:left="660" w:right="20" w:hanging="328"/>
        <w:spacing w:after="0" w:line="257"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For the six months ended June 30, 2011, Other Revenue included a $0.4 million forfeited deposit due to the transfer of property back to ALLETE Properties by deed-in-lieu of foreclosure, in satisfaction of amounts previously owed under long-term financing receivables.</w:t>
      </w:r>
    </w:p>
    <w:p>
      <w:pPr>
        <w:spacing w:after="0" w:line="18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$5.0 million, or 13 percent, from 2011 reflecting higher expenses at BNI Coal of $4.4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new equipment leases; these costs are recovered through the cost-plus contract (see Operating Revenue).</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$2.4 million from 2011 primarily due to an increase in the proportion of ALLETE interest expense allocated to Minnesota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We record interest expense for Regulated Operations based on Minnesota Power’s rate base and authorized capital structure, and allocate the balance to Investments and Other. Interest expense also decreased due to the reversal of interest accrued in previous years related to our uncertain tax positions.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increased $2.5 million primarily due to lower state tax expenses in 2012.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SIX MONTHS ENDED JUNE 30, 2012 AND 2011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For the six months ended June 30, 2012, the effective tax rate was 25.2 percent (18.2 percent for the six months ended June 30, 2011; the effective tax rate for the six months ended June 30, 2011, was lowered by 4.4 percentage points due to the income tax benefit related to the MPUC approval of our request to defer the retail portion of the tax charge taken in 2010 resulting from the PPACA and by 9.4 percentage points due to the reversal of the deferred tax liability related to a revenue receivable that Minnesota Power agreed to forgo as part of a stipulation and settlement agreement in its 2010 rate case). The increase in the effective tax rate from June 30, 2011, was primarily due to the 2011 non-recurring items above, partially offset by increased renewable tax credits in 2012. The effective tax rate deviated from the statutory rate of approximately 41 percent primarily due to deductions for AFUDC - Equity, investment tax credits, renewable tax credits and depletion, and in 2011, for the non-recurring items discussed above. (See Note 10. Income Tax Expense.)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2011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2011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2010 as a base year) and maintaining a competitive dividend payout. To accomplish this, Minnesota Power will continue to pursue customer growth opportunities and current cost recovery rider approval for environmental, renewable and transmission investments, as well as work with legislators and regulators to earn a fair rate of return. In addition, ALLETE will pursue new energy-centric initiatives that provide long-term earnings growth potential, while at the same time reduce our exposure to industrial electricity sales. The new energy-centric pursuits will be in renewable energy, transmission and other energy-related infrastructure or infrastructure services.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over the long-term, less carbon intensive and more sustainable renewable energy sources will play an increasingly important role in our nation’s energy mix. Minnesota Power is developing additional renewable resources which will be used to meet regulated renewable supply requirements. In addition, in June 2011, we established ALLETE Clean Energy, a wholly-owned subsidiary of ALLETE. ALLETE Clean Energy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PPAs, and will be subject to applicable state and federal regulatory approvals. For wind development, we intend to capitalize on our existing presence in North Dakota through BNI Coal, our DC transmission line and our Bison 1, 2 and 3 wind projects. We have a long-term business presence and established landowner relationships in North Dakota.</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make investments in Upper Midwest transmission opportunities that strengthen or enhance the regional transmission grid or take advantage of our geographical location between sources of renewable energy and end users. This includes the CapX2020 initiative, investments in our own transmission assets, investments in other regional transmission assets (individually or in combination with others), and our investment in ATC. Transmission investments could be made by Minnesota Power or a subsidiary of ALLETE. (See Transmission.)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Minnesota Power will continue to pursue customer growth opportunities and current cost recovery rider approval for environmental, renewable and transmission investments, as well as work with legislators and regulators to earn a fair rate of return. We project that our Regulated Operations will not earn its allowed rate of return in 2012.</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structure, issuance of securities and other matters.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Rates. </w:t>
      </w:r>
      <w:r>
        <w:rPr>
          <w:rFonts w:ascii="Arial" w:cs="Arial" w:eastAsia="Arial" w:hAnsi="Arial"/>
          <w:sz w:val="18"/>
          <w:szCs w:val="18"/>
          <w:color w:val="auto"/>
        </w:rPr>
        <w:t>Minnesota Power’s current retail rates are based on a 2011 MPUC retail rate order, effective June 1, 2011, that allowed for a 10.38 percent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and a 54.29 percent equity ratio.</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Interim Rate Appeal. </w:t>
      </w:r>
      <w:r>
        <w:rPr>
          <w:rFonts w:ascii="Arial" w:cs="Arial" w:eastAsia="Arial" w:hAnsi="Arial"/>
          <w:sz w:val="18"/>
          <w:szCs w:val="18"/>
          <w:color w:val="auto"/>
        </w:rPr>
        <w:t>In February 2011, Minnesota Power appealed the MPUC’s interim rate decision in the Company’s 2010 rate case with the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4, 2012, the Company filed a petition for review at the Minnesota Supreme Court. On February 14, 2012, the Minnesota Supreme Court granted the petition for review. We cannot predict the outcome at this time.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Pension. </w:t>
      </w:r>
      <w:r>
        <w:rPr>
          <w:rFonts w:ascii="Arial" w:cs="Arial" w:eastAsia="Arial" w:hAnsi="Arial"/>
          <w:sz w:val="18"/>
          <w:szCs w:val="18"/>
          <w:color w:val="auto"/>
        </w:rPr>
        <w:t>In December 2011, the Company filed a petition with the MPUC requesting a mechanism to recover the cost of capital associated with the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asset (or liability) created by the required contributions under the pension plan in excess of (or less than) annual pension expense. The Company further requested a mechanism to defer pension expenses in excess of (or less than) those currently being recovered in base rates. If our petition is successful, the impact would be deferred in a regulatory asset (or liability) for recovery (or refund) in the Company’s next general rate case. We cannot predict the outcome at this time.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In August 2011, the Company filed with the MPUC for approval of certain affiliated interest agreements between ALLETE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ALLETE Clean Energy. These agreements relate to various relationships between the parties,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On July 23, 2012, the MPUC issued an order approving certain administrative items related to accounting for shared services as well as the approval of the transfer of meteorological towers, while deferring decisions related to transmission and wind development rights pending the MPUC’s further review of Minnesota Power’s future retail electric service needs.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Federal Energy Regulatory Commission. </w:t>
      </w:r>
      <w:r>
        <w:rPr>
          <w:rFonts w:ascii="Arial" w:cs="Arial" w:eastAsia="Arial" w:hAnsi="Arial"/>
          <w:sz w:val="17"/>
          <w:szCs w:val="17"/>
          <w:color w:val="auto"/>
        </w:rPr>
        <w:t>Minnesota Power’s non-affiliated municipal customers consist of 16 municipalities in Minnesota and 1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utility in 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calculated using a cost-based formula methodology that is set each July 1,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The 17 MW of average monthly demand provided to this customer is expected to be used to supply energy to prospective additional load customers beginning in 2014.</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Public Service Commission of Wisconsin. </w:t>
      </w:r>
      <w:r>
        <w:rPr>
          <w:rFonts w:ascii="Arial" w:cs="Arial" w:eastAsia="Arial" w:hAnsi="Arial"/>
          <w:sz w:val="18"/>
          <w:szCs w:val="18"/>
          <w:color w:val="auto"/>
        </w:rPr>
        <w:t>SWL&amp;P’s current retail rates are based on a 2010 PSCW retail rate order, effective January 1, 2011, that allowed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10.9 percent return on common equity. In May 2012, SWL&amp;P filed a rate increase request with the PSCW seeking an average overall increase of 2.5 percent for retail customers (a 1.2 percent increase in electric rates, a 0.7 percent increase in natural gas rates, and a 13.4 percent increase in water rates). The rate filing seeks an overall return on equity of 10.9 percent, and a capital structure consisting of approximately 55 percent equity and 45 percent debt. On an annualized basis, the requested rate increase would generate approximately $1.8 million in additional revenue. Evidentiary and public hearings will be scheduled in late 2012. The Company anticipates new rates will take effect during the first quarter of 2013. We cannot predict the level of rates that may be approved by the PSCW.</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Industrial Customers. </w:t>
      </w:r>
      <w:r>
        <w:rPr>
          <w:rFonts w:ascii="Arial" w:cs="Arial" w:eastAsia="Arial" w:hAnsi="Arial"/>
          <w:sz w:val="17"/>
          <w:szCs w:val="17"/>
          <w:color w:val="auto"/>
        </w:rPr>
        <w:t>Electric power is one of several key inputs in the taconite mining, paper production and pipeline industries. Approximately 57 percent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Regulated Utility kilowatt-hour sales in the six months ended June 30, 2012 (55 percent in the six months ended June 30, 2011) were made to our industrial customers, which include the taconite, paper, pulp and wood products, and pipeline industries.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According to the American Iron and Steel Institute (AISI), an association of North American steel producers, U.S. raw steel production operated at approximately 75 percent of capacity in 2011. Annual taconite production in Minnesota was approximately 40 million tons in 2011, near full capacity.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AISI and the World Steel Association, an association of approximately 170 steel producers, national and regional steel industry associations and steel research institutes representing around 85 percent of world steel production, project U.S. steel consumption will be similar in 2012 compared to 2011 (for the six months ended June 30, 2012, U.S. steel production was 78 percent of capacity).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Steelworkers Union. </w:t>
      </w:r>
      <w:r>
        <w:rPr>
          <w:rFonts w:ascii="Arial" w:cs="Arial" w:eastAsia="Arial" w:hAnsi="Arial"/>
          <w:sz w:val="18"/>
          <w:szCs w:val="18"/>
          <w:color w:val="auto"/>
        </w:rPr>
        <w:t>Union contracts between the United Steelworkers union and three of our taconite mining customers operating five union taconite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plants in Minnesota will expire at the end of August 2012. We continue to monitor the ongoing discussions. At this time we do not believe that any potential work stoppage would have a material impact on our financial position or results of operations for 2012, due to committed demand nominations through December 2012.</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 based projects that represent long-term growth potential and load diversity for Minnesota Power. These potential projects are in the ferrous and non-ferrous mining and steel industries and include PolyMet, Mesabi Nugget, USS Corporation’s expansion at its Keewatin taconite facility, Essar Steel Limited Minnesota (Essar), Magnetation, and Mining Resources, LLC (Mining Resources). We cannot predict the outcome of these projects, but if these projects are constructed, Minnesota Power could serve up to approximately 600 MW of new retail or wholesale load.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Renewable Energy. </w:t>
      </w:r>
      <w:r>
        <w:rPr>
          <w:rFonts w:ascii="Arial" w:cs="Arial" w:eastAsia="Arial" w:hAnsi="Arial"/>
          <w:sz w:val="17"/>
          <w:szCs w:val="17"/>
          <w:color w:val="auto"/>
        </w:rPr>
        <w:t>In February 2007, Minnesota enacted a law requiring 25 percent of Minnesota Power’s total retail energy sales in Minnesota be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renewable 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 Plan. The MPUC approved our Integrated Resource Plan in its final order issued on May 6, 2011.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By the end of 2012, we expect 20 percent of the Company's generation to come from renewable energy.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taken several steps to begin executing its renewable energy strategy through key renewable projects that will ensure we meet the identified state mandate. We have executed two long-term PPAs with an affiliate of NextEra Energy, Inc., for wind energy in North Dakota (Oliver Wind I and II). Other steps include Taconite Ridge, our wind facility located in northeastern Minnesota, and our Bison 1, 2 and 3 wind projects.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North Dakota Wind Development.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Bison 1 is an 82 MW wind facility in North Dakota, which was completed in two phases. The first phase was completed in 2010, and the second phase was completed in January 2012. The project also included construction of a 22-mile, 230 kV transmission line. Bison 1 had a total project cost of $173.8 million. We expect to incur additional costs of $3.6 million through 2013, related to land restoration and completion of remaining associated upgrades for the 250 kV DC transmission line, of which $2.6 million was spent through June 30, 2012. The MPUC has approved current cost recovery for Bison 1 investments and expenses, and current customer billing rates for Bison 1 are based on a November 2011 MPUC order.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2 and Bison 3 are both 105 MW wind projects in North Dakota which are expected to be completed by the end of 2012. Construction is currently underway for both projects and the total project costs for Bison 2 and Bison 3 are estimated to be approximately $160 million each, of which $123.5 million and $100.7 million, respectively, was spent through June 30, 2012. In September 2011 and November 2011, the MPUC approved Minnesota Power’s petition seeking current cost recovery for investments and expenses related to Bison 2 and Bison 3, respectively. In August 2011 and October 2011, the NDPSC issued a Certificate of Site Compatibility for Bison 2 and Bison 3, respectively. We anticipate filing a petition with the MPUC in the second half of 2012 to establish customer billing rates for the approved cost recovery.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Manitoba Hydro. </w:t>
      </w:r>
      <w:r>
        <w:rPr>
          <w:rFonts w:ascii="Arial" w:cs="Arial" w:eastAsia="Arial" w:hAnsi="Arial"/>
          <w:sz w:val="17"/>
          <w:szCs w:val="17"/>
          <w:color w:val="auto"/>
        </w:rPr>
        <w:t>Minnesota Power has a long-term PPA with Manitoba Hydro for the purchase of 50 MW of capacity and energy associated with that</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which expires in April 2015. In addition, Minnesota Power signed a separate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The MPUC approved this PPA with Manitoba Hydro in March 2011.</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2011, Minnesota Power and Manitoba Hydro signed an additional long-term PPA. The PPA calls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 The agreement requires construction of additional transmission capacity between Manitoba and Minnesota’s Iron Range. Total project cost and cost allocations are still to be determined. In addition, we are exploring other regional grid enhancements that would allow for the movement of more renewable energy in the Upper Midwest while at the same time strengthening electric reliability in the region. (See Transmission.)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Hibbard Biomass Upgrade Project. </w:t>
      </w:r>
      <w:r>
        <w:rPr>
          <w:rFonts w:ascii="Arial" w:cs="Arial" w:eastAsia="Arial" w:hAnsi="Arial"/>
          <w:sz w:val="18"/>
          <w:szCs w:val="18"/>
          <w:color w:val="auto"/>
        </w:rPr>
        <w:t>Hibbard is a 51 MW biomass/coal/natural gas facility located in Duluth, Minnesota. The biomass optimization project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leverage existing assets to increase biomass renewable energy production at the facility for Minnesota Power customers. As a result of Minnesota Power’s progress in meeting the State of Minnesota’s renewable portfolio standard and current market conditions, the biomass optimization project has been deferred to post-2020.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MPUC approved our Integrated Resource Plan in its final order issued in May 2011. A required baseload diversification study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evaluating the impact of additional environmental regulations over the next two decades was filed on February 6, 2012. Through this study, Minnesota Power evaluated various environmental compliance scenarios using possible ranges of future environmental regulations to determine prominent power supply trends and impacts on customers. The report identified that all of our coal-fired Energy Centers will be impacted with the possibility that additional environmental control installations will be needed. At Laskin and Taconite Harbor, we will also be considering options such as remissioning, repowering and retirement for these facilities in our upcoming resource planning processes. An MPUC hearing regarding our baseload diversification study is expected to be held during the third quarter of 2012.</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plan to make investments in Upper Midwest transmission opportunities that strengthen or enhance the regional transmission grid or take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of our geographical location between sources of renewable energy and end users. This includes the CapX2020 initiative, investments in our own transmission assets, investments in other regional transmission assets (individually or in combination with others),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In June 2011, we filed an updated billing factor that includes additional transmission projects and expenses, which we expect to be approved in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currently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Based on projected costs of the three transmission lines and the allocation agreements among participating utilities, Minnesota Power plans to invest between $100 million and $125 million in the CapX2020 initiative through 2015, of which $39.6 million was spent through June 30, 2012. As future CapX2020 projects are identified, Minnesota Power may elect to participate on a project-by-project basis.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2010, the MPUC granted a route permit for the 28-mile, 345 kV line between Monticello and St. Cloud. The project was completed and placed into service in December 2011. In June 2011, the MPUC approved the route permit for the Minnesota portion of the Fargo to St. Cloud project. The North Dakota permitting process is underway. The entire 238-mile, 345 kV line from Fargo to Monticello is expected to be in service by 2015.</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November 2010, the MPUC approved a route permit for the Bemidji to Grand Rapids, Minnesota line and construction for the 230 kV line project commenced in January 2011. The Leech Lake Band of Ojibwe (LLBO) subsequently petitioned the MPUC to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The MPUC has taken no action in the matter in light of ongoing litigation in federal and tribal courts. In June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On June 28, 2012, in a letter to the MPUC, the LLBO withdrew its petition to suspend or revoke the route permit issued to the CapX2020 owners. A consent decree dismissing the federal court action was also approved and executed by the LLBO and will be filed with the District Court in August once the LLBO revocation rights with respect to the consent decree have expired.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Manitoba Hydro PPA - Future Transmission Requirements. </w:t>
      </w:r>
      <w:r>
        <w:rPr>
          <w:rFonts w:ascii="Arial" w:cs="Arial" w:eastAsia="Arial" w:hAnsi="Arial"/>
          <w:sz w:val="16"/>
          <w:szCs w:val="16"/>
          <w:color w:val="auto"/>
        </w:rPr>
        <w:t>As a condition of the long-term PPA signed in May 2011 with Manitoba Hydro, construction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transmission capacity is required. (See Renewable Energy). In February 2012, Minnesota Power and Manitoba Hydro proposed construction of a 500 kV transmission line between Manitoba and Minnesota’s Iron Range in order to strengthen the electric grid, enhance regional reliability and promote a greater exchange of sustainable energy which is expected to be in service in 2020. Total project cost and cost allocations are still to be determined.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ATC Joint Development. </w:t>
      </w:r>
      <w:r>
        <w:rPr>
          <w:rFonts w:ascii="Arial" w:cs="Arial" w:eastAsia="Arial" w:hAnsi="Arial"/>
          <w:sz w:val="18"/>
          <w:szCs w:val="18"/>
          <w:color w:val="auto"/>
        </w:rPr>
        <w:t>In addition to the Manitoba to Minnesota’s Iron Range transmission line, Minnesota Power and ATC are evaluating the joint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a 345 kV transmission line from Hibbing to Duluth, Minnesota for service in approximately 2020. This is in addition to assessing transmission alternatives in Wisconsin that would allow for the movement of more renewable energy in the Upper Midwest while at the same time strengthening electric reliability in the region. Total project costs, ownership shares and cost allocation are still to be determined.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June 30, 2012, our equity investment in ATC was $102.6 million, representing an approximate 8 percent ownership interest. ATC</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based on a FERC approved 12.2 percent return on common equity dedicated to utility plant. In September 2011, ATC updated its 10-year transmission assessment covering the years 2011 through 2020 which identifies between $3.8 and $4.4 billion in transmission system improvements. This investment is expected to be funded by ATC through a combination of internally generated cash, debt and investor contributions. As opportunities arise, we plan to make additional investments in ATC through general capital calls based upon our pro rata ownership interest in ATC. In the first six months of 2012, we invested $2.0 million in ATC, and on July 31, 2012, we invested an additional $1.9 million. In total, we expect to invest approximately $4.7 million in 2012. (See Note 7. Investment in ATC.)</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FERC, MISO, PJM Interconnection LLC and various other independent system operators and state regulatory authorities. In September 2011, DATC announced its first set of proposed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Hydro Operations. </w:t>
      </w:r>
      <w:r>
        <w:rPr>
          <w:rFonts w:ascii="Arial" w:cs="Arial" w:eastAsia="Arial" w:hAnsi="Arial"/>
          <w:sz w:val="18"/>
          <w:szCs w:val="18"/>
          <w:color w:val="auto"/>
        </w:rPr>
        <w:t>On June 19 and 20, 2012, record rainfall and flooding occurred near Duluth, Minnesota and surrounding areas. The flooding impacted</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Power’s hydro system, particularly the Thomson Energy Center, which is currently off-line due to damage to the forebay canal and flooding at the facility.</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property insurance coverage of $100 million per occurrence and a deductible of $500,000 per location, providing coverage for water damage, equipment damage, and other structural damage at the facilities. The policy does not cover damage to land and earthen structures, which may include damage to the forebay canal at the Thomson Energy Center. Any expenditures to remediate the forebay canal would be capitalized.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 continues to assess the impacts of the flooding on our operations and is in close contact with the appropriate regulatory bodies which oversee the hydro system operations, including dams and reservoirs. Until that assessment is complete we are not able to estimate the capital costs and schedule for repairing and restoring our facilities for future operations. The Thomson facility represents approximately 5 percent of total company electric generation capability. Additional purchased power expense required due to the Thomson facility outage would be recovered through our fuel adjustment clause. We do not believe that this event will have a material impact on our financial position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2012 (approximately 4 million tons were sold in 2011) and has sold 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tons through June 30, 2012 (2.1 million tons were sold as of June 30, 2011).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when opportunities arise and reinvest the proceeds in its growth initiatives. ALLETE does not intend to acquire additional Florida real estate.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currently in the planning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40" w:type="dxa"/>
            <w:vAlign w:val="bottom"/>
          </w:tcPr>
          <w:p>
            <w:pPr>
              <w:jc w:val="right"/>
              <w:ind w:right="110"/>
              <w:spacing w:after="0"/>
              <w:rPr>
                <w:sz w:val="20"/>
                <w:szCs w:val="20"/>
                <w:color w:val="auto"/>
              </w:rPr>
            </w:pPr>
            <w:r>
              <w:rPr>
                <w:rFonts w:ascii="Arial" w:cs="Arial" w:eastAsia="Arial" w:hAnsi="Arial"/>
                <w:sz w:val="18"/>
                <w:szCs w:val="18"/>
                <w:color w:val="auto"/>
              </w:rPr>
              <w:t>965</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2,485</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2,246,200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4,853</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6,039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5,343,000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4"/>
        </w:trPr>
        <w:tc>
          <w:tcPr>
            <w:tcW w:w="56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10,811</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8,989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8,558,000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1,962 acres of other land available-for-sale.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intends to sell its Florida land assets when opportunities arise. However, if weak market conditions continue for an extended period of time, the impact on our future operations would be the continuation of little or no sales while still incurring operating expenses and carrying costs such as community development district assessments and property taxes.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ALLETE’s aggregate federal and multi-state statutory tax rate is approximately 41 percent for 2012. On an ongoing basis, ALLETE has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tax credits and other tax adjustments that reduce the statutory rate to the effective tax rate. These tax credits and adjustments historically have included items such as investment tax credits, renewable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renewable tax credits as a result of additional wind generation, we expect our effective tax rate to be approximately 25 percent for 2012. (See Note 10. Income Tax Expense.)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cash flow needs. As of June 30, 2012, we had cash and cash equivalents of $8.6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$392.4 million in available consolidated lines of credit and a debt-to-capital ratio of 44 percent. As planned, in June 2012, we had borrowed $14.0 million under our $150.0 million line of credit. On July 2, 2012, we issued $160.0 million of the Company’s First Mortgage Bonds in the private placement market in two series (see Note 8. Shorter-Term and Long-Term Debt), of which we used a portion of the proceeds to repay the borrowing under our $150.0 million line of credit.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8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0"/>
        </w:trPr>
        <w:tc>
          <w:tcPr>
            <w:tcW w:w="5600" w:type="dxa"/>
            <w:vAlign w:val="bottom"/>
          </w:tcPr>
          <w:p>
            <w:pPr>
              <w:spacing w:after="0"/>
              <w:rPr>
                <w:sz w:val="24"/>
                <w:szCs w:val="24"/>
                <w:color w:val="auto"/>
              </w:rPr>
            </w:pPr>
          </w:p>
        </w:tc>
        <w:tc>
          <w:tcPr>
            <w:tcW w:w="234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4"/>
                <w:szCs w:val="24"/>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24"/>
                <w:szCs w:val="24"/>
                <w:color w:val="auto"/>
              </w:rPr>
            </w:pPr>
          </w:p>
        </w:tc>
      </w:tr>
      <w:tr>
        <w:trPr>
          <w:trHeight w:val="234"/>
        </w:trPr>
        <w:tc>
          <w:tcPr>
            <w:tcW w:w="5600" w:type="dxa"/>
            <w:vAlign w:val="bottom"/>
          </w:tcPr>
          <w:p>
            <w:pPr>
              <w:spacing w:after="0"/>
              <w:rPr>
                <w:sz w:val="20"/>
                <w:szCs w:val="20"/>
                <w:color w:val="auto"/>
              </w:rPr>
            </w:pPr>
          </w:p>
        </w:tc>
        <w:tc>
          <w:tcPr>
            <w:tcW w:w="2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6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$1,119.7</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1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$1,079.3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875.8</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863.3</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$1,995.5</w:t>
            </w:r>
          </w:p>
        </w:tc>
        <w:tc>
          <w:tcPr>
            <w:tcW w:w="9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7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$1,943.7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9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26"/>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w w:val="96"/>
              </w:rPr>
              <w:t xml:space="preserve">Cash Flows. </w:t>
            </w:r>
            <w:r>
              <w:rPr>
                <w:rFonts w:ascii="Arial" w:cs="Arial" w:eastAsia="Arial" w:hAnsi="Arial"/>
                <w:sz w:val="18"/>
                <w:szCs w:val="18"/>
                <w:color w:val="auto"/>
                <w:w w:val="96"/>
              </w:rPr>
              <w:t>Selected information from ALLETE’s Consolidated Statement of Cash Flows is as follows:</w:t>
            </w: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6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$101.1</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128.1</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tcPr>
          <w:p>
            <w:pPr>
              <w:jc w:val="right"/>
              <w:ind w:right="610"/>
              <w:spacing w:after="0"/>
              <w:rPr>
                <w:sz w:val="20"/>
                <w:szCs w:val="20"/>
                <w:color w:val="auto"/>
              </w:rPr>
            </w:pPr>
            <w:r>
              <w:rPr>
                <w:rFonts w:ascii="Arial" w:cs="Arial" w:eastAsia="Arial" w:hAnsi="Arial"/>
                <w:sz w:val="18"/>
                <w:szCs w:val="18"/>
                <w:color w:val="auto"/>
              </w:rPr>
              <w:t>(227.0)</w:t>
            </w:r>
          </w:p>
        </w:tc>
        <w:tc>
          <w:tcPr>
            <w:tcW w:w="82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6.4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6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(92.5)</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56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$8.6</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r>
      <w:tr>
        <w:trPr>
          <w:trHeight w:val="20"/>
        </w:trPr>
        <w:tc>
          <w:tcPr>
            <w:tcW w:w="560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$128.1 million for the six months ended June 30, 2012 ($130.0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Cash from operating activities was similar to 2011 due to decreased accounts receivable collections as a result of higher income tax refunds in 2011 and lower net income, offset by increases due to the timing of contributions to other postretirement employee benefit plans, increased other current liabilities due to receipt of customer security deposits for capital expenditures relating to a transmission project, and increased accounts payable due to timing of payments for the true-up related to our municipal customer contracts.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$227.0 million for the six months ended June 30, 2012 ($87.0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The increase in cash used for investing activities was primarily due to higher capital expenditures in 2012 primarily related to our Bison projects.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$6.4 million for the six months ended June 30, 2012 (cash used for financing activities was $8.5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2011). The increase in cash from financing activities in 2012 was primarily due to proceeds of $14 million from draws on our $150.0 million line of credit. There were no long-term debt issuances in the first six months of 2011.</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paper. As of June 30, 2012, we had available consolidated bank lines of credit aggregating $392.4 million, the majority of which expire in June 2015. In addition, we have 1.2 million original issue shares of our common stock available for issuance through Invest Direct, our direct stock purchase and dividend reinvestment plan, and 2.3 million original issue shares of common stock available for issuance through a Distribution Agreement with KCCI, Inc. The amount and timing of future sales of our securities will depend upon market conditions and our specific needs.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KCCI, Inc. in February 2008, as amended, with respect to the issuance and sale of up to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6.6 million shares of our common stock, without par value. For the six months ended June 30, 2012, 0.4 million shares of common stock were issued under this agreement, for net proceeds of $18.7 million (0.4 million shares were issued for the six months ended June 30, 2011, for net proceeds of $14.7 million). The shares issued in 2012 were, and the remaining shares may be, offered for sale, from time to time, in accordance with the terms of the amended distribution agreement pursuant to Registration Statement No. 333-170289.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issued 0.3 million shares of common stock through Invest Direct, the Employee Stock Purchase Plan, and the Retirement Savings and Stock Ownership Plan, resulting in net proceeds of $11.8 million (0.3 million shares were issued for net proceeds of $8.2 million in 2011). These shares of common stock were registered under Registration Statement Nos. 333-166515, 333-105225 and 333-162890,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2012, we issued $160.0 million of the Company’s First Mortgage Bonds (Bonds) in the private placement market in two series. (See Note 8. Short-Term and Long-Term Debt.) On July 16, 2012, we used a portion of the proceeds from the sale of the Bonds to redeem $6.0 million of 6.50 percent Industrial Development Revenue Bonds and to repay the outstanding borrowings on our $150.0 million line of credit. The remaining proceeds will be used to fund utility capital expenditures and/or for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do not expect to contribute to our defined benefit pension plan in 2012. We expect to contribute $8.7 million to our other postretirement benefit plan in 2012. (See Note 12.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arrangements are summarized in our 2011 Form 10-K, with additional disclosure in Note 13. Commitments, Guarantees and Contingencies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capital expenditures for 2012 are expected to be approximately $440 million. For the six months ended June 30, 2012, capital expenditures totaled $235.1 million ($79.7 million for the six months ended June 30, 2011). The expenditures were primarily made in the Regulated Operations segment.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environmental requirements through legislation and/or rulemaking in the future, we anticipate that potential expenditures for environmental matters will be material and will require significant capital investments. Environmental Matters are summarized in our 2011 Form 10-K, with additional disclosure in Note 13. Commitments, Guarantees and Contingencies of this Form 10-Q.</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are unable to predict the outcome of the matters discussed.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June 30, 2012, our available-for-sale securities portfolio consisted of securities held to fund certain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3.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June 30, 2012,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June 30, 2012.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2012,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 In January 2012, the Company completed and installed new information systems designed to enhance certain supply-chain, financial and asset management applications. These changes were not the result of any identified deficiencies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CapX2020 Bemidji to Grand Rapids Line. </w:t>
      </w:r>
      <w:r>
        <w:rPr>
          <w:rFonts w:ascii="Arial" w:cs="Arial" w:eastAsia="Arial" w:hAnsi="Arial"/>
          <w:sz w:val="16"/>
          <w:szCs w:val="16"/>
          <w:color w:val="auto"/>
        </w:rPr>
        <w:t>In November 2010, the MPUC approved a route permit for the Bemidji to Grand Rapids, Minnesota line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for the 230 kV line project commenced in January 2011. The Leech Lake Band of Ojibwe (LLBO) subsequently petitioned the MPUC to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The MPUC has taken no action in the matter in light of ongoing litigation in federal and tribal courts. In June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On June 28, 2012, in a letter to the MPUC, the LLBO withdrew its petition to suspend or revoke the route permit issued to the CapX2020 owners. A consent decree dismissing the federal court action was also approved and executed by the LLBO and will be filed with the District Court in August once the LLBO revocation rights with respect to the consent decree have expired.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2011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49"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7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340" w:hanging="55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75" w:lineRule="exact"/>
        <w:rPr>
          <w:sz w:val="20"/>
          <w:szCs w:val="20"/>
          <w:color w:val="auto"/>
        </w:rPr>
      </w:pPr>
    </w:p>
    <w:p>
      <w:pPr>
        <w:jc w:val="both"/>
        <w:ind w:left="1300" w:right="140" w:hanging="554"/>
        <w:spacing w:after="0" w:line="307"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ALLETE News Release dated August 2, 2012, announcing 2012 second quarter earnings. </w:t>
      </w:r>
      <w:r>
        <w:rPr>
          <w:rFonts w:ascii="Arial" w:cs="Arial" w:eastAsia="Arial" w:hAnsi="Arial"/>
          <w:sz w:val="16"/>
          <w:szCs w:val="16"/>
          <w:b w:val="1"/>
          <w:bCs w:val="1"/>
          <w:color w:val="auto"/>
        </w:rPr>
        <w:t>(This exhibit has been furnished and shall</w:t>
      </w:r>
      <w:r>
        <w:rPr>
          <w:rFonts w:ascii="Arial" w:cs="Arial" w:eastAsia="Arial" w:hAnsi="Arial"/>
          <w:sz w:val="16"/>
          <w:szCs w:val="16"/>
          <w:color w:val="auto"/>
        </w:rPr>
        <w:t xml:space="preserve"> </w:t>
      </w:r>
      <w:r>
        <w:rPr>
          <w:rFonts w:ascii="Arial" w:cs="Arial" w:eastAsia="Arial" w:hAnsi="Arial"/>
          <w:sz w:val="16"/>
          <w:szCs w:val="16"/>
          <w:b w:val="1"/>
          <w:bCs w:val="1"/>
          <w:color w:val="auto"/>
        </w:rPr>
        <w:t>not 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260" w:type="dxa"/>
        <w:tblCellMar>
          <w:top w:w="0" w:type="dxa"/>
          <w:left w:w="0" w:type="dxa"/>
          <w:bottom w:w="0" w:type="dxa"/>
          <w:right w:w="0" w:type="dxa"/>
        </w:tblCellMar>
      </w:tblP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101.INS</w:t>
            </w:r>
          </w:p>
        </w:tc>
        <w:tc>
          <w:tcPr>
            <w:tcW w:w="160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7"/>
              </w:rPr>
              <w:t>101.SCH</w:t>
            </w:r>
          </w:p>
        </w:tc>
        <w:tc>
          <w:tcPr>
            <w:tcW w:w="160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1"/>
              </w:rPr>
              <w:t>101.CAL</w:t>
            </w:r>
          </w:p>
        </w:tc>
        <w:tc>
          <w:tcPr>
            <w:tcW w:w="1600" w:type="dxa"/>
            <w:vAlign w:val="bottom"/>
          </w:tcPr>
          <w:p>
            <w:pPr>
              <w:ind w:left="200"/>
              <w:spacing w:after="0"/>
              <w:rPr>
                <w:sz w:val="20"/>
                <w:szCs w:val="20"/>
                <w:color w:val="auto"/>
              </w:rPr>
            </w:pPr>
            <w:r>
              <w:rPr>
                <w:rFonts w:ascii="Arial" w:cs="Arial" w:eastAsia="Arial" w:hAnsi="Arial"/>
                <w:sz w:val="18"/>
                <w:szCs w:val="18"/>
                <w:color w:val="auto"/>
                <w:w w:val="97"/>
              </w:rPr>
              <w:t>XBRL Calculation</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0"/>
              </w:rPr>
              <w:t>101.DEF</w:t>
            </w:r>
          </w:p>
        </w:tc>
        <w:tc>
          <w:tcPr>
            <w:tcW w:w="160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2"/>
              </w:rPr>
              <w:t>101.LAB</w:t>
            </w:r>
          </w:p>
        </w:tc>
        <w:tc>
          <w:tcPr>
            <w:tcW w:w="160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8"/>
              </w:rPr>
              <w:t>101.PRE</w:t>
            </w:r>
          </w:p>
        </w:tc>
        <w:tc>
          <w:tcPr>
            <w:tcW w:w="1600" w:type="dxa"/>
            <w:vAlign w:val="bottom"/>
          </w:tcPr>
          <w:p>
            <w:pPr>
              <w:ind w:left="200"/>
              <w:spacing w:after="0"/>
              <w:rPr>
                <w:sz w:val="20"/>
                <w:szCs w:val="20"/>
                <w:color w:val="auto"/>
              </w:rPr>
            </w:pPr>
            <w:r>
              <w:rPr>
                <w:rFonts w:ascii="Arial" w:cs="Arial" w:eastAsia="Arial" w:hAnsi="Arial"/>
                <w:sz w:val="18"/>
                <w:szCs w:val="18"/>
                <w:color w:val="auto"/>
                <w:w w:val="90"/>
              </w:rPr>
              <w:t>XBRL Presentation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August 2, 2012</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r>
      <w:tr>
        <w:trPr>
          <w:trHeight w:val="27"/>
        </w:trPr>
        <w:tc>
          <w:tcPr>
            <w:tcW w:w="64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r>
      <w:tr>
        <w:trPr>
          <w:trHeight w:val="270"/>
        </w:trPr>
        <w:tc>
          <w:tcPr>
            <w:tcW w:w="648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August 2, 2012</w:t>
            </w:r>
          </w:p>
        </w:tc>
        <w:tc>
          <w:tcPr>
            <w:tcW w:w="37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 Steven Q. DeVinck</w:t>
            </w:r>
          </w:p>
        </w:tc>
      </w:tr>
      <w:tr>
        <w:trPr>
          <w:trHeight w:val="27"/>
        </w:trPr>
        <w:tc>
          <w:tcPr>
            <w:tcW w:w="27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Steven Q. DeVinck</w:t>
            </w:r>
          </w:p>
        </w:tc>
      </w:tr>
      <w:tr>
        <w:trPr>
          <w:trHeight w:val="270"/>
        </w:trPr>
        <w:tc>
          <w:tcPr>
            <w:tcW w:w="276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Controller and Vice President – Business Support</w:t>
            </w:r>
          </w:p>
        </w:tc>
      </w:tr>
      <w:tr>
        <w:trPr>
          <w:trHeight w:val="593"/>
        </w:trPr>
        <w:tc>
          <w:tcPr>
            <w:tcW w:w="2760" w:type="dxa"/>
            <w:vAlign w:val="bottom"/>
          </w:tcPr>
          <w:p>
            <w:pPr>
              <w:spacing w:after="0"/>
              <w:rPr>
                <w:sz w:val="24"/>
                <w:szCs w:val="24"/>
                <w:color w:val="auto"/>
              </w:rPr>
            </w:pPr>
          </w:p>
        </w:tc>
        <w:tc>
          <w:tcPr>
            <w:tcW w:w="8620" w:type="dxa"/>
            <w:vAlign w:val="bottom"/>
            <w:gridSpan w:val="2"/>
          </w:tcPr>
          <w:p>
            <w:pPr>
              <w:ind w:left="1680"/>
              <w:spacing w:after="0"/>
              <w:rPr>
                <w:sz w:val="20"/>
                <w:szCs w:val="20"/>
                <w:color w:val="auto"/>
              </w:rPr>
            </w:pPr>
            <w:r>
              <w:rPr>
                <w:rFonts w:ascii="Arial" w:cs="Arial" w:eastAsia="Arial" w:hAnsi="Arial"/>
                <w:sz w:val="14"/>
                <w:szCs w:val="14"/>
                <w:color w:val="auto"/>
              </w:rPr>
              <w:t>ALLETE Second Quarter 2012 Form 10-Q</w:t>
            </w:r>
          </w:p>
        </w:tc>
      </w:tr>
    </w:tbl>
    <w:p>
      <w:pPr>
        <w:jc w:val="right"/>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2, 2012</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2, 2012</w:t>
      </w:r>
      <w:r>
        <w:rPr>
          <w:sz w:val="20"/>
          <w:szCs w:val="20"/>
          <w:color w:val="auto"/>
        </w:rPr>
        <w:tab/>
      </w:r>
      <w:r>
        <w:rPr>
          <w:rFonts w:ascii="Arial" w:cs="Arial" w:eastAsia="Arial" w:hAnsi="Arial"/>
          <w:sz w:val="16"/>
          <w:szCs w:val="16"/>
          <w:u w:val="single" w:color="auto"/>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2012,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 2012</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 2012</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0"/>
                <w:szCs w:val="20"/>
                <w:color w:val="auto"/>
              </w:rPr>
            </w:pPr>
          </w:p>
        </w:tc>
        <w:tc>
          <w:tcPr>
            <w:tcW w:w="1700" w:type="dxa"/>
            <w:vAlign w:val="bottom"/>
            <w:gridSpan w:val="2"/>
          </w:tcPr>
          <w:p>
            <w:pPr>
              <w:ind w:left="680"/>
              <w:spacing w:after="0"/>
              <w:rPr>
                <w:sz w:val="20"/>
                <w:szCs w:val="20"/>
                <w:color w:val="auto"/>
              </w:rPr>
            </w:pPr>
            <w:r>
              <w:rPr>
                <w:rFonts w:ascii="Arial" w:cs="Arial" w:eastAsia="Arial" w:hAnsi="Arial"/>
                <w:sz w:val="18"/>
                <w:szCs w:val="18"/>
                <w:b w:val="1"/>
                <w:bCs w:val="1"/>
                <w:color w:val="auto"/>
              </w:rPr>
              <w:t>Exhibit 95</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879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2012, BNI Coal, owner of Center Mine, received six citations under Section 104(a) of the Mine Safety Act, none of which related to significant and substantial (S&amp;S) safety violations. The total penalties assessed on BNI with respect to the six citations were $879.</w:t>
      </w:r>
    </w:p>
    <w:p>
      <w:pPr>
        <w:sectPr>
          <w:pgSz w:w="11900" w:h="16838" w:orient="portrait"/>
          <w:cols w:equalWidth="0" w:num="1">
            <w:col w:w="11440"/>
          </w:cols>
          <w:pgMar w:left="240" w:top="580" w:right="219" w:bottom="1440" w:gutter="0" w:footer="0" w:header="0"/>
        </w:sectPr>
      </w:pPr>
    </w:p>
    <w:bookmarkStart w:id="51" w:name="page52"/>
    <w:bookmarkEnd w:id="51"/>
    <w:p>
      <w:pPr>
        <w:ind w:left="10720"/>
        <w:spacing w:after="0"/>
        <w:rPr>
          <w:sz w:val="20"/>
          <w:szCs w:val="20"/>
          <w:color w:val="auto"/>
        </w:rPr>
      </w:pPr>
      <w:r>
        <w:rPr>
          <w:rFonts w:ascii="Arial" w:cs="Arial" w:eastAsia="Arial" w:hAnsi="Arial"/>
          <w:sz w:val="15"/>
          <w:szCs w:val="15"/>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162941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9410" cy="737235"/>
                    </a:xfrm>
                    <a:prstGeom prst="rect">
                      <a:avLst/>
                    </a:prstGeom>
                    <a:noFill/>
                  </pic:spPr>
                </pic:pic>
              </a:graphicData>
            </a:graphic>
          </wp:anchor>
        </w:drawing>
      </w:r>
    </w:p>
    <w:p>
      <w:pPr>
        <w:sectPr>
          <w:pgSz w:w="11900" w:h="16838" w:orient="portrait"/>
          <w:cols w:equalWidth="0" w:num="1">
            <w:col w:w="11400"/>
          </w:cols>
          <w:pgMar w:left="240" w:top="764" w:right="25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August 2, 2012</w:t>
      </w:r>
    </w:p>
    <w:p>
      <w:pPr>
        <w:spacing w:after="0" w:line="96" w:lineRule="exact"/>
        <w:rPr>
          <w:sz w:val="20"/>
          <w:szCs w:val="20"/>
          <w:color w:val="auto"/>
        </w:rPr>
      </w:pPr>
    </w:p>
    <w:p>
      <w:pPr>
        <w:sectPr>
          <w:pgSz w:w="11900" w:h="16838" w:orient="portrait"/>
          <w:cols w:equalWidth="0" w:num="2">
            <w:col w:w="8000" w:space="720"/>
            <w:col w:w="2680"/>
          </w:cols>
          <w:pgMar w:left="240" w:top="764" w:right="25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680"/>
          </w:cols>
          <w:pgMar w:left="240" w:top="764" w:right="25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00"/>
          </w:cols>
          <w:pgMar w:left="240" w:top="764" w:right="25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Industrial power sales climb 3.4 percent; ALLETE reaffirms guidance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Demand nominations strong for remainder of 2012</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DULUTH, Minn. - ALLETE, Inc. (NYSE:ALE) today reported second quarter 2012 earnings of 39 cents per share on net income of $14.4 million and operating revenue of $216.4 million, compared to 48 cents on net income of $17.0 million and operating revenue of $219.9 million in 2011.</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Last year's results included a $2.9 million, or 8 cents per share, income tax benefit. The non-recurring benefit resulted from the Minnesota Public Utility Commission's approval to defer the retail portion of a 2010 charge related to the Patient Protection and Affordable Care Act.</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ALLETE's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which includes Minnesota Power, Superior Water, Light &amp; Power and the company's investment in the American Transmission Company, recorded net income of $14.4 million. The net income of $18.3 million recorded in 2011 included the $2.9 million benefit described above.</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Second quarter 2012 results included higher current cost recovery rider revenue, higher costs under the Square Butte power purchase agreement and increased depreciation and interest expense compared to the year-ago period. Total electric sales to Minnesota Power's retail and municipal customers rose 1.9 percent compared to a year ago; among industrial customers the increase was 3.4 percent.</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“Industrial demand for power remains strong,” said ALLETE Chairman, President and CEO Al Hodnik. “Based on the demand nominations received this week, we expect these customers to run at near full-capacity levels for the remainder of the year.”</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ALLETE's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broke even in the second quarter, an improvement over the $1.3 million net loss recorded in the second quarter of 2011. The difference was due primarily to lower state income tax and interest expenses.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year-to-date financial results are right where we expected them to be, and we look forward to a strong second half of 2012,” Hodnik said. “The company's full year earnings guidance remains unchanged, in an expected range of between $2.45 and $2.65 per share.” He said 2012 guidance assumes continued strong industrial demand for electricity, increasing current cost recovery rider revenue, and an approximate increase of five percent year-over-year in operating and maintenance expense.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ALLETE will host a conference call and webcast at 10 a.m. Eastern time today to discuss details of its quarterly financial performance. Interested parties may listen live by calling (877) 303-5852, or by accessing the webcast at www.allete.com. A replay of the call will be available through Aug. 4, 2012 by calling (855) 859-2056, pass code 96261080.</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ALLETE, Inc. is an energy company headquartered in Duluth, Minnesota. ALLETE's energy businesses include Minnesota Power, Superior Water, Light &amp; Power Co., BNI Coal, and ALLETE Clean Energy. More information about the company is available at www.allete.com.</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ectPr>
          <w:pgSz w:w="11900" w:h="16838" w:orient="portrait"/>
          <w:cols w:equalWidth="0" w:num="1">
            <w:col w:w="11400"/>
          </w:cols>
          <w:pgMar w:left="240" w:top="764" w:right="259" w:bottom="1440" w:gutter="0" w:footer="0" w:header="0"/>
          <w:type w:val="continuous"/>
        </w:sectPr>
      </w:pPr>
    </w:p>
    <w:bookmarkStart w:id="52" w:name="page53"/>
    <w:bookmarkEnd w:id="52"/>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584" w:right="299" w:bottom="1440" w:gutter="0" w:footer="0" w:header="0"/>
        </w:sectPr>
      </w:pPr>
    </w:p>
    <w:bookmarkStart w:id="53" w:name="page54"/>
    <w:bookmarkEnd w:id="53"/>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60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840" w:type="dxa"/>
            <w:vAlign w:val="bottom"/>
          </w:tcPr>
          <w:p>
            <w:pPr>
              <w:spacing w:after="0"/>
              <w:rPr>
                <w:sz w:val="20"/>
                <w:szCs w:val="20"/>
                <w:color w:val="auto"/>
              </w:rPr>
            </w:pPr>
          </w:p>
        </w:tc>
      </w:tr>
      <w:tr>
        <w:trPr>
          <w:trHeight w:val="270"/>
        </w:trPr>
        <w:tc>
          <w:tcPr>
            <w:tcW w:w="3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600" w:type="dxa"/>
            <w:vAlign w:val="bottom"/>
          </w:tcPr>
          <w:p>
            <w:pPr>
              <w:spacing w:after="0"/>
              <w:rPr>
                <w:sz w:val="23"/>
                <w:szCs w:val="23"/>
                <w:color w:val="auto"/>
              </w:rPr>
            </w:pPr>
          </w:p>
        </w:tc>
        <w:tc>
          <w:tcPr>
            <w:tcW w:w="18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r>
      <w:tr>
        <w:trPr>
          <w:trHeight w:val="270"/>
        </w:trPr>
        <w:tc>
          <w:tcPr>
            <w:tcW w:w="3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2012</w:t>
            </w:r>
          </w:p>
        </w:tc>
        <w:tc>
          <w:tcPr>
            <w:tcW w:w="1600" w:type="dxa"/>
            <w:vAlign w:val="bottom"/>
          </w:tcPr>
          <w:p>
            <w:pPr>
              <w:jc w:val="right"/>
              <w:ind w:right="1150"/>
              <w:spacing w:after="0"/>
              <w:rPr>
                <w:sz w:val="20"/>
                <w:szCs w:val="20"/>
                <w:color w:val="auto"/>
              </w:rPr>
            </w:pPr>
            <w:r>
              <w:rPr>
                <w:rFonts w:ascii="Arial" w:cs="Arial" w:eastAsia="Arial" w:hAnsi="Arial"/>
                <w:sz w:val="18"/>
                <w:szCs w:val="18"/>
                <w:b w:val="1"/>
                <w:bCs w:val="1"/>
                <w:color w:val="auto"/>
                <w:w w:val="84"/>
              </w:rPr>
              <w:t>2011</w:t>
            </w: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2012</w:t>
            </w:r>
          </w:p>
        </w:tc>
        <w:tc>
          <w:tcPr>
            <w:tcW w:w="17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3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3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5"/>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9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$216.4</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$219.9</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$456.4</w:t>
            </w:r>
          </w:p>
        </w:tc>
        <w:tc>
          <w:tcPr>
            <w:tcW w:w="9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$462.1</w:t>
            </w:r>
          </w:p>
        </w:tc>
      </w:tr>
      <w:tr>
        <w:trPr>
          <w:trHeight w:val="277"/>
        </w:trPr>
        <w:tc>
          <w:tcPr>
            <w:tcW w:w="3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72.1</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76.0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149.2</w:t>
            </w:r>
          </w:p>
        </w:tc>
        <w:tc>
          <w:tcPr>
            <w:tcW w:w="9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155.0</w:t>
            </w:r>
          </w:p>
        </w:tc>
      </w:tr>
      <w:tr>
        <w:trPr>
          <w:trHeight w:val="27"/>
        </w:trPr>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96.2</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95.7</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w:t>
            </w: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185.8</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24.8</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22.1</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9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44.4</w:t>
            </w:r>
          </w:p>
        </w:tc>
      </w:tr>
      <w:tr>
        <w:trPr>
          <w:trHeight w:val="27"/>
        </w:trPr>
        <w:tc>
          <w:tcPr>
            <w:tcW w:w="3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193.1</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193.8</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394.7</w:t>
            </w: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385.2</w:t>
            </w:r>
          </w:p>
        </w:tc>
      </w:tr>
      <w:tr>
        <w:trPr>
          <w:trHeight w:val="284"/>
        </w:trPr>
        <w:tc>
          <w:tcPr>
            <w:tcW w:w="3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5"/>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23.3</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26.1</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9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76.9</w:t>
            </w:r>
          </w:p>
        </w:tc>
      </w:tr>
      <w:tr>
        <w:trPr>
          <w:trHeight w:val="277"/>
        </w:trPr>
        <w:tc>
          <w:tcPr>
            <w:tcW w:w="3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(10.1)</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(11.0)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94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(21.7)</w:t>
            </w:r>
          </w:p>
        </w:tc>
      </w:tr>
      <w:tr>
        <w:trPr>
          <w:trHeight w:val="27"/>
        </w:trPr>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4.8</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4.6</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9.0</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1.2</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1.0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9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1.8</w:t>
            </w:r>
          </w:p>
        </w:tc>
      </w:tr>
      <w:tr>
        <w:trPr>
          <w:trHeight w:val="27"/>
        </w:trPr>
        <w:tc>
          <w:tcPr>
            <w:tcW w:w="3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9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(4.1)</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(5.4)</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9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(10.9)</w:t>
            </w:r>
          </w:p>
        </w:tc>
      </w:tr>
      <w:tr>
        <w:trPr>
          <w:trHeight w:val="277"/>
        </w:trPr>
        <w:tc>
          <w:tcPr>
            <w:tcW w:w="3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Income Before Non-Controlling Interest and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19.2</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20.7</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4.8</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9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12.0</w:t>
            </w:r>
          </w:p>
        </w:tc>
      </w:tr>
      <w:tr>
        <w:trPr>
          <w:trHeight w:val="27"/>
        </w:trPr>
        <w:tc>
          <w:tcPr>
            <w:tcW w:w="3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14.4</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16.9</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9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54.0</w:t>
            </w:r>
          </w:p>
        </w:tc>
      </w:tr>
      <w:tr>
        <w:trPr>
          <w:trHeight w:val="237"/>
        </w:trPr>
        <w:tc>
          <w:tcPr>
            <w:tcW w:w="4580" w:type="dxa"/>
            <w:vAlign w:val="bottom"/>
            <w:tcBorders>
              <w:top w:val="single" w:sz="8" w:color="auto"/>
            </w:tcBorders>
            <w:gridSpan w:val="2"/>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8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(0.1)</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(0.2)</w:t>
            </w:r>
          </w:p>
        </w:tc>
      </w:tr>
      <w:tr>
        <w:trPr>
          <w:trHeight w:val="27"/>
        </w:trPr>
        <w:tc>
          <w:tcPr>
            <w:tcW w:w="3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9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$14.4</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$17.0</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9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$54.2</w:t>
            </w:r>
          </w:p>
        </w:tc>
      </w:tr>
      <w:tr>
        <w:trPr>
          <w:trHeight w:val="277"/>
        </w:trPr>
        <w:tc>
          <w:tcPr>
            <w:tcW w:w="3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37.3</w:t>
            </w:r>
          </w:p>
        </w:tc>
        <w:tc>
          <w:tcPr>
            <w:tcW w:w="1600" w:type="dxa"/>
            <w:vAlign w:val="bottom"/>
          </w:tcPr>
          <w:p>
            <w:pPr>
              <w:jc w:val="right"/>
              <w:ind w:right="850"/>
              <w:spacing w:after="0"/>
              <w:rPr>
                <w:sz w:val="20"/>
                <w:szCs w:val="20"/>
                <w:color w:val="auto"/>
              </w:rPr>
            </w:pPr>
            <w:r>
              <w:rPr>
                <w:rFonts w:ascii="Arial" w:cs="Arial" w:eastAsia="Arial" w:hAnsi="Arial"/>
                <w:sz w:val="18"/>
                <w:szCs w:val="18"/>
                <w:color w:val="auto"/>
              </w:rPr>
              <w:t>35.0</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37.0</w:t>
            </w:r>
          </w:p>
        </w:tc>
        <w:tc>
          <w:tcPr>
            <w:tcW w:w="94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34.8</w:t>
            </w:r>
          </w:p>
        </w:tc>
      </w:tr>
      <w:tr>
        <w:trPr>
          <w:trHeight w:val="27"/>
        </w:trPr>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37.4</w:t>
            </w:r>
          </w:p>
        </w:tc>
        <w:tc>
          <w:tcPr>
            <w:tcW w:w="16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35.1</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37.1</w:t>
            </w:r>
          </w:p>
        </w:tc>
        <w:tc>
          <w:tcPr>
            <w:tcW w:w="9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34.9</w:t>
            </w:r>
          </w:p>
        </w:tc>
      </w:tr>
      <w:tr>
        <w:trPr>
          <w:trHeight w:val="277"/>
        </w:trPr>
        <w:tc>
          <w:tcPr>
            <w:tcW w:w="3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Basic Earnings Per Share of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$0.39</w:t>
            </w:r>
          </w:p>
        </w:tc>
        <w:tc>
          <w:tcPr>
            <w:tcW w:w="16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$0.49</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$1.56</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w w:val="91"/>
              </w:rPr>
              <w:t>Diluted Earnings Per Share of Common Stock</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$0.39</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$0.48</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9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$1.55</w:t>
            </w:r>
          </w:p>
        </w:tc>
      </w:tr>
      <w:tr>
        <w:trPr>
          <w:trHeight w:val="27"/>
        </w:trPr>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84"/>
        </w:trPr>
        <w:tc>
          <w:tcPr>
            <w:tcW w:w="3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$0.46</w:t>
            </w:r>
          </w:p>
        </w:tc>
        <w:tc>
          <w:tcPr>
            <w:tcW w:w="1600" w:type="dxa"/>
            <w:vAlign w:val="bottom"/>
          </w:tcPr>
          <w:p>
            <w:pPr>
              <w:jc w:val="right"/>
              <w:ind w:right="790"/>
              <w:spacing w:after="0"/>
              <w:rPr>
                <w:sz w:val="20"/>
                <w:szCs w:val="20"/>
                <w:color w:val="auto"/>
              </w:rPr>
            </w:pPr>
            <w:r>
              <w:rPr>
                <w:rFonts w:ascii="Arial" w:cs="Arial" w:eastAsia="Arial" w:hAnsi="Arial"/>
                <w:sz w:val="18"/>
                <w:szCs w:val="18"/>
                <w:color w:val="auto"/>
              </w:rPr>
              <w:t>$0.445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9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$0.89</w:t>
            </w:r>
          </w:p>
        </w:tc>
      </w:tr>
      <w:tr>
        <w:trPr>
          <w:trHeight w:val="27"/>
        </w:trPr>
        <w:tc>
          <w:tcPr>
            <w:tcW w:w="3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18"/>
        </w:trPr>
        <w:tc>
          <w:tcPr>
            <w:tcW w:w="3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0"/>
              </w:rPr>
              <w:t>Consolidated Balance Sheet</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gridSpan w:val="2"/>
          </w:tcPr>
          <w:p>
            <w:pPr>
              <w:jc w:val="right"/>
              <w:ind w:right="630"/>
              <w:spacing w:after="0"/>
              <w:rPr>
                <w:sz w:val="20"/>
                <w:szCs w:val="20"/>
                <w:color w:val="auto"/>
              </w:rPr>
            </w:pPr>
            <w:r>
              <w:rPr>
                <w:rFonts w:ascii="Arial" w:cs="Arial" w:eastAsia="Arial" w:hAnsi="Arial"/>
                <w:sz w:val="18"/>
                <w:szCs w:val="18"/>
                <w:color w:val="auto"/>
              </w:rPr>
              <w:t>Millions - Unaudited</w:t>
            </w:r>
          </w:p>
        </w:tc>
        <w:tc>
          <w:tcPr>
            <w:tcW w:w="1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0"/>
        </w:trPr>
        <w:tc>
          <w:tcPr>
            <w:tcW w:w="364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June 30,</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 31,</w:t>
            </w: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June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6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7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r>
      <w:tr>
        <w:trPr>
          <w:trHeight w:val="27"/>
        </w:trPr>
        <w:tc>
          <w:tcPr>
            <w:tcW w:w="3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Cash and Short-Term Investments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c>
          <w:tcPr>
            <w:tcW w:w="174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$232.4</w:t>
            </w:r>
          </w:p>
        </w:tc>
        <w:tc>
          <w:tcPr>
            <w:tcW w:w="84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7"/>
        </w:trPr>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2,177.5</w:t>
            </w:r>
          </w:p>
        </w:tc>
        <w:tc>
          <w:tcPr>
            <w:tcW w:w="860" w:type="dxa"/>
            <w:vAlign w:val="bottom"/>
          </w:tcPr>
          <w:p>
            <w:pPr>
              <w:jc w:val="right"/>
              <w:spacing w:after="0"/>
              <w:rPr>
                <w:sz w:val="20"/>
                <w:szCs w:val="20"/>
                <w:color w:val="auto"/>
              </w:rPr>
            </w:pPr>
            <w:r>
              <w:rPr>
                <w:rFonts w:ascii="Arial" w:cs="Arial" w:eastAsia="Arial" w:hAnsi="Arial"/>
                <w:sz w:val="18"/>
                <w:szCs w:val="18"/>
                <w:color w:val="auto"/>
              </w:rPr>
              <w:t>1,982.7</w:t>
            </w: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840" w:type="dxa"/>
            <w:vAlign w:val="bottom"/>
          </w:tcPr>
          <w:p>
            <w:pPr>
              <w:jc w:val="right"/>
              <w:spacing w:after="0"/>
              <w:rPr>
                <w:sz w:val="20"/>
                <w:szCs w:val="20"/>
                <w:color w:val="auto"/>
              </w:rPr>
            </w:pPr>
            <w:r>
              <w:rPr>
                <w:rFonts w:ascii="Arial" w:cs="Arial" w:eastAsia="Arial" w:hAnsi="Arial"/>
                <w:sz w:val="18"/>
                <w:szCs w:val="18"/>
                <w:color w:val="auto"/>
              </w:rPr>
              <w:t>373.6</w:t>
            </w:r>
          </w:p>
        </w:tc>
      </w:tr>
      <w:tr>
        <w:trPr>
          <w:trHeight w:val="27"/>
        </w:trPr>
        <w:tc>
          <w:tcPr>
            <w:tcW w:w="3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336.9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7"/>
              </w:rPr>
              <w:t>Regulatory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97"/>
        </w:trPr>
        <w:tc>
          <w:tcPr>
            <w:tcW w:w="364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102.6</w:t>
            </w:r>
          </w:p>
        </w:tc>
        <w:tc>
          <w:tcPr>
            <w:tcW w:w="860" w:type="dxa"/>
            <w:vAlign w:val="bottom"/>
          </w:tcPr>
          <w:p>
            <w:pPr>
              <w:jc w:val="right"/>
              <w:spacing w:after="0"/>
              <w:rPr>
                <w:sz w:val="20"/>
                <w:szCs w:val="20"/>
                <w:color w:val="auto"/>
              </w:rPr>
            </w:pPr>
            <w:r>
              <w:rPr>
                <w:rFonts w:ascii="Arial" w:cs="Arial" w:eastAsia="Arial" w:hAnsi="Arial"/>
                <w:sz w:val="18"/>
                <w:szCs w:val="18"/>
                <w:color w:val="auto"/>
              </w:rPr>
              <w:t>98.9</w:t>
            </w: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Defined Benefit Pension &amp; Other</w:t>
            </w:r>
          </w:p>
        </w:tc>
        <w:tc>
          <w:tcPr>
            <w:tcW w:w="86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840" w:type="dxa"/>
            <w:vAlign w:val="bottom"/>
          </w:tcPr>
          <w:p>
            <w:pPr>
              <w:jc w:val="right"/>
              <w:spacing w:after="0"/>
              <w:rPr>
                <w:sz w:val="20"/>
                <w:szCs w:val="20"/>
                <w:color w:val="auto"/>
              </w:rPr>
            </w:pPr>
            <w:r>
              <w:rPr>
                <w:rFonts w:ascii="Arial" w:cs="Arial" w:eastAsia="Arial" w:hAnsi="Arial"/>
                <w:sz w:val="18"/>
                <w:szCs w:val="18"/>
                <w:color w:val="auto"/>
              </w:rPr>
              <w:t>253.5</w:t>
            </w:r>
          </w:p>
        </w:tc>
      </w:tr>
      <w:tr>
        <w:trPr>
          <w:trHeight w:val="189"/>
        </w:trPr>
        <w:tc>
          <w:tcPr>
            <w:tcW w:w="3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40" w:type="dxa"/>
            <w:vAlign w:val="bottom"/>
            <w:gridSpan w:val="2"/>
          </w:tcPr>
          <w:p>
            <w:pPr>
              <w:jc w:val="right"/>
              <w:ind w:right="910"/>
              <w:spacing w:after="0" w:line="189" w:lineRule="exact"/>
              <w:rPr>
                <w:sz w:val="20"/>
                <w:szCs w:val="20"/>
                <w:color w:val="auto"/>
              </w:rPr>
            </w:pPr>
            <w:r>
              <w:rPr>
                <w:rFonts w:ascii="Arial" w:cs="Arial" w:eastAsia="Arial" w:hAnsi="Arial"/>
                <w:sz w:val="18"/>
                <w:szCs w:val="18"/>
                <w:color w:val="auto"/>
              </w:rPr>
              <w:t>Postretirement Benefit Plans</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39.1</w:t>
            </w: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1740" w:type="dxa"/>
            <w:vAlign w:val="bottom"/>
          </w:tcPr>
          <w:p>
            <w:pPr>
              <w:ind w:left="100"/>
              <w:spacing w:after="0"/>
              <w:rPr>
                <w:sz w:val="20"/>
                <w:szCs w:val="20"/>
                <w:color w:val="auto"/>
              </w:rPr>
            </w:pPr>
            <w:r>
              <w:rPr>
                <w:rFonts w:ascii="Arial" w:cs="Arial" w:eastAsia="Arial" w:hAnsi="Arial"/>
                <w:sz w:val="18"/>
                <w:szCs w:val="18"/>
                <w:color w:val="auto"/>
                <w:w w:val="97"/>
              </w:rPr>
              <w:t>Shareholders’ Equity</w:t>
            </w:r>
          </w:p>
        </w:tc>
        <w:tc>
          <w:tcPr>
            <w:tcW w:w="1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1,119.7</w:t>
            </w:r>
          </w:p>
        </w:tc>
        <w:tc>
          <w:tcPr>
            <w:tcW w:w="840" w:type="dxa"/>
            <w:vAlign w:val="bottom"/>
          </w:tcPr>
          <w:p>
            <w:pPr>
              <w:jc w:val="right"/>
              <w:spacing w:after="0"/>
              <w:rPr>
                <w:sz w:val="20"/>
                <w:szCs w:val="20"/>
                <w:color w:val="auto"/>
              </w:rPr>
            </w:pPr>
            <w:r>
              <w:rPr>
                <w:rFonts w:ascii="Arial" w:cs="Arial" w:eastAsia="Arial" w:hAnsi="Arial"/>
                <w:sz w:val="18"/>
                <w:szCs w:val="18"/>
                <w:color w:val="auto"/>
              </w:rPr>
              <w:t>1,079.3</w:t>
            </w:r>
          </w:p>
        </w:tc>
      </w:tr>
      <w:tr>
        <w:trPr>
          <w:trHeight w:val="27"/>
        </w:trPr>
        <w:tc>
          <w:tcPr>
            <w:tcW w:w="3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$2,962.2</w:t>
            </w:r>
          </w:p>
        </w:tc>
        <w:tc>
          <w:tcPr>
            <w:tcW w:w="4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xml:space="preserve">$2,876.0  </w:t>
            </w:r>
            <w:r>
              <w:rPr>
                <w:rFonts w:ascii="Arial" w:cs="Arial" w:eastAsia="Arial" w:hAnsi="Arial"/>
                <w:sz w:val="18"/>
                <w:szCs w:val="18"/>
                <w:b w:val="1"/>
                <w:bCs w:val="1"/>
                <w:color w:val="auto"/>
                <w:w w:val="96"/>
              </w:rPr>
              <w:t>Total Liabilities and Shareholders’ Equity</w:t>
            </w: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$2,876.0</w:t>
            </w:r>
          </w:p>
        </w:tc>
      </w:tr>
      <w:tr>
        <w:trPr>
          <w:trHeight w:val="20"/>
        </w:trPr>
        <w:tc>
          <w:tcPr>
            <w:tcW w:w="3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8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Quarter Ended</w:t>
            </w:r>
          </w:p>
        </w:tc>
        <w:tc>
          <w:tcPr>
            <w:tcW w:w="304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Pr>
          <w:p>
            <w:pPr>
              <w:spacing w:after="0"/>
              <w:rPr>
                <w:sz w:val="20"/>
                <w:szCs w:val="20"/>
                <w:color w:val="auto"/>
              </w:rPr>
            </w:pPr>
          </w:p>
        </w:tc>
      </w:tr>
      <w:tr>
        <w:trPr>
          <w:trHeight w:val="270"/>
        </w:trPr>
        <w:tc>
          <w:tcPr>
            <w:tcW w:w="8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4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8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Income (Loss)</w:t>
            </w:r>
          </w:p>
        </w:tc>
        <w:tc>
          <w:tcPr>
            <w:tcW w:w="266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2012</w:t>
            </w:r>
          </w:p>
        </w:tc>
        <w:tc>
          <w:tcPr>
            <w:tcW w:w="1420" w:type="dxa"/>
            <w:vAlign w:val="bottom"/>
          </w:tcPr>
          <w:p>
            <w:pPr>
              <w:jc w:val="right"/>
              <w:ind w:right="850"/>
              <w:spacing w:after="0"/>
              <w:rPr>
                <w:sz w:val="20"/>
                <w:szCs w:val="20"/>
                <w:color w:val="auto"/>
              </w:rPr>
            </w:pPr>
            <w:r>
              <w:rPr>
                <w:rFonts w:ascii="Arial" w:cs="Arial" w:eastAsia="Arial" w:hAnsi="Arial"/>
                <w:sz w:val="18"/>
                <w:szCs w:val="18"/>
                <w:b w:val="1"/>
                <w:bCs w:val="1"/>
                <w:color w:val="auto"/>
              </w:rPr>
              <w:t>2011</w:t>
            </w:r>
          </w:p>
        </w:tc>
        <w:tc>
          <w:tcPr>
            <w:tcW w:w="186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3"/>
                <w:szCs w:val="23"/>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Millions</w:t>
            </w:r>
          </w:p>
        </w:tc>
        <w:tc>
          <w:tcPr>
            <w:tcW w:w="2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6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$14.4</w:t>
            </w:r>
          </w:p>
        </w:tc>
        <w:tc>
          <w:tcPr>
            <w:tcW w:w="14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$18.3</w:t>
            </w:r>
          </w:p>
        </w:tc>
        <w:tc>
          <w:tcPr>
            <w:tcW w:w="18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$38.8</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360"/>
              <w:spacing w:after="0"/>
              <w:rPr>
                <w:sz w:val="20"/>
                <w:szCs w:val="20"/>
                <w:color w:val="auto"/>
              </w:rPr>
            </w:pPr>
            <w:r>
              <w:rPr>
                <w:rFonts w:ascii="Arial" w:cs="Arial" w:eastAsia="Arial" w:hAnsi="Arial"/>
                <w:sz w:val="18"/>
                <w:szCs w:val="18"/>
                <w:color w:val="auto"/>
              </w:rPr>
              <w:t>Investments and Other</w:t>
            </w:r>
          </w:p>
        </w:tc>
        <w:tc>
          <w:tcPr>
            <w:tcW w:w="26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ALLETE</w:t>
            </w:r>
          </w:p>
        </w:tc>
        <w:tc>
          <w:tcPr>
            <w:tcW w:w="26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$14.4</w:t>
            </w:r>
          </w:p>
        </w:tc>
        <w:tc>
          <w:tcPr>
            <w:tcW w:w="14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$17.0</w:t>
            </w:r>
          </w:p>
        </w:tc>
        <w:tc>
          <w:tcPr>
            <w:tcW w:w="18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$38.8</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22"/>
                <w:szCs w:val="22"/>
                <w:color w:val="auto"/>
              </w:rPr>
            </w:pPr>
          </w:p>
        </w:tc>
      </w:tr>
      <w:tr>
        <w:trPr>
          <w:trHeight w:val="237"/>
        </w:trPr>
        <w:tc>
          <w:tcPr>
            <w:tcW w:w="80" w:type="dxa"/>
            <w:vAlign w:val="bottom"/>
          </w:tcPr>
          <w:p>
            <w:pPr>
              <w:spacing w:after="0"/>
              <w:rPr>
                <w:sz w:val="20"/>
                <w:szCs w:val="20"/>
                <w:color w:val="auto"/>
              </w:rPr>
            </w:pPr>
          </w:p>
        </w:tc>
        <w:tc>
          <w:tcPr>
            <w:tcW w:w="4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6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$0.39</w:t>
            </w:r>
          </w:p>
        </w:tc>
        <w:tc>
          <w:tcPr>
            <w:tcW w:w="14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$0.48</w:t>
            </w:r>
          </w:p>
        </w:tc>
        <w:tc>
          <w:tcPr>
            <w:tcW w:w="18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$1.05</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588"/>
        </w:trPr>
        <w:tc>
          <w:tcPr>
            <w:tcW w:w="8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Statistical Data</w:t>
            </w:r>
          </w:p>
        </w:tc>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80"/>
              <w:spacing w:after="0"/>
              <w:rPr>
                <w:sz w:val="20"/>
                <w:szCs w:val="20"/>
                <w:color w:val="auto"/>
              </w:rPr>
            </w:pPr>
            <w:r>
              <w:rPr>
                <w:rFonts w:ascii="Arial" w:cs="Arial" w:eastAsia="Arial" w:hAnsi="Arial"/>
                <w:sz w:val="18"/>
                <w:szCs w:val="18"/>
                <w:color w:val="auto"/>
              </w:rPr>
              <w:t>High</w:t>
            </w:r>
          </w:p>
        </w:tc>
        <w:tc>
          <w:tcPr>
            <w:tcW w:w="2660" w:type="dxa"/>
            <w:vAlign w:val="bottom"/>
          </w:tcPr>
          <w:p>
            <w:pPr>
              <w:jc w:val="right"/>
              <w:ind w:right="470"/>
              <w:spacing w:after="0"/>
              <w:rPr>
                <w:sz w:val="20"/>
                <w:szCs w:val="20"/>
                <w:color w:val="auto"/>
              </w:rPr>
            </w:pPr>
            <w:r>
              <w:rPr>
                <w:rFonts w:ascii="Arial" w:cs="Arial" w:eastAsia="Arial" w:hAnsi="Arial"/>
                <w:sz w:val="18"/>
                <w:szCs w:val="18"/>
                <w:color w:val="auto"/>
              </w:rPr>
              <w:t>$41.99</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$41.43</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$42.49</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w:t>
            </w:r>
          </w:p>
        </w:tc>
        <w:tc>
          <w:tcPr>
            <w:tcW w:w="2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$38.03</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$37.87</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$38.03</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$36.33</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80"/>
              <w:spacing w:after="0"/>
              <w:rPr>
                <w:sz w:val="20"/>
                <w:szCs w:val="20"/>
                <w:color w:val="auto"/>
              </w:rPr>
            </w:pPr>
            <w:r>
              <w:rPr>
                <w:rFonts w:ascii="Arial" w:cs="Arial" w:eastAsia="Arial" w:hAnsi="Arial"/>
                <w:sz w:val="18"/>
                <w:szCs w:val="18"/>
                <w:color w:val="auto"/>
              </w:rPr>
              <w:t>Close</w:t>
            </w:r>
          </w:p>
        </w:tc>
        <w:tc>
          <w:tcPr>
            <w:tcW w:w="2660" w:type="dxa"/>
            <w:vAlign w:val="bottom"/>
          </w:tcPr>
          <w:p>
            <w:pPr>
              <w:jc w:val="right"/>
              <w:ind w:right="470"/>
              <w:spacing w:after="0"/>
              <w:rPr>
                <w:sz w:val="20"/>
                <w:szCs w:val="20"/>
                <w:color w:val="auto"/>
              </w:rPr>
            </w:pPr>
            <w:r>
              <w:rPr>
                <w:rFonts w:ascii="Arial" w:cs="Arial" w:eastAsia="Arial" w:hAnsi="Arial"/>
                <w:sz w:val="18"/>
                <w:szCs w:val="18"/>
                <w:color w:val="auto"/>
              </w:rPr>
              <w:t>$41.80</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$41.04</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$41.80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$41.04</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$29.24</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$28.23</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$29.24</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$28.23</w:t>
            </w:r>
          </w:p>
        </w:tc>
        <w:tc>
          <w:tcPr>
            <w:tcW w:w="60" w:type="dxa"/>
            <w:vAlign w:val="bottom"/>
          </w:tcPr>
          <w:p>
            <w:pPr>
              <w:spacing w:after="0"/>
              <w:rPr>
                <w:sz w:val="21"/>
                <w:szCs w:val="21"/>
                <w:color w:val="auto"/>
              </w:rPr>
            </w:pPr>
          </w:p>
        </w:tc>
      </w:tr>
      <w:tr>
        <w:trPr>
          <w:trHeight w:val="594"/>
        </w:trPr>
        <w:tc>
          <w:tcPr>
            <w:tcW w:w="8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Millions</w:t>
            </w:r>
          </w:p>
        </w:tc>
        <w:tc>
          <w:tcPr>
            <w:tcW w:w="2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80"/>
              <w:spacing w:after="0"/>
              <w:rPr>
                <w:sz w:val="20"/>
                <w:szCs w:val="20"/>
                <w:color w:val="auto"/>
              </w:rPr>
            </w:pPr>
            <w:r>
              <w:rPr>
                <w:rFonts w:ascii="Arial" w:cs="Arial" w:eastAsia="Arial" w:hAnsi="Arial"/>
                <w:sz w:val="18"/>
                <w:szCs w:val="18"/>
                <w:color w:val="auto"/>
              </w:rPr>
              <w:t>Retail and Municipals</w:t>
            </w:r>
          </w:p>
        </w:tc>
        <w:tc>
          <w:tcPr>
            <w:tcW w:w="2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Residential</w:t>
            </w:r>
          </w:p>
        </w:tc>
        <w:tc>
          <w:tcPr>
            <w:tcW w:w="2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226</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238</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552</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1020"/>
              <w:spacing w:after="0"/>
              <w:rPr>
                <w:sz w:val="20"/>
                <w:szCs w:val="20"/>
                <w:color w:val="auto"/>
              </w:rPr>
            </w:pPr>
            <w:r>
              <w:rPr>
                <w:rFonts w:ascii="Arial" w:cs="Arial" w:eastAsia="Arial" w:hAnsi="Arial"/>
                <w:sz w:val="18"/>
                <w:szCs w:val="18"/>
                <w:color w:val="auto"/>
              </w:rPr>
              <w:t>Commercial</w:t>
            </w:r>
          </w:p>
        </w:tc>
        <w:tc>
          <w:tcPr>
            <w:tcW w:w="2660" w:type="dxa"/>
            <w:vAlign w:val="bottom"/>
          </w:tcPr>
          <w:p>
            <w:pPr>
              <w:jc w:val="right"/>
              <w:ind w:right="470"/>
              <w:spacing w:after="0"/>
              <w:rPr>
                <w:sz w:val="20"/>
                <w:szCs w:val="20"/>
                <w:color w:val="auto"/>
              </w:rPr>
            </w:pPr>
            <w:r>
              <w:rPr>
                <w:rFonts w:ascii="Arial" w:cs="Arial" w:eastAsia="Arial" w:hAnsi="Arial"/>
                <w:sz w:val="18"/>
                <w:szCs w:val="18"/>
                <w:color w:val="auto"/>
              </w:rPr>
              <w:t>326</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328</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690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Municipals</w:t>
            </w:r>
          </w:p>
        </w:tc>
        <w:tc>
          <w:tcPr>
            <w:tcW w:w="2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234</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230</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498</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1020"/>
              <w:spacing w:after="0"/>
              <w:rPr>
                <w:sz w:val="20"/>
                <w:szCs w:val="20"/>
                <w:color w:val="auto"/>
              </w:rPr>
            </w:pPr>
            <w:r>
              <w:rPr>
                <w:rFonts w:ascii="Arial" w:cs="Arial" w:eastAsia="Arial" w:hAnsi="Arial"/>
                <w:sz w:val="18"/>
                <w:szCs w:val="18"/>
                <w:color w:val="auto"/>
              </w:rPr>
              <w:t>Industrial</w:t>
            </w:r>
          </w:p>
        </w:tc>
        <w:tc>
          <w:tcPr>
            <w:tcW w:w="2660" w:type="dxa"/>
            <w:vAlign w:val="bottom"/>
          </w:tcPr>
          <w:p>
            <w:pPr>
              <w:jc w:val="right"/>
              <w:ind w:right="470"/>
              <w:spacing w:after="0"/>
              <w:rPr>
                <w:sz w:val="20"/>
                <w:szCs w:val="20"/>
                <w:color w:val="auto"/>
              </w:rPr>
            </w:pPr>
            <w:r>
              <w:rPr>
                <w:rFonts w:ascii="Arial" w:cs="Arial" w:eastAsia="Arial" w:hAnsi="Arial"/>
                <w:sz w:val="18"/>
                <w:szCs w:val="18"/>
                <w:color w:val="auto"/>
              </w:rPr>
              <w:t>1,842</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1,782</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3,710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3,620</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Retail and Municipal</w:t>
            </w:r>
          </w:p>
        </w:tc>
        <w:tc>
          <w:tcPr>
            <w:tcW w:w="2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2,628</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2,578</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5,450</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5,423</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80"/>
              <w:spacing w:after="0"/>
              <w:rPr>
                <w:sz w:val="20"/>
                <w:szCs w:val="20"/>
                <w:color w:val="auto"/>
              </w:rPr>
            </w:pPr>
            <w:r>
              <w:rPr>
                <w:rFonts w:ascii="Arial" w:cs="Arial" w:eastAsia="Arial" w:hAnsi="Arial"/>
                <w:sz w:val="18"/>
                <w:szCs w:val="18"/>
                <w:color w:val="auto"/>
              </w:rPr>
              <w:t>Other Power Suppliers</w:t>
            </w:r>
          </w:p>
        </w:tc>
        <w:tc>
          <w:tcPr>
            <w:tcW w:w="2660" w:type="dxa"/>
            <w:vAlign w:val="bottom"/>
          </w:tcPr>
          <w:p>
            <w:pPr>
              <w:jc w:val="right"/>
              <w:ind w:right="470"/>
              <w:spacing w:after="0"/>
              <w:rPr>
                <w:sz w:val="20"/>
                <w:szCs w:val="20"/>
                <w:color w:val="auto"/>
              </w:rPr>
            </w:pPr>
            <w:r>
              <w:rPr>
                <w:rFonts w:ascii="Arial" w:cs="Arial" w:eastAsia="Arial" w:hAnsi="Arial"/>
                <w:sz w:val="18"/>
                <w:szCs w:val="18"/>
                <w:color w:val="auto"/>
              </w:rPr>
              <w:t>492</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614</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1,009</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1,154</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w:t>
            </w:r>
          </w:p>
        </w:tc>
        <w:tc>
          <w:tcPr>
            <w:tcW w:w="2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3,120</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3,192</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6,459</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6,577</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360"/>
              <w:spacing w:after="0"/>
              <w:rPr>
                <w:sz w:val="20"/>
                <w:szCs w:val="20"/>
                <w:color w:val="auto"/>
              </w:rPr>
            </w:pPr>
            <w:r>
              <w:rPr>
                <w:rFonts w:ascii="Arial" w:cs="Arial" w:eastAsia="Arial" w:hAnsi="Arial"/>
                <w:sz w:val="18"/>
                <w:szCs w:val="18"/>
                <w:color w:val="auto"/>
              </w:rPr>
              <w:t>Non-regulated Energy Operations</w:t>
            </w:r>
          </w:p>
        </w:tc>
        <w:tc>
          <w:tcPr>
            <w:tcW w:w="2660" w:type="dxa"/>
            <w:vAlign w:val="bottom"/>
          </w:tcPr>
          <w:p>
            <w:pPr>
              <w:jc w:val="right"/>
              <w:ind w:right="470"/>
              <w:spacing w:after="0"/>
              <w:rPr>
                <w:sz w:val="20"/>
                <w:szCs w:val="20"/>
                <w:color w:val="auto"/>
              </w:rPr>
            </w:pPr>
            <w:r>
              <w:rPr>
                <w:rFonts w:ascii="Arial" w:cs="Arial" w:eastAsia="Arial" w:hAnsi="Arial"/>
                <w:sz w:val="18"/>
                <w:szCs w:val="18"/>
                <w:color w:val="auto"/>
              </w:rPr>
              <w:t>25</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55</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Kilowatt-hours Sold</w:t>
            </w:r>
          </w:p>
        </w:tc>
        <w:tc>
          <w:tcPr>
            <w:tcW w:w="2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3,145</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3,217</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6,514</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6,628</w:t>
            </w:r>
          </w:p>
        </w:tc>
        <w:tc>
          <w:tcPr>
            <w:tcW w:w="6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8"/>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4240" w:type="dxa"/>
            <w:vAlign w:val="bottom"/>
            <w:tcBorders>
              <w:bottom w:val="single" w:sz="8" w:color="auto"/>
            </w:tcBorders>
            <w:gridSpan w:val="2"/>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Millions</w:t>
            </w:r>
          </w:p>
        </w:tc>
        <w:tc>
          <w:tcPr>
            <w:tcW w:w="2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Regulated Utility Revenue</w:t>
            </w:r>
          </w:p>
        </w:tc>
        <w:tc>
          <w:tcPr>
            <w:tcW w:w="2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20"/>
              <w:spacing w:after="0"/>
              <w:rPr>
                <w:sz w:val="20"/>
                <w:szCs w:val="20"/>
                <w:color w:val="auto"/>
              </w:rPr>
            </w:pPr>
            <w:r>
              <w:rPr>
                <w:rFonts w:ascii="Arial" w:cs="Arial" w:eastAsia="Arial" w:hAnsi="Arial"/>
                <w:sz w:val="18"/>
                <w:szCs w:val="18"/>
                <w:color w:val="auto"/>
              </w:rPr>
              <w:t>Retail and Municipals</w:t>
            </w:r>
          </w:p>
        </w:tc>
        <w:tc>
          <w:tcPr>
            <w:tcW w:w="2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Residential</w:t>
            </w:r>
          </w:p>
        </w:tc>
        <w:tc>
          <w:tcPr>
            <w:tcW w:w="2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$20.5</w:t>
            </w:r>
          </w:p>
        </w:tc>
        <w:tc>
          <w:tcPr>
            <w:tcW w:w="1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$23.6</w:t>
            </w:r>
          </w:p>
        </w:tc>
        <w:tc>
          <w:tcPr>
            <w:tcW w:w="18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$49.9</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960"/>
              <w:spacing w:after="0"/>
              <w:rPr>
                <w:sz w:val="20"/>
                <w:szCs w:val="20"/>
                <w:color w:val="auto"/>
              </w:rPr>
            </w:pPr>
            <w:r>
              <w:rPr>
                <w:rFonts w:ascii="Arial" w:cs="Arial" w:eastAsia="Arial" w:hAnsi="Arial"/>
                <w:sz w:val="18"/>
                <w:szCs w:val="18"/>
                <w:color w:val="auto"/>
              </w:rPr>
              <w:t>Commercial</w:t>
            </w:r>
          </w:p>
        </w:tc>
        <w:tc>
          <w:tcPr>
            <w:tcW w:w="2660" w:type="dxa"/>
            <w:vAlign w:val="bottom"/>
          </w:tcPr>
          <w:p>
            <w:pPr>
              <w:jc w:val="right"/>
              <w:ind w:right="450"/>
              <w:spacing w:after="0"/>
              <w:rPr>
                <w:sz w:val="20"/>
                <w:szCs w:val="20"/>
                <w:color w:val="auto"/>
              </w:rPr>
            </w:pPr>
            <w:r>
              <w:rPr>
                <w:rFonts w:ascii="Arial" w:cs="Arial" w:eastAsia="Arial" w:hAnsi="Arial"/>
                <w:sz w:val="18"/>
                <w:szCs w:val="18"/>
                <w:color w:val="auto"/>
              </w:rPr>
              <w:t>24.7</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26.2</w:t>
            </w:r>
          </w:p>
        </w:tc>
        <w:tc>
          <w:tcPr>
            <w:tcW w:w="1860" w:type="dxa"/>
            <w:vAlign w:val="bottom"/>
          </w:tcPr>
          <w:p>
            <w:pPr>
              <w:jc w:val="right"/>
              <w:ind w:right="530"/>
              <w:spacing w:after="0"/>
              <w:rPr>
                <w:sz w:val="20"/>
                <w:szCs w:val="20"/>
                <w:color w:val="auto"/>
              </w:rPr>
            </w:pPr>
            <w:r>
              <w:rPr>
                <w:rFonts w:ascii="Arial" w:cs="Arial" w:eastAsia="Arial" w:hAnsi="Arial"/>
                <w:sz w:val="18"/>
                <w:szCs w:val="18"/>
                <w:color w:val="auto"/>
              </w:rPr>
              <w:t>51.9</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Municipals</w:t>
            </w:r>
          </w:p>
        </w:tc>
        <w:tc>
          <w:tcPr>
            <w:tcW w:w="2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13.9</w:t>
            </w:r>
          </w:p>
        </w:tc>
        <w:tc>
          <w:tcPr>
            <w:tcW w:w="1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w:t>
            </w:r>
          </w:p>
        </w:tc>
        <w:tc>
          <w:tcPr>
            <w:tcW w:w="18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31.3</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960"/>
              <w:spacing w:after="0"/>
              <w:rPr>
                <w:sz w:val="20"/>
                <w:szCs w:val="20"/>
                <w:color w:val="auto"/>
              </w:rPr>
            </w:pPr>
            <w:r>
              <w:rPr>
                <w:rFonts w:ascii="Arial" w:cs="Arial" w:eastAsia="Arial" w:hAnsi="Arial"/>
                <w:sz w:val="18"/>
                <w:szCs w:val="18"/>
                <w:color w:val="auto"/>
              </w:rPr>
              <w:t>Industrial</w:t>
            </w:r>
          </w:p>
        </w:tc>
        <w:tc>
          <w:tcPr>
            <w:tcW w:w="2660" w:type="dxa"/>
            <w:vAlign w:val="bottom"/>
          </w:tcPr>
          <w:p>
            <w:pPr>
              <w:jc w:val="right"/>
              <w:ind w:right="450"/>
              <w:spacing w:after="0"/>
              <w:rPr>
                <w:sz w:val="20"/>
                <w:szCs w:val="20"/>
                <w:color w:val="auto"/>
              </w:rPr>
            </w:pPr>
            <w:r>
              <w:rPr>
                <w:rFonts w:ascii="Arial" w:cs="Arial" w:eastAsia="Arial" w:hAnsi="Arial"/>
                <w:sz w:val="18"/>
                <w:szCs w:val="18"/>
                <w:color w:val="auto"/>
              </w:rPr>
              <w:t>93.5</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96.3</w:t>
            </w:r>
          </w:p>
        </w:tc>
        <w:tc>
          <w:tcPr>
            <w:tcW w:w="1860" w:type="dxa"/>
            <w:vAlign w:val="bottom"/>
          </w:tcPr>
          <w:p>
            <w:pPr>
              <w:jc w:val="right"/>
              <w:ind w:right="530"/>
              <w:spacing w:after="0"/>
              <w:rPr>
                <w:sz w:val="20"/>
                <w:szCs w:val="20"/>
                <w:color w:val="auto"/>
              </w:rPr>
            </w:pPr>
            <w:r>
              <w:rPr>
                <w:rFonts w:ascii="Arial" w:cs="Arial" w:eastAsia="Arial" w:hAnsi="Arial"/>
                <w:sz w:val="18"/>
                <w:szCs w:val="18"/>
                <w:color w:val="auto"/>
              </w:rPr>
              <w:t>191.3</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194.1</w:t>
            </w:r>
          </w:p>
        </w:tc>
        <w:tc>
          <w:tcPr>
            <w:tcW w:w="60" w:type="dxa"/>
            <w:vAlign w:val="bottom"/>
          </w:tcPr>
          <w:p>
            <w:pPr>
              <w:spacing w:after="0"/>
              <w:rPr>
                <w:sz w:val="21"/>
                <w:szCs w:val="2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Retail and Municipals</w:t>
            </w:r>
          </w:p>
        </w:tc>
        <w:tc>
          <w:tcPr>
            <w:tcW w:w="2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152.6</w:t>
            </w:r>
          </w:p>
        </w:tc>
        <w:tc>
          <w:tcPr>
            <w:tcW w:w="1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161.5</w:t>
            </w:r>
          </w:p>
        </w:tc>
        <w:tc>
          <w:tcPr>
            <w:tcW w:w="18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324.4</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340.2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160" w:type="dxa"/>
            <w:vAlign w:val="bottom"/>
          </w:tcPr>
          <w:p>
            <w:pPr>
              <w:ind w:left="520"/>
              <w:spacing w:after="0"/>
              <w:rPr>
                <w:sz w:val="20"/>
                <w:szCs w:val="20"/>
                <w:color w:val="auto"/>
              </w:rPr>
            </w:pPr>
            <w:r>
              <w:rPr>
                <w:rFonts w:ascii="Arial" w:cs="Arial" w:eastAsia="Arial" w:hAnsi="Arial"/>
                <w:sz w:val="18"/>
                <w:szCs w:val="18"/>
                <w:color w:val="auto"/>
              </w:rPr>
              <w:t>Other Power Suppliers</w:t>
            </w:r>
          </w:p>
        </w:tc>
        <w:tc>
          <w:tcPr>
            <w:tcW w:w="2660" w:type="dxa"/>
            <w:vAlign w:val="bottom"/>
          </w:tcPr>
          <w:p>
            <w:pPr>
              <w:jc w:val="right"/>
              <w:ind w:right="450"/>
              <w:spacing w:after="0"/>
              <w:rPr>
                <w:sz w:val="20"/>
                <w:szCs w:val="20"/>
                <w:color w:val="auto"/>
              </w:rPr>
            </w:pPr>
            <w:r>
              <w:rPr>
                <w:rFonts w:ascii="Arial" w:cs="Arial" w:eastAsia="Arial" w:hAnsi="Arial"/>
                <w:sz w:val="18"/>
                <w:szCs w:val="18"/>
                <w:color w:val="auto"/>
              </w:rPr>
              <w:t>17.7</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20.7</w:t>
            </w:r>
          </w:p>
        </w:tc>
        <w:tc>
          <w:tcPr>
            <w:tcW w:w="1860" w:type="dxa"/>
            <w:vAlign w:val="bottom"/>
          </w:tcPr>
          <w:p>
            <w:pPr>
              <w:jc w:val="right"/>
              <w:ind w:right="530"/>
              <w:spacing w:after="0"/>
              <w:rPr>
                <w:sz w:val="20"/>
                <w:szCs w:val="20"/>
                <w:color w:val="auto"/>
              </w:rPr>
            </w:pPr>
            <w:r>
              <w:rPr>
                <w:rFonts w:ascii="Arial" w:cs="Arial" w:eastAsia="Arial" w:hAnsi="Arial"/>
                <w:sz w:val="18"/>
                <w:szCs w:val="18"/>
                <w:color w:val="auto"/>
              </w:rPr>
              <w:t>36.4</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80" w:type="dxa"/>
            <w:vAlign w:val="bottom"/>
            <w:tcBorders>
              <w:bottom w:val="single" w:sz="8" w:color="CCEEFF"/>
            </w:tcBorders>
            <w:shd w:val="clear" w:color="auto" w:fill="CCEEFF"/>
          </w:tcPr>
          <w:p>
            <w:pPr>
              <w:spacing w:after="0"/>
              <w:rPr>
                <w:sz w:val="23"/>
                <w:szCs w:val="23"/>
                <w:color w:val="auto"/>
              </w:rPr>
            </w:pPr>
          </w:p>
        </w:tc>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26.7</w:t>
            </w:r>
          </w:p>
        </w:tc>
        <w:tc>
          <w:tcPr>
            <w:tcW w:w="1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19.6</w:t>
            </w:r>
          </w:p>
        </w:tc>
        <w:tc>
          <w:tcPr>
            <w:tcW w:w="18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54.8</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44.3</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80" w:type="dxa"/>
            <w:vAlign w:val="bottom"/>
            <w:tcBorders>
              <w:top w:val="single" w:sz="8" w:color="auto"/>
            </w:tcBorders>
          </w:tcPr>
          <w:p>
            <w:pPr>
              <w:spacing w:after="0"/>
              <w:rPr>
                <w:sz w:val="20"/>
                <w:szCs w:val="20"/>
                <w:color w:val="auto"/>
              </w:rPr>
            </w:pPr>
          </w:p>
        </w:tc>
        <w:tc>
          <w:tcPr>
            <w:tcW w:w="41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Total Regulated Utility Revenue</w:t>
            </w:r>
          </w:p>
        </w:tc>
        <w:tc>
          <w:tcPr>
            <w:tcW w:w="2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$197.0</w:t>
            </w:r>
          </w:p>
        </w:tc>
        <w:tc>
          <w:tcPr>
            <w:tcW w:w="14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8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$415.6</w:t>
            </w: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$424.8</w:t>
            </w:r>
          </w:p>
        </w:tc>
        <w:tc>
          <w:tcPr>
            <w:tcW w:w="60" w:type="dxa"/>
            <w:vAlign w:val="bottom"/>
            <w:tcBorders>
              <w:top w:val="single" w:sz="8" w:color="auto"/>
            </w:tcBorders>
          </w:tcPr>
          <w:p>
            <w:pPr>
              <w:spacing w:after="0"/>
              <w:rPr>
                <w:sz w:val="20"/>
                <w:szCs w:val="20"/>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T"/>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99"/>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2019-12-09T07:00:40Z</dcterms:created>
  <dcterms:modified xsi:type="dcterms:W3CDTF">2019-12-09T07:00:40Z</dcterms:modified>
</cp:coreProperties>
</file>