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2008</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229"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9"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Large Accelerated Filer T</w:t>
            </w:r>
          </w:p>
        </w:tc>
        <w:tc>
          <w:tcPr>
            <w:tcW w:w="250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30"/>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Non-Accelerated Filer £</w:t>
            </w:r>
          </w:p>
        </w:tc>
        <w:tc>
          <w:tcPr>
            <w:tcW w:w="2500" w:type="dxa"/>
            <w:vAlign w:val="bottom"/>
          </w:tcPr>
          <w:p>
            <w:pPr>
              <w:jc w:val="right"/>
              <w:spacing w:after="0"/>
              <w:rPr>
                <w:sz w:val="20"/>
                <w:szCs w:val="20"/>
                <w:color w:val="auto"/>
              </w:rPr>
            </w:pPr>
            <w:r>
              <w:rPr>
                <w:rFonts w:ascii="Arial" w:cs="Arial" w:eastAsia="Arial" w:hAnsi="Arial"/>
                <w:sz w:val="18"/>
                <w:szCs w:val="18"/>
                <w:color w:val="auto"/>
              </w:rPr>
              <w:t>Smaller Reporting Company £</w:t>
            </w:r>
          </w:p>
        </w:tc>
      </w:tr>
      <w:tr>
        <w:trPr>
          <w:trHeight w:val="445"/>
        </w:trPr>
        <w:tc>
          <w:tcPr>
            <w:tcW w:w="8920" w:type="dxa"/>
            <w:vAlign w:val="bottom"/>
          </w:tcPr>
          <w:p>
            <w:pPr>
              <w:jc w:val="right"/>
              <w:ind w:right="3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 Yes</w:t>
            </w:r>
          </w:p>
        </w:tc>
        <w:tc>
          <w:tcPr>
            <w:tcW w:w="2500" w:type="dxa"/>
            <w:vAlign w:val="bottom"/>
          </w:tcPr>
          <w:p>
            <w:pPr>
              <w:jc w:val="right"/>
              <w:ind w:right="1930"/>
              <w:spacing w:after="0"/>
              <w:rPr>
                <w:sz w:val="20"/>
                <w:szCs w:val="20"/>
                <w:color w:val="auto"/>
              </w:rPr>
            </w:pPr>
            <w:r>
              <w:rPr>
                <w:rFonts w:ascii="Arial" w:cs="Arial" w:eastAsia="Arial" w:hAnsi="Arial"/>
                <w:sz w:val="18"/>
                <w:szCs w:val="18"/>
                <w:color w:val="auto"/>
              </w:rPr>
              <w:t>T No</w:t>
            </w: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90"/>
              </w:rPr>
              <w:t>Common Stock, no par value,</w:t>
            </w:r>
          </w:p>
        </w:tc>
        <w:tc>
          <w:tcPr>
            <w:tcW w:w="2500" w:type="dxa"/>
            <w:vAlign w:val="bottom"/>
          </w:tcPr>
          <w:p>
            <w:pPr>
              <w:spacing w:after="0"/>
              <w:rPr>
                <w:sz w:val="18"/>
                <w:szCs w:val="18"/>
                <w:color w:val="auto"/>
              </w:rPr>
            </w:pP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88"/>
              </w:rPr>
              <w:t>30,976,329 shares outstanding</w:t>
            </w:r>
          </w:p>
        </w:tc>
        <w:tc>
          <w:tcPr>
            <w:tcW w:w="2500" w:type="dxa"/>
            <w:vAlign w:val="bottom"/>
          </w:tcPr>
          <w:p>
            <w:pPr>
              <w:spacing w:after="0"/>
              <w:rPr>
                <w:sz w:val="18"/>
                <w:szCs w:val="18"/>
                <w:color w:val="auto"/>
              </w:rPr>
            </w:pPr>
          </w:p>
        </w:tc>
      </w:tr>
      <w:tr>
        <w:trPr>
          <w:trHeight w:val="230"/>
        </w:trPr>
        <w:tc>
          <w:tcPr>
            <w:tcW w:w="8920" w:type="dxa"/>
            <w:vAlign w:val="bottom"/>
          </w:tcPr>
          <w:p>
            <w:pPr>
              <w:jc w:val="center"/>
              <w:ind w:left="2430"/>
              <w:spacing w:after="0"/>
              <w:rPr>
                <w:sz w:val="20"/>
                <w:szCs w:val="20"/>
                <w:color w:val="auto"/>
              </w:rPr>
            </w:pPr>
            <w:r>
              <w:rPr>
                <w:rFonts w:ascii="Arial" w:cs="Arial" w:eastAsia="Arial" w:hAnsi="Arial"/>
                <w:sz w:val="18"/>
                <w:szCs w:val="18"/>
                <w:color w:val="auto"/>
                <w:w w:val="88"/>
              </w:rPr>
              <w:t>as of June 30, 2008</w:t>
            </w:r>
          </w:p>
        </w:tc>
        <w:tc>
          <w:tcPr>
            <w:tcW w:w="2500" w:type="dxa"/>
            <w:vAlign w:val="bottom"/>
          </w:tcPr>
          <w:p>
            <w:pPr>
              <w:spacing w:after="0"/>
              <w:rPr>
                <w:sz w:val="20"/>
                <w:szCs w:val="20"/>
                <w:color w:val="auto"/>
              </w:rPr>
            </w:pPr>
          </w:p>
        </w:tc>
      </w:tr>
      <w:tr>
        <w:trPr>
          <w:trHeight w:val="659"/>
        </w:trPr>
        <w:tc>
          <w:tcPr>
            <w:tcW w:w="89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20" w:type="dxa"/>
            <w:vAlign w:val="bottom"/>
            <w:gridSpan w:val="8"/>
          </w:tcPr>
          <w:p>
            <w:pPr>
              <w:ind w:left="40"/>
              <w:spacing w:after="0"/>
              <w:rPr>
                <w:sz w:val="20"/>
                <w:szCs w:val="20"/>
                <w:color w:val="auto"/>
              </w:rPr>
            </w:pPr>
            <w:r>
              <w:rPr>
                <w:rFonts w:ascii="Arial" w:cs="Arial" w:eastAsia="Arial" w:hAnsi="Arial"/>
                <w:sz w:val="18"/>
                <w:szCs w:val="18"/>
                <w:b w:val="1"/>
                <w:bCs w:val="1"/>
                <w:color w:val="auto"/>
              </w:rPr>
              <w:t>INDEX</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Definitions</w:t>
              </w:r>
            </w:hyperlink>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3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Safe Harbor Statement Under the Private Securities Litigation Reform Act of 1995</w:t>
              </w:r>
            </w:hyperlink>
          </w:p>
        </w:tc>
        <w:tc>
          <w:tcPr>
            <w:tcW w:w="242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900" w:type="dxa"/>
            <w:vAlign w:val="bottom"/>
            <w:gridSpan w:val="27"/>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700" w:type="dxa"/>
            <w:vAlign w:val="bottom"/>
            <w:gridSpan w:val="23"/>
            <w:shd w:val="clear" w:color="auto" w:fill="CCEEFF"/>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w:t>
              </w:r>
            </w:hyperlink>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900" w:type="dxa"/>
            <w:vAlign w:val="bottom"/>
            <w:gridSpan w:val="27"/>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 -</w:t>
              </w:r>
            </w:hyperlink>
          </w:p>
        </w:tc>
        <w:tc>
          <w:tcPr>
            <w:tcW w:w="2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00" w:type="dxa"/>
            <w:vAlign w:val="bottom"/>
            <w:gridSpan w:val="23"/>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June 30, 2008 and December 31, 2007</w:t>
              </w:r>
            </w:hyperlink>
          </w:p>
        </w:tc>
        <w:tc>
          <w:tcPr>
            <w:tcW w:w="24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00" w:type="dxa"/>
            <w:vAlign w:val="bottom"/>
            <w:gridSpan w:val="27"/>
          </w:tcPr>
          <w:p>
            <w:pPr>
              <w:ind w:left="2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Income -</w:t>
              </w:r>
            </w:hyperlink>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700" w:type="dxa"/>
            <w:vAlign w:val="bottom"/>
            <w:gridSpan w:val="23"/>
            <w:shd w:val="clear" w:color="auto" w:fill="CCEEFF"/>
          </w:tcPr>
          <w:p>
            <w:pPr>
              <w:ind w:left="3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Quarter and Six Months Ended June 30, 2008 and 2007</w:t>
              </w:r>
            </w:hyperlink>
          </w:p>
        </w:tc>
        <w:tc>
          <w:tcPr>
            <w:tcW w:w="242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900" w:type="dxa"/>
            <w:vAlign w:val="bottom"/>
            <w:gridSpan w:val="27"/>
            <w:shd w:val="clear" w:color="auto" w:fill="CCEEFF"/>
          </w:tcPr>
          <w:p>
            <w:pPr>
              <w:ind w:left="2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2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00" w:type="dxa"/>
            <w:vAlign w:val="bottom"/>
            <w:gridSpan w:val="23"/>
          </w:tcPr>
          <w:p>
            <w:pPr>
              <w:ind w:left="3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2008 and 2007</w:t>
              </w:r>
            </w:hyperlink>
          </w:p>
        </w:tc>
        <w:tc>
          <w:tcPr>
            <w:tcW w:w="24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00" w:type="dxa"/>
            <w:vAlign w:val="bottom"/>
            <w:gridSpan w:val="27"/>
          </w:tcPr>
          <w:p>
            <w:pPr>
              <w:ind w:left="2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4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w:t>
              </w:r>
            </w:hyperlink>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and Results of Operations</w:t>
              </w:r>
            </w:hyperlink>
          </w:p>
        </w:tc>
        <w:tc>
          <w:tcPr>
            <w:tcW w:w="1840" w:type="dxa"/>
            <w:vAlign w:val="bottom"/>
          </w:tcPr>
          <w:p>
            <w:pPr>
              <w:spacing w:after="0"/>
              <w:rPr>
                <w:sz w:val="17"/>
                <w:szCs w:val="17"/>
                <w:color w:val="auto"/>
              </w:rPr>
            </w:pPr>
          </w:p>
        </w:tc>
        <w:tc>
          <w:tcPr>
            <w:tcW w:w="242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Part II.</w:t>
              </w:r>
            </w:hyperlink>
          </w:p>
        </w:tc>
        <w:tc>
          <w:tcPr>
            <w:tcW w:w="7900" w:type="dxa"/>
            <w:vAlign w:val="bottom"/>
            <w:gridSpan w:val="27"/>
          </w:tcPr>
          <w:p>
            <w:pPr>
              <w:ind w:left="2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Submission of Matters to a Vote of Security Holders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Term</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AFUDC</w:t>
            </w:r>
          </w:p>
        </w:tc>
        <w:tc>
          <w:tcPr>
            <w:tcW w:w="8700" w:type="dxa"/>
            <w:vAlign w:val="bottom"/>
          </w:tcPr>
          <w:p>
            <w:pPr>
              <w:ind w:left="720"/>
              <w:spacing w:after="0" w:line="201" w:lineRule="exact"/>
              <w:rPr>
                <w:sz w:val="20"/>
                <w:szCs w:val="20"/>
                <w:color w:val="auto"/>
              </w:rPr>
            </w:pPr>
            <w:r>
              <w:rPr>
                <w:rFonts w:ascii="Arial" w:cs="Arial" w:eastAsia="Arial" w:hAnsi="Arial"/>
                <w:sz w:val="18"/>
                <w:szCs w:val="18"/>
                <w:color w:val="auto"/>
                <w:w w:val="91"/>
              </w:rPr>
              <w:t>Allowance for Funds Used During Construction – consisting of the cost of both the debt and equity funds used</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to finance utility plant additions during construction periods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ALLETE</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ALLETE Properties</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Properties, LLC and its subsidiaries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AREA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Arrowhead Regional Emission Abatement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ATC</w:t>
            </w:r>
          </w:p>
        </w:tc>
        <w:tc>
          <w:tcPr>
            <w:tcW w:w="8700" w:type="dxa"/>
            <w:vAlign w:val="bottom"/>
          </w:tcPr>
          <w:p>
            <w:pPr>
              <w:ind w:left="720"/>
              <w:spacing w:after="0"/>
              <w:rPr>
                <w:sz w:val="20"/>
                <w:szCs w:val="20"/>
                <w:color w:val="auto"/>
              </w:rPr>
            </w:pPr>
            <w:r>
              <w:rPr>
                <w:rFonts w:ascii="Arial" w:cs="Arial" w:eastAsia="Arial" w:hAnsi="Arial"/>
                <w:sz w:val="18"/>
                <w:szCs w:val="18"/>
                <w:color w:val="auto"/>
              </w:rPr>
              <w:t>American Transmission Company LLC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BNI Coal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BNI Coal, Ltd.</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BNSF</w:t>
            </w:r>
          </w:p>
        </w:tc>
        <w:tc>
          <w:tcPr>
            <w:tcW w:w="8700" w:type="dxa"/>
            <w:vAlign w:val="bottom"/>
          </w:tcPr>
          <w:p>
            <w:pPr>
              <w:ind w:left="720"/>
              <w:spacing w:after="0"/>
              <w:rPr>
                <w:sz w:val="20"/>
                <w:szCs w:val="20"/>
                <w:color w:val="auto"/>
              </w:rPr>
            </w:pPr>
            <w:r>
              <w:rPr>
                <w:rFonts w:ascii="Arial" w:cs="Arial" w:eastAsia="Arial" w:hAnsi="Arial"/>
                <w:sz w:val="18"/>
                <w:szCs w:val="18"/>
                <w:color w:val="auto"/>
              </w:rPr>
              <w:t>BNSF Railway Company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Boswell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Boswell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Company</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Inc. and its subsidiaries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Direct Current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DOC</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Department of Commerce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EITF</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Emerging Issues Task Force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EPA</w:t>
            </w:r>
          </w:p>
        </w:tc>
        <w:tc>
          <w:tcPr>
            <w:tcW w:w="8700" w:type="dxa"/>
            <w:vAlign w:val="bottom"/>
          </w:tcPr>
          <w:p>
            <w:pPr>
              <w:ind w:left="72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ESOP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Ownership Plan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FASB</w:t>
            </w:r>
          </w:p>
        </w:tc>
        <w:tc>
          <w:tcPr>
            <w:tcW w:w="8700" w:type="dxa"/>
            <w:vAlign w:val="bottom"/>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Form 10-K</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Annual Report on Form 10-K</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Form 10-Q</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Quarterly Report on Form 10-Q</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FPL Energy</w:t>
            </w:r>
          </w:p>
        </w:tc>
        <w:tc>
          <w:tcPr>
            <w:tcW w:w="8700" w:type="dxa"/>
            <w:vAlign w:val="bottom"/>
          </w:tcPr>
          <w:p>
            <w:pPr>
              <w:ind w:left="720"/>
              <w:spacing w:after="0"/>
              <w:rPr>
                <w:sz w:val="20"/>
                <w:szCs w:val="20"/>
                <w:color w:val="auto"/>
              </w:rPr>
            </w:pPr>
            <w:r>
              <w:rPr>
                <w:rFonts w:ascii="Arial" w:cs="Arial" w:eastAsia="Arial" w:hAnsi="Arial"/>
                <w:sz w:val="18"/>
                <w:szCs w:val="18"/>
                <w:color w:val="auto"/>
              </w:rPr>
              <w:t>FPL Energy, LLC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GHG</w:t>
            </w:r>
          </w:p>
        </w:tc>
        <w:tc>
          <w:tcPr>
            <w:tcW w:w="8700" w:type="dxa"/>
            <w:vAlign w:val="bottom"/>
          </w:tcPr>
          <w:p>
            <w:pPr>
              <w:ind w:left="720"/>
              <w:spacing w:after="0"/>
              <w:rPr>
                <w:sz w:val="20"/>
                <w:szCs w:val="20"/>
                <w:color w:val="auto"/>
              </w:rPr>
            </w:pPr>
            <w:r>
              <w:rPr>
                <w:rFonts w:ascii="Arial" w:cs="Arial" w:eastAsia="Arial" w:hAnsi="Arial"/>
                <w:sz w:val="18"/>
                <w:szCs w:val="18"/>
                <w:color w:val="auto"/>
              </w:rPr>
              <w:t>Greenhouse Gases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kV</w:t>
            </w:r>
          </w:p>
        </w:tc>
        <w:tc>
          <w:tcPr>
            <w:tcW w:w="8700" w:type="dxa"/>
            <w:vAlign w:val="bottom"/>
          </w:tcPr>
          <w:p>
            <w:pPr>
              <w:ind w:left="720"/>
              <w:spacing w:after="0"/>
              <w:rPr>
                <w:sz w:val="20"/>
                <w:szCs w:val="20"/>
                <w:color w:val="auto"/>
              </w:rPr>
            </w:pPr>
            <w:r>
              <w:rPr>
                <w:rFonts w:ascii="Arial" w:cs="Arial" w:eastAsia="Arial" w:hAnsi="Arial"/>
                <w:sz w:val="18"/>
                <w:szCs w:val="18"/>
                <w:color w:val="auto"/>
              </w:rPr>
              <w:t>Kilovolt(s)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Laskin</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Laskin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Minnesota Power</w:t>
            </w:r>
          </w:p>
        </w:tc>
        <w:tc>
          <w:tcPr>
            <w:tcW w:w="8700" w:type="dxa"/>
            <w:vAlign w:val="bottom"/>
          </w:tcPr>
          <w:p>
            <w:pPr>
              <w:ind w:left="720"/>
              <w:spacing w:after="0"/>
              <w:rPr>
                <w:sz w:val="20"/>
                <w:szCs w:val="20"/>
                <w:color w:val="auto"/>
              </w:rPr>
            </w:pPr>
            <w:r>
              <w:rPr>
                <w:rFonts w:ascii="Arial" w:cs="Arial" w:eastAsia="Arial" w:hAnsi="Arial"/>
                <w:sz w:val="18"/>
                <w:szCs w:val="18"/>
                <w:color w:val="auto"/>
              </w:rPr>
              <w:t>An operating division of ALLETE,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Minnkota Power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Minnkota Power Cooperative,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MISO</w:t>
            </w:r>
          </w:p>
        </w:tc>
        <w:tc>
          <w:tcPr>
            <w:tcW w:w="8700" w:type="dxa"/>
            <w:vAlign w:val="bottom"/>
          </w:tcPr>
          <w:p>
            <w:pPr>
              <w:ind w:left="7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MPCA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Minnesota Pollution Control Agency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MPUC</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Public Utilities Commission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MW / MWh</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Megawatt(s) / Megawatt-hour(s)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Non-residential</w:t>
            </w:r>
          </w:p>
        </w:tc>
        <w:tc>
          <w:tcPr>
            <w:tcW w:w="8700" w:type="dxa"/>
            <w:vAlign w:val="bottom"/>
          </w:tcPr>
          <w:p>
            <w:pPr>
              <w:ind w:left="72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30"/>
        </w:trPr>
        <w:tc>
          <w:tcPr>
            <w:tcW w:w="27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Nitrogen Oxide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Note ___</w:t>
            </w:r>
          </w:p>
        </w:tc>
        <w:tc>
          <w:tcPr>
            <w:tcW w:w="8700" w:type="dxa"/>
            <w:vAlign w:val="bottom"/>
          </w:tcPr>
          <w:p>
            <w:pPr>
              <w:ind w:left="72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OAG</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Office of the Attorney General</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OES</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Office of Energy Security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Oliver Wind I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Oliver Wind II</w:t>
            </w:r>
          </w:p>
        </w:tc>
        <w:tc>
          <w:tcPr>
            <w:tcW w:w="8700" w:type="dxa"/>
            <w:vAlign w:val="bottom"/>
          </w:tcPr>
          <w:p>
            <w:pPr>
              <w:ind w:left="720"/>
              <w:spacing w:after="0"/>
              <w:rPr>
                <w:sz w:val="20"/>
                <w:szCs w:val="20"/>
                <w:color w:val="auto"/>
              </w:rPr>
            </w:pPr>
            <w:r>
              <w:rPr>
                <w:rFonts w:ascii="Arial" w:cs="Arial" w:eastAsia="Arial" w:hAnsi="Arial"/>
                <w:sz w:val="18"/>
                <w:szCs w:val="18"/>
                <w:color w:val="auto"/>
              </w:rPr>
              <w:t>Oliver Wind II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Palm Coast Park development project in Florida</w:t>
            </w:r>
          </w:p>
        </w:tc>
      </w:tr>
      <w:tr>
        <w:trPr>
          <w:trHeight w:val="407"/>
        </w:trPr>
        <w:tc>
          <w:tcPr>
            <w:tcW w:w="2720" w:type="dxa"/>
            <w:vAlign w:val="bottom"/>
          </w:tcPr>
          <w:p>
            <w:pPr>
              <w:spacing w:after="0"/>
              <w:rPr>
                <w:sz w:val="24"/>
                <w:szCs w:val="24"/>
                <w:color w:val="auto"/>
              </w:rPr>
            </w:pPr>
          </w:p>
        </w:tc>
        <w:tc>
          <w:tcPr>
            <w:tcW w:w="8700" w:type="dxa"/>
            <w:vAlign w:val="bottom"/>
          </w:tcPr>
          <w:p>
            <w:pPr>
              <w:ind w:left="1760"/>
              <w:spacing w:after="0"/>
              <w:rPr>
                <w:sz w:val="20"/>
                <w:szCs w:val="20"/>
                <w:color w:val="auto"/>
              </w:rPr>
            </w:pPr>
            <w:r>
              <w:rPr>
                <w:rFonts w:ascii="Arial" w:cs="Arial" w:eastAsia="Arial" w:hAnsi="Arial"/>
                <w:sz w:val="14"/>
                <w:szCs w:val="14"/>
                <w:color w:val="auto"/>
              </w:rPr>
              <w:t>ALLETE Second Quarter 2008 Form 10-Q</w:t>
            </w:r>
          </w:p>
        </w:tc>
      </w:tr>
      <w:tr>
        <w:trPr>
          <w:trHeight w:val="350"/>
        </w:trPr>
        <w:tc>
          <w:tcPr>
            <w:tcW w:w="2720" w:type="dxa"/>
            <w:vAlign w:val="bottom"/>
          </w:tcPr>
          <w:p>
            <w:pPr>
              <w:spacing w:after="0"/>
              <w:rPr>
                <w:sz w:val="24"/>
                <w:szCs w:val="24"/>
                <w:color w:val="auto"/>
              </w:rPr>
            </w:pPr>
          </w:p>
        </w:tc>
        <w:tc>
          <w:tcPr>
            <w:tcW w:w="8700" w:type="dxa"/>
            <w:vAlign w:val="bottom"/>
          </w:tcPr>
          <w:p>
            <w:pPr>
              <w:ind w:left="8620"/>
              <w:spacing w:after="0"/>
              <w:rPr>
                <w:sz w:val="20"/>
                <w:szCs w:val="20"/>
                <w:color w:val="auto"/>
              </w:rPr>
            </w:pPr>
            <w:r>
              <w:rPr>
                <w:rFonts w:ascii="Arial" w:cs="Arial" w:eastAsia="Arial" w:hAnsi="Arial"/>
                <w:sz w:val="15"/>
                <w:szCs w:val="15"/>
                <w:color w:val="auto"/>
                <w:w w:val="71"/>
              </w:rPr>
              <w:t>3</w:t>
            </w:r>
          </w:p>
        </w:tc>
      </w:tr>
      <w:tr>
        <w:trPr>
          <w:trHeight w:val="118"/>
        </w:trPr>
        <w:tc>
          <w:tcPr>
            <w:tcW w:w="2720" w:type="dxa"/>
            <w:vAlign w:val="bottom"/>
            <w:tcBorders>
              <w:bottom w:val="single" w:sz="8" w:color="808080"/>
            </w:tcBorders>
          </w:tcPr>
          <w:p>
            <w:pPr>
              <w:spacing w:after="0"/>
              <w:rPr>
                <w:sz w:val="10"/>
                <w:szCs w:val="10"/>
                <w:color w:val="auto"/>
              </w:rPr>
            </w:pPr>
          </w:p>
        </w:tc>
        <w:tc>
          <w:tcPr>
            <w:tcW w:w="8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18"/>
                <w:szCs w:val="18"/>
                <w:color w:val="auto"/>
              </w:rPr>
            </w:pPr>
          </w:p>
        </w:tc>
        <w:tc>
          <w:tcPr>
            <w:tcW w:w="8700" w:type="dxa"/>
            <w:vAlign w:val="bottom"/>
            <w:shd w:val="clear" w:color="auto" w:fill="CCEEFF"/>
          </w:tcPr>
          <w:p>
            <w:pPr>
              <w:ind w:left="2080"/>
              <w:spacing w:after="0"/>
              <w:rPr>
                <w:sz w:val="20"/>
                <w:szCs w:val="20"/>
                <w:color w:val="auto"/>
              </w:rPr>
            </w:pPr>
            <w:r>
              <w:rPr>
                <w:rFonts w:ascii="Arial" w:cs="Arial" w:eastAsia="Arial" w:hAnsi="Arial"/>
                <w:sz w:val="18"/>
                <w:szCs w:val="18"/>
                <w:b w:val="1"/>
                <w:bCs w:val="1"/>
                <w:color w:val="auto"/>
              </w:rPr>
              <w:t>Definitions (Continued)</w:t>
            </w: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tcPr>
          <w:p>
            <w:pPr>
              <w:ind w:left="720"/>
              <w:spacing w:after="0"/>
              <w:rPr>
                <w:sz w:val="20"/>
                <w:szCs w:val="20"/>
                <w:color w:val="auto"/>
              </w:rPr>
            </w:pPr>
            <w:r>
              <w:rPr>
                <w:rFonts w:ascii="Arial" w:cs="Arial" w:eastAsia="Arial" w:hAnsi="Arial"/>
                <w:sz w:val="18"/>
                <w:szCs w:val="18"/>
                <w:b w:val="1"/>
                <w:bCs w:val="1"/>
                <w:color w:val="auto"/>
              </w:rPr>
              <w:t>Term</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 District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Palm Coast Park Community Development District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PSCW</w:t>
            </w:r>
          </w:p>
        </w:tc>
        <w:tc>
          <w:tcPr>
            <w:tcW w:w="8700" w:type="dxa"/>
            <w:vAlign w:val="bottom"/>
          </w:tcPr>
          <w:p>
            <w:pPr>
              <w:ind w:left="720"/>
              <w:spacing w:after="0"/>
              <w:rPr>
                <w:sz w:val="20"/>
                <w:szCs w:val="20"/>
                <w:color w:val="auto"/>
              </w:rPr>
            </w:pPr>
            <w:r>
              <w:rPr>
                <w:rFonts w:ascii="Arial" w:cs="Arial" w:eastAsia="Arial" w:hAnsi="Arial"/>
                <w:sz w:val="18"/>
                <w:szCs w:val="18"/>
                <w:color w:val="auto"/>
              </w:rPr>
              <w:t>Public Service Commission of Wisconsin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SFAS</w:t>
            </w:r>
          </w:p>
        </w:tc>
        <w:tc>
          <w:tcPr>
            <w:tcW w:w="8700" w:type="dxa"/>
            <w:vAlign w:val="bottom"/>
          </w:tcPr>
          <w:p>
            <w:pPr>
              <w:ind w:left="720"/>
              <w:spacing w:after="0"/>
              <w:rPr>
                <w:sz w:val="20"/>
                <w:szCs w:val="20"/>
                <w:color w:val="auto"/>
              </w:rPr>
            </w:pPr>
            <w:r>
              <w:rPr>
                <w:rFonts w:ascii="Arial" w:cs="Arial" w:eastAsia="Arial" w:hAnsi="Arial"/>
                <w:sz w:val="18"/>
                <w:szCs w:val="18"/>
                <w:color w:val="auto"/>
              </w:rPr>
              <w:t>Statement of Financial Accounting Standards No.</w:t>
            </w:r>
          </w:p>
        </w:tc>
      </w:tr>
      <w:tr>
        <w:trPr>
          <w:trHeight w:val="230"/>
        </w:trPr>
        <w:tc>
          <w:tcPr>
            <w:tcW w:w="27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5"/>
                <w:szCs w:val="25"/>
                <w:color w:val="auto"/>
                <w:vertAlign w:val="subscript"/>
              </w:rPr>
              <w:t>2</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Sulfur Dioxide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Square Butte</w:t>
            </w:r>
          </w:p>
        </w:tc>
        <w:tc>
          <w:tcPr>
            <w:tcW w:w="8700" w:type="dxa"/>
            <w:vAlign w:val="bottom"/>
          </w:tcPr>
          <w:p>
            <w:pPr>
              <w:ind w:left="720"/>
              <w:spacing w:after="0"/>
              <w:rPr>
                <w:sz w:val="20"/>
                <w:szCs w:val="20"/>
                <w:color w:val="auto"/>
              </w:rPr>
            </w:pPr>
            <w:r>
              <w:rPr>
                <w:rFonts w:ascii="Arial" w:cs="Arial" w:eastAsia="Arial" w:hAnsi="Arial"/>
                <w:sz w:val="18"/>
                <w:szCs w:val="18"/>
                <w:color w:val="auto"/>
              </w:rPr>
              <w:t>Square Butte Electric Cooperative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SWL&amp;P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Superior Water, Light and Power Company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Taconite Harbor</w:t>
            </w:r>
          </w:p>
        </w:tc>
        <w:tc>
          <w:tcPr>
            <w:tcW w:w="8700" w:type="dxa"/>
            <w:vAlign w:val="bottom"/>
          </w:tcPr>
          <w:p>
            <w:pPr>
              <w:ind w:left="720"/>
              <w:spacing w:after="0"/>
              <w:rPr>
                <w:sz w:val="20"/>
                <w:szCs w:val="20"/>
                <w:color w:val="auto"/>
              </w:rPr>
            </w:pPr>
            <w:r>
              <w:rPr>
                <w:rFonts w:ascii="Arial" w:cs="Arial" w:eastAsia="Arial" w:hAnsi="Arial"/>
                <w:sz w:val="18"/>
                <w:szCs w:val="18"/>
                <w:color w:val="auto"/>
              </w:rPr>
              <w:t>Taconite Harbor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Town Center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Town Center District</w:t>
            </w:r>
          </w:p>
        </w:tc>
        <w:tc>
          <w:tcPr>
            <w:tcW w:w="8700" w:type="dxa"/>
            <w:vAlign w:val="bottom"/>
          </w:tcPr>
          <w:p>
            <w:pPr>
              <w:ind w:left="72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WDNR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Wisconsin Department of Natural Resources</w:t>
            </w:r>
          </w:p>
        </w:tc>
      </w:tr>
      <w:tr>
        <w:trPr>
          <w:trHeight w:val="407"/>
        </w:trPr>
        <w:tc>
          <w:tcPr>
            <w:tcW w:w="2720" w:type="dxa"/>
            <w:vAlign w:val="bottom"/>
          </w:tcPr>
          <w:p>
            <w:pPr>
              <w:spacing w:after="0"/>
              <w:rPr>
                <w:sz w:val="24"/>
                <w:szCs w:val="24"/>
                <w:color w:val="auto"/>
              </w:rPr>
            </w:pPr>
          </w:p>
        </w:tc>
        <w:tc>
          <w:tcPr>
            <w:tcW w:w="8700" w:type="dxa"/>
            <w:vAlign w:val="bottom"/>
          </w:tcPr>
          <w:p>
            <w:pPr>
              <w:ind w:left="1760"/>
              <w:spacing w:after="0"/>
              <w:rPr>
                <w:sz w:val="20"/>
                <w:szCs w:val="20"/>
                <w:color w:val="auto"/>
              </w:rPr>
            </w:pPr>
            <w:r>
              <w:rPr>
                <w:rFonts w:ascii="Arial" w:cs="Arial" w:eastAsia="Arial" w:hAnsi="Arial"/>
                <w:sz w:val="14"/>
                <w:szCs w:val="14"/>
                <w:color w:val="auto"/>
              </w:rPr>
              <w:t>ALLETE Second Quarter 2008 Form 10-Q</w:t>
            </w: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208"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jc w:val="both"/>
        <w:ind w:left="840" w:hanging="832"/>
        <w:spacing w:after="0" w:line="265"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Utility operations;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policies;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project delays or changes in project costs;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operating expenses</w:t>
      </w:r>
      <w:r>
        <w:rPr>
          <w:rFonts w:ascii="Arial" w:cs="Arial" w:eastAsia="Arial" w:hAnsi="Arial"/>
          <w:sz w:val="18"/>
          <w:szCs w:val="18"/>
          <w:b w:val="1"/>
          <w:bCs w:val="1"/>
          <w:color w:val="auto"/>
        </w:rPr>
        <w:t>,</w:t>
      </w:r>
      <w:r>
        <w:rPr>
          <w:rFonts w:ascii="Arial" w:cs="Arial" w:eastAsia="Arial" w:hAnsi="Arial"/>
          <w:sz w:val="18"/>
          <w:szCs w:val="18"/>
          <w:color w:val="auto"/>
        </w:rPr>
        <w:t xml:space="preserve"> capital and land development expenditures;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w:t>
      </w:r>
    </w:p>
    <w:p>
      <w:pPr>
        <w:spacing w:after="0" w:line="20"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auto"/>
        </w:rPr>
        <w:t>ALLETE.</w:t>
      </w:r>
    </w:p>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and performance to differ from results or performance anticipated by this report are discussed in Item 1A under the heading “Risk Factors” in Part I of our 2007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82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rPr>
              <w:t>ALLETE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CONSOLIDATED BALANCE SHEET</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92"/>
              </w:rPr>
              <w:t>Millions – Unaudited</w:t>
            </w: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99.1</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Accounts Receivable (Less Allowance of $1.0 at June 30, 2008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$1.0 at December 31, 2007)</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59.2</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53.7</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Prepayments and Other</w:t>
            </w:r>
          </w:p>
        </w:tc>
        <w:tc>
          <w:tcPr>
            <w:tcW w:w="1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27.2</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90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239.2</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3"/>
              </w:rPr>
              <w:t>1,224.3</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208.3</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117.0</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1,788.8</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69.2</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Accrued Taxes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9.6</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Deferred Profit on Sales of Real Estate</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24.0</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90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142.0</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538.5</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152.6</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187.2</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1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9.3</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1,029.6</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Common Stock Without Par Value, 43.3 Shares Authorized, 31.0 and 30.8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Outstanding</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469.8</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Unearned ESOP Shares</w:t>
            </w:r>
          </w:p>
        </w:tc>
        <w:tc>
          <w:tcPr>
            <w:tcW w:w="11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(60.4)</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1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357.5</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759.2</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1,788.8</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jc w:val="center"/>
              <w:ind w:left="210"/>
              <w:spacing w:after="0"/>
              <w:rPr>
                <w:sz w:val="20"/>
                <w:szCs w:val="20"/>
                <w:color w:val="auto"/>
              </w:rPr>
            </w:pPr>
            <w:r>
              <w:rPr>
                <w:rFonts w:ascii="Arial" w:cs="Arial" w:eastAsia="Arial" w:hAnsi="Arial"/>
                <w:sz w:val="18"/>
                <w:szCs w:val="18"/>
                <w:b w:val="1"/>
                <w:bCs w:val="1"/>
                <w:color w:val="auto"/>
              </w:rPr>
              <w:t>ALLETE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jc w:val="center"/>
              <w:ind w:left="3650"/>
              <w:spacing w:after="0"/>
              <w:rPr>
                <w:sz w:val="20"/>
                <w:szCs w:val="20"/>
                <w:color w:val="auto"/>
              </w:rPr>
            </w:pPr>
            <w:r>
              <w:rPr>
                <w:rFonts w:ascii="Arial" w:cs="Arial" w:eastAsia="Arial" w:hAnsi="Arial"/>
                <w:sz w:val="18"/>
                <w:szCs w:val="18"/>
                <w:b w:val="1"/>
                <w:bCs w:val="1"/>
                <w:color w:val="auto"/>
              </w:rPr>
              <w:t>CONSOLIDATED STATEMENT OF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gridSpan w:val="3"/>
          </w:tcPr>
          <w:p>
            <w:pPr>
              <w:jc w:val="center"/>
              <w:ind w:left="3650"/>
              <w:spacing w:after="0"/>
              <w:rPr>
                <w:sz w:val="20"/>
                <w:szCs w:val="20"/>
                <w:color w:val="auto"/>
              </w:rPr>
            </w:pPr>
            <w:r>
              <w:rPr>
                <w:rFonts w:ascii="Arial" w:cs="Arial" w:eastAsia="Arial" w:hAnsi="Arial"/>
                <w:sz w:val="18"/>
                <w:szCs w:val="18"/>
                <w:b w:val="1"/>
                <w:bCs w:val="1"/>
                <w:color w:val="auto"/>
                <w:w w:val="90"/>
              </w:rPr>
              <w:t>Millions Except Per Share Amounts – Unaudited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Fuel and Purchased Power</w:t>
            </w:r>
          </w:p>
        </w:tc>
        <w:tc>
          <w:tcPr>
            <w:tcW w:w="1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and Maintenance</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Depreciation</w:t>
            </w:r>
          </w:p>
        </w:tc>
        <w:tc>
          <w:tcPr>
            <w:tcW w:w="1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Earnings in ATC</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 Other Income (Expense)</w:t>
            </w: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Income Taxes</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Earnings Per Share of Common Stock</w:t>
            </w: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Diluted</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w w:val="97"/>
              </w:rPr>
              <w:t>June 30,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6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2007</w:t>
            </w:r>
          </w:p>
        </w:tc>
        <w:tc>
          <w:tcPr>
            <w:tcW w:w="7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34.3</w:t>
            </w: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Funds Used During Construction</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Income from Equity Investments, net of dividends</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Assets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Gain on Sale of Available for Sale Securities</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Bad Debt Expense</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Prepayments and Other</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Current Liabilities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17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Cash from Operating Activities</w:t>
            </w:r>
          </w:p>
        </w:tc>
        <w:tc>
          <w:tcPr>
            <w:tcW w:w="1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Available-For-Sale Securities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Payments for Purchase of Available-For-Sale Securities</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to Investments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(130.5)</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Assets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Cash for Investing Activities</w:t>
            </w:r>
          </w:p>
        </w:tc>
        <w:tc>
          <w:tcPr>
            <w:tcW w:w="17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Issuance of Common Stock</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Debt</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Payments of Long-Term Debt</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 on Common Stock and Distributions to Minority Shareholders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Changes in Notes Payable</w:t>
            </w:r>
          </w:p>
        </w:tc>
        <w:tc>
          <w:tcPr>
            <w:tcW w:w="1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Cash from Financing Activities</w:t>
            </w:r>
          </w:p>
        </w:tc>
        <w:tc>
          <w:tcPr>
            <w:tcW w:w="17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2007 consolidated balance sheet was derived from audited financial statements but does not include all disclosures required by GAAP. In the opinion of management, the accompanying unaudited consolidated financial statements contain all normal and recurring adjustments necessary to make a fair statement of the consolidated financial position, results of operations and cash flows of ALLETE for the interim periods presented. Operating results for the periods ended June 30, 2008, are not necessarily indicative of results that may be expected for any other interim period or for the year ending December 31, 2008. For further information, refer to the consolidated financial statements and notes included in our 2007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Cost is determined by the average cost method.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2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Fuel</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Materials and Supplies</w:t>
            </w:r>
          </w:p>
        </w:tc>
        <w:tc>
          <w:tcPr>
            <w:tcW w:w="2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Inventories</w:t>
            </w:r>
          </w:p>
        </w:tc>
        <w:tc>
          <w:tcPr>
            <w:tcW w:w="2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 of Cash Flows</w:t>
            </w:r>
          </w:p>
        </w:tc>
        <w:tc>
          <w:tcPr>
            <w:tcW w:w="2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w:t>
            </w: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 Net of Amounts Capitalized</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138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Accounts Payable for Capital Additions to Property Plant and Equipment</w:t>
            </w:r>
          </w:p>
        </w:tc>
        <w:tc>
          <w:tcPr>
            <w:tcW w:w="2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New Accounting Standards. </w:t>
      </w:r>
      <w:r>
        <w:rPr>
          <w:rFonts w:ascii="Arial" w:cs="Arial" w:eastAsia="Arial" w:hAnsi="Arial"/>
          <w:sz w:val="16"/>
          <w:szCs w:val="16"/>
          <w:i w:val="1"/>
          <w:iCs w:val="1"/>
          <w:color w:val="auto"/>
        </w:rPr>
        <w:t>SFAS 157</w:t>
      </w:r>
      <w:r>
        <w:rPr>
          <w:rFonts w:ascii="Arial" w:cs="Arial" w:eastAsia="Arial" w:hAnsi="Arial"/>
          <w:sz w:val="16"/>
          <w:szCs w:val="16"/>
          <w:color w:val="auto"/>
        </w:rPr>
        <w:t>. In September 2006, the FASB issued SFAS 157, “Fair Value Measurements,” to increase consistency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comparability in fair value measurements by defining fair value, establishing a framework for measuring fair value in GAAP,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In February 2008, the FASB issued FASB Staff Position (FSP) FAS 157-1, "Application of FAS 157 to FAS 13 and Other Accounting Pronouncements That Address Fair Value Measurements for Purposes of Lease Classification or Measurement under FAS 13", which excludes FAS 13, "Accounting for Leases," and its related interpretive accounting pronouncements that address leasing transactions, from the scope of FAS 157.</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February 2008, the FASB issued FSP FAS 157-2, "Effective Date of FASB Statement 157," which delays the effective date of SFAS 157 for all nonrecurring fair value measurements of nonfinancial assets and liabilities until fiscal years beginning after November 15, 2008. The Company elected to defer the adoption of the nonrecurring fair value measurement disclosures of nonfinancial assets and liabilities. The adoption of FSP FAS 157-2 is not expected to have a material impact on the Company's results of operations, cash flows or financial position.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 New Accounting Standards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implementation of SFAS 157 for financial assets and financial liabilities and FSP FAS 157-1, effective January 1, 2008, did not have a material impact on our consolidated financial position and results of operations. See Note 12 – Recurring Fair Value Measures for additional information. We are currently assessing the impact of SFAS 157 for nonfinancial assets and nonfinancial liabilities on our consolidated financial position, results of operations and cash flows, but we do not believe it will have a material impact on the Company.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SFAS 141R. </w:t>
      </w:r>
      <w:r>
        <w:rPr>
          <w:rFonts w:ascii="Arial" w:cs="Arial" w:eastAsia="Arial" w:hAnsi="Arial"/>
          <w:sz w:val="17"/>
          <w:szCs w:val="17"/>
          <w:color w:val="auto"/>
        </w:rPr>
        <w:t>In December 2007, the FASB issued SFAS 141 (revised 2007), “Business Combinations,” to increase the relevance, representational faithfulness,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of the information a reporting entity provides in its financial reports about a business combination and its effects. SFAS 141R replaces SFAS 141, “Business Combinations”, but retains the fundamental requirements of SFAS 141 that the acquisition method of accounting be used and an acquirer be identified for all business combinations. SFAS 141R expands the definition of a business and of a business combination and establishes how the acquirer is to: (1) recognize and measure in its financial statements the identifiable assets acquired, the liabilities assumed, and any noncontrolling interest in the acquiree; (2) recognize and measure the goodwill acquired in the business combination or a gain from a bargain purchase; and (3) determine what information to disclose to enable users of the financial statements to evaluate the nature and financial effects of the business combination. SFAS 141R is applicable to business combinations for which the acquisition date is on or after the beginning of the first annual reporting period beginning on or after December 15, 2008, and is to be applied prospectively. Early adoption is prohibited. SFAS 141R will impact ALLETE if we elect to enter into a business combination subsequent to December 31, 2008.</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SFAS 160. </w:t>
      </w:r>
      <w:r>
        <w:rPr>
          <w:rFonts w:ascii="Arial" w:cs="Arial" w:eastAsia="Arial" w:hAnsi="Arial"/>
          <w:sz w:val="16"/>
          <w:szCs w:val="16"/>
          <w:color w:val="auto"/>
        </w:rPr>
        <w:t>In December 2007, the FASB issued SFAS 160, “Noncontrolling Interests in Consolidated Financial Statements – an amendment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Bulletin (ARB) 51,” to improve the relevance, comparability, and transparency of the financial 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It defines a noncontrolling interest in a subsidiary as an ownership interest in the consolidated entity that should be reported as equity in the consolidated financial statements. SFAS 160 changes the way the consolidated income statement is presented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Early adoption is prohibited. SFAS 160 shall be applied prospectively, with the exception of the presentation and disclosure requirements which shall be applied retrospectively for all periods presented. ALLETE Properties does have certain noncontrolling interests in consolidated subsidiaries. If SFAS 160 had been applied as of June 30, 2008, the $9.3 million reported as Minority Interest in the Liabilities section on our consolidated balance sheet would have been reported as $9.3 million of Noncontrolling Interest in Subsidiaries in the Equity section of our consolidated balance sheet. After December 15, 2008, SFAS 160 will impact the presentation of our consolidated balance sheet; however, we do not believe it will have a material impact on the consolidated financial position, results of operations, and cash flows of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 New Accounting Standards (Continued)</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SFAS 161. </w:t>
      </w:r>
      <w:r>
        <w:rPr>
          <w:rFonts w:ascii="Arial" w:cs="Arial" w:eastAsia="Arial" w:hAnsi="Arial"/>
          <w:sz w:val="16"/>
          <w:szCs w:val="16"/>
          <w:color w:val="auto"/>
        </w:rPr>
        <w:t>In March 2008, the FASB issued SFAS 161, “Disclosures about Derivative Instruments and Hedging Activities – an amendment of SFAS 133,”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disclosures about an entity’s derivative and hedging activities and improve the transparency of financial reporting. Entities will be required to provide enhanced disclosures about (1) how and why derivatives instruments are used, (2) how derivative instruments are accounted for, and (3) how derivative instruments affect the entities financial position, financial performance and cash flows. These disclosures better convey the purpose of derivative use in terms of the risks that the entity is intending to manage by requiring fair value disclosures in a tabular format, providing more information about an entity’s liquidity and requiring cross-referencing within the footnotes. SFAS 161 is effective for financial statements issued for fiscal years and interim periods beginning after November 15, 2008, with early adoption encouraged. We did not have any material derivative instruments at June 30, 2008. In the event we elect to enter into a material derivative or hedging activity in the future, SFAS 161 will have an impact on our disclosure requirements.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Energy</w:t>
            </w:r>
          </w:p>
        </w:tc>
        <w:tc>
          <w:tcPr>
            <w:tcW w:w="1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Nonregulated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6"/>
              </w:rPr>
              <w:t>Regulated</w:t>
            </w: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Investment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Real</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Consolidated</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Utility</w:t>
            </w: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Operations</w:t>
            </w: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in ATC</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Estate</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June 30, 2008</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1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Equity Earnings in ATC</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Minority Interest and Income Taxes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1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June 30, 2007</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92.9</w:t>
            </w:r>
          </w:p>
        </w:tc>
        <w:tc>
          <w:tcPr>
            <w:tcW w:w="1080" w:type="dxa"/>
            <w:vAlign w:val="bottom"/>
          </w:tcPr>
          <w:p>
            <w:pPr>
              <w:jc w:val="right"/>
              <w:spacing w:after="0"/>
              <w:rPr>
                <w:sz w:val="20"/>
                <w:szCs w:val="20"/>
                <w:color w:val="auto"/>
              </w:rPr>
            </w:pPr>
            <w:r>
              <w:rPr>
                <w:rFonts w:ascii="Arial" w:cs="Arial" w:eastAsia="Arial" w:hAnsi="Arial"/>
                <w:sz w:val="18"/>
                <w:szCs w:val="18"/>
                <w:color w:val="auto"/>
              </w:rPr>
              <w:t>92.9</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1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Equity Earnings in ATC</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 (Continued)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Energy</w:t>
            </w: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Nonregulated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6"/>
              </w:rPr>
              <w:t>Regulated</w:t>
            </w:r>
          </w:p>
        </w:tc>
        <w:tc>
          <w:tcPr>
            <w:tcW w:w="136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1"/>
              </w:rPr>
              <w:t>Energy</w:t>
            </w: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0"/>
              </w:rPr>
              <w:t>Investment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Real</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Consolidated</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Utility</w:t>
            </w: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Operations</w:t>
            </w: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6"/>
              </w:rPr>
              <w:t>in ATC</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Estate</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2008</w:t>
            </w: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161.3</w:t>
            </w: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1080" w:type="dxa"/>
            <w:vAlign w:val="bottom"/>
          </w:tcPr>
          <w:p>
            <w:pPr>
              <w:jc w:val="right"/>
              <w:spacing w:after="0"/>
              <w:rPr>
                <w:sz w:val="20"/>
                <w:szCs w:val="20"/>
                <w:color w:val="auto"/>
              </w:rPr>
            </w:pPr>
            <w:r>
              <w:rPr>
                <w:rFonts w:ascii="Arial" w:cs="Arial" w:eastAsia="Arial" w:hAnsi="Arial"/>
                <w:sz w:val="18"/>
                <w:szCs w:val="18"/>
                <w:color w:val="auto"/>
              </w:rPr>
              <w:t>46.5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 Earnings in ATC</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Expense</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2008</w:t>
            </w: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$1,224.3</w:t>
            </w:r>
          </w:p>
        </w:tc>
        <w:tc>
          <w:tcPr>
            <w:tcW w:w="1080" w:type="dxa"/>
            <w:vAlign w:val="bottom"/>
          </w:tcPr>
          <w:p>
            <w:pPr>
              <w:jc w:val="right"/>
              <w:spacing w:after="0"/>
              <w:rPr>
                <w:sz w:val="20"/>
                <w:szCs w:val="20"/>
                <w:color w:val="auto"/>
              </w:rPr>
            </w:pPr>
            <w:r>
              <w:rPr>
                <w:rFonts w:ascii="Arial" w:cs="Arial" w:eastAsia="Arial" w:hAnsi="Arial"/>
                <w:sz w:val="18"/>
                <w:szCs w:val="18"/>
                <w:color w:val="auto"/>
              </w:rPr>
              <w:t>$1,170.7</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Capital Expenditures</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$144.3</w:t>
            </w:r>
          </w:p>
        </w:tc>
        <w:tc>
          <w:tcPr>
            <w:tcW w:w="1080" w:type="dxa"/>
            <w:vAlign w:val="bottom"/>
          </w:tcPr>
          <w:p>
            <w:pPr>
              <w:jc w:val="right"/>
              <w:spacing w:after="0"/>
              <w:rPr>
                <w:sz w:val="20"/>
                <w:szCs w:val="20"/>
                <w:color w:val="auto"/>
              </w:rPr>
            </w:pPr>
            <w:r>
              <w:rPr>
                <w:rFonts w:ascii="Arial" w:cs="Arial" w:eastAsia="Arial" w:hAnsi="Arial"/>
                <w:sz w:val="18"/>
                <w:szCs w:val="18"/>
                <w:color w:val="auto"/>
              </w:rPr>
              <w:t>$140.9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2007</w:t>
            </w: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Revenue</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$428.6</w:t>
            </w:r>
          </w:p>
        </w:tc>
        <w:tc>
          <w:tcPr>
            <w:tcW w:w="1080" w:type="dxa"/>
            <w:vAlign w:val="bottom"/>
          </w:tcPr>
          <w:p>
            <w:pPr>
              <w:jc w:val="right"/>
              <w:spacing w:after="0"/>
              <w:rPr>
                <w:sz w:val="20"/>
                <w:szCs w:val="20"/>
                <w:color w:val="auto"/>
              </w:rPr>
            </w:pPr>
            <w:r>
              <w:rPr>
                <w:rFonts w:ascii="Arial" w:cs="Arial" w:eastAsia="Arial" w:hAnsi="Arial"/>
                <w:sz w:val="18"/>
                <w:szCs w:val="18"/>
                <w:color w:val="auto"/>
              </w:rPr>
              <w:t>$359.2</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Fuel and Purchased Power</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159.2</w:t>
            </w:r>
          </w:p>
        </w:tc>
        <w:tc>
          <w:tcPr>
            <w:tcW w:w="1080" w:type="dxa"/>
            <w:vAlign w:val="bottom"/>
          </w:tcPr>
          <w:p>
            <w:pPr>
              <w:jc w:val="right"/>
              <w:spacing w:after="0"/>
              <w:rPr>
                <w:sz w:val="20"/>
                <w:szCs w:val="20"/>
                <w:color w:val="auto"/>
              </w:rPr>
            </w:pPr>
            <w:r>
              <w:rPr>
                <w:rFonts w:ascii="Arial" w:cs="Arial" w:eastAsia="Arial" w:hAnsi="Arial"/>
                <w:sz w:val="18"/>
                <w:szCs w:val="18"/>
                <w:color w:val="auto"/>
              </w:rPr>
              <w:t>118.1</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1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Before Minority Interest and Income Taxes</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At June 30, 2007</w:t>
            </w: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Assets</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$1,629.7</w:t>
            </w:r>
          </w:p>
        </w:tc>
        <w:tc>
          <w:tcPr>
            <w:tcW w:w="1080" w:type="dxa"/>
            <w:vAlign w:val="bottom"/>
          </w:tcPr>
          <w:p>
            <w:pPr>
              <w:jc w:val="right"/>
              <w:spacing w:after="0"/>
              <w:rPr>
                <w:sz w:val="20"/>
                <w:szCs w:val="20"/>
                <w:color w:val="auto"/>
              </w:rPr>
            </w:pPr>
            <w:r>
              <w:rPr>
                <w:rFonts w:ascii="Arial" w:cs="Arial" w:eastAsia="Arial" w:hAnsi="Arial"/>
                <w:sz w:val="18"/>
                <w:szCs w:val="18"/>
                <w:color w:val="auto"/>
              </w:rPr>
              <w:t>$1,218.9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720" w:type="dxa"/>
            <w:vAlign w:val="bottom"/>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$833.6</w:t>
            </w:r>
          </w:p>
        </w:tc>
        <w:tc>
          <w:tcPr>
            <w:tcW w:w="1080" w:type="dxa"/>
            <w:vAlign w:val="bottom"/>
          </w:tcPr>
          <w:p>
            <w:pPr>
              <w:jc w:val="right"/>
              <w:spacing w:after="0"/>
              <w:rPr>
                <w:sz w:val="20"/>
                <w:szCs w:val="20"/>
                <w:color w:val="auto"/>
              </w:rPr>
            </w:pPr>
            <w:r>
              <w:rPr>
                <w:rFonts w:ascii="Arial" w:cs="Arial" w:eastAsia="Arial" w:hAnsi="Arial"/>
                <w:sz w:val="18"/>
                <w:szCs w:val="18"/>
                <w:color w:val="auto"/>
              </w:rPr>
              <w:t>$790.7</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INVESTMENTS</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June 30, 2008, our long-term investment portfolio included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to fund employee benefits, our emerging technology portfolio and auction rate securities.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43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Investments</w:t>
            </w:r>
          </w:p>
        </w:tc>
        <w:tc>
          <w:tcPr>
            <w:tcW w:w="4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4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 xml:space="preserve">Debt and Equity Securities </w:t>
            </w:r>
            <w:r>
              <w:rPr>
                <w:rFonts w:ascii="Arial" w:cs="Arial" w:eastAsia="Arial" w:hAnsi="Arial"/>
                <w:sz w:val="18"/>
                <w:szCs w:val="18"/>
                <w:i w:val="1"/>
                <w:iCs w:val="1"/>
                <w:color w:val="auto"/>
              </w:rPr>
              <w:t>(a)</w:t>
            </w:r>
          </w:p>
        </w:tc>
        <w:tc>
          <w:tcPr>
            <w:tcW w:w="4360" w:type="dxa"/>
            <w:vAlign w:val="bottom"/>
          </w:tcPr>
          <w:p>
            <w:pPr>
              <w:jc w:val="right"/>
              <w:ind w:right="230"/>
              <w:spacing w:after="0"/>
              <w:rPr>
                <w:sz w:val="20"/>
                <w:szCs w:val="20"/>
                <w:color w:val="auto"/>
              </w:rPr>
            </w:pPr>
            <w:r>
              <w:rPr>
                <w:rFonts w:ascii="Arial" w:cs="Arial" w:eastAsia="Arial" w:hAnsi="Arial"/>
                <w:sz w:val="18"/>
                <w:szCs w:val="18"/>
                <w:color w:val="auto"/>
              </w:rPr>
              <w:t>44.8</w:t>
            </w:r>
          </w:p>
        </w:tc>
        <w:tc>
          <w:tcPr>
            <w:tcW w:w="136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ATC</w:t>
            </w:r>
          </w:p>
        </w:tc>
        <w:tc>
          <w:tcPr>
            <w:tcW w:w="4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Emerging Technology Portfolio</w:t>
            </w:r>
          </w:p>
        </w:tc>
        <w:tc>
          <w:tcPr>
            <w:tcW w:w="436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Investments</w:t>
            </w:r>
          </w:p>
        </w:tc>
        <w:tc>
          <w:tcPr>
            <w:tcW w:w="4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$208.3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See Note 12 – Recurring Fair Value Measures for information on fair values relating to investments in debt and equity securities.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Real Estate Assets</w:t>
            </w:r>
          </w:p>
        </w:tc>
        <w:tc>
          <w:tcPr>
            <w:tcW w:w="3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Land Held for Sale Beginning Balance</w:t>
            </w:r>
          </w:p>
        </w:tc>
        <w:tc>
          <w:tcPr>
            <w:tcW w:w="3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Additions during period: Capitalized Improvements</w:t>
            </w:r>
          </w:p>
        </w:tc>
        <w:tc>
          <w:tcPr>
            <w:tcW w:w="348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Purchases</w:t>
            </w:r>
          </w:p>
        </w:tc>
        <w:tc>
          <w:tcPr>
            <w:tcW w:w="3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Deductions during period: Cost of Real Estate Sold</w:t>
            </w:r>
          </w:p>
        </w:tc>
        <w:tc>
          <w:tcPr>
            <w:tcW w:w="3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Land Held for Sale Ending Balance</w:t>
            </w:r>
          </w:p>
        </w:tc>
        <w:tc>
          <w:tcPr>
            <w:tcW w:w="3480" w:type="dxa"/>
            <w:vAlign w:val="bottom"/>
          </w:tcPr>
          <w:p>
            <w:pPr>
              <w:jc w:val="right"/>
              <w:ind w:right="230"/>
              <w:spacing w:after="0"/>
              <w:rPr>
                <w:sz w:val="20"/>
                <w:szCs w:val="20"/>
                <w:color w:val="auto"/>
              </w:rPr>
            </w:pPr>
            <w:r>
              <w:rPr>
                <w:rFonts w:ascii="Arial" w:cs="Arial" w:eastAsia="Arial" w:hAnsi="Arial"/>
                <w:sz w:val="18"/>
                <w:szCs w:val="18"/>
                <w:color w:val="auto"/>
              </w:rPr>
              <w:t>65.3</w:t>
            </w: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Receivables</w:t>
            </w:r>
          </w:p>
        </w:tc>
        <w:tc>
          <w:tcPr>
            <w:tcW w:w="3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(a)</w:t>
            </w:r>
          </w:p>
        </w:tc>
        <w:tc>
          <w:tcPr>
            <w:tcW w:w="3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Real Estate Assets</w:t>
            </w:r>
          </w:p>
        </w:tc>
        <w:tc>
          <w:tcPr>
            <w:tcW w:w="3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$79.7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8"/>
        <w:spacing w:after="0" w:line="277"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Consisted primarily of a shopping center that was sold on May 1, 2008. The pre-tax gain of $4.5 million resulting from this sale is included in operating revenue on the Consolidated Statement of Income.</w:t>
      </w:r>
    </w:p>
    <w:p>
      <w:pPr>
        <w:spacing w:after="0" w:line="19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Finance Receivables. </w:t>
      </w:r>
      <w:r>
        <w:rPr>
          <w:rFonts w:ascii="Arial" w:cs="Arial" w:eastAsia="Arial" w:hAnsi="Arial"/>
          <w:sz w:val="16"/>
          <w:szCs w:val="16"/>
          <w:color w:val="auto"/>
        </w:rPr>
        <w:t>Finance receivables, which are collateralized by property sold, accrue interest at market-based rates and are net of an allowance for</w:t>
      </w:r>
      <w:r>
        <w:rPr>
          <w:rFonts w:ascii="Arial" w:cs="Arial" w:eastAsia="Arial" w:hAnsi="Arial"/>
          <w:sz w:val="16"/>
          <w:szCs w:val="16"/>
          <w:b w:val="1"/>
          <w:bCs w:val="1"/>
          <w:color w:val="auto"/>
        </w:rPr>
        <w:t xml:space="preserve"> </w:t>
      </w:r>
      <w:r>
        <w:rPr>
          <w:rFonts w:ascii="Arial" w:cs="Arial" w:eastAsia="Arial" w:hAnsi="Arial"/>
          <w:sz w:val="16"/>
          <w:szCs w:val="16"/>
          <w:color w:val="auto"/>
        </w:rPr>
        <w:t>doubtful accounts of $0.1 million at June 30, 2008 ($0.2 million at December 31, 2007). The majority are receivables having maturities up to five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Investment in ATC. </w:t>
      </w:r>
      <w:r>
        <w:rPr>
          <w:rFonts w:ascii="Arial" w:cs="Arial" w:eastAsia="Arial" w:hAnsi="Arial"/>
          <w:sz w:val="17"/>
          <w:szCs w:val="17"/>
          <w:color w:val="auto"/>
        </w:rPr>
        <w:t>Our Wisconsin subsidiary, Rainy River Energy Corporation - Wisconsin, has a 7.9 percent ownership interest in ATC, a Wisconsin-based public utility that owns and maintains electric transmission assets in parts of Wisconsin, Michigan, Minnesota and Illinois. ATC provides transmission service under rates regulated by the FERC that are set in accordance with the FERC’s policy of encouraging the independent operation and ownership of, and investment in, transmission facilities. We account for our investment in ATC under the equity method of accounting, pursuant to EITF 03-16, “Accounting for Investments in Limited Liability Companies.” On July 31, 2008, we invested an additional $2.4 million in ATC.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Interest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at December 31, 2007</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2008 Cash Investments</w:t>
            </w:r>
          </w:p>
        </w:tc>
        <w:tc>
          <w:tcPr>
            <w:tcW w:w="41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at June 30, 2008</w:t>
            </w:r>
          </w:p>
        </w:tc>
        <w:tc>
          <w:tcPr>
            <w:tcW w:w="4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Auction Rate Securities. </w:t>
      </w:r>
      <w:r>
        <w:rPr>
          <w:rFonts w:ascii="Arial" w:cs="Arial" w:eastAsia="Arial" w:hAnsi="Arial"/>
          <w:sz w:val="17"/>
          <w:szCs w:val="17"/>
          <w:color w:val="auto"/>
        </w:rPr>
        <w:t>As of June 30, 2008, we held $19.3 million of investments ($23.1 million at December 31, 2007) consisting of three auction rate</w:t>
      </w:r>
      <w:r>
        <w:rPr>
          <w:rFonts w:ascii="Arial" w:cs="Arial" w:eastAsia="Arial" w:hAnsi="Arial"/>
          <w:sz w:val="17"/>
          <w:szCs w:val="17"/>
          <w:b w:val="1"/>
          <w:bCs w:val="1"/>
          <w:color w:val="auto"/>
        </w:rPr>
        <w:t xml:space="preserve"> </w:t>
      </w:r>
      <w:r>
        <w:rPr>
          <w:rFonts w:ascii="Arial" w:cs="Arial" w:eastAsia="Arial" w:hAnsi="Arial"/>
          <w:sz w:val="17"/>
          <w:szCs w:val="17"/>
          <w:color w:val="auto"/>
        </w:rPr>
        <w:t>municipal bonds with stated maturity dates ranging between 16 and 28 years. These auction rate securities consist of guaranteed student loans insured or reinsured by the federal government. These auction rate securities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our auction rate securities. Until called by the issuer or liquidity returns to the auction market, these securities will pay a default rate which is typically above market interest rates. As a result, we have classified the auction rate securities as long-term investments and we have the ability to hold these securities to maturity, or until liquidity returns to this market; therefore, no other than temporary impairment adjustment was recorded. Our auction rate securities are recorded at face value, which we believe approximates fair market value. See Note 12 – Recurring Fair Value Measures for additional information.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SHORT-TERM AND LONG-TERM DEBT</w:t>
      </w:r>
    </w:p>
    <w:p>
      <w:pPr>
        <w:spacing w:after="0" w:line="252"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On May 16, 2008, Florida Landmark Communities, Inc., a wholly owned subsidiary of Lehigh Acquisition Corporation, renewed and</w:t>
      </w:r>
      <w:r>
        <w:rPr>
          <w:rFonts w:ascii="Arial" w:cs="Arial" w:eastAsia="Arial" w:hAnsi="Arial"/>
          <w:sz w:val="17"/>
          <w:szCs w:val="17"/>
          <w:b w:val="1"/>
          <w:bCs w:val="1"/>
          <w:color w:val="auto"/>
        </w:rPr>
        <w:t xml:space="preserve"> </w:t>
      </w:r>
      <w:r>
        <w:rPr>
          <w:rFonts w:ascii="Arial" w:cs="Arial" w:eastAsia="Arial" w:hAnsi="Arial"/>
          <w:sz w:val="17"/>
          <w:szCs w:val="17"/>
          <w:color w:val="auto"/>
        </w:rPr>
        <w:t>extended a revolving development loan (loan) with RBC Bank (successor by merger to CypressCoquina Bank) for $8.5 million. The loan has an interest rate equal to the prime rate, with a term of 24 months. The loan is guaranteed by Lehigh Acquisition Corporation, an 80 percent owned subsidiary of ALLETE Properties. As of June 30, 2008, $6.6 million was drawn on the line of credit leaving $1.9 million available for use.</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21, 2008, BNI Coal, a wholly owned subsidiary of ALLETE, entered into a $6.0 million Promissory Note and Supplement (Line of Credit) with CoBANK, ACB. The Line of Credit has a variable interest rate with the option to fix the rate based on LIBOR plus a certain spread. The term of the Line of Credit is 12 months, with the option to renew annually. There is a commitment fee on the average daily unused portion at a rate of 0.125 percent per year. The Line of Credit is being used for general corporate purposes. As of June 30, 2008, the full amount of $6.0 million was drawn on the line of credit.</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On February 1, 2008, we issued $60 million in principal amount of First Mortgage Bonds, 4.86% Series due April 1, 2013, in the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2008, we issued $75 million in principal amount of First Mortgage Bonds, 6.02% Series due May 1, 2023, in the private 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00" w:lineRule="exact"/>
        <w:rPr>
          <w:sz w:val="20"/>
          <w:szCs w:val="20"/>
          <w:color w:val="auto"/>
        </w:rPr>
      </w:pPr>
    </w:p>
    <w:p>
      <w:pPr>
        <w:spacing w:after="0" w:line="25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 5. REGULATORY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Utility segment file for periodic rate revisions with the MPUC, the FERC or the PSCW.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2008, the FERC approved Minnesota Power’s wholesale rate increase effective March 1, 2008.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On an annualized basis, the rate increase is expected to result in approximately $8 million in additional revenue. Incremental revenue in 2008 from the FERC authorized wholesale rate increase is expected to be approximately $7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left="820"/>
        <w:spacing w:after="0"/>
        <w:rPr>
          <w:sz w:val="20"/>
          <w:szCs w:val="20"/>
          <w:color w:val="auto"/>
        </w:rPr>
      </w:pPr>
      <w:r>
        <w:rPr>
          <w:rFonts w:ascii="Arial" w:cs="Arial" w:eastAsia="Arial" w:hAnsi="Arial"/>
          <w:sz w:val="18"/>
          <w:szCs w:val="18"/>
          <w:b w:val="1"/>
          <w:bCs w:val="1"/>
          <w:color w:val="auto"/>
        </w:rPr>
        <w:t>NOTE 5. REGULATORY MATTERS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requested rate increase would generate approximately $45 million in additional revenue. On July 21, 2008, the MPUC issued an order authorizing interim rates effective August 1, 2008. Interim rates will result in an average increase of approximately 7.5 percent for retail customers subject to refund pending the final rate order. Incremental revenue in 2008 from the interim Minnesota retail rate increase is expected to be approximately $13 million. A prehearing conference is scheduled for August 12, 2008 to discuss scheduling for the remainder of the rate case. The final rate order is expected in the second quarter of 2009. We cannot predict the amount of any rate increase the MPUC may approve.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SWL&amp;P’s current retail rates are based on a 2006 PSCW retail rate order, effective January 1, 2007. On May 14, 2008, SWL&amp;P filed a rate increase request with the PSCW seeking an average increase of approximately 5 percent for retail customers. The rate filing seeks an overall return on equity of 11.5 percent, and a capital structure consisting of 57.1 percent equity and 42.9 percent debt. On an annualized basis, the requested rate increase would generate approximately $4 million in additional revenue. Evidentiary and public hearings are scheduled for October 2008. The Company anticipates new rates will take effect in January 2009. We cannot predict the amount of any rate increase the PSCW may approve.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ind w:left="800"/>
              <w:spacing w:after="0"/>
              <w:rPr>
                <w:sz w:val="20"/>
                <w:szCs w:val="20"/>
                <w:color w:val="auto"/>
              </w:rPr>
            </w:pPr>
            <w:r>
              <w:rPr>
                <w:rFonts w:ascii="Arial" w:cs="Arial" w:eastAsia="Arial" w:hAnsi="Arial"/>
                <w:sz w:val="18"/>
                <w:szCs w:val="18"/>
                <w:b w:val="1"/>
                <w:bCs w:val="1"/>
                <w:color w:val="auto"/>
              </w:rPr>
              <w:t>NOTE 6. OTHER INCOME (EXPENSE) - OTHER</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Quarter Ended</w:t>
            </w:r>
          </w:p>
        </w:tc>
        <w:tc>
          <w:tcPr>
            <w:tcW w:w="3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2008</w:t>
            </w:r>
          </w:p>
        </w:tc>
        <w:tc>
          <w:tcPr>
            <w:tcW w:w="12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3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Gain (Loss) on Emerging Technology Investments</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gridSpan w:val="2"/>
          </w:tcPr>
          <w:p>
            <w:pPr>
              <w:jc w:val="right"/>
              <w:ind w:right="430"/>
              <w:spacing w:after="0"/>
              <w:rPr>
                <w:sz w:val="20"/>
                <w:szCs w:val="20"/>
                <w:color w:val="auto"/>
              </w:rPr>
            </w:pPr>
            <w:r>
              <w:rPr>
                <w:rFonts w:ascii="Arial" w:cs="Arial" w:eastAsia="Arial" w:hAnsi="Arial"/>
                <w:sz w:val="18"/>
                <w:szCs w:val="18"/>
                <w:color w:val="auto"/>
              </w:rPr>
              <w:t>$(0.1)</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$0.1</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AFUDC – Equity</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 and Other Income</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5"/>
              </w:rPr>
              <w:t>$2.5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NOTE 7. INCOME TAX EXPENSE</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Quarter Ended</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7"/>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89"/>
              </w:rPr>
              <w:t>2008</w:t>
            </w:r>
          </w:p>
        </w:tc>
        <w:tc>
          <w:tcPr>
            <w:tcW w:w="120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Tax Expense</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State</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82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State</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0.6</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Credits</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Federal current tax expense is lower and federal deferred tax expense is higher than previous year due to lower pre-tax income and bonus depreciation provisions in the Economic Stimulus Act of 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INCOME TAX EXPENSE (Continued)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2008, the effective tax rate on income before minority interest and income taxes was 36.6 percent (35.1 percent for the six months ended June 30, 2007). The effective tax rate was lower in 2007 primarily due to a state income tax audit settlement ($1.5 million effect). The effective rate of 36.6 percent for the six months ended June 30, 2008, deviated from the statutory rate of approximately 40 percent primarily due to deductions for Medicare health subsidies, AFUDC-Equity, investment tax credits, wind production tax credits and depletion.</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Uncertain Tax Positions. </w:t>
      </w:r>
      <w:r>
        <w:rPr>
          <w:rFonts w:ascii="Arial" w:cs="Arial" w:eastAsia="Arial" w:hAnsi="Arial"/>
          <w:sz w:val="16"/>
          <w:szCs w:val="16"/>
          <w:color w:val="auto"/>
        </w:rPr>
        <w:t>Under the provisions of FIN 48, “Accounting for Uncertainty in Income Taxes - an Interpretation of FASB Statement 109,”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gross unrecognized tax benefits of $5.7 million as of June 30, 2008 ($5.3 million as of December 31, 2007). Of the June 30, 2008 total, $3.1 million (net of federal benefit on state issues) represents the amount of unrecognized tax benefits that, if recognized, would favorably affect the effective income tax 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total amount of unrecognized tax benefits as of June 30, 2008, will change by less than $2.0 million in the next 12 months.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NOTE 8. COMPREHENSIVE INCOME (LOSS)</w:t>
            </w:r>
          </w:p>
        </w:tc>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20" w:type="dxa"/>
            <w:vAlign w:val="bottom"/>
            <w:gridSpan w:val="2"/>
          </w:tcPr>
          <w:p>
            <w:pPr>
              <w:spacing w:after="0"/>
              <w:rPr>
                <w:sz w:val="20"/>
                <w:szCs w:val="20"/>
                <w:color w:val="auto"/>
              </w:rPr>
            </w:pPr>
            <w:r>
              <w:rPr>
                <w:rFonts w:ascii="Arial" w:cs="Arial" w:eastAsia="Arial" w:hAnsi="Arial"/>
                <w:sz w:val="18"/>
                <w:szCs w:val="18"/>
                <w:color w:val="auto"/>
              </w:rPr>
              <w:t>The components of total comprehensive income were as follows:</w:t>
            </w: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Quarter Ended</w:t>
            </w:r>
          </w:p>
        </w:tc>
        <w:tc>
          <w:tcPr>
            <w:tcW w:w="7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Net of Tax</w:t>
            </w:r>
          </w:p>
        </w:tc>
        <w:tc>
          <w:tcPr>
            <w:tcW w:w="25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2008</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17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$10.7</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17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$34.3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Securities</w:t>
            </w:r>
          </w:p>
        </w:tc>
        <w:tc>
          <w:tcPr>
            <w:tcW w:w="25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17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Reclassification of gains into income upon realization</w:t>
            </w:r>
          </w:p>
        </w:tc>
        <w:tc>
          <w:tcPr>
            <w:tcW w:w="25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650"/>
              <w:spacing w:after="0"/>
              <w:rPr>
                <w:sz w:val="20"/>
                <w:szCs w:val="20"/>
                <w:color w:val="auto"/>
              </w:rPr>
            </w:pPr>
            <w:r>
              <w:rPr>
                <w:rFonts w:ascii="Arial" w:cs="Arial" w:eastAsia="Arial" w:hAnsi="Arial"/>
                <w:sz w:val="18"/>
                <w:szCs w:val="18"/>
                <w:color w:val="auto"/>
              </w:rPr>
              <w:t>(3.8)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Defined Benefit Pension and Other Postretirement Plans</w:t>
            </w:r>
          </w:p>
        </w:tc>
        <w:tc>
          <w:tcPr>
            <w:tcW w:w="25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0.8</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7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 (Loss)</w:t>
            </w:r>
          </w:p>
        </w:tc>
        <w:tc>
          <w:tcPr>
            <w:tcW w:w="2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17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5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$12.1</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$23.9</w:t>
            </w:r>
          </w:p>
        </w:tc>
        <w:tc>
          <w:tcPr>
            <w:tcW w:w="17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$31.0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and six months ended June 30, 2008, 0.2 million options to purchase shares of common stock were excluded from the computation of diluted earnings per share because the option exercise prices were greater than the average market prices, and therefore, their effect would have been anti-dilutive. For the quarter and six months ended June 30, 2007, 0.1 million options to purchase shares of common stock were excluded from the computation of diluted earnings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89"/>
              </w:rPr>
              <w:t>2008</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182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Dilutive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Dilutive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Basic</w:t>
            </w:r>
          </w:p>
        </w:tc>
        <w:tc>
          <w:tcPr>
            <w:tcW w:w="134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w w:val="85"/>
              </w:rPr>
              <w:t>Securities</w:t>
            </w:r>
          </w:p>
        </w:tc>
        <w:tc>
          <w:tcPr>
            <w:tcW w:w="12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Diluted</w:t>
            </w:r>
          </w:p>
        </w:tc>
        <w:tc>
          <w:tcPr>
            <w:tcW w:w="10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For the Quarter Ended June 30,</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$0.37</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$0.37</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$34.3</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$34.3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$48.9</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80" w:type="dxa"/>
            <w:vAlign w:val="bottom"/>
          </w:tcPr>
          <w:p>
            <w:pPr>
              <w:ind w:left="800"/>
              <w:spacing w:after="0"/>
              <w:rPr>
                <w:sz w:val="20"/>
                <w:szCs w:val="20"/>
                <w:color w:val="auto"/>
              </w:rPr>
            </w:pPr>
            <w:r>
              <w:rPr>
                <w:rFonts w:ascii="Arial" w:cs="Arial" w:eastAsia="Arial" w:hAnsi="Arial"/>
                <w:sz w:val="18"/>
                <w:szCs w:val="18"/>
                <w:b w:val="1"/>
                <w:bCs w:val="1"/>
                <w:color w:val="auto"/>
              </w:rPr>
              <w:t>NOTE 10. PENSION AND OTHER POSTRETIREMENT BENEFIT PLANS</w:t>
            </w: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Postretirement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18"/>
                <w:szCs w:val="18"/>
                <w:color w:val="auto"/>
              </w:rPr>
            </w:pPr>
          </w:p>
        </w:tc>
        <w:tc>
          <w:tcPr>
            <w:tcW w:w="2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Health and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13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84"/>
              </w:rPr>
              <w:t>2007</w:t>
            </w:r>
          </w:p>
        </w:tc>
        <w:tc>
          <w:tcPr>
            <w:tcW w:w="11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June 30,</w:t>
            </w: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Cost</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6.3</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(8.1)</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Expense</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Service Cost</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12.6</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(16.2)</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0.8</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Through July 15, 2008, we contributed $10.9 million to our pension plan and $13.4 million to our postretirement health and life</w:t>
      </w:r>
      <w:r>
        <w:rPr>
          <w:rFonts w:ascii="Arial" w:cs="Arial" w:eastAsia="Arial" w:hAnsi="Arial"/>
          <w:sz w:val="18"/>
          <w:szCs w:val="18"/>
          <w:b w:val="1"/>
          <w:bCs w:val="1"/>
          <w:color w:val="auto"/>
        </w:rPr>
        <w:t xml:space="preserve"> </w:t>
      </w:r>
      <w:r>
        <w:rPr>
          <w:rFonts w:ascii="Arial" w:cs="Arial" w:eastAsia="Arial" w:hAnsi="Arial"/>
          <w:sz w:val="18"/>
          <w:szCs w:val="18"/>
          <w:color w:val="auto"/>
        </w:rPr>
        <w:t>plan. We expect to make additional contributions to our pension plan of $7.7 million and no additional contributions to our postretirement health and life plan in 2008.</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a September 30 measurement date for the pension and postretirement health and life plans. Pursuant to SFAS 158, we are required to change our measurement date to December 31 during the year ending December 31, 2008. On January 1, 2008, we recorded three months of pension expense as a reduction to retained earnings in the amount of $1.6 million, net of tax, to reflect the impact of this measurement date change. Also on January 1, 2008, we recorded $0.8 million relating to three months of amortization for transition obligations, prior service costs, and prior gains and losses within accumulated other comprehensive income.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GUARANTEES AND CONTINGENCIES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i w:val="1"/>
          <w:iCs w:val="1"/>
          <w:color w:val="auto"/>
        </w:rPr>
        <w:t>Square Butte Power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has a power purchase agreement with Square Butte that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extends through 2026 (Agreement). It provides a long-term supply of low-cost energy to customers in our electric service territory and helps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is entitled to 55 percent of the Unit’s output beginning January 1, 2008, and 50 percent on January 1, 2009 and thereafter. Minnkota Power has no further option to reduce Minnesota Power’s entitlement below 50 percent.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June 30, 2008, Square Butte had total debt outstanding of $316.1 million. Total annual debt service for Square Butte is expected to be approximately $29 million in each of the years 2008 through 2012. Variable operating costs include the price of coal purchased from BNI Coal, our subsidiary, under a long-term contract.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i w:val="1"/>
          <w:iCs w:val="1"/>
          <w:color w:val="auto"/>
        </w:rPr>
        <w:t xml:space="preserve"> </w:t>
      </w:r>
      <w:r>
        <w:rPr>
          <w:rFonts w:ascii="Arial" w:cs="Arial" w:eastAsia="Arial" w:hAnsi="Arial"/>
          <w:sz w:val="18"/>
          <w:szCs w:val="18"/>
          <w:color w:val="auto"/>
        </w:rPr>
        <w:t>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$8.1 million in 2008, $8.1 million in 2009, $7.7 million in 2010, $7.2 million in 2011, $6.6 million in 2012 and $48.7 million thereafter.</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Wind Power Purchase Agreements. </w:t>
      </w:r>
      <w:r>
        <w:rPr>
          <w:rFonts w:ascii="Arial" w:cs="Arial" w:eastAsia="Arial" w:hAnsi="Arial"/>
          <w:sz w:val="17"/>
          <w:szCs w:val="17"/>
          <w:color w:val="auto"/>
        </w:rPr>
        <w:t>We have two wind power purchase agreements with an affiliate of FPL Energy to purchase the output from two wind</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Oliver Wind I and Oliver Wind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Coal, Rail and Shipping Contracts. </w:t>
      </w:r>
      <w:r>
        <w:rPr>
          <w:rFonts w:ascii="Arial" w:cs="Arial" w:eastAsia="Arial" w:hAnsi="Arial"/>
          <w:sz w:val="18"/>
          <w:szCs w:val="18"/>
          <w:color w:val="auto"/>
        </w:rPr>
        <w:t>We have three coal supply agreements with various expiration dates ranging from December 2008 to December 2011.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rail and shipping agreements for the transportation of all of our coal, with various expiration dates ranging from December 2008 to December 2011. Our minimum annual payment obligations under these coal, rail and shipping agreements are currently $44.8 million in 2008, $10.8 million in 2009, $5.3 million in 2010, $5.4 million in 2011 and no specific commitments beyond 2011. Our minimum annual payment obligations will increase when annual nominations are made for coal deliveries in future years.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24, 2008, we received a letter from BNSF alleging that the Company defaulted on a material obligation under the Company’s Coal Transportation Agreement (CTA). In the notice, BNSF claimed the Company underpaid approximately $1.6 million for coal transportation services in 2006 and that failure to pay such amount plus interest may result in BNSF’s termination of the CTA. We believe we do not owe the amount claimed. On April 1, 2008, to ensure that BNSF does not attempt to terminate the CTA, we paid under protest the full amount claimed by BNSF and filed a demand for arbitration of the issue. We are currently in discussions to resolve the dispute, but are unable to predict the outcome at this time. The delivered costs of fuel for the Company’s generation are recoverable from Minnesota Power’s utility customers through the fuel adjustment clause.</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Fuel Clause Recovery of MISO Day 2 Costs. </w:t>
      </w:r>
      <w:r>
        <w:rPr>
          <w:rFonts w:ascii="Arial" w:cs="Arial" w:eastAsia="Arial" w:hAnsi="Arial"/>
          <w:sz w:val="18"/>
          <w:szCs w:val="18"/>
          <w:color w:val="auto"/>
        </w:rPr>
        <w:t>We filed a petition with the MPUC in February 2005 to amend our fuel clause to accommodate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related to the day-ahead and real-time markets through which we engage in wholesale energy transactions in MISO (MISO Day 2). In December 2006, the MPUC issued an order (the MISO Day 2 Order) allowing us and the other utilities involved in the proceeding to continue recovering MISO Day 2 charges through the Minnesota retail fuel clause except for MISO Day 2 administrative charges.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MISO Day 2 Order granted deferred accounting treatment for three MISO Day 2 charge types that were determined to be administrative charges. Under the order, we refunded, through customer bills, approximately $2 million of administrative charges previously collected through the fuel clause between April 1, 2005, and December 31, 2006, and recorded these administrative charges as a regulatory asset. We were also permitted to continue accumulating MISO Day 2 administrative charges after December 31, 2006, and record them as a regulatory asset to be recovered through our next rate filing. MISO Day 2 costs, along with the amortization of the regulatory asset, will be recovered in interim rates effective August 1, 2008. The balance of this regulatory asset was $4.4 million on June 30, 2008 ($3.7 million at December 31, 2007). See Note 5 – Regulatory Matters for additional information.</w:t>
      </w:r>
    </w:p>
    <w:p>
      <w:pPr>
        <w:spacing w:after="0" w:line="188"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Emerging Technology Portfolio. </w:t>
      </w:r>
      <w:r>
        <w:rPr>
          <w:rFonts w:ascii="Arial" w:cs="Arial" w:eastAsia="Arial" w:hAnsi="Arial"/>
          <w:sz w:val="17"/>
          <w:szCs w:val="17"/>
          <w:color w:val="auto"/>
        </w:rPr>
        <w:t>We have investments in emerging technologies through minority investments in venture capital funds structured as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companies, and direct investments in privately-held, start-up companies. We have committed to make additional investments in certain emerging technology venture capital funds. The total future commitment was $0.8 million at June 30, 2008, ($1.0 million at December 31, 2007) and may be invested in the remainder of 2008. We do not have plans to make any additional investments beyond this commitment.</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Two of our subsidiaries, which were involved in our discontinued water operations, were named in a claim brought by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and Properties, Inc. (CRP). CRP sold certain wastewater treatment assets to Georgia Water in 2001. The purchase agreement called for the payment of $2.0 million upon the satisfaction of specific contingencies. CRP alleged that Georgia Water and ALLETE Water Services were obligated to pay the contractual amount plus interest and attorney fees pursuant to the purchase agreement, and that the contingencies were satisfied in 2005 or were waived, or were otherwise due and owing. In June 2008, we settled the claim brought by CRP for $1.2 million which approximates our reserve established in prior periods.</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Environmental Matters. </w:t>
      </w:r>
      <w:r>
        <w:rPr>
          <w:rFonts w:ascii="Arial" w:cs="Arial" w:eastAsia="Arial" w:hAnsi="Arial"/>
          <w:sz w:val="16"/>
          <w:szCs w:val="16"/>
          <w:color w:val="auto"/>
        </w:rPr>
        <w:t>Our businesses are subject to regulation of environmental matters by various federal, state and local authorities. Due to future</w:t>
      </w:r>
      <w:r>
        <w:rPr>
          <w:rFonts w:ascii="Arial" w:cs="Arial" w:eastAsia="Arial" w:hAnsi="Arial"/>
          <w:sz w:val="16"/>
          <w:szCs w:val="16"/>
          <w:b w:val="1"/>
          <w:bCs w:val="1"/>
          <w:color w:val="auto"/>
        </w:rPr>
        <w:t xml:space="preserve"> </w:t>
      </w:r>
      <w:r>
        <w:rPr>
          <w:rFonts w:ascii="Arial" w:cs="Arial" w:eastAsia="Arial" w:hAnsi="Arial"/>
          <w:sz w:val="16"/>
          <w:szCs w:val="16"/>
          <w:color w:val="auto"/>
        </w:rPr>
        <w:t>stricter environmental requirements 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SWL&amp;P Manufactured Gas Plant</w:t>
      </w:r>
      <w:r>
        <w:rPr>
          <w:rFonts w:ascii="Arial" w:cs="Arial" w:eastAsia="Arial" w:hAnsi="Arial"/>
          <w:sz w:val="16"/>
          <w:szCs w:val="16"/>
          <w:color w:val="auto"/>
        </w:rPr>
        <w:t>. In May 2001, SWL&amp;P received notice from the WDNR that the City of Superior had found soil contamination on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adjoining a former Manufactured Gas Plant (MGP) site owned and operated by SWL&amp;P from 1889 to 1904. A report submitted in 2003 identified some MGP-like chemicals that were found in the soil near the former plant site. The final Phase II report was issued in June 2007, confirming our understanding of the issues involved. The final Phase II Report and Risk Assessment were sent to the WDNR for review in June 2007. A remediation plan was developed during the fourth quarter of 2007 and sent to the WDNR in March 2008. Cost estimates and bids for the first phase of the remediation are being prepared. The first phase will include the removal of approximately 2,000 cubic yards of soil that will be shipped to a certified landfill.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approved the collection through rates of $0.3 million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EPA Clean Air Interstate Rule. </w:t>
      </w:r>
      <w:r>
        <w:rPr>
          <w:rFonts w:ascii="Arial" w:cs="Arial" w:eastAsia="Arial" w:hAnsi="Arial"/>
          <w:sz w:val="18"/>
          <w:szCs w:val="18"/>
          <w:color w:val="auto"/>
        </w:rPr>
        <w:t>In March 2005, the EPA announced the Clean Air Interstate Rule (CAIR) that sought to reduce and permanently cap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particulates in the eastern United States. The CAIR included Minnesota as one of the 28 states it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the Minnesota Power petition that the EPA reconsider including Minnesota as a CAIR state. Absent legal interventions that stay the Court decision, Minnesota and other states are no longer subject to CAIR requirements. It is uncertain how the EPA will respond.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EPA revises the CAIR, the EPA would need to specifically justify including Minnesota with those states subject to such revised rules. If the CAIR had gone into effect, we expect we would have been required to supplement planned emission control retrofits to address regional haze concerns by providing for CAIR related emission allowance purchases, supplemental emission reductions or a combination of both. We now expect that emission reduction measures taken with AREA and Boswell Unit 3 emission control retrofits will suffice to satisfy environmental requirements for the next several years. It is speculative to consider what the EPA may choose to do to address air quality nonattainment problems in states that are required to implement measures to improve their local air quality.</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EPA Clean Air Mercury Rule. </w:t>
      </w:r>
      <w:r>
        <w:rPr>
          <w:rFonts w:ascii="Arial" w:cs="Arial" w:eastAsia="Arial" w:hAnsi="Arial"/>
          <w:sz w:val="18"/>
          <w:szCs w:val="18"/>
          <w:color w:val="auto"/>
        </w:rPr>
        <w:t>In March 2005, the EPA also announced the Clean Air Mercury Rule (CAMR) that would have reduced and permanently</w:t>
      </w:r>
      <w:r>
        <w:rPr>
          <w:rFonts w:ascii="Arial" w:cs="Arial" w:eastAsia="Arial" w:hAnsi="Arial"/>
          <w:sz w:val="18"/>
          <w:szCs w:val="18"/>
          <w:i w:val="1"/>
          <w:iCs w:val="1"/>
          <w:color w:val="auto"/>
        </w:rPr>
        <w:t xml:space="preserve"> </w:t>
      </w:r>
      <w:r>
        <w:rPr>
          <w:rFonts w:ascii="Arial" w:cs="Arial" w:eastAsia="Arial" w:hAnsi="Arial"/>
          <w:sz w:val="18"/>
          <w:szCs w:val="18"/>
          <w:color w:val="auto"/>
        </w:rPr>
        <w:t>capped emissions of electric utility mercury emissions in the continental United States. On February 8, 2008 the Court overturned the CAMR and remanded the rulemaking to the EPA for reconsideration. The Court’s decision is subject to appeal. It is uncertain how the EPA will respond. Cost estimates for complying with future mercury regulations under the Clean Air Act are therefore premature at this time.</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Real Estate. </w:t>
      </w:r>
      <w:r>
        <w:rPr>
          <w:rFonts w:ascii="Arial" w:cs="Arial" w:eastAsia="Arial" w:hAnsi="Arial"/>
          <w:sz w:val="17"/>
          <w:szCs w:val="17"/>
          <w:color w:val="auto"/>
        </w:rPr>
        <w:t>As of June 30, 2008, ALLETE Properties, through its subsidiaries, had surety bonds outstanding of $26.6 million ($35.9 million at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2007) primarily related to performance and maintenance obligations to governmental entities to construct improvements in ALLETE Properties’ various projects. The remaining work to be completed on these improvements is estimated to be approximately $6.3 million ($6.4 million at December 31, 2007) and ALLETE Properties does not believe it is likely that any of these outstanding bonds will be drawn upon.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i w:val="1"/>
          <w:iCs w:val="1"/>
          <w:color w:val="auto"/>
        </w:rPr>
        <w:t>Town Center.</w:t>
      </w:r>
      <w:r>
        <w:rPr>
          <w:rFonts w:ascii="Arial" w:cs="Arial" w:eastAsia="Arial" w:hAnsi="Arial"/>
          <w:sz w:val="17"/>
          <w:szCs w:val="17"/>
          <w:b w:val="1"/>
          <w:bCs w:val="1"/>
          <w:color w:val="auto"/>
        </w:rPr>
        <w:t xml:space="preserve"> </w:t>
      </w:r>
      <w:r>
        <w:rPr>
          <w:rFonts w:ascii="Arial" w:cs="Arial" w:eastAsia="Arial" w:hAnsi="Arial"/>
          <w:sz w:val="17"/>
          <w:szCs w:val="17"/>
          <w:color w:val="auto"/>
        </w:rPr>
        <w:t>In March 2005, the Town Center District issued $26.4 million of tax-exempt, 6%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Revenue Bonds, Series 2005, which are payable through property tax assessments on the landowners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effective in November 2006. To the extent that we still own land at the time of an assessment, in accordance with EITF 91-10, “Accounting for Special Assessments and Tax Increment Financing Entities,” we will incur the cost of our portion of these assessments, based upon our ownership of benefited property. At June 30, 2008, we owned approximately 69 percent of the assessable land in the Town Center District (approximately 69 percent at December 31, 2007). As we sell property, the obligation to pay special assessments will pass to the new landowners. Under EITF 91-10, these bonds are not reflected as debt on our consolidated balance sheet.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Palm Coast Park. </w:t>
      </w:r>
      <w:r>
        <w:rPr>
          <w:rFonts w:ascii="Arial" w:cs="Arial" w:eastAsia="Arial" w:hAnsi="Arial"/>
          <w:sz w:val="17"/>
          <w:szCs w:val="17"/>
          <w:color w:val="auto"/>
        </w:rPr>
        <w:t>In May 2006, the Palm Coast Park District issued $31.8 million of tax-exempt, 5.7% Special Assessment Bonds, Series 2006,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through property tax assessments on the landowners over 31 years (by May 1, 2037). The bond proceeds (less capitalized interest, a debt service reserve fund and cost of issuance) were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were billed to Palm Coast Park landowners effective in November 2007. To the extent that we still own land at the time of an assessment, in accordance with EITF 91-10, “Accounting for Special Assessments and Tax Increment Financing Entities,” we will incur the cost of our portion of these assessments, based upon our ownership of benefited property. At June 30, 2008, we owned approximately 86 percent of the assessable land in the Palm Coast Park District (approximately 86 percent at December 31, 2007). As we sell property, the obligation to pay special assessments will pass to the new landowners. Under EITF 91-10, these bonds are not reflected as debt on our consolidated balance sheet.</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RECURRING FAIR VALUE MEASURES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2008, the Company adopted SFAS 157 as discussed in Note 1, which, among other things, requires enhanced disclosures about assets and liabilities carried at fair value.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defined in SFAS 157,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Instruments in this category include primarily mutual fund investments held to fund employee benefits and deferred compensation.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represent the Company’s deferred compensation obligation.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RECURRING FAIR VALUE MEASURES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management performs an analysis of all instruments subject to SFAS 157 and includes in Level 3 all of those whose fair value is based on significant unobservable inputs. Instruments in this category include auction rate securities consisting of guaranteed student loans classified as Level 3 investments as of June 30, 2008, and carried at face value. The Company also holds certain financial transmission rights (FTRs) related to our participation in MISO. These FTRs are accounted for as derivatives. While our valuation of these FTRs is based on Level 3 inputs, the fair value of our FTRs at June 30, 2008, is immaterial, and as a result we have not presented them in the tables below.</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by level within the fair value hierarchy the Company's financial assets and liabilities that were accounted for at fair value on a recurring basis as of June 30, 2008.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gridSpan w:val="2"/>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94"/>
              </w:rPr>
              <w:t>At Fair Value as of June 30, 2008</w:t>
            </w:r>
          </w:p>
        </w:tc>
        <w:tc>
          <w:tcPr>
            <w:tcW w:w="8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Level 2</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Level 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9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2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Bonds</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490"/>
              <w:spacing w:after="0"/>
              <w:rPr>
                <w:sz w:val="20"/>
                <w:szCs w:val="20"/>
                <w:color w:val="auto"/>
              </w:rPr>
            </w:pPr>
            <w:r>
              <w:rPr>
                <w:rFonts w:ascii="Arial" w:cs="Arial" w:eastAsia="Arial" w:hAnsi="Arial"/>
                <w:sz w:val="18"/>
                <w:szCs w:val="18"/>
                <w:color w:val="auto"/>
              </w:rPr>
              <w:t>$3.7</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$19.3</w:t>
            </w:r>
            <w:r>
              <w:rPr>
                <w:rFonts w:ascii="Arial" w:cs="Arial" w:eastAsia="Arial" w:hAnsi="Arial"/>
                <w:sz w:val="18"/>
                <w:szCs w:val="18"/>
                <w:i w:val="1"/>
                <w:iCs w:val="1"/>
                <w:color w:val="auto"/>
              </w:rPr>
              <w:t>(a)</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$21.8</w:t>
            </w: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$3.7</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$19.3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 obligation</w:t>
            </w:r>
          </w:p>
        </w:tc>
        <w:tc>
          <w:tcPr>
            <w:tcW w:w="1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$8.3</w:t>
            </w:r>
          </w:p>
        </w:tc>
        <w:tc>
          <w:tcPr>
            <w:tcW w:w="1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$8.3</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Assets (Liabilities)</w:t>
            </w:r>
          </w:p>
        </w:tc>
        <w:tc>
          <w:tcPr>
            <w:tcW w:w="1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2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$(4.6)</w:t>
            </w:r>
          </w:p>
        </w:tc>
        <w:tc>
          <w:tcPr>
            <w:tcW w:w="1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40" w:type="dxa"/>
            <w:vAlign w:val="bottom"/>
          </w:tcPr>
          <w:p>
            <w:pPr>
              <w:ind w:left="320"/>
              <w:spacing w:after="0"/>
              <w:rPr>
                <w:sz w:val="20"/>
                <w:szCs w:val="20"/>
                <w:color w:val="auto"/>
              </w:rPr>
            </w:pPr>
            <w:r>
              <w:rPr>
                <w:rFonts w:ascii="Arial" w:cs="Arial" w:eastAsia="Arial" w:hAnsi="Arial"/>
                <w:sz w:val="18"/>
                <w:szCs w:val="18"/>
                <w:i w:val="1"/>
                <w:iCs w:val="1"/>
                <w:color w:val="auto"/>
                <w:w w:val="98"/>
              </w:rPr>
              <w:t>(a)  See Note 3 – Investments for additional information.</w:t>
            </w:r>
          </w:p>
        </w:tc>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 For The Six Months Ended June 30, 2008</w:t>
            </w:r>
          </w:p>
        </w:tc>
        <w:tc>
          <w:tcPr>
            <w:tcW w:w="35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Auction Rate</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Activity in Level 3</w:t>
            </w:r>
          </w:p>
        </w:tc>
        <w:tc>
          <w:tcPr>
            <w:tcW w:w="3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Securities</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Balance as of January 1, 2008</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xml:space="preserve">Purchases, sales, issuances and settlements, net </w:t>
            </w:r>
            <w:r>
              <w:rPr>
                <w:rFonts w:ascii="Arial" w:cs="Arial" w:eastAsia="Arial" w:hAnsi="Arial"/>
                <w:sz w:val="18"/>
                <w:szCs w:val="18"/>
                <w:i w:val="1"/>
                <w:iCs w:val="1"/>
                <w:color w:val="auto"/>
              </w:rPr>
              <w:t>(a)</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7840" w:type="dxa"/>
            <w:vAlign w:val="bottom"/>
          </w:tcPr>
          <w:p>
            <w:pPr>
              <w:ind w:left="560"/>
              <w:spacing w:after="0"/>
              <w:rPr>
                <w:sz w:val="20"/>
                <w:szCs w:val="20"/>
                <w:color w:val="auto"/>
              </w:rPr>
            </w:pPr>
            <w:r>
              <w:rPr>
                <w:rFonts w:ascii="Arial" w:cs="Arial" w:eastAsia="Arial" w:hAnsi="Arial"/>
                <w:sz w:val="18"/>
                <w:szCs w:val="18"/>
                <w:color w:val="auto"/>
              </w:rPr>
              <w:t>Level 3 Transfers In</w:t>
            </w:r>
          </w:p>
        </w:tc>
        <w:tc>
          <w:tcPr>
            <w:tcW w:w="35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June 30, 2008</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bl>
    <w:p>
      <w:pPr>
        <w:spacing w:after="0" w:line="229" w:lineRule="exact"/>
        <w:rPr>
          <w:sz w:val="20"/>
          <w:szCs w:val="20"/>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Primarily due to a $5.2 million transfer of auction rate securities to our Voluntary Employee Benefit Association trust used to fund postretirement health and life benefits.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should be read in conjunction with our consolidated financial statements, notes to those statements, management’s discussion and analysis from the 2007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22 of our 2007 Form 10-K. The risks and uncertainties described in this Form 10-Q and our 2007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ALLETE is a diversified company that has provided fundamental products and services since 1906. These include our former operations in the water, paper, telecommunications and automotive industries and the </w:t>
      </w:r>
      <w:r>
        <w:rPr>
          <w:rFonts w:ascii="Arial" w:cs="Arial" w:eastAsia="Arial" w:hAnsi="Arial"/>
          <w:sz w:val="18"/>
          <w:szCs w:val="18"/>
          <w:b w:val="1"/>
          <w:bCs w:val="1"/>
          <w:color w:val="auto"/>
        </w:rPr>
        <w:t>Energy</w:t>
      </w:r>
      <w:r>
        <w:rPr>
          <w:rFonts w:ascii="Arial" w:cs="Arial" w:eastAsia="Arial" w:hAnsi="Arial"/>
          <w:sz w:val="18"/>
          <w:szCs w:val="18"/>
          <w:color w:val="auto"/>
        </w:rPr>
        <w:t xml:space="preserve"> and </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businesses we operate today.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is comprised of Regulated Utility, Nonregulated Energy Operations and Investment in ATC.</w:t>
      </w:r>
    </w:p>
    <w:p>
      <w:pPr>
        <w:spacing w:after="0" w:line="252"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Regulated Utility </w:t>
      </w:r>
      <w:r>
        <w:rPr>
          <w:rFonts w:ascii="Arial" w:cs="Arial" w:eastAsia="Arial" w:hAnsi="Arial"/>
          <w:sz w:val="18"/>
          <w:szCs w:val="18"/>
          <w:color w:val="auto"/>
        </w:rPr>
        <w:t>includes retail and wholesale rate regulated electric, natural gas and water services in northeastern Minnesota and northwestern</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under the jurisdiction of state and federal regulatory authorities.</w:t>
      </w:r>
    </w:p>
    <w:p>
      <w:pPr>
        <w:spacing w:after="0" w:line="188"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includes our coal mining activities in North Dakota, approximately 50 MW of nonregulated generation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land sales.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includes our equity ownership interest in ATC.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includes our Florida real estate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includes our investments in emerging technologies, and earnings on cash and short-term investments.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2008, unless otherwise indicated. All subsidiaries are wholly 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OVERVIEW (Continued)</w:t>
            </w:r>
          </w:p>
        </w:tc>
        <w:tc>
          <w:tcPr>
            <w:tcW w:w="1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080" w:type="dxa"/>
            <w:vAlign w:val="bottom"/>
            <w:gridSpan w:val="2"/>
          </w:tcPr>
          <w:p>
            <w:pPr>
              <w:spacing w:after="0"/>
              <w:rPr>
                <w:sz w:val="21"/>
                <w:szCs w:val="21"/>
                <w:color w:val="auto"/>
              </w:rPr>
            </w:pPr>
          </w:p>
        </w:tc>
        <w:tc>
          <w:tcPr>
            <w:tcW w:w="25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b w:val="1"/>
                <w:bCs w:val="1"/>
                <w:color w:val="auto"/>
              </w:rPr>
              <w:t>Quarter Ended</w:t>
            </w:r>
          </w:p>
        </w:tc>
        <w:tc>
          <w:tcPr>
            <w:tcW w:w="272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18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2008</w:t>
            </w:r>
          </w:p>
        </w:tc>
        <w:tc>
          <w:tcPr>
            <w:tcW w:w="124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2007</w:t>
            </w:r>
          </w:p>
        </w:tc>
        <w:tc>
          <w:tcPr>
            <w:tcW w:w="16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Regulated Utility</w:t>
            </w: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Retail and Municipals</w:t>
            </w: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Residential</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239.2</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231.7</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601.8</w:t>
            </w:r>
          </w:p>
        </w:tc>
        <w:tc>
          <w:tcPr>
            <w:tcW w:w="960" w:type="dxa"/>
            <w:vAlign w:val="bottom"/>
          </w:tcPr>
          <w:p>
            <w:pPr>
              <w:jc w:val="right"/>
              <w:spacing w:after="0"/>
              <w:rPr>
                <w:sz w:val="20"/>
                <w:szCs w:val="20"/>
                <w:color w:val="auto"/>
              </w:rPr>
            </w:pPr>
            <w:r>
              <w:rPr>
                <w:rFonts w:ascii="Arial" w:cs="Arial" w:eastAsia="Arial" w:hAnsi="Arial"/>
                <w:sz w:val="18"/>
                <w:szCs w:val="18"/>
                <w:color w:val="auto"/>
              </w:rPr>
              <w:t>573.3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Commercial</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307.6</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320.9</w:t>
            </w: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Municipals</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226.6</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229.2</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499.5</w:t>
            </w:r>
          </w:p>
        </w:tc>
        <w:tc>
          <w:tcPr>
            <w:tcW w:w="960" w:type="dxa"/>
            <w:vAlign w:val="bottom"/>
          </w:tcPr>
          <w:p>
            <w:pPr>
              <w:jc w:val="right"/>
              <w:spacing w:after="0"/>
              <w:rPr>
                <w:sz w:val="20"/>
                <w:szCs w:val="20"/>
                <w:color w:val="auto"/>
              </w:rPr>
            </w:pPr>
            <w:r>
              <w:rPr>
                <w:rFonts w:ascii="Arial" w:cs="Arial" w:eastAsia="Arial" w:hAnsi="Arial"/>
                <w:sz w:val="18"/>
                <w:szCs w:val="18"/>
                <w:color w:val="auto"/>
              </w:rPr>
              <w:t>495.6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Industrial</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1,788.9</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1,734.0</w:t>
            </w: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3,612.1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19.2</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19.0</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41.5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00"/>
              <w:spacing w:after="0"/>
              <w:rPr>
                <w:sz w:val="20"/>
                <w:szCs w:val="20"/>
                <w:color w:val="auto"/>
              </w:rPr>
            </w:pPr>
            <w:r>
              <w:rPr>
                <w:rFonts w:ascii="Arial" w:cs="Arial" w:eastAsia="Arial" w:hAnsi="Arial"/>
                <w:sz w:val="18"/>
                <w:szCs w:val="18"/>
                <w:color w:val="auto"/>
              </w:rPr>
              <w:t>Total Retail and Municipals</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2,581.5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2,534.8</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5,422.1</w:t>
            </w:r>
          </w:p>
        </w:tc>
        <w:tc>
          <w:tcPr>
            <w:tcW w:w="960" w:type="dxa"/>
            <w:vAlign w:val="bottom"/>
          </w:tcPr>
          <w:p>
            <w:pPr>
              <w:jc w:val="right"/>
              <w:spacing w:after="0"/>
              <w:rPr>
                <w:sz w:val="20"/>
                <w:szCs w:val="20"/>
                <w:color w:val="auto"/>
              </w:rPr>
            </w:pPr>
            <w:r>
              <w:rPr>
                <w:rFonts w:ascii="Arial" w:cs="Arial" w:eastAsia="Arial" w:hAnsi="Arial"/>
                <w:sz w:val="18"/>
                <w:szCs w:val="18"/>
                <w:color w:val="auto"/>
              </w:rPr>
              <w:t>5,222.7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Other Power Suppliers</w:t>
            </w:r>
          </w:p>
        </w:tc>
        <w:tc>
          <w:tcPr>
            <w:tcW w:w="1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375.1</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513.0</w:t>
            </w:r>
          </w:p>
        </w:tc>
        <w:tc>
          <w:tcPr>
            <w:tcW w:w="1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779.2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Regulated Utility</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2,956.6</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3,047.8</w:t>
            </w: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Nonregulated Energy Operations</w:t>
            </w: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59.7</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59.8</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108.3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3,016.3</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3,107.6</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6,309.6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Revenue and Sales Activity </w:t>
            </w:r>
            <w:r>
              <w:rPr>
                <w:rFonts w:ascii="Arial" w:cs="Arial" w:eastAsia="Arial" w:hAnsi="Arial"/>
                <w:sz w:val="18"/>
                <w:szCs w:val="18"/>
                <w:b w:val="1"/>
                <w:bCs w:val="1"/>
                <w:i w:val="1"/>
                <w:iCs w:val="1"/>
                <w:color w:val="auto"/>
              </w:rPr>
              <w:t>(a)</w:t>
            </w: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Qty</w:t>
            </w: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1"/>
              </w:rPr>
              <w:t>Amount</w:t>
            </w: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3"/>
              </w:rPr>
              <w:t>Qty</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Amount</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Qty</w:t>
            </w: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8"/>
              </w:rPr>
              <w:t>Amount</w:t>
            </w:r>
          </w:p>
        </w:tc>
        <w:tc>
          <w:tcPr>
            <w:tcW w:w="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3"/>
              </w:rPr>
              <w:t>Qty</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Town Center Sales</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Commercial Sq. Ft.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435,000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435,000</w:t>
            </w: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Units</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Commercial Sq. Ft.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40,000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40,000</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Units</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406</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Land Sales</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(b)</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367</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(c)</w:t>
            </w:r>
          </w:p>
        </w:tc>
        <w:tc>
          <w:tcPr>
            <w:tcW w:w="118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27.3</w:t>
            </w:r>
          </w:p>
        </w:tc>
        <w:tc>
          <w:tcPr>
            <w:tcW w:w="10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Revenue Recognized from Previously</w:t>
            </w:r>
          </w:p>
        </w:tc>
        <w:tc>
          <w:tcPr>
            <w:tcW w:w="1180" w:type="dxa"/>
            <w:vAlign w:val="bottom"/>
          </w:tcPr>
          <w:p>
            <w:pPr>
              <w:spacing w:after="0"/>
              <w:rPr>
                <w:sz w:val="17"/>
                <w:szCs w:val="17"/>
                <w:color w:val="auto"/>
              </w:rPr>
            </w:pP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17"/>
                <w:szCs w:val="17"/>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60" w:type="dxa"/>
            <w:vAlign w:val="bottom"/>
            <w:vMerge w:val="restart"/>
          </w:tcPr>
          <w:p>
            <w:pPr>
              <w:ind w:left="160"/>
              <w:spacing w:after="0"/>
              <w:rPr>
                <w:sz w:val="20"/>
                <w:szCs w:val="20"/>
                <w:color w:val="auto"/>
              </w:rPr>
            </w:pPr>
            <w:r>
              <w:rPr>
                <w:rFonts w:ascii="Arial" w:cs="Arial" w:eastAsia="Arial" w:hAnsi="Arial"/>
                <w:sz w:val="18"/>
                <w:szCs w:val="18"/>
                <w:color w:val="auto"/>
              </w:rPr>
              <w:t>Deferred Sales</w:t>
            </w:r>
          </w:p>
        </w:tc>
        <w:tc>
          <w:tcPr>
            <w:tcW w:w="11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0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118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25.2</w:t>
            </w:r>
          </w:p>
        </w:tc>
        <w:tc>
          <w:tcPr>
            <w:tcW w:w="10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Revenue</w:t>
            </w: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w:t>
            </w: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6.7</w:t>
            </w: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$7.9</w:t>
            </w:r>
          </w:p>
        </w:tc>
        <w:tc>
          <w:tcPr>
            <w:tcW w:w="8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$28.0</w:t>
            </w:r>
          </w:p>
        </w:tc>
        <w:tc>
          <w:tcPr>
            <w:tcW w:w="100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$10.6</w:t>
            </w:r>
          </w:p>
        </w:tc>
        <w:tc>
          <w:tcPr>
            <w:tcW w:w="8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00" w:hanging="292"/>
        <w:spacing w:after="0"/>
        <w:tabs>
          <w:tab w:leader="none" w:pos="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Quantity amounts are approximate until final build-out.</w:t>
      </w:r>
    </w:p>
    <w:p>
      <w:pPr>
        <w:spacing w:after="0" w:line="21" w:lineRule="exact"/>
        <w:rPr>
          <w:rFonts w:ascii="Arial" w:cs="Arial" w:eastAsia="Arial" w:hAnsi="Arial"/>
          <w:sz w:val="18"/>
          <w:szCs w:val="18"/>
          <w:i w:val="1"/>
          <w:iCs w:val="1"/>
          <w:color w:val="auto"/>
        </w:rPr>
      </w:pPr>
    </w:p>
    <w:p>
      <w:pPr>
        <w:ind w:left="300" w:hanging="292"/>
        <w:spacing w:after="0"/>
        <w:tabs>
          <w:tab w:leader="none" w:pos="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minority interest.</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Reflected total contract sales price on closed land transactions.</w:t>
      </w:r>
    </w:p>
    <w:p>
      <w:pPr>
        <w:spacing w:after="0" w:line="200" w:lineRule="exact"/>
        <w:rPr>
          <w:sz w:val="20"/>
          <w:szCs w:val="20"/>
          <w:color w:val="auto"/>
        </w:rPr>
      </w:pPr>
    </w:p>
    <w:p>
      <w:pPr>
        <w:spacing w:after="0" w:line="28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Business Segments for financial results by segment.)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income discussion summarizes, by segment, a comparison of the six months ended June 30, 2008, to the six months ended June 30, 2007.</w:t>
      </w:r>
    </w:p>
    <w:p>
      <w:pPr>
        <w:spacing w:after="0" w:line="2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Regulated Utility </w:t>
      </w:r>
      <w:r>
        <w:rPr>
          <w:rFonts w:ascii="Arial" w:cs="Arial" w:eastAsia="Arial" w:hAnsi="Arial"/>
          <w:sz w:val="18"/>
          <w:szCs w:val="18"/>
          <w:color w:val="auto"/>
        </w:rPr>
        <w:t>contributed income of $23.3 million in 2008 ($24.9 million in 2007). The decrease in earnings is primarily the result of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contracts to Other Power Suppliers and an increase in operating expense, depreciation expense and interest expense. These factors were partially offset by increased revenues attributable to current cost recovery on our environmental retrofit projects, new FERC approved wholesale rates, and higher retail and municipal kilowatt-hour sales.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contributed income of $1.4 million in 2008 ($2.8 million in 2007). The decrease is primarily due to higher gains from</w:t>
      </w:r>
      <w:r>
        <w:rPr>
          <w:rFonts w:ascii="Arial" w:cs="Arial" w:eastAsia="Arial" w:hAnsi="Arial"/>
          <w:sz w:val="18"/>
          <w:szCs w:val="18"/>
          <w:b w:val="1"/>
          <w:bCs w:val="1"/>
          <w:color w:val="auto"/>
        </w:rPr>
        <w:t xml:space="preserve"> </w:t>
      </w:r>
      <w:r>
        <w:rPr>
          <w:rFonts w:ascii="Arial" w:cs="Arial" w:eastAsia="Arial" w:hAnsi="Arial"/>
          <w:sz w:val="18"/>
          <w:szCs w:val="18"/>
          <w:color w:val="auto"/>
        </w:rPr>
        <w:t>land sales in Minnesota during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contributed income of $4.0 million in 2008 ($3.7 million in 2007).</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contributed income of $2.0 million in 2008 ($14.6 million in 2007). Income was lower in 2008 due to the continued weak real estate market and</w:t>
      </w:r>
      <w:r>
        <w:rPr>
          <w:rFonts w:ascii="Arial" w:cs="Arial" w:eastAsia="Arial" w:hAnsi="Arial"/>
          <w:sz w:val="18"/>
          <w:szCs w:val="18"/>
          <w:b w:val="1"/>
          <w:bCs w:val="1"/>
          <w:color w:val="auto"/>
        </w:rPr>
        <w:t xml:space="preserve"> </w:t>
      </w:r>
      <w:r>
        <w:rPr>
          <w:rFonts w:ascii="Arial" w:cs="Arial" w:eastAsia="Arial" w:hAnsi="Arial"/>
          <w:sz w:val="18"/>
          <w:szCs w:val="18"/>
          <w:color w:val="auto"/>
        </w:rPr>
        <w:t>two large sales that closed in the second quarter of 2007.</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contributed income of $3.6 million in 2008 ($2.9 million in 2007). The increase is primarily due to a $3.8 million after-tax gain realized from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certain available for sale securities in the first quarter of 2008. The gain was triggered when securities were sold to reallocate investments to meet defined investment allocations based upon an approved investment strategy.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JUNE 30, 2008 AND 2007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Business Segments for financial results by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Utility</w:t>
      </w:r>
    </w:p>
    <w:p>
      <w:pPr>
        <w:spacing w:after="0" w:line="256"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$15.5 million, or 9 percent, from 2007, primarily due to decreased fuel clause recoveries and the reduction in revenue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to Other Power Suppliers. The decrease was partially offset by higher revenues attributable to current cost recovery on our environmental retrofit projects, new FERC approved wholesale rates, an approximately 2 percent increase in retail and municipal kilowatt-hour sales, and increased gas sales.</w:t>
      </w:r>
    </w:p>
    <w:p>
      <w:pPr>
        <w:spacing w:after="0" w:line="17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clause recoveries decreased $22.9 million in 2008 primarily as a result of decreased purchased power expenses reflecting increased Company generation and increased hydro availability (see Fuel and Purchased Power Expense discussion below).</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sales to Other Power Suppliers decreased $7.6 million from 2007 due to the expiration of sales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Increased revenues attributable to current cost recovery on our environmental retrofit projects totaled $4.8 million.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FERC approved wholesale rates, effective March 1, 2008, resulted in an additional $2.1 million of operating revenue.</w:t>
      </w:r>
    </w:p>
    <w:p>
      <w:pPr>
        <w:spacing w:after="0" w:line="25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Kilowatt-hour sales to our retail and municipal customers increased 2 percent from 2007, primarily due to a 3.2 percent increase in industrial load. The increase in industrial sales in 2008 primarily reflects increased sales to one taconite customer that was partially idled in 2007. Total regulated utility kilowatt-hour sales were down 3.0 percent as the expiration of sales contracts to Other Power Suppliers more than offset the increased retail and municipal sales.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 sales increased $1.7 million, or 44 percent, over 2007 reflecting a colder 2008.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COMPARISON OF THE QUARTERS ENDED JUNE 30, 2008 AND 2007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 (Continued)</w:t>
      </w:r>
    </w:p>
    <w:p>
      <w:pPr>
        <w:spacing w:after="0" w:line="23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electric sales to taconite customers accounted for 27 percent of consolidated operating revenue in 2008 (24 percent in 2007). Revenue from electric sales to paper and pulp mills accounted for 9 percent of consolidated operating revenue in 2008 and 2007. Revenue from electric sales to pipelines and other industrials accounted for 7 percent of consolidated operating revenue in 2008 and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$14.7 million from 2007.</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$17.9 million, or 19 percent, from 2007, primarily due to a decrease in purchase power expense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Company generation and increased hydro availability. In 2007, scheduled outages at Boswell Unit 3 and Taconite Harbor Unit 2 as well as generator repairs at Boswell Unit 4 drove the higher purchased power expense.</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$2.2 million, or 4 percent, from 2007 due to increased gas purchases, reflecting a colder 2008;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wages, reflecting annual inflationary increases.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$1.0 million from 2007 reflecting higher property, plant and equipment balances as a result of increased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$0.4 million, or 8 percent, from 2007 primarily due to higher long term debt balances from increased construction activity.</w:t>
      </w:r>
    </w:p>
    <w:p>
      <w:pPr>
        <w:spacing w:after="0" w:line="2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$0.2 million from 2007 due to higher earnings from the capitalization of AFUDC-Equity reflecting increased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Nonregulated Energy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$2.1 million, or 13 percent, from 2007 primarily due to higher coal prices at BNI Coal.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$1.4 million, or 9 percent, from 2007 primarily due to higher fuel expense and dragline repairs at BNI Coal.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$0.4 million, or 13 percent, from 2007 resulting from our pro-rata share of ATC’s earnings on an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as discussed in Note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$20.1 million from 2007. Revenue from land sales was $2.6 million in 2008 and did not include any previously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 2007, revenue from land sales was $25.2 million, which included $1.0 million in previously deferred revenue and reflected two large sales that closed during the second quarter of 2007. Operating revenue in 2008 also included the pre-tax gain of $4.5 million resulting from the sale of the retail shopping center in Winter Haven, Florida on May 1, 2008.</w:t>
      </w:r>
    </w:p>
    <w:p>
      <w:pPr>
        <w:spacing w:after="0" w:line="21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There were no sales at Town Center or Palm Coast Park for the quarter ended June 30, 2008. For the quarter ended June 30, 2007, 435,000 non-residential square feet were sold at Town Center and 40,000 non-residential square feet were sold at Palm Coast Park. Town Center sold 130 residential units and Palm Coast Park sold 406 residential units. For the quarter ended June 30, 2008, 49 acres of Other Land was sold (no acres sold in 2007).</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$4.3 million, or 53 percent, from 2007 reflecting a decrease in the cost of real estate sold and decreased selling expenses.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COMPARISON OF THE QUARTERS ENDED JUNE 30, 2008 AND 2007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$2.0 million from 2007 primarily due to lower earnings on cash and short-term investments of $0.8 million primarily due to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cash balances and the 2007 release from a loan guarantee for Northwest Airlines Corporation of $1.0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 ended June 30, 2008, the effective tax rate on income before minority interest and income taxes was 36.5 percent (31.9 percent for the quarter ended June 30, 2007). The effective tax rate was lower in 2007 primarily due to a state income tax audit settlement ($1.5 million effect). The effective rate of 36.5 percent for the quarter ended June 30, 2008, deviated from the statutory rate (approximately 40 percent) primarily due to deductions for Medicare health subsidies, AFUDC-Equity, investment tax credits, wind production tax credits and depletion.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2008 AND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Utility</w:t>
      </w:r>
    </w:p>
    <w:p>
      <w:pPr>
        <w:spacing w:after="0" w:line="256"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$2.4 million from 2007, primarily due to decreased fuel clause recoveries and the reduction in revenue from sales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Suppliers. The decrease was partially offset by higher revenue attributable to current cost recovery on our environmental retrofit projects; an approximate 4 percent increase in retail and municipal kilowatt-hour sales, higher gas sales and new FERC approved wholesale rates.</w:t>
      </w:r>
    </w:p>
    <w:p>
      <w:pPr>
        <w:spacing w:after="0" w:line="1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clause recoveries decreased $15.0 million in 2008 primarily as a result of decreased purchased power expenses reflecting increased Company generation and increased hydro availability (see Fuel and Purchased Power Expense discussion below).</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sales to Other Power Suppliers decreased $13.2 million from 2007 due to the expiration of sales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Increased revenues attributable to current cost recovery on our environmental retrofit projects totaled $10.1 million.</w:t>
      </w:r>
    </w:p>
    <w:p>
      <w:pPr>
        <w:spacing w:after="0" w:line="25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Kilowatt-hour sales to our retail and municipal customers increased approximately 4 percent from 2007, primarily due to a 5.0 percent increase in industrial sales. The increase in industrial sales in 2008 primarily reflects increased sales to one taconite customer that was partially idled in 2007 and another customer that was shut down due to weather related issues in 2007. Total regulated utility kilowatt-hour sales are down 1.0 percent as the expiration of sales contracts to Other Power Supplier contracts more than offset the increased retail and municipal sales.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 sales increased $3.6 million, or 27 percent, over 2007 reflecting a colder 2008.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FERC approved wholesale rates, effective March 1, 2008, resulted in an additional $2.3 million of operating revenue.</w:t>
      </w:r>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Revenue from electric sales to taconite customers accounted for 26 percent of consolidated operating revenue in 2008 (23 percent in 2007). Revenue from electric sales to paper and pulp mills accounted for 10 percent of consolidated operating revenue in 2008 (9 percent in 2007). Revenue from electric sales to pipelines and other industrials accounted for 7 percent of consolidated operating revenue in 2008 and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$0.3 million from 2007.</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$9.3 million, or 5 percent, from 2007, due to a decrease in purchase power expense reflecting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generation and increased hydro availability. In 2007, scheduled outages for the AREA plan and Boswell Unit 3 environmental upgrades as well as generator repairs at Boswell Unit 4 drove the higher purchased power.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COMPARISON OF THE SIX MONTHS ENDED JUNE 30, 2008 AND 2007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$7.7 million, or 7 percent, over 2007 due to increased gas purchases reflecting a colder 2008,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wages and transmission expense.</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$1.9 million from 2007 reflecting higher property, plant, and equipment balances as a result of increased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$1.0 million, or 10 percent, from 2007 primarily due to higher long term debt balances from increased construction activity.</w:t>
      </w:r>
    </w:p>
    <w:p>
      <w:pPr>
        <w:spacing w:after="0" w:line="2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$0.8 million from 2007 due to higher earnings from the capitalization of AFUDC-Equity reflecting increased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Nonregulated Energy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$2.6 million, or 8 percent, from 2007, primarily due to higher coal prices at BNI Coal.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$2.6 million, or 8 percent, from 2007 primarily due to higher fuel expense and dragline repairs at BNI Coal.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$2.0 million from 2007 due to higher gains from land sales in Minnesota during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$0.9 million, or 15 percent, from 2007 resulting from our pro-rata share of ATC’s earnings on an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as discussed in Note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$25.6 million from 2007. Revenue from land sales was $3.9 million in 2008 and did not include any previously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 2007, revenue from land sales was $32.5 million, which included $2.3 million in previously deferred revenue and reflected two large sales that closed during the second quarter of 2007. Operating revenue in 2008 also included the pre-tax gain of $4.5 million resulting from the sale of the retail shopping center in Winter Haven, Florida on May 1, 2008.</w:t>
      </w:r>
    </w:p>
    <w:p>
      <w:pPr>
        <w:spacing w:after="0" w:line="21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There were no sales at Town Center or Palm Coast Park for the six months ended June 30, 2008. Through June 30, 2007, 435,000 non-residential square feet were sold at Town Center and 40,000 non-residential square feet were sold at Palm Coast Park. Town Center sold 130 residential units and Palm Coast Park sold 406 residential units. For the six months ended June 30, 2008, 51 acres of Other Land was sold (367 acres in 2007).</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$3.8 million, or 34 percent, from 2007 reflecting a decrease in the cost of real estate sold and decreased selling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$0.4 million from 2007 as a result of additional expense related to our Georgia Water dispute as discussed in Note 11.</w:t>
      </w:r>
    </w:p>
    <w:p>
      <w:pPr>
        <w:spacing w:after="0" w:line="27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increased $3.6 million from 2007 primarily due to a $4.0 million after-tax gain realized from the sale of certain available for sale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first quarter. The gain was triggered when securities were sold to reallocate investments to meet defined investment allocations based upon an approved investment strategy. The increase was partially offset by lower earnings on cash and short-term investments reflecting lower average cash balances and a lower average interest rate, and the 2007 release from a loan guarantee for Northwest Airlines Corporation of $1.0 million.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COMPARISON OF THE SIX MONTHS ENDED JUNE 30, 2008 AND 2007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2008, the effective tax rate on income before minority interest and income taxes was 36.6 percent (35.1 percent for six months ended June 30, 2007). The effective tax rate was lower in 2007 primarily due to a state income tax audit settlement ($1.5 million effect). The effective rate of 36.6 percent for the six months ended June 30, 2008, deviated from the statutory rate (approximately 40 percent) primarily due to deductions for Medicare health subsidies, AFUDC-Equity, investment tax credits, wind production tax credits and depletion.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real estate revenue and expense recognition, pension and postretirement health and life actuarial assumptions, regulatory accounting, the valuation of investments and taxation. These policies are reviewed with the Audit Committee of our Board of Directors on a regular basis and summarized in Part II, Item 7 of our 2007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Earnings Guidance. </w:t>
      </w:r>
      <w:r>
        <w:rPr>
          <w:rFonts w:ascii="Arial" w:cs="Arial" w:eastAsia="Arial" w:hAnsi="Arial"/>
          <w:sz w:val="18"/>
          <w:szCs w:val="18"/>
          <w:color w:val="auto"/>
        </w:rPr>
        <w:t>ALLETE reaffirms its previously stated earnings guidance of a range from $2.70 to $2.90 per share for 2008. This earnings projection</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include an impact from any investment we may make in new growth opportunities.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As part of our strategy, we will leverage the strengths of our Regulated Utility business to improve our strategic and financial outlook and seek</w:t>
      </w:r>
      <w:r>
        <w:rPr>
          <w:rFonts w:ascii="Arial" w:cs="Arial" w:eastAsia="Arial" w:hAnsi="Arial"/>
          <w:sz w:val="18"/>
          <w:szCs w:val="18"/>
          <w:b w:val="1"/>
          <w:bCs w:val="1"/>
          <w:color w:val="auto"/>
        </w:rPr>
        <w:t xml:space="preserve"> </w:t>
      </w:r>
      <w:r>
        <w:rPr>
          <w:rFonts w:ascii="Arial" w:cs="Arial" w:eastAsia="Arial" w:hAnsi="Arial"/>
          <w:sz w:val="18"/>
          <w:szCs w:val="18"/>
          <w:color w:val="auto"/>
        </w:rPr>
        <w:t>growth opportunities in close proximity to existing operations in the Midwest. We believe electric industry deregulation is unlikely in Minnesota and Wisconsin in the next five years.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expects significant rate base growth over the next several years as it makes capital expenditures to comply with renewable energy requirements and environmental mandates. In addition, significant investment will be made in our existing low-cost generation fleet to provide for continued future operations as we continue to believe ownership of low-cost generation is a competitive advantage. Minnesota Power will also look for transmission opportunities which strengthen and enhance the regional transmission grid and take advantage of our geographic location between sources of renewable energy and growing energy markets. Our capital investments will be recovered through a combination of current cost recovery riders and anticipated increased base electric rates. We also expect kilowatt-hour growth due to the potential for up to 400 MW of additional growth from several new industrial customers planning projects in our service territory.</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energy strategy is to be a leader in the movement toward renewable energy and cleaner power plants. We believe we can meet our customers’ electric energy needs for the next decade while achieving real reductions in total carbon emissions. We are aggressively pursuing our renewable energy resources and expect to comply with Minnesota’s renewable energy requirements prior to the 2025 deadline.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Renewable Generation Sources. </w:t>
      </w:r>
      <w:r>
        <w:rPr>
          <w:rFonts w:ascii="Arial" w:cs="Arial" w:eastAsia="Arial" w:hAnsi="Arial"/>
          <w:sz w:val="17"/>
          <w:szCs w:val="17"/>
          <w:color w:val="auto"/>
        </w:rPr>
        <w:t>The areas in which we operate have strong wind, water and biomass resources, and provide us with opportunities to develop</w:t>
      </w:r>
      <w:r>
        <w:rPr>
          <w:rFonts w:ascii="Arial" w:cs="Arial" w:eastAsia="Arial" w:hAnsi="Arial"/>
          <w:sz w:val="17"/>
          <w:szCs w:val="17"/>
          <w:i w:val="1"/>
          <w:iCs w:val="1"/>
          <w:color w:val="auto"/>
        </w:rPr>
        <w:t xml:space="preserve"> </w:t>
      </w:r>
      <w:r>
        <w:rPr>
          <w:rFonts w:ascii="Arial" w:cs="Arial" w:eastAsia="Arial" w:hAnsi="Arial"/>
          <w:sz w:val="17"/>
          <w:szCs w:val="17"/>
          <w:color w:val="auto"/>
        </w:rPr>
        <w:t>a number of renewable forms of generation. Our electric service area in northeastern Minnesota is well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cooperatively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 For more than a century, we have been Minnesota’s leading producer of renewable hydroelectric energy.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already begun executing our renewable energy and cleaner power plant strategy. Taconite Ridge Wind I, a $50 million, 25-MW wind facility located in northeastern Minnesota became operational in July 2008. Costs related to the construction of this facility have been included in our May 2, 2008 rate filing.</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13, 2008, we announced plans to develop several hundred megawatts of wind energy in North Dakota and purchase an existing 250 kV DC transmission line to transport this wind energy to customers while gradually reducing the supply of energy currently delivered to our system on this same transmission line from Square Butte’s coal-fired Milton R. Young Unit 2. The North Dakota wind project is expected to meet our mandated renewable energy supply requirements for our retail load. We anticipate signing definitive agreements and making the required regulatory filings for the project in the third quarter of 2008. Closing on the purchase of the transmission line is expected in the first quarter of 2009.</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Integrated Resource Plan (IRP). </w:t>
      </w:r>
      <w:r>
        <w:rPr>
          <w:rFonts w:ascii="Arial" w:cs="Arial" w:eastAsia="Arial" w:hAnsi="Arial"/>
          <w:sz w:val="18"/>
          <w:szCs w:val="18"/>
          <w:color w:val="auto"/>
        </w:rPr>
        <w:t>On October 31, 2007, we filed our IRP, a comprehensive estimate of future capacity needs within the Minnesota Power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territory. On July 25, 2008, we filed a request with the MPUC for approval to re-file our IRP by October 1, 2009, in order to incorporate the North Dakota wind project and otherwise update our load forecasting and modeling in the IRP.</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A key component of our energy strategy is a goal to reduce overall GHG emissions. While there continues to be debate about the causes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of global warming, certain scientific evidence suggests that emissions from fossil fuel generation facilities are a contributing factor. Minnesota Power has a long history of environmental stewardship.</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future regulations may restrict the emissions of GHGs from our generation facilities. Several proposals on the federal level to “cap” the amount of GHG emissions have been made. Other proposals consider establishing emissions allowances or taxes as economic incentives to address the GHG emission issue.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2007, Minnesota passed legislation establishing non-binding targets for GHG reductions. This legislation establishes a goal of reducing statewide GHG emissions across all sectors producing those emissions to a level at least 15 percent below 2005 levels by 2015, at least 30 percent below 2005 levels by 2025, and at least 80 percent below 2005 levels by 2050. Minnesota is also participating in the Midwestern Greenhouse Gas Accord, a regional effort to develop a multi-state approach to GHG emission reductions. We are proactively taking steps to strategically engage the GHG emission issue and the impact of climate change regulation on our business.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is addressing this challenge by taking the following steps that also ensure reliable and environmentally compliant generation resources to meet our customer’s requirements:</w:t>
      </w:r>
    </w:p>
    <w:p>
      <w:pPr>
        <w:spacing w:after="0" w:line="197"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consider only carbon minimizing resources to supply power to our customers. We will not consider a new coal resource without a carbon emission solution.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aggressively pursue Minnesota’s Renewable Energy Standard by adding significant renewable resources to our portfolio of generation facilities and power supply agreements.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continue to improve the efficiency of coal-based generation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implement aggressive demand side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continue to support research of technologies to reduce carbon emissions from generation facilities and support carbon sequestration efforts.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achieve overall carbon emission reductions while maintaining competitively priced electric service to our customers.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become a “founding reporter” of The Climate Registry, an organization established to measure and publicly report GHG emissions consistently and accurately across borders and industry sectors. The non-profit organization includes 39 states, six Canadian provinces, three Native American tribes, two Mexican states and the District of Columbia. In becoming one of the founding reporters of The Climate Registry, we have voluntarily committed to measure, independently verify and publicly report our GHG emissions annually, using The Climate Registry General Reporting Protocol. This method of reporting is based on the internationally recognized GHG measurements standards of the World Resources Institute and World Business Council on Sustainable Development.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Cases</w:t>
      </w:r>
      <w:r>
        <w:rPr>
          <w:rFonts w:ascii="Arial" w:cs="Arial" w:eastAsia="Arial" w:hAnsi="Arial"/>
          <w:sz w:val="18"/>
          <w:szCs w:val="18"/>
          <w:color w:val="auto"/>
        </w:rPr>
        <w:t>. Entities within our Regulated Utility segment file for periodic rate revisions with the MPUC, the FERC or the PSCW.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2008, the FERC approved Minnesota Power’s wholesale rate increase effective March 1, 2008.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On an annualized basis, the rate increase is expected to result in approximately $8 million in additional revenue. Incremental revenue in 2008 from the FERC authorized wholesale rate increase is expected to be approximately $7 million.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2008, Minnesota Power has signed new contracts with 15 Minnesota wholesale customers and has 1 contract in the cancellation period. The new contracts include rates that can be automatically adjusted annually based on changes in costs. Two new agreements with private utilities in Wisconsin, including SWL&amp;P, are anticipated in the future pending PSCW approval.</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requested rate increase would generate approximately $45 million in additional revenue. On July 21, 2008, the MPUC issued an order authorizing interim rates effective August 1, 2008. Interim rates will result in an average increase of approximately 7.5 percent for retail customers subject to refund pending the final rate order. Incremental revenue in 2008 from the interim Minnesota retail rate increase is expected to be approximately $13 million. A prehearing conference is scheduled for August 12, 2008, to discuss scheduling for the remainder of the rate case. The final rate order is expected in the second quarter of 2009. We cannot predict the amount of any rate increase the MPUC may approve.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SWL&amp;P’s current retail rates are based on a 2006 PSCW retail rate order, effective January 1, 2007. On May 14, 2008, SWL&amp;P filed a rate increase request with the PSCW seeking an average increase of approximately 5 percent for retail customers. The rate filing seeks an overall return on equity of 11.5 percent, and a capital structure consisting of 57.1 percent equity and 42.9 percent debt. On an annualized basis, the requested rate increase would generate approximately $4 million in additional revenue. Evidentiary and public hearings are scheduled for October 2008. The Company anticipates rates will take effect in January 2009. We cannot predict the amount of any rate increase the PSCW may approve.</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Large Power Customers</w:t>
      </w:r>
      <w:r>
        <w:rPr>
          <w:rFonts w:ascii="Arial" w:cs="Arial" w:eastAsia="Arial" w:hAnsi="Arial"/>
          <w:sz w:val="17"/>
          <w:szCs w:val="17"/>
          <w:color w:val="auto"/>
        </w:rPr>
        <w:t>. In March 2008, a contract was signed with Northshore Mining Company to provide up to 10 MW of new load beginning April 1,</w:t>
      </w:r>
      <w:r>
        <w:rPr>
          <w:rFonts w:ascii="Arial" w:cs="Arial" w:eastAsia="Arial" w:hAnsi="Arial"/>
          <w:sz w:val="17"/>
          <w:szCs w:val="17"/>
          <w:i w:val="1"/>
          <w:iCs w:val="1"/>
          <w:color w:val="auto"/>
        </w:rPr>
        <w:t xml:space="preserve"> </w:t>
      </w:r>
      <w:r>
        <w:rPr>
          <w:rFonts w:ascii="Arial" w:cs="Arial" w:eastAsia="Arial" w:hAnsi="Arial"/>
          <w:sz w:val="17"/>
          <w:szCs w:val="17"/>
          <w:color w:val="auto"/>
        </w:rPr>
        <w:t>2008. Northshore Mining needs the additional power for the restart of a taconite pellet furnace. The furnace will produce about 800,000 tons of pellets annually. The contract requires Minnesota Power to provide for Northshore Mining’s electric requirements that are in excess of their ability to supply them through their wholly owned generation facilities at Silver Bay Power Company. The contract is subject to MPUC approval.</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AREA and Boswell 3 Emission Reduction Plan. </w:t>
      </w:r>
      <w:r>
        <w:rPr>
          <w:rFonts w:ascii="Arial" w:cs="Arial" w:eastAsia="Arial" w:hAnsi="Arial"/>
          <w:sz w:val="18"/>
          <w:szCs w:val="18"/>
          <w:color w:val="auto"/>
        </w:rPr>
        <w:t>In May 2006, the MPUC approved our filing for current cost recovery of expenditures to reduce emissions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pending federal requirements at Taconite Harbor and Laskin under the AREA Plan. The AREA Plan approval allows Minnesota Power to recover Minnesota jurisdictional costs for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mercury emission reductions made at these facilities without a rate proceeding. Cost recovery from retail customers includes a return on investment and recovery of incremental expense. The AREA Plan is expected to significantly reduce emissions from Taconite Harbor and Laskin,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May 2006, we announced plans to make emission reduction investments at our Boswell Unit 3 generating unit. Plans include reductions of particulate, 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and mercury emissions to meet pending federal and state requirements. In March 2007, the Boswell Unit 3 project received the necessary construction permits. In October 2007, the MPUC issued a written order approving Minnesota Power’s request for cost recovery for the Boswell Unit 3 emission reduction plan with some minor modifications and additional reporting requirements. The MPUC approval authorized a cash return on construction work in progress during the construction phase in lieu of AFUDC-Equity and allows for a return on investment and current cost recovery of incremental operations and maintenance expenses once the new equipment is installed and the unit is placed back in service in late 2009. In December 2007, the MPUC approved Boswell Unit 3’s rate adjustment for 2008 and we began cost recovery on January 1, 2008.</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Fuel Clause Recovery of MISO Day 2 Costs. </w:t>
      </w:r>
      <w:r>
        <w:rPr>
          <w:rFonts w:ascii="Arial" w:cs="Arial" w:eastAsia="Arial" w:hAnsi="Arial"/>
          <w:sz w:val="18"/>
          <w:szCs w:val="18"/>
          <w:color w:val="auto"/>
        </w:rPr>
        <w:t>We filed a petition with the MPUC in February 2005 to amend our fuel clause to accommodate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related to the day-ahead and real-time markets through which we engage in wholesale energy transactions in MISO (MISO Day 2). In December 2006, the MPUC issued an order (the MISO Day 2 Order) allowing us and the other utilities involved in the proceeding to continue recovering MISO Day 2 charges through the Minnesota retail fuel clause except for MISO Day 2 administrative charges.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MISO Day 2 Order granted deferred accounting treatment for three MISO Day 2 charge types that were determined to be administrative charges. Under the order, we refunded, through customer bills, approximately $2 million of administrative charges previously collected through the fuel clause between April 1, 2005, and December 31, 2006, and recorded these administrative charges as a regulatory asset. We were also permitted to continue accumulating MISO Day 2 administrative charges after December 31, 2006, and record them as a regulatory asset to be recovered through our next rate filing. MISO Day 2 costs, along with the amortization of the regulatory asset, will be recovered in interim rates effective August 1, 2008. The balance of this regulatory asset was $4.4 million on June 30, 2008, ($3.7 million at December 31, 2007). See Note 5 – Regulatory Matters for additional information.</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Minnesota Fuel Clause Investigation. </w:t>
      </w:r>
      <w:r>
        <w:rPr>
          <w:rFonts w:ascii="Arial" w:cs="Arial" w:eastAsia="Arial" w:hAnsi="Arial"/>
          <w:sz w:val="16"/>
          <w:szCs w:val="16"/>
          <w:color w:val="auto"/>
        </w:rPr>
        <w:t>In June 2003, the MPUC initiated an investigation into the continuing usefulness of the fuel clause as a regulatory tool</w:t>
      </w:r>
      <w:r>
        <w:rPr>
          <w:rFonts w:ascii="Arial" w:cs="Arial" w:eastAsia="Arial" w:hAnsi="Arial"/>
          <w:sz w:val="16"/>
          <w:szCs w:val="16"/>
          <w:i w:val="1"/>
          <w:iCs w:val="1"/>
          <w:color w:val="auto"/>
        </w:rPr>
        <w:t xml:space="preserve"> </w:t>
      </w:r>
      <w:r>
        <w:rPr>
          <w:rFonts w:ascii="Arial" w:cs="Arial" w:eastAsia="Arial" w:hAnsi="Arial"/>
          <w:sz w:val="16"/>
          <w:szCs w:val="16"/>
          <w:color w:val="auto"/>
        </w:rPr>
        <w:t>for electric utilities. Our initial comments on the proposed scope and procedure of the investigation were filed in July 2003. In November 2003, the MPUC approved the initial scope and procedure of the investigation. The fuel clause docket then became dormant while the MISO Day 2 docket, which held many fuel clause considerations, became active. In March 2007, the MPUC solicited comments on whether the original fuel clause investigation should continue and, if so, what issues should be pursued. We filed comments in April 2007, suggesting that if the investigation continued, it should focus on remaining key elements of the fuel clause, beyond the purchased power transactions examined in the MISO Day 2 proceeding, such as fuel purchases and outages. We filed additional comments in September 2007, updating our previous filings in the fuel clause investigation docket to account for changes occurring since the investigation began in July 2003. Since filing the additional comments, a number of stakeholder sessions have been held at the OES offices, the primary outcome of which was the adoption by the MPUC of a requirement for an annual fuel clause report to customers by utilities. The fuel clause investigation docket is awaiting further action by the MPUC pending these ongoing discussions regarding fuel clause report content and format.</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As of June 30, 2008 our equity investment was $70.0 million, representing a 7.9 percent ownership interest. On April 30, 2008, we</w:t>
      </w:r>
      <w:r>
        <w:rPr>
          <w:rFonts w:ascii="Arial" w:cs="Arial" w:eastAsia="Arial" w:hAnsi="Arial"/>
          <w:sz w:val="18"/>
          <w:szCs w:val="18"/>
          <w:b w:val="1"/>
          <w:bCs w:val="1"/>
          <w:color w:val="auto"/>
        </w:rPr>
        <w:t xml:space="preserve"> </w:t>
      </w:r>
      <w:r>
        <w:rPr>
          <w:rFonts w:ascii="Arial" w:cs="Arial" w:eastAsia="Arial" w:hAnsi="Arial"/>
          <w:sz w:val="18"/>
          <w:szCs w:val="18"/>
          <w:color w:val="auto"/>
        </w:rPr>
        <w:t>invested an additional $2.8 million in ATC. As additional opportunities arise, we plan to make additional investments in ATC through general capital calls based upon our pro-rata ownership interest in ATC. On July 31, 2008, we invested an additional $2.4 million in ATC. See Note 3 – Investments for additional information.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Market conditions in the Florida real estate market have not improved in 2008, and demand remains weak. While we are unable to predict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Florida real estate market will improve, we continue to believe the long-term growth indicators remain strong. We expect our real estate operations to be profitable in 2008, however total net income is expected to be less than 2007.</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our properties have key entitlements in place. With minimal debt, low ongoing carrying costs and a low inventory book basis, we expect that our Real Estate business will continue to be profitable over the long term. We believe the northeastern Florida market area where a large portion of our real estate inventory is located will continue to experience above average long-term population growth, and our inventory of mixed-use land in those areas will remain attractive to buyers.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plans to maximize the value of the property it currently owns through entitlement, infrastructure improvements and orderly sales of properties. In addition to managing its current real estate inventory, ALLETE Properties is focused on identifying, acquiring, entitling and developing infrastructure on land in Florida and other parts of the southeast United States.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2008, ALLETE Properties sold a retail shopping center in Winter Haven, Florida for $20.0 million. This sale resulted in an after-tax gain of approximately $3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For the Six Months Ended</w:t>
            </w:r>
          </w:p>
        </w:tc>
        <w:tc>
          <w:tcPr>
            <w:tcW w:w="272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Residential</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Non-residential</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2008</w:t>
            </w:r>
          </w:p>
        </w:tc>
        <w:tc>
          <w:tcPr>
            <w:tcW w:w="272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Ownership</w:t>
            </w:r>
          </w:p>
        </w:tc>
        <w:tc>
          <w:tcPr>
            <w:tcW w:w="1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Town Center</w:t>
            </w:r>
          </w:p>
        </w:tc>
        <w:tc>
          <w:tcPr>
            <w:tcW w:w="2720" w:type="dxa"/>
            <w:vAlign w:val="bottom"/>
          </w:tcPr>
          <w:p>
            <w:pPr>
              <w:jc w:val="center"/>
              <w:ind w:left="1210"/>
              <w:spacing w:after="0"/>
              <w:rPr>
                <w:sz w:val="20"/>
                <w:szCs w:val="20"/>
                <w:color w:val="auto"/>
              </w:rPr>
            </w:pPr>
            <w:r>
              <w:rPr>
                <w:rFonts w:ascii="Arial" w:cs="Arial" w:eastAsia="Arial" w:hAnsi="Arial"/>
                <w:sz w:val="18"/>
                <w:szCs w:val="18"/>
                <w:color w:val="auto"/>
                <w:w w:val="94"/>
              </w:rPr>
              <w:t>80%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2007</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Property Sold</w:t>
            </w:r>
          </w:p>
        </w:tc>
        <w:tc>
          <w:tcPr>
            <w:tcW w:w="27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Change in Estimate</w:t>
            </w:r>
          </w:p>
        </w:tc>
        <w:tc>
          <w:tcPr>
            <w:tcW w:w="2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991</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272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1"/>
              </w:rPr>
              <w:t>100%</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At December 31, 2007</w:t>
            </w:r>
          </w:p>
        </w:tc>
        <w:tc>
          <w:tcPr>
            <w:tcW w:w="27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3,436</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3,154</w:t>
            </w:r>
          </w:p>
        </w:tc>
        <w:tc>
          <w:tcPr>
            <w:tcW w:w="1560" w:type="dxa"/>
            <w:vAlign w:val="bottom"/>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Sold</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 in Estimate</w:t>
            </w: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3,436</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Ormond Crossings</w:t>
            </w:r>
          </w:p>
        </w:tc>
        <w:tc>
          <w:tcPr>
            <w:tcW w:w="2720" w:type="dxa"/>
            <w:vAlign w:val="bottom"/>
          </w:tcPr>
          <w:p>
            <w:pPr>
              <w:jc w:val="center"/>
              <w:ind w:left="1210"/>
              <w:spacing w:after="0"/>
              <w:rPr>
                <w:sz w:val="20"/>
                <w:szCs w:val="20"/>
                <w:color w:val="auto"/>
              </w:rPr>
            </w:pPr>
            <w:r>
              <w:rPr>
                <w:rFonts w:ascii="Arial" w:cs="Arial" w:eastAsia="Arial" w:hAnsi="Arial"/>
                <w:sz w:val="18"/>
                <w:szCs w:val="18"/>
                <w:color w:val="auto"/>
                <w:w w:val="91"/>
              </w:rPr>
              <w:t>100%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2007</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5,968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 in Estimate</w:t>
            </w: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5,968</w:t>
            </w:r>
          </w:p>
        </w:tc>
        <w:tc>
          <w:tcPr>
            <w:tcW w:w="1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10,395</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5,345,000</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minority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minority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jc w:val="both"/>
        <w:ind w:left="340" w:hanging="332"/>
        <w:spacing w:after="0" w:line="273" w:lineRule="auto"/>
        <w:tabs>
          <w:tab w:leader="none" w:pos="3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Land </w:t>
      </w:r>
      <w:r>
        <w:rPr>
          <w:rFonts w:ascii="Arial" w:cs="Arial" w:eastAsia="Arial" w:hAnsi="Arial"/>
          <w:sz w:val="18"/>
          <w:szCs w:val="18"/>
          <w:b w:val="1"/>
          <w:bCs w:val="1"/>
          <w:i w:val="1"/>
          <w:i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For the Six Months Ended</w:t>
            </w: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Non-</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2008</w:t>
            </w:r>
          </w:p>
        </w:tc>
        <w:tc>
          <w:tcPr>
            <w:tcW w:w="2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Mixed Use</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residential</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Agricultural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 December 31, 2007</w:t>
            </w: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Property Sold</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Change in Estimate</w:t>
            </w: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1,522</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minority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Other land includes land located in Palm Coast, Florida not included in development projects, Lehigh and Cape Coral.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(Continued)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June 30, 2008, total pending land sales under contract were $22.5 million ($55.2 million at December 31, 2007) and are scheduled to close at various times through 2012. Pending contracts at Town Center include 280,000 non-residential square feet totaling $8.6 million and 390 residential units totaling $7.9 million. Pending contracts at Palm Coast Park include 200 residential units totaling $3.0 million. Other Land pending contracts include 122 acres totaling $3.0 million. Prices on the pending contracts range from $20 to $31 per non-residential square foot, $15,000 to $25,000 per residential unit and $11,200 to $240,700 per acre for all other properties. Prices per acre are stated on a gross acreage basis and are dependent on the type and location of the properties sold. The majority of the Other Land under contract are zoned non-residential or mixed use. Certain contracts allow us to receive participation revenue from land sales to third parties if various formula-based criteria are achieved. In July 2008, a $28.9 million contract with LDD Palm Coast North LLC, a subsidiary of Lowe Enterprises was terminated, and a $0.6 million contract deposit was forfeited. This contract is not included in pending contracts at June 30, 2008. We are currently reviewing the best options to proceed with this property. We believe this property, along with the remaining property at our Palm Coast Park development project, continues to have long-term value.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continue to have discussions with other buyers under pending contracts. Our objective is to proactively assist our buyers through this current period of weak market conditions, as we believe the long-term prospects for our properties are favorable. Our discussions sometimes result in adjustments to contract terms, and may include extending closing dates, revised pricing or termination.</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2008, we had $2.7 million of deferred profit on sales of real estate, before taxes and minority interest, on our balance sheet. All of the deferred profit relates to Town Center and is expected to be recognized in 2008 as the remaining development obligations are completed.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At June 30, 2008 our cash and cash equivalents balance was approximately $99 million and our debt to total capital ratio was approximately 42 percent.</w:t>
      </w:r>
    </w:p>
    <w:p>
      <w:pPr>
        <w:spacing w:after="0" w:line="2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flow from operating activities was $53.6 million for the six months ended June 30, 2008 ($51.1 million for the six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2007). Despite lower net income, cash from operating activities was up slightly primarily due to a decrease in working capital requirements in the first six months of 2008 compared to the same period in 2007. The decrease in working capital was primarily related to the collection of customer receivables which were higher at December 31, 2007 as a result of colder weather, and lower deferred purchased power costs at June 30, 2008, compared to June 30, 2007. Partially offsetting the decrease in working capital requirements were higher contributions to our pension and postretirement health plans of $14.1 million in the first six months of 2008 compared to the same period in 2007.</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flow used for investing activities was $96.6 million for the six months ended June 30, 2008 ($101.1 million for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2007). Cash used for investing activities was slightly less than 2007 because increased capital additions to property, plant, and equipment were mostly offset by proceeds from the sale of our retail shopping center in Winter Haven, Florida, fewer purchases of auction rate securities reflecting current market conditions and fewer capital contributions to ATC.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flow from financing activities was $118.8 million for the six months ended June 30, 2008 ($42.3 million for the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2007). The increase in cash flow from financing activities resulted from the issuance of first mortgage bonds of $60 million in February 2008, and $75 million in May 2008.</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the sale of commercial paper. We have 1.0 million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of our common stock available for issuance through </w:t>
      </w:r>
      <w:r>
        <w:rPr>
          <w:rFonts w:ascii="Arial" w:cs="Arial" w:eastAsia="Arial" w:hAnsi="Arial"/>
          <w:sz w:val="18"/>
          <w:szCs w:val="18"/>
          <w:i w:val="1"/>
          <w:iCs w:val="1"/>
          <w:color w:val="auto"/>
        </w:rPr>
        <w:t>Invest Direct</w:t>
      </w:r>
      <w:r>
        <w:rPr>
          <w:rFonts w:ascii="Arial" w:cs="Arial" w:eastAsia="Arial" w:hAnsi="Arial"/>
          <w:sz w:val="18"/>
          <w:szCs w:val="18"/>
          <w:color w:val="auto"/>
        </w:rPr>
        <w:t>, our direct stock purchase and dividend reinvestment plan. Additionally, we have 2.4 million original issue shares of common stock available for issuance through a Distribution Agreement with KCCI, Inc. We have bank lines of credit aggregating $176.0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Auction Rate Securities. </w:t>
      </w:r>
      <w:r>
        <w:rPr>
          <w:rFonts w:ascii="Arial" w:cs="Arial" w:eastAsia="Arial" w:hAnsi="Arial"/>
          <w:sz w:val="17"/>
          <w:szCs w:val="17"/>
          <w:color w:val="auto"/>
        </w:rPr>
        <w:t>As of June 30, 2008, we held $19.3 million of investments ($23.1 million at December 31, 2007) consisting of three auction rate</w:t>
      </w:r>
      <w:r>
        <w:rPr>
          <w:rFonts w:ascii="Arial" w:cs="Arial" w:eastAsia="Arial" w:hAnsi="Arial"/>
          <w:sz w:val="17"/>
          <w:szCs w:val="17"/>
          <w:b w:val="1"/>
          <w:bCs w:val="1"/>
          <w:color w:val="auto"/>
        </w:rPr>
        <w:t xml:space="preserve"> </w:t>
      </w:r>
      <w:r>
        <w:rPr>
          <w:rFonts w:ascii="Arial" w:cs="Arial" w:eastAsia="Arial" w:hAnsi="Arial"/>
          <w:sz w:val="17"/>
          <w:szCs w:val="17"/>
          <w:color w:val="auto"/>
        </w:rPr>
        <w:t>municipal bonds with stated maturity dates ranging between 16 and 28 years. These auction rate securities consist of guaranteed student loans insured or reinsured by the federal government. These auction rate securities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our auction rate securities. Until called by the issuer or liquidity returns to the auction market, these securities will pay a default rate which is typically above market interest rates. As a result, we have classified the auction rate securities as long-term investments and we have the ability to hold these securities to maturity, or until liquidity returns to this market, therefore, no other than temporary impairment adjustment was recorded. Our auction rate securities are recorded at face value, which we believe approximates fair market value. See Note 12 – Recurring Fair Value Measures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2008, we issued $60 million in principal amount of First Mortgage Bonds, 4.86% Series due April 1, 2013, in the private 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2008, we issued $75 million in principal amount of First Mortgage Bonds, 6.02% Series due May 1, 2023, in the private 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19, 2008, we entered into a Distribution Agreement with KCCI, Inc. with respect to the issuance and sale of up to 2.5 million shares of our common stock, without par value. The shares may be offered for sale, from time to time, in accordance with the terms of the Distribution Agreement, which terminates on June 30, 2009. As of June 30, 2008, 125,000 shares of common stock have been issued under this agreement resulting in net proceeds of $5.6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 are summarized in our 2007 Form 10-K, with additional disclosure discussed in Note 11 of this Form 10-Q.</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2008, capital expenditures totaled $144.3 million ($71.3 million at June 30, 2007). The expenditures were primarily made in the Regulated Utility segment. Internally generated funds and additional debt were the primary sources of funding.</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Real estate development expenditures are and will be funded with a revolving development loan and tax-exempt bonds issued by community development districts. Additional disclosure regarding the Town Center district and Palm Coast Park district tax-exempt bonds is included in Note 11 of this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11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of this Form 10-Q.</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As of June 30, 2008, our available-for-sale securities portfolio consisted of securities in a grantor trust, established to fund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employee benefits, and auction rate securities. Our available-for-sale securities portfolio had a fair value of $44.8 million at June 30, 2008 ($39.7 million at December 31, 2007), and a total unrealized after-tax gain of $0.6 million at June 30, 2008 ($5.1 million at December 31, 2007). See Note 3 – Investments for additional information.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the specific identification method as the basis for determining the cost of securities sold. Our policy is to review, on a quarterly basis, available-for-sale securities for other than temporary impairment by assessing such factors as share price trends and the impact of overall market conditions. As a result of our periodic assessments, we did not record any impairments on our available-for-sale securities for the quarter ended June 30, 2008.</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Emerging Technology Portfolio. </w:t>
      </w:r>
      <w:r>
        <w:rPr>
          <w:rFonts w:ascii="Arial" w:cs="Arial" w:eastAsia="Arial" w:hAnsi="Arial"/>
          <w:sz w:val="17"/>
          <w:szCs w:val="17"/>
          <w:color w:val="auto"/>
        </w:rPr>
        <w:t>As part of our emerging technology portfolio, we have several minority investments in venture capital funds and direct</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in privately-held, start-up companies. We account for our investment in venture capital funds under the equity method and account for our direct investments in privately-held companies under the cost method because of our ownership percentage. The total carrying value of our emerging technology portfolio was $7.4 million at June 30, 2008 ($7.9 million at December 31, 2007). Our policy is to review these investments quarterly for impairment by assessing such factors as continued commercial viability of products, cash flow and earnings. Any impairment would reduce the carrying value of the investment. Due to the distribution of investments from matured venture capital funds, our basis in direct investments in privately-held companies included in the emerging technology portfolio was $1.2 million at June 30, 2008 ($1.2 million at December 31, 2007). No impairments were recorded in the quarter ended June 30, 2008. In 2007, we recorded $0.5 million ($0.3 million after tax) of impairments related to our venture capital funds whose future business prospects had significantly diminished. Developments at these companies indicated that future commercial viability was unlikely, as was new financing necessary to continue development.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resulted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power marketing activities consist of (1) purchasing energy in the wholesale market for resale in our regulated service territories when retail energy requirements exceed generation output and (2) selling excess available energy and purchased power.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our utility operations may have excess energy that is temporarily not required by retail and municipal customers in our regulated service territory. We actively sell this energy to the wholesale market to optimize the value of our generating facilities. This energy is typically sold in the MISO market at market prices.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Approximately 200 MW of capacity and energy from our Taconite Harbor facility in northern Minnesota has been sold through various long-term capacity and energy contracts. We have two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2008,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While we continue to enhance our internal control over financial reporting, there has been no change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Material legal and regulatory proceedings are included in the discussion of Other Information in Part II, Item 5 and/or Note 11 of this Form 10-Q, and are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disclosed under the heading “Risk Factors” in Part I, Item 1A of our 2007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held our Annual Meeting of Shareholders on May 13, 2008.</w:t>
      </w:r>
    </w:p>
    <w:p>
      <w:pPr>
        <w:spacing w:after="0" w:line="252" w:lineRule="exact"/>
        <w:rPr>
          <w:rFonts w:ascii="Arial" w:cs="Arial" w:eastAsia="Arial" w:hAnsi="Arial"/>
          <w:sz w:val="18"/>
          <w:szCs w:val="18"/>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 below.</w:t>
      </w:r>
    </w:p>
    <w:p>
      <w:pPr>
        <w:spacing w:after="0" w:line="252"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election of directors and the ratification of the appointment of PricewaterhouseCoopers LLP, as the Company’s independent registered public accounting firm for 2008, were voted on at the 2008 Annual Meeting of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7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Votes For</w:t>
            </w:r>
          </w:p>
        </w:tc>
        <w:tc>
          <w:tcPr>
            <w:tcW w:w="5840" w:type="dxa"/>
            <w:vAlign w:val="bottom"/>
            <w:tcBorders>
              <w:bottom w:val="single" w:sz="8" w:color="auto"/>
            </w:tcBorders>
            <w:shd w:val="clear" w:color="auto" w:fill="CCEEFF"/>
          </w:tcPr>
          <w:p>
            <w:pPr>
              <w:jc w:val="right"/>
              <w:ind w:right="4630"/>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Kathleen A. Brekken</w:t>
            </w:r>
          </w:p>
        </w:tc>
        <w:tc>
          <w:tcPr>
            <w:tcW w:w="2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25,789,279</w:t>
            </w:r>
          </w:p>
        </w:tc>
        <w:tc>
          <w:tcPr>
            <w:tcW w:w="584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rPr>
              <w:t>440,619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Heidi J. Eddins</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25,818,479</w:t>
            </w:r>
          </w:p>
        </w:tc>
        <w:tc>
          <w:tcPr>
            <w:tcW w:w="5840" w:type="dxa"/>
            <w:vAlign w:val="bottom"/>
          </w:tcPr>
          <w:p>
            <w:pPr>
              <w:jc w:val="right"/>
              <w:ind w:right="4390"/>
              <w:spacing w:after="0"/>
              <w:rPr>
                <w:sz w:val="20"/>
                <w:szCs w:val="20"/>
                <w:color w:val="auto"/>
              </w:rPr>
            </w:pPr>
            <w:r>
              <w:rPr>
                <w:rFonts w:ascii="Arial" w:cs="Arial" w:eastAsia="Arial" w:hAnsi="Arial"/>
                <w:sz w:val="18"/>
                <w:szCs w:val="18"/>
                <w:color w:val="auto"/>
              </w:rPr>
              <w:t>411,418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Sidney W. Emery, Jr.</w:t>
            </w:r>
          </w:p>
        </w:tc>
        <w:tc>
          <w:tcPr>
            <w:tcW w:w="2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25,763,512</w:t>
            </w:r>
          </w:p>
        </w:tc>
        <w:tc>
          <w:tcPr>
            <w:tcW w:w="584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rPr>
              <w:t>466,385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James J. Hoolihan</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25,642,406</w:t>
            </w:r>
          </w:p>
        </w:tc>
        <w:tc>
          <w:tcPr>
            <w:tcW w:w="5840" w:type="dxa"/>
            <w:vAlign w:val="bottom"/>
          </w:tcPr>
          <w:p>
            <w:pPr>
              <w:jc w:val="right"/>
              <w:ind w:right="4390"/>
              <w:spacing w:after="0"/>
              <w:rPr>
                <w:sz w:val="20"/>
                <w:szCs w:val="20"/>
                <w:color w:val="auto"/>
              </w:rPr>
            </w:pPr>
            <w:r>
              <w:rPr>
                <w:rFonts w:ascii="Arial" w:cs="Arial" w:eastAsia="Arial" w:hAnsi="Arial"/>
                <w:sz w:val="18"/>
                <w:szCs w:val="18"/>
                <w:color w:val="auto"/>
              </w:rPr>
              <w:t>587,491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Madeleine W. Ludlow</w:t>
            </w:r>
          </w:p>
        </w:tc>
        <w:tc>
          <w:tcPr>
            <w:tcW w:w="2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25,798,163</w:t>
            </w:r>
          </w:p>
        </w:tc>
        <w:tc>
          <w:tcPr>
            <w:tcW w:w="584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rPr>
              <w:t>431,735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George L. Mayer</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25,579,979</w:t>
            </w:r>
          </w:p>
        </w:tc>
        <w:tc>
          <w:tcPr>
            <w:tcW w:w="5840" w:type="dxa"/>
            <w:vAlign w:val="bottom"/>
          </w:tcPr>
          <w:p>
            <w:pPr>
              <w:jc w:val="right"/>
              <w:ind w:right="4390"/>
              <w:spacing w:after="0"/>
              <w:rPr>
                <w:sz w:val="20"/>
                <w:szCs w:val="20"/>
                <w:color w:val="auto"/>
              </w:rPr>
            </w:pPr>
            <w:r>
              <w:rPr>
                <w:rFonts w:ascii="Arial" w:cs="Arial" w:eastAsia="Arial" w:hAnsi="Arial"/>
                <w:sz w:val="18"/>
                <w:szCs w:val="18"/>
                <w:color w:val="auto"/>
              </w:rPr>
              <w:t>649,918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Douglas C. Neve</w:t>
            </w:r>
          </w:p>
        </w:tc>
        <w:tc>
          <w:tcPr>
            <w:tcW w:w="2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25,806,797</w:t>
            </w:r>
          </w:p>
        </w:tc>
        <w:tc>
          <w:tcPr>
            <w:tcW w:w="584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rPr>
              <w:t>423,101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Jack I. Rajala</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22,788,818</w:t>
            </w:r>
          </w:p>
        </w:tc>
        <w:tc>
          <w:tcPr>
            <w:tcW w:w="5840" w:type="dxa"/>
            <w:vAlign w:val="bottom"/>
          </w:tcPr>
          <w:p>
            <w:pPr>
              <w:jc w:val="right"/>
              <w:ind w:right="4390"/>
              <w:spacing w:after="0"/>
              <w:rPr>
                <w:sz w:val="20"/>
                <w:szCs w:val="20"/>
                <w:color w:val="auto"/>
              </w:rPr>
            </w:pPr>
            <w:r>
              <w:rPr>
                <w:rFonts w:ascii="Arial" w:cs="Arial" w:eastAsia="Arial" w:hAnsi="Arial"/>
                <w:sz w:val="18"/>
                <w:szCs w:val="18"/>
                <w:color w:val="auto"/>
              </w:rPr>
              <w:t>3,441,080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Donald J. Shippar</w:t>
            </w:r>
          </w:p>
        </w:tc>
        <w:tc>
          <w:tcPr>
            <w:tcW w:w="2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25,519,341</w:t>
            </w:r>
          </w:p>
        </w:tc>
        <w:tc>
          <w:tcPr>
            <w:tcW w:w="584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rPr>
              <w:t>710,557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Bruce W. Stender</w:t>
            </w:r>
          </w:p>
        </w:tc>
        <w:tc>
          <w:tcPr>
            <w:tcW w:w="2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25,564,416</w:t>
            </w:r>
          </w:p>
        </w:tc>
        <w:tc>
          <w:tcPr>
            <w:tcW w:w="5840" w:type="dxa"/>
            <w:vAlign w:val="bottom"/>
            <w:tcBorders>
              <w:bottom w:val="single" w:sz="8" w:color="auto"/>
            </w:tcBorders>
          </w:tcPr>
          <w:p>
            <w:pPr>
              <w:jc w:val="right"/>
              <w:ind w:right="4390"/>
              <w:spacing w:after="0"/>
              <w:rPr>
                <w:sz w:val="20"/>
                <w:szCs w:val="20"/>
                <w:color w:val="auto"/>
              </w:rPr>
            </w:pPr>
            <w:r>
              <w:rPr>
                <w:rFonts w:ascii="Arial" w:cs="Arial" w:eastAsia="Arial" w:hAnsi="Arial"/>
                <w:sz w:val="18"/>
                <w:szCs w:val="18"/>
                <w:color w:val="auto"/>
              </w:rPr>
              <w:t>665,482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81"/>
              </w:rPr>
              <w:t>Votes</w:t>
            </w:r>
          </w:p>
        </w:tc>
        <w:tc>
          <w:tcPr>
            <w:tcW w:w="2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2"/>
              </w:rPr>
              <w:t>Broker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6"/>
              </w:rPr>
              <w:t>Votes For</w:t>
            </w:r>
          </w:p>
        </w:tc>
        <w:tc>
          <w:tcPr>
            <w:tcW w:w="1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Against</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7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7"/>
              </w:rPr>
              <w:t>Nonvotes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Registered</w:t>
            </w:r>
          </w:p>
        </w:tc>
        <w:tc>
          <w:tcPr>
            <w:tcW w:w="2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Public Accounting Firm</w:t>
            </w:r>
          </w:p>
        </w:tc>
        <w:tc>
          <w:tcPr>
            <w:tcW w:w="2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PricewaterhouseCoopers LLP</w:t>
            </w:r>
          </w:p>
        </w:tc>
        <w:tc>
          <w:tcPr>
            <w:tcW w:w="2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25,600,582</w:t>
            </w:r>
          </w:p>
        </w:tc>
        <w:tc>
          <w:tcPr>
            <w:tcW w:w="1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465,037</w:t>
            </w:r>
          </w:p>
        </w:tc>
        <w:tc>
          <w:tcPr>
            <w:tcW w:w="23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164,276</w:t>
            </w:r>
          </w:p>
        </w:tc>
        <w:tc>
          <w:tcPr>
            <w:tcW w:w="17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702"/>
        </w:trPr>
        <w:tc>
          <w:tcPr>
            <w:tcW w:w="520" w:type="dxa"/>
            <w:vAlign w:val="bottom"/>
            <w:gridSpan w:val="2"/>
          </w:tcPr>
          <w:p>
            <w:pPr>
              <w:spacing w:after="0"/>
              <w:rPr>
                <w:sz w:val="20"/>
                <w:szCs w:val="20"/>
                <w:color w:val="auto"/>
              </w:rPr>
            </w:pPr>
            <w:r>
              <w:rPr>
                <w:rFonts w:ascii="Arial" w:cs="Arial" w:eastAsia="Arial" w:hAnsi="Arial"/>
                <w:sz w:val="18"/>
                <w:szCs w:val="18"/>
                <w:color w:val="auto"/>
              </w:rPr>
              <w:t>(d)</w:t>
            </w:r>
          </w:p>
        </w:tc>
        <w:tc>
          <w:tcPr>
            <w:tcW w:w="2660" w:type="dxa"/>
            <w:vAlign w:val="bottom"/>
          </w:tcPr>
          <w:p>
            <w:pPr>
              <w:ind w:left="300"/>
              <w:spacing w:after="0"/>
              <w:rPr>
                <w:sz w:val="20"/>
                <w:szCs w:val="20"/>
                <w:color w:val="auto"/>
              </w:rPr>
            </w:pPr>
            <w:r>
              <w:rPr>
                <w:rFonts w:ascii="Arial" w:cs="Arial" w:eastAsia="Arial" w:hAnsi="Arial"/>
                <w:sz w:val="18"/>
                <w:szCs w:val="18"/>
                <w:color w:val="auto"/>
              </w:rPr>
              <w:t>Not applicable.</w:t>
            </w:r>
          </w:p>
        </w:tc>
        <w:tc>
          <w:tcPr>
            <w:tcW w:w="2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our 2007 Form 10-K for background information on the following updates. Unless otherwise indicated, cited references are to our 2007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 Page 13 – Energy-Regulated Utility, Federal Energy Regulatory Commission – First Paragraph</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Ancillary Services Market (ASM). </w:t>
      </w:r>
      <w:r>
        <w:rPr>
          <w:rFonts w:ascii="Arial" w:cs="Arial" w:eastAsia="Arial" w:hAnsi="Arial"/>
          <w:sz w:val="18"/>
          <w:szCs w:val="18"/>
          <w:color w:val="auto"/>
        </w:rPr>
        <w:t>In February 2007, MISO filed revisions to its tariff aimed at establishing a market for energy and operating reserves.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2008, FERC issued its </w:t>
      </w:r>
      <w:r>
        <w:rPr>
          <w:rFonts w:ascii="Arial" w:cs="Arial" w:eastAsia="Arial" w:hAnsi="Arial"/>
          <w:sz w:val="18"/>
          <w:szCs w:val="18"/>
          <w:i w:val="1"/>
          <w:iCs w:val="1"/>
          <w:color w:val="auto"/>
        </w:rPr>
        <w:t>Order on Ancillary Services Filing.</w:t>
      </w:r>
      <w:r>
        <w:rPr>
          <w:rFonts w:ascii="Arial" w:cs="Arial" w:eastAsia="Arial" w:hAnsi="Arial"/>
          <w:sz w:val="18"/>
          <w:szCs w:val="18"/>
          <w:color w:val="auto"/>
        </w:rPr>
        <w:t xml:space="preserve"> MISO intends to launch the ASM market on September 9, 2008. In May 2008, Minnesota Power and the other investor-owned utilities in Minnesota prepared a joint filing seeking MPUC approval for the authority to account for costs and revenues that have been instituted by the ASM market. Comments on the joint filing were received in early July 2008, and replies have been filed. The new ASM market is not expected to have a material impact on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Ref. Page 13 – Energy - Regulated Utility, Minnesota Public Utilities Commission – First Paragraph</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requested rate increase would generate approximately $45 million in additional revenue. On July 21, 2008, the MPUC issued an order authorizing interim rates effective August 1, 2008 Interim rates will result in an average increase of approximately 7.5 percent for retail customers subject to refund pending the final rate order. Incremental revenue in 2008 from the interim Minnesota retail rate increase is expected to be approximately $13 million. A prehearing conference is scheduled for August 12, 2008, to discuss scheduling for the remainder of the rate case. The final rate order is expected in the second quarter of 2009. We cannot predict the amount of any rate increase the MPUC may approve.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Ref. Page 13 – Energy-Regulated Utility, Minnesota Public Utilities Commission – Second Paragraph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On October 31, 2007, we filed our IRP, a comprehensive estimate of future capacity needs within the Minnesota Power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territory. On July 25, 2008, we filed a request with the MPUC for approval to re-file our IRP by October 1, 2009, in order to incorporate the North Dakota wind project and otherwise update our load forecasting and modeling in the IRP.</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5. OTHER INFORMATION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 Page 14 – Energy-Regulated Utility, Public Service Commission of Wisconsin – First Paragraph</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SWL&amp;P’s current retail rates are based on a 2006 PSCW retail rate order, effective January 1, 2007. On May 14, 2008, SWL&amp;P filed a rate increase request with the PSCW seeking an average increase of approximately 5 percent for retail customers. The rate filing seeks an overall return on equity of 11.5 percent, and a capital structure consisting of 57.1 percent equity and 42.9 percent debt. On an annualized basis, the requested rate increase would generate approximately $4 million in additional revenue. Evidentiary and public hearings are scheduled for October 2008. The Company anticipates new rates will take effect in January 2009. We cannot predict the amount of any rate increase the PSCW may approve.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Ref. Page 19 – Environmental Matters - Air – Second Paragraph</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EPA Clean Air Interstate Rule. </w:t>
      </w:r>
      <w:r>
        <w:rPr>
          <w:rFonts w:ascii="Arial" w:cs="Arial" w:eastAsia="Arial" w:hAnsi="Arial"/>
          <w:sz w:val="18"/>
          <w:szCs w:val="18"/>
          <w:color w:val="auto"/>
        </w:rPr>
        <w:t>In March 2005, the EPA announced the Clean Air Interstate Rule (CAIR) that sought to reduce and permanently cap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particulates in the eastern United States. The CAIR included Minnesota as one of the 28 states it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the Minnesota Power petition that the EPA reconsider the inclusion of Minnesota as a CAIR state. Absent legal interventions that stay the Court decision, Minnesota and other states are no longer subject to CAIR requirements. It is uncertain how the EPA will respond.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EPA revises the CAIR, the EPA would need to specifically justify including Minnesota with those states subject to such revised rules. If the CAIR had gone into effect, we expect we would have been required to supplement planned emission control retrofits to address regional haze concerns by providing for CAIR related emission allowance purchases, supplemental emission reductions or a combination of both. We now expect that emission reduction measures taken with AREA and Boswell Unit 3 emission control retrofits will suffice to satisfy environmental requirements for the next several years. It is speculative to consider what the EPA may choose to do to address air quality nonattainment problems in states that are required to implement measures to improve their local air quality.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Ref. Page 20 – Employees – Third Paragraph</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14, 2008, the labor agreement between BNI Coal and the International Brotherhood of Electrical Workers (IBEW) local 1593 was signed for a three year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Ref. Page 21 – Executive Officers of the Registrant</w:t>
            </w:r>
          </w:p>
        </w:tc>
        <w:tc>
          <w:tcPr>
            <w:tcW w:w="5940" w:type="dxa"/>
            <w:vAlign w:val="bottom"/>
          </w:tcPr>
          <w:p>
            <w:pPr>
              <w:spacing w:after="0"/>
              <w:rPr>
                <w:sz w:val="20"/>
                <w:szCs w:val="20"/>
                <w:color w:val="auto"/>
              </w:rPr>
            </w:pPr>
          </w:p>
        </w:tc>
      </w:tr>
      <w:tr>
        <w:trPr>
          <w:trHeight w:val="466"/>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Executive Officer</w:t>
            </w:r>
          </w:p>
        </w:tc>
        <w:tc>
          <w:tcPr>
            <w:tcW w:w="59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Initial Effective Date</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b w:val="1"/>
                <w:bCs w:val="1"/>
                <w:color w:val="auto"/>
              </w:rPr>
              <w:t>Robert J. Adams</w:t>
            </w:r>
            <w:r>
              <w:rPr>
                <w:rFonts w:ascii="Arial" w:cs="Arial" w:eastAsia="Arial" w:hAnsi="Arial"/>
                <w:sz w:val="18"/>
                <w:szCs w:val="18"/>
                <w:color w:val="auto"/>
              </w:rPr>
              <w:t>, Age 45</w:t>
            </w:r>
          </w:p>
        </w:tc>
        <w:tc>
          <w:tcPr>
            <w:tcW w:w="5940" w:type="dxa"/>
            <w:vAlign w:val="bottom"/>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Vice President – Business Development and Chief Risk Officer</w:t>
            </w:r>
          </w:p>
        </w:tc>
        <w:tc>
          <w:tcPr>
            <w:tcW w:w="5940" w:type="dxa"/>
            <w:vAlign w:val="bottom"/>
          </w:tcPr>
          <w:p>
            <w:pPr>
              <w:ind w:left="920"/>
              <w:spacing w:after="0"/>
              <w:rPr>
                <w:sz w:val="20"/>
                <w:szCs w:val="20"/>
                <w:color w:val="auto"/>
              </w:rPr>
            </w:pPr>
            <w:r>
              <w:rPr>
                <w:rFonts w:ascii="Arial" w:cs="Arial" w:eastAsia="Arial" w:hAnsi="Arial"/>
                <w:sz w:val="18"/>
                <w:szCs w:val="18"/>
                <w:color w:val="auto"/>
              </w:rPr>
              <w:t>May 13, 2008</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Vice President – Utility Business Development</w:t>
            </w:r>
          </w:p>
        </w:tc>
        <w:tc>
          <w:tcPr>
            <w:tcW w:w="5940" w:type="dxa"/>
            <w:vAlign w:val="bottom"/>
          </w:tcPr>
          <w:p>
            <w:pPr>
              <w:ind w:left="920"/>
              <w:spacing w:after="0"/>
              <w:rPr>
                <w:sz w:val="20"/>
                <w:szCs w:val="20"/>
                <w:color w:val="auto"/>
              </w:rPr>
            </w:pPr>
            <w:r>
              <w:rPr>
                <w:rFonts w:ascii="Arial" w:cs="Arial" w:eastAsia="Arial" w:hAnsi="Arial"/>
                <w:sz w:val="18"/>
                <w:szCs w:val="18"/>
                <w:color w:val="auto"/>
              </w:rPr>
              <w:t>February 01, 2004</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38" w:lineRule="exact"/>
        <w:rPr>
          <w:sz w:val="20"/>
          <w:szCs w:val="20"/>
          <w:color w:val="auto"/>
        </w:rPr>
      </w:pPr>
    </w:p>
    <w:p>
      <w:pPr>
        <w:ind w:left="960" w:right="660" w:hanging="709"/>
        <w:spacing w:after="0" w:line="277" w:lineRule="auto"/>
        <w:tabs>
          <w:tab w:leader="none" w:pos="960" w:val="left"/>
        </w:tabs>
        <w:numPr>
          <w:ilvl w:val="0"/>
          <w:numId w:val="12"/>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Twenty-Eighth Supplemental Indenture, dated as of May 1, 2008, between ALLETE and The Bank of New York Mellon and Douglas J. MacInnes, as Trustees.</w:t>
      </w:r>
    </w:p>
    <w:p>
      <w:pPr>
        <w:spacing w:after="0" w:line="197"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u w:val="single" w:color="auto"/>
          <w:color w:val="0000EE"/>
        </w:rPr>
        <w:t>31(a)</w:t>
      </w:r>
      <w:r>
        <w:rPr>
          <w:sz w:val="20"/>
          <w:szCs w:val="20"/>
          <w:color w:val="auto"/>
        </w:rPr>
        <w:tab/>
      </w:r>
      <w:r>
        <w:rPr>
          <w:rFonts w:ascii="Arial" w:cs="Arial" w:eastAsia="Arial" w:hAnsi="Arial"/>
          <w:sz w:val="16"/>
          <w:szCs w:val="16"/>
          <w:u w:val="single" w:color="auto"/>
          <w:color w:val="0000EE"/>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u w:val="single" w:color="auto"/>
          <w:color w:val="0000EE"/>
        </w:rPr>
        <w:t>31(b)</w:t>
      </w:r>
      <w:r>
        <w:rPr>
          <w:sz w:val="20"/>
          <w:szCs w:val="20"/>
          <w:color w:val="auto"/>
        </w:rPr>
        <w:tab/>
      </w:r>
      <w:r>
        <w:rPr>
          <w:rFonts w:ascii="Arial" w:cs="Arial" w:eastAsia="Arial" w:hAnsi="Arial"/>
          <w:sz w:val="16"/>
          <w:szCs w:val="16"/>
          <w:u w:val="single" w:color="auto"/>
          <w:color w:val="0000EE"/>
        </w:rPr>
        <w:t>Rule 13a-14(a)/15d-14(a) Certification by the Chief Financial Officer Pursuant to Section 302 of the Sarbanes-Oxley Act of 2002.</w:t>
      </w:r>
    </w:p>
    <w:p>
      <w:pPr>
        <w:spacing w:after="0" w:line="252" w:lineRule="exact"/>
        <w:rPr>
          <w:sz w:val="20"/>
          <w:szCs w:val="20"/>
          <w:color w:val="auto"/>
        </w:rPr>
      </w:pPr>
    </w:p>
    <w:p>
      <w:pPr>
        <w:ind w:left="960" w:right="680" w:hanging="709"/>
        <w:spacing w:after="0" w:line="277" w:lineRule="auto"/>
        <w:tabs>
          <w:tab w:leader="none" w:pos="960" w:val="left"/>
        </w:tabs>
        <w:numPr>
          <w:ilvl w:val="0"/>
          <w:numId w:val="13"/>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Section 1350 Certification of Periodic Report by the Chief Executive Officer and Chief Financial Officer Pursuant to Section 906 of the Sarbanes-Oxley Act of 2002.</w:t>
      </w:r>
    </w:p>
    <w:p>
      <w:pPr>
        <w:spacing w:after="0" w:line="193" w:lineRule="exact"/>
        <w:rPr>
          <w:sz w:val="20"/>
          <w:szCs w:val="20"/>
          <w:color w:val="auto"/>
        </w:rPr>
      </w:pPr>
    </w:p>
    <w:p>
      <w:pPr>
        <w:jc w:val="both"/>
        <w:ind w:left="960" w:right="240" w:hanging="709"/>
        <w:spacing w:after="0" w:line="314" w:lineRule="auto"/>
        <w:tabs>
          <w:tab w:leader="none" w:pos="96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ALLETE News Release dated August 1, 2008, announcing 2008 second quarter earnings.</w:t>
      </w:r>
      <w:r>
        <w:rPr>
          <w:rFonts w:ascii="Arial" w:cs="Arial" w:eastAsia="Arial" w:hAnsi="Arial"/>
          <w:sz w:val="16"/>
          <w:szCs w:val="16"/>
          <w:color w:val="0000EE"/>
        </w:rPr>
        <w:t xml:space="preserve"> </w:t>
      </w:r>
      <w:r>
        <w:rPr>
          <w:rFonts w:ascii="Arial" w:cs="Arial" w:eastAsia="Arial" w:hAnsi="Arial"/>
          <w:sz w:val="16"/>
          <w:szCs w:val="16"/>
          <w:b w:val="1"/>
          <w:bCs w:val="1"/>
          <w:color w:val="000000"/>
        </w:rPr>
        <w:t>(This exhibit has been furnished and shall not be</w:t>
      </w:r>
      <w:r>
        <w:rPr>
          <w:rFonts w:ascii="Arial" w:cs="Arial" w:eastAsia="Arial" w:hAnsi="Arial"/>
          <w:sz w:val="16"/>
          <w:szCs w:val="16"/>
          <w:color w:val="0000EE"/>
        </w:rPr>
        <w:t xml:space="preserve"> </w:t>
      </w:r>
      <w:r>
        <w:rPr>
          <w:rFonts w:ascii="Arial" w:cs="Arial" w:eastAsia="Arial" w:hAnsi="Arial"/>
          <w:sz w:val="16"/>
          <w:szCs w:val="16"/>
          <w:b w:val="1"/>
          <w:bCs w:val="1"/>
          <w:color w:val="000000"/>
        </w:rPr>
        <w:t>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August 1, 2008</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August 1, 2008</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Donald J. Shippar, of ALLETE, Inc. (ALLETE),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2008,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August 1, 2008</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2008,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August 1, 2008</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June 30, 2008,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August 1, 2008</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August 1, 2008</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w:t>
      </w:r>
    </w:p>
    <w:p>
      <w:pPr>
        <w:spacing w:after="0" w:line="297"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August 1, 2008</w:t>
      </w:r>
    </w:p>
    <w:p>
      <w:pPr>
        <w:spacing w:after="0" w:line="63" w:lineRule="exact"/>
        <w:rPr>
          <w:sz w:val="20"/>
          <w:szCs w:val="20"/>
          <w:color w:val="auto"/>
        </w:rPr>
      </w:pPr>
    </w:p>
    <w:p>
      <w:pPr>
        <w:jc w:val="both"/>
        <w:ind w:left="9420"/>
        <w:spacing w:after="0"/>
        <w:tabs>
          <w:tab w:leader="none" w:pos="10620" w:val="left"/>
        </w:tabs>
        <w:rPr>
          <w:sz w:val="20"/>
          <w:szCs w:val="20"/>
          <w:color w:val="auto"/>
        </w:rPr>
      </w:pPr>
      <w:r>
        <w:rPr>
          <w:rFonts w:ascii="Arial" w:cs="Arial" w:eastAsia="Arial" w:hAnsi="Arial"/>
          <w:sz w:val="18"/>
          <w:szCs w:val="18"/>
          <w:i w:val="1"/>
          <w:iCs w:val="1"/>
          <w:color w:val="auto"/>
        </w:rPr>
        <w:t>Investor:</w:t>
      </w:r>
      <w:r>
        <w:rPr>
          <w:sz w:val="20"/>
          <w:szCs w:val="20"/>
          <w:color w:val="auto"/>
        </w:rPr>
        <w:tab/>
      </w:r>
      <w:r>
        <w:rPr>
          <w:rFonts w:ascii="Arial" w:cs="Arial" w:eastAsia="Arial" w:hAnsi="Arial"/>
          <w:sz w:val="18"/>
          <w:szCs w:val="18"/>
          <w:color w:val="auto"/>
        </w:rPr>
        <w:t>Tim Thorp</w:t>
      </w:r>
    </w:p>
    <w:p>
      <w:pPr>
        <w:spacing w:after="0" w:line="63" w:lineRule="exact"/>
        <w:rPr>
          <w:sz w:val="20"/>
          <w:szCs w:val="20"/>
          <w:color w:val="auto"/>
        </w:rPr>
      </w:pPr>
    </w:p>
    <w:p>
      <w:pPr>
        <w:ind w:left="9440"/>
        <w:spacing w:after="0"/>
        <w:tabs>
          <w:tab w:leader="none" w:pos="10380" w:val="left"/>
        </w:tabs>
        <w:rPr>
          <w:sz w:val="20"/>
          <w:szCs w:val="20"/>
          <w:color w:val="auto"/>
        </w:rPr>
      </w:pPr>
      <w:r>
        <w:rPr>
          <w:rFonts w:ascii="Arial" w:cs="Arial" w:eastAsia="Arial" w:hAnsi="Arial"/>
          <w:sz w:val="16"/>
          <w:szCs w:val="16"/>
          <w:i w:val="1"/>
          <w:iCs w:val="1"/>
          <w:color w:val="auto"/>
        </w:rPr>
        <w:t>Contact:</w:t>
      </w:r>
      <w:r>
        <w:rPr>
          <w:sz w:val="20"/>
          <w:szCs w:val="20"/>
          <w:color w:val="auto"/>
        </w:rPr>
        <w:tab/>
      </w:r>
      <w:r>
        <w:rPr>
          <w:rFonts w:ascii="Arial" w:cs="Arial" w:eastAsia="Arial" w:hAnsi="Arial"/>
          <w:sz w:val="16"/>
          <w:szCs w:val="16"/>
          <w:color w:val="auto"/>
        </w:rPr>
        <w:t>218-723-3953</w:t>
      </w:r>
    </w:p>
    <w:p>
      <w:pPr>
        <w:spacing w:after="0" w:line="86"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tthorp@allete.com</w:t>
      </w:r>
    </w:p>
    <w:p>
      <w:pPr>
        <w:spacing w:after="0" w:line="275" w:lineRule="exact"/>
        <w:rPr>
          <w:sz w:val="20"/>
          <w:szCs w:val="20"/>
          <w:color w:val="auto"/>
        </w:rPr>
      </w:pPr>
    </w:p>
    <w:p>
      <w:pPr>
        <w:spacing w:after="0"/>
        <w:rPr>
          <w:sz w:val="20"/>
          <w:szCs w:val="20"/>
          <w:color w:val="auto"/>
        </w:rPr>
      </w:pPr>
      <w:r>
        <w:rPr>
          <w:rFonts w:ascii="Arial" w:cs="Arial" w:eastAsia="Arial" w:hAnsi="Arial"/>
          <w:sz w:val="65"/>
          <w:szCs w:val="65"/>
          <w:b w:val="1"/>
          <w:bCs w:val="1"/>
          <w:i w:val="1"/>
          <w:iCs w:val="1"/>
          <w:color w:val="auto"/>
        </w:rPr>
        <w:t>NEWS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reports second quarter earnings and reaffirms 2008 earnings guidance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ALLETE, Inc. (NYSE: ALE) today reported second quarter 2008 earnings of 37 cents per share, which were consistent with the company’s expectations.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CEO Don Shippar said the company reaffirms its previously stated earnings guidance of a range from $2.70 to $2.90 per share for 2008.</w:t>
      </w:r>
    </w:p>
    <w:p>
      <w:pPr>
        <w:spacing w:after="0" w:line="2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Second quarter 2008 net income was $10.7 million on operating revenue of $189.8 million, compared to $22.6 million of net income and $223.3 of operating revenue in the corresponding period a year ago. Last year’s results included two major property sales, resulting in net income of $11.5 million for the company’s real estate segment. Real estate income in the second quarter this year was $2.5 million, or about 31 cents per share lower than in 2007.</w:t>
      </w:r>
    </w:p>
    <w:p>
      <w:pPr>
        <w:spacing w:after="0" w:line="1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Earnings in the regulated utility segment were $5.2 million in the second quarter of 2008, compared to $6.1 million a year ago. Depreciation and interest expense were higher year-over-year as the result of a major capital expenditure program underway at Minnesota Power. Operation and maintenance expenses were also higher in 2008, and margins on sales to other power suppliers were lower.</w:t>
      </w:r>
    </w:p>
    <w:p>
      <w:pPr>
        <w:spacing w:after="0" w:line="208"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Income from ALLETE’s “Other” segment declined $2.7 million in the second quarter compared to 2007 partially due to lower earnings on cash and short-term investments. Also, in the second quarter of 2007, the “Other” segment included a positive tax audit settlement and the release from a loan guarantee.</w:t>
      </w:r>
    </w:p>
    <w:p>
      <w:pPr>
        <w:spacing w:after="0" w:line="15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expect to record positive earnings for our real estate business despite a difficult market environment,” said Shippar. “Our energy businesses are performing as we expected they would, and increased interim rates at Minnesota Power that go into effect today will begin to offset increased expenses.”</w:t>
      </w:r>
    </w:p>
    <w:p>
      <w:pPr>
        <w:spacing w:after="0" w:line="1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Shippar added that growth at Minnesota Power will continue as a result of its significant capital expenditure program and the company will also make additional investments in the American Transmission Company.</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ALLETE’s corporate headquarters are located in Duluth, Minnesota. ALLETE provides energy services in the upper Midwest and has significant real estate holdings in Florida. More information about the company is available on ALLETE’s Web site at </w:t>
      </w:r>
      <w:r>
        <w:rPr>
          <w:rFonts w:ascii="Arial" w:cs="Arial" w:eastAsia="Arial" w:hAnsi="Arial"/>
          <w:sz w:val="18"/>
          <w:szCs w:val="18"/>
          <w:u w:val="single" w:color="auto"/>
          <w:color w:val="auto"/>
        </w:rPr>
        <w:t>www.allete.com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20" w:type="dxa"/>
            <w:vAlign w:val="bottom"/>
          </w:tcPr>
          <w:p>
            <w:pPr>
              <w:jc w:val="center"/>
              <w:ind w:left="190"/>
              <w:spacing w:after="0"/>
              <w:rPr>
                <w:sz w:val="20"/>
                <w:szCs w:val="20"/>
                <w:color w:val="auto"/>
              </w:rPr>
            </w:pPr>
            <w:r>
              <w:rPr>
                <w:rFonts w:ascii="Arial" w:cs="Arial" w:eastAsia="Arial" w:hAnsi="Arial"/>
                <w:sz w:val="18"/>
                <w:szCs w:val="18"/>
                <w:b w:val="1"/>
                <w:bCs w:val="1"/>
                <w:color w:val="auto"/>
              </w:rPr>
              <w:t>ALLETE, Inc.</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4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89"/>
              </w:rPr>
              <w:t>Consolidated Statement of Income</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2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9"/>
              </w:rPr>
              <w:t>For the Periods Ended June 30, 2008 and 2007</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220" w:type="dxa"/>
            <w:vAlign w:val="bottom"/>
            <w:gridSpan w:val="3"/>
          </w:tcPr>
          <w:p>
            <w:pPr>
              <w:jc w:val="center"/>
              <w:ind w:right="190"/>
              <w:spacing w:after="0"/>
              <w:rPr>
                <w:sz w:val="20"/>
                <w:szCs w:val="20"/>
                <w:color w:val="auto"/>
              </w:rPr>
            </w:pPr>
            <w:r>
              <w:rPr>
                <w:rFonts w:ascii="Arial" w:cs="Arial" w:eastAsia="Arial" w:hAnsi="Arial"/>
                <w:sz w:val="18"/>
                <w:szCs w:val="18"/>
                <w:color w:val="auto"/>
                <w:w w:val="92"/>
              </w:rPr>
              <w:t>Millions Except Per Share Amounts-Unaudited</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19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Year to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2007</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$189.8</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$223.3</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$403.2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Fuel and Purchased Power</w:t>
            </w:r>
          </w:p>
        </w:tc>
        <w:tc>
          <w:tcPr>
            <w:tcW w:w="10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92.9</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40"/>
              <w:spacing w:after="0"/>
              <w:rPr>
                <w:sz w:val="20"/>
                <w:szCs w:val="20"/>
                <w:color w:val="auto"/>
              </w:rPr>
            </w:pPr>
            <w:r>
              <w:rPr>
                <w:rFonts w:ascii="Arial" w:cs="Arial" w:eastAsia="Arial" w:hAnsi="Arial"/>
                <w:sz w:val="18"/>
                <w:szCs w:val="18"/>
                <w:color w:val="auto"/>
              </w:rPr>
              <w:t>Operating and Maintenance</w:t>
            </w: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83.8</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84.6</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166.2</w:t>
            </w:r>
          </w:p>
        </w:tc>
        <w:tc>
          <w:tcPr>
            <w:tcW w:w="820" w:type="dxa"/>
            <w:vAlign w:val="bottom"/>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1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12.9</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171.7</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189.4</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18.1</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33.9</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40"/>
              <w:spacing w:after="0"/>
              <w:rPr>
                <w:sz w:val="20"/>
                <w:szCs w:val="20"/>
                <w:color w:val="auto"/>
              </w:rPr>
            </w:pPr>
            <w:r>
              <w:rPr>
                <w:rFonts w:ascii="Arial" w:cs="Arial" w:eastAsia="Arial" w:hAnsi="Arial"/>
                <w:sz w:val="18"/>
                <w:szCs w:val="18"/>
                <w:color w:val="auto"/>
              </w:rPr>
              <w:t>Equity Earnings in ATC</w:t>
            </w: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5"/>
              </w:rPr>
              <w:t>Total Other Income (Expense)</w:t>
            </w: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Income Before Minority Interest and Income Taxes</w:t>
            </w: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17.0</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6.2</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19.9</w:t>
            </w: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$22.6</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28.8</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Diluted</w:t>
            </w: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28.9</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28.3</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Common Stock</w:t>
            </w: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$0.37</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$0.80</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Common Stock</w:t>
            </w:r>
          </w:p>
        </w:tc>
        <w:tc>
          <w:tcPr>
            <w:tcW w:w="25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$0.37</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$0.80</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Dividends Per Share of Common Stock</w:t>
            </w:r>
          </w:p>
        </w:tc>
        <w:tc>
          <w:tcPr>
            <w:tcW w:w="1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$0.43</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$0.41</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$0.86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Consolidated Balance Sheet</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20" w:type="dxa"/>
            <w:vAlign w:val="bottom"/>
          </w:tcPr>
          <w:p>
            <w:pPr>
              <w:jc w:val="center"/>
              <w:ind w:left="170"/>
              <w:spacing w:after="0"/>
              <w:rPr>
                <w:sz w:val="20"/>
                <w:szCs w:val="20"/>
                <w:color w:val="auto"/>
              </w:rPr>
            </w:pPr>
            <w:r>
              <w:rPr>
                <w:rFonts w:ascii="Arial" w:cs="Arial" w:eastAsia="Arial" w:hAnsi="Arial"/>
                <w:sz w:val="18"/>
                <w:szCs w:val="18"/>
                <w:color w:val="auto"/>
                <w:w w:val="95"/>
              </w:rPr>
              <w:t>Millions-Unaudited</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Jun. 30,</w:t>
            </w:r>
          </w:p>
        </w:tc>
        <w:tc>
          <w:tcPr>
            <w:tcW w:w="2520" w:type="dxa"/>
            <w:vAlign w:val="bottom"/>
            <w:shd w:val="clear" w:color="auto" w:fill="CCEEFF"/>
          </w:tcPr>
          <w:p>
            <w:pPr>
              <w:jc w:val="right"/>
              <w:ind w:right="1630"/>
              <w:spacing w:after="0"/>
              <w:rPr>
                <w:sz w:val="20"/>
                <w:szCs w:val="20"/>
                <w:color w:val="auto"/>
              </w:rPr>
            </w:pPr>
            <w:r>
              <w:rPr>
                <w:rFonts w:ascii="Arial" w:cs="Arial" w:eastAsia="Arial" w:hAnsi="Arial"/>
                <w:sz w:val="18"/>
                <w:szCs w:val="18"/>
                <w:b w:val="1"/>
                <w:bCs w:val="1"/>
                <w:color w:val="auto"/>
              </w:rPr>
              <w:t>Dec. 31,</w:t>
            </w: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Jun. 30,</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Dec.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52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2007</w:t>
            </w: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Liabilities and Shareholders'</w:t>
            </w: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0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080" w:type="dxa"/>
            <w:vAlign w:val="bottom"/>
          </w:tcPr>
          <w:p>
            <w:pPr>
              <w:jc w:val="right"/>
              <w:spacing w:after="0"/>
              <w:rPr>
                <w:sz w:val="20"/>
                <w:szCs w:val="20"/>
                <w:color w:val="auto"/>
              </w:rPr>
            </w:pPr>
            <w:r>
              <w:rPr>
                <w:rFonts w:ascii="Arial" w:cs="Arial" w:eastAsia="Arial" w:hAnsi="Arial"/>
                <w:sz w:val="18"/>
                <w:szCs w:val="18"/>
                <w:color w:val="auto"/>
              </w:rPr>
              <w:t>$99.1</w:t>
            </w:r>
          </w:p>
        </w:tc>
        <w:tc>
          <w:tcPr>
            <w:tcW w:w="2520" w:type="dxa"/>
            <w:vAlign w:val="bottom"/>
          </w:tcPr>
          <w:p>
            <w:pPr>
              <w:jc w:val="right"/>
              <w:ind w:right="1350"/>
              <w:spacing w:after="0"/>
              <w:rPr>
                <w:sz w:val="20"/>
                <w:szCs w:val="20"/>
                <w:color w:val="auto"/>
              </w:rPr>
            </w:pPr>
            <w:r>
              <w:rPr>
                <w:rFonts w:ascii="Arial" w:cs="Arial" w:eastAsia="Arial" w:hAnsi="Arial"/>
                <w:sz w:val="18"/>
                <w:szCs w:val="18"/>
                <w:color w:val="auto"/>
              </w:rPr>
              <w:t>$46.4</w:t>
            </w:r>
          </w:p>
        </w:tc>
        <w:tc>
          <w:tcPr>
            <w:tcW w:w="1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w:t>
            </w:r>
          </w:p>
        </w:tc>
        <w:tc>
          <w:tcPr>
            <w:tcW w:w="820" w:type="dxa"/>
            <w:vAlign w:val="bottom"/>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52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168.1</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1,224.3</w:t>
            </w:r>
          </w:p>
        </w:tc>
        <w:tc>
          <w:tcPr>
            <w:tcW w:w="2520" w:type="dxa"/>
            <w:vAlign w:val="bottom"/>
          </w:tcPr>
          <w:p>
            <w:pPr>
              <w:jc w:val="right"/>
              <w:ind w:right="1350"/>
              <w:spacing w:after="0"/>
              <w:rPr>
                <w:sz w:val="20"/>
                <w:szCs w:val="20"/>
                <w:color w:val="auto"/>
              </w:rPr>
            </w:pPr>
            <w:r>
              <w:rPr>
                <w:rFonts w:ascii="Arial" w:cs="Arial" w:eastAsia="Arial" w:hAnsi="Arial"/>
                <w:sz w:val="18"/>
                <w:szCs w:val="18"/>
                <w:color w:val="auto"/>
              </w:rPr>
              <w:t>1,104.5</w:t>
            </w:r>
          </w:p>
        </w:tc>
        <w:tc>
          <w:tcPr>
            <w:tcW w:w="16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349.1</w:t>
            </w:r>
          </w:p>
        </w:tc>
        <w:tc>
          <w:tcPr>
            <w:tcW w:w="820" w:type="dxa"/>
            <w:vAlign w:val="bottom"/>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52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213.8</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Shareholders' Equity</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25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111.4</w:t>
            </w: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62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w w:val="92"/>
              </w:rPr>
              <w:t>Total Liabilities and</w:t>
            </w: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$1,788.8</w:t>
            </w:r>
          </w:p>
        </w:tc>
        <w:tc>
          <w:tcPr>
            <w:tcW w:w="252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$1,644.2</w:t>
            </w:r>
          </w:p>
        </w:tc>
        <w:tc>
          <w:tcPr>
            <w:tcW w:w="26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Year to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ALLETE, Inc.</w:t>
            </w:r>
          </w:p>
        </w:tc>
        <w:tc>
          <w:tcPr>
            <w:tcW w:w="22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2008</w:t>
            </w:r>
          </w:p>
        </w:tc>
        <w:tc>
          <w:tcPr>
            <w:tcW w:w="9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4"/>
              </w:rPr>
              <w:t>2007</w:t>
            </w:r>
          </w:p>
        </w:tc>
        <w:tc>
          <w:tcPr>
            <w:tcW w:w="13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Regulated Utility</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$5.2</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$23.3</w:t>
            </w:r>
          </w:p>
        </w:tc>
        <w:tc>
          <w:tcPr>
            <w:tcW w:w="80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Nonregulated Energy Operations</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ATC</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Real Estate</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2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$10.7</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$22.6</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$34.3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$0.37</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$0.80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$1.19</w:t>
            </w: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Statistical Data</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High</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$46.11</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$51.30</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100"/>
              <w:spacing w:after="0"/>
              <w:rPr>
                <w:sz w:val="20"/>
                <w:szCs w:val="20"/>
                <w:color w:val="auto"/>
              </w:rPr>
            </w:pPr>
            <w:r>
              <w:rPr>
                <w:rFonts w:ascii="Arial" w:cs="Arial" w:eastAsia="Arial" w:hAnsi="Arial"/>
                <w:sz w:val="18"/>
                <w:szCs w:val="18"/>
                <w:color w:val="auto"/>
              </w:rPr>
              <w:t>Low</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$38.82</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$45.39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$33.76</w:t>
            </w:r>
          </w:p>
        </w:tc>
        <w:tc>
          <w:tcPr>
            <w:tcW w:w="800" w:type="dxa"/>
            <w:vAlign w:val="bottom"/>
          </w:tcPr>
          <w:p>
            <w:pPr>
              <w:jc w:val="right"/>
              <w:spacing w:after="0"/>
              <w:rPr>
                <w:sz w:val="20"/>
                <w:szCs w:val="20"/>
                <w:color w:val="auto"/>
              </w:rPr>
            </w:pPr>
            <w:r>
              <w:rPr>
                <w:rFonts w:ascii="Arial" w:cs="Arial" w:eastAsia="Arial" w:hAnsi="Arial"/>
                <w:sz w:val="18"/>
                <w:szCs w:val="18"/>
                <w:color w:val="auto"/>
              </w:rPr>
              <w:t>$44.93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Close</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$42.00</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$47.05</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Book Value</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$24.51</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$23.23</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$24.51</w:t>
            </w:r>
          </w:p>
        </w:tc>
        <w:tc>
          <w:tcPr>
            <w:tcW w:w="800" w:type="dxa"/>
            <w:vAlign w:val="bottom"/>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Kilowatthours Sold</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Regulated Utility</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Retail and Municipals</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720"/>
              <w:spacing w:after="0"/>
              <w:rPr>
                <w:sz w:val="20"/>
                <w:szCs w:val="20"/>
                <w:color w:val="auto"/>
              </w:rPr>
            </w:pPr>
            <w:r>
              <w:rPr>
                <w:rFonts w:ascii="Arial" w:cs="Arial" w:eastAsia="Arial" w:hAnsi="Arial"/>
                <w:sz w:val="18"/>
                <w:szCs w:val="18"/>
                <w:color w:val="auto"/>
              </w:rPr>
              <w:t>Residential</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239.2</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231.7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601.8</w:t>
            </w:r>
          </w:p>
        </w:tc>
        <w:tc>
          <w:tcPr>
            <w:tcW w:w="800" w:type="dxa"/>
            <w:vAlign w:val="bottom"/>
          </w:tcPr>
          <w:p>
            <w:pPr>
              <w:jc w:val="right"/>
              <w:spacing w:after="0"/>
              <w:rPr>
                <w:sz w:val="20"/>
                <w:szCs w:val="20"/>
                <w:color w:val="auto"/>
              </w:rPr>
            </w:pPr>
            <w:r>
              <w:rPr>
                <w:rFonts w:ascii="Arial" w:cs="Arial" w:eastAsia="Arial" w:hAnsi="Arial"/>
                <w:sz w:val="18"/>
                <w:szCs w:val="18"/>
                <w:color w:val="auto"/>
              </w:rPr>
              <w:t>573.3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Commercial</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307.6</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320.9</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720"/>
              <w:spacing w:after="0"/>
              <w:rPr>
                <w:sz w:val="20"/>
                <w:szCs w:val="20"/>
                <w:color w:val="auto"/>
              </w:rPr>
            </w:pPr>
            <w:r>
              <w:rPr>
                <w:rFonts w:ascii="Arial" w:cs="Arial" w:eastAsia="Arial" w:hAnsi="Arial"/>
                <w:sz w:val="18"/>
                <w:szCs w:val="18"/>
                <w:color w:val="auto"/>
              </w:rPr>
              <w:t>Municipals</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226.6</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229.2</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499.5</w:t>
            </w:r>
          </w:p>
        </w:tc>
        <w:tc>
          <w:tcPr>
            <w:tcW w:w="800" w:type="dxa"/>
            <w:vAlign w:val="bottom"/>
          </w:tcPr>
          <w:p>
            <w:pPr>
              <w:jc w:val="right"/>
              <w:spacing w:after="0"/>
              <w:rPr>
                <w:sz w:val="20"/>
                <w:szCs w:val="20"/>
                <w:color w:val="auto"/>
              </w:rPr>
            </w:pPr>
            <w:r>
              <w:rPr>
                <w:rFonts w:ascii="Arial" w:cs="Arial" w:eastAsia="Arial" w:hAnsi="Arial"/>
                <w:sz w:val="18"/>
                <w:szCs w:val="18"/>
                <w:color w:val="auto"/>
              </w:rPr>
              <w:t>495.6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Industrial</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1,788.9</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1,734.0</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3,612.1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19.2</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19.0</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Total Retail and Municipal</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2,581.5</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2,534.8</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5,422.1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Other Power Suppliers</w:t>
            </w:r>
          </w:p>
        </w:tc>
        <w:tc>
          <w:tcPr>
            <w:tcW w:w="2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375.1</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513.0</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779.2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Total Regulated Utility</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2,956.6</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3,047.8</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6,201.3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Nonregulated Energy Operations</w:t>
            </w:r>
          </w:p>
        </w:tc>
        <w:tc>
          <w:tcPr>
            <w:tcW w:w="2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59.7</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59.8</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108.3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ind w:left="2980"/>
              <w:spacing w:after="0"/>
              <w:rPr>
                <w:sz w:val="20"/>
                <w:szCs w:val="20"/>
                <w:color w:val="auto"/>
              </w:rPr>
            </w:pPr>
            <w:r>
              <w:rPr>
                <w:rFonts w:ascii="Arial" w:cs="Arial" w:eastAsia="Arial" w:hAnsi="Arial"/>
                <w:sz w:val="18"/>
                <w:szCs w:val="18"/>
                <w:color w:val="auto"/>
              </w:rPr>
              <w:t>Total Kilowatthours Sold</w:t>
            </w:r>
          </w:p>
        </w:tc>
        <w:tc>
          <w:tcPr>
            <w:tcW w:w="2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3,016.3</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3,107.6</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6,309.6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Town Center Development Project</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Commercial Square Footage Sold</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435,000</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100"/>
              <w:spacing w:after="0"/>
              <w:rPr>
                <w:sz w:val="20"/>
                <w:szCs w:val="20"/>
                <w:color w:val="auto"/>
              </w:rPr>
            </w:pPr>
            <w:r>
              <w:rPr>
                <w:rFonts w:ascii="Arial" w:cs="Arial" w:eastAsia="Arial" w:hAnsi="Arial"/>
                <w:sz w:val="18"/>
                <w:szCs w:val="18"/>
                <w:color w:val="auto"/>
              </w:rPr>
              <w:t>Residential Units</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Palm Coast Park Development Project</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Commercial Square Footage Sold</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100"/>
              <w:spacing w:after="0"/>
              <w:rPr>
                <w:sz w:val="20"/>
                <w:szCs w:val="20"/>
                <w:color w:val="auto"/>
              </w:rPr>
            </w:pPr>
            <w:r>
              <w:rPr>
                <w:rFonts w:ascii="Arial" w:cs="Arial" w:eastAsia="Arial" w:hAnsi="Arial"/>
                <w:sz w:val="18"/>
                <w:szCs w:val="18"/>
                <w:color w:val="auto"/>
              </w:rPr>
              <w:t>Residential Units</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406</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Other Land</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Acres Sold</w:t>
            </w:r>
          </w:p>
        </w:tc>
        <w:tc>
          <w:tcPr>
            <w:tcW w:w="2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420"/>
          </w:cols>
          <w:pgMar w:left="240" w:top="7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ALLETE, Inc.</w:t>
      </w:r>
    </w:p>
    <w:p>
      <w:pPr>
        <w:jc w:val="center"/>
        <w:ind w:right="1200"/>
        <w:spacing w:after="0"/>
        <w:rPr>
          <w:sz w:val="20"/>
          <w:szCs w:val="20"/>
          <w:color w:val="auto"/>
        </w:rPr>
      </w:pPr>
      <w:r>
        <w:rPr>
          <w:rFonts w:ascii="Arial" w:cs="Arial" w:eastAsia="Arial" w:hAnsi="Arial"/>
          <w:sz w:val="22"/>
          <w:szCs w:val="22"/>
          <w:b w:val="1"/>
          <w:bCs w:val="1"/>
          <w:color w:val="auto"/>
        </w:rPr>
        <w:t>(formerly Minnesota Power &amp; Light Company</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 formerly Minnesota Power, Inc.)</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THE BANK OF NEW YORK</w:t>
      </w:r>
    </w:p>
    <w:p>
      <w:pPr>
        <w:spacing w:after="0" w:line="3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(formerly Irving Trust Company)</w:t>
      </w:r>
    </w:p>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AND</w:t>
      </w: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DOUGLAS J. M</w:t>
      </w:r>
      <w:r>
        <w:rPr>
          <w:rFonts w:ascii="Arial" w:cs="Arial" w:eastAsia="Arial" w:hAnsi="Arial"/>
          <w:sz w:val="22"/>
          <w:szCs w:val="22"/>
          <w:b w:val="1"/>
          <w:bCs w:val="1"/>
          <w:color w:val="auto"/>
        </w:rPr>
        <w:t>AC</w:t>
      </w:r>
      <w:r>
        <w:rPr>
          <w:rFonts w:ascii="Arial" w:cs="Arial" w:eastAsia="Arial" w:hAnsi="Arial"/>
          <w:sz w:val="32"/>
          <w:szCs w:val="32"/>
          <w:b w:val="1"/>
          <w:bCs w:val="1"/>
          <w:color w:val="auto"/>
        </w:rPr>
        <w:t>INNES</w:t>
      </w: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(successor to Richard H. West, J. A. Austin,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E. J. McCabe, D. W. May, J. A. Vaughan and W. T. Cunningham)</w:t>
      </w:r>
    </w:p>
    <w:p>
      <w:pPr>
        <w:spacing w:after="0" w:line="244" w:lineRule="exact"/>
        <w:rPr>
          <w:sz w:val="20"/>
          <w:szCs w:val="20"/>
          <w:color w:val="auto"/>
        </w:rPr>
      </w:pPr>
    </w:p>
    <w:p>
      <w:pPr>
        <w:ind w:left="2700" w:right="600"/>
        <w:spacing w:after="0" w:line="256" w:lineRule="auto"/>
        <w:rPr>
          <w:sz w:val="20"/>
          <w:szCs w:val="20"/>
          <w:color w:val="auto"/>
        </w:rPr>
      </w:pPr>
      <w:r>
        <w:rPr>
          <w:rFonts w:ascii="Arial" w:cs="Arial" w:eastAsia="Arial" w:hAnsi="Arial"/>
          <w:sz w:val="22"/>
          <w:szCs w:val="22"/>
          <w:b w:val="1"/>
          <w:bCs w:val="1"/>
          <w:color w:val="auto"/>
        </w:rPr>
        <w:t>As Trustees under ALLETE, Inc.’s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Twenty-eighth Supplemental Indenture</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Providing, among other things, for</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First Mortgage Bonds, 6.02% Series due May 1, 2023</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(Thirty-fourth Series)</w:t>
      </w:r>
    </w:p>
    <w:p>
      <w:pPr>
        <w:spacing w:after="0" w:line="200" w:lineRule="exact"/>
        <w:rPr>
          <w:sz w:val="20"/>
          <w:szCs w:val="20"/>
          <w:color w:val="auto"/>
        </w:rPr>
      </w:pPr>
    </w:p>
    <w:p>
      <w:pPr>
        <w:spacing w:after="0" w:line="282" w:lineRule="exact"/>
        <w:rPr>
          <w:sz w:val="20"/>
          <w:szCs w:val="20"/>
          <w:color w:val="auto"/>
        </w:rPr>
      </w:pPr>
    </w:p>
    <w:p>
      <w:pPr>
        <w:ind w:left="3400"/>
        <w:spacing w:after="0"/>
        <w:rPr>
          <w:sz w:val="20"/>
          <w:szCs w:val="20"/>
          <w:color w:val="auto"/>
        </w:rPr>
      </w:pPr>
      <w:r>
        <w:rPr>
          <w:rFonts w:ascii="Arial" w:cs="Arial" w:eastAsia="Arial" w:hAnsi="Arial"/>
          <w:sz w:val="22"/>
          <w:szCs w:val="22"/>
          <w:b w:val="1"/>
          <w:bCs w:val="1"/>
          <w:i w:val="1"/>
          <w:iCs w:val="1"/>
          <w:color w:val="auto"/>
        </w:rPr>
        <w:t>Dated as of May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1034415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50" w:name="page51"/>
    <w:bookmarkEnd w:id="50"/>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TWENTY-EIGHTH SUPPLEMENTAL INDENTURE</w:t>
      </w:r>
    </w:p>
    <w:p>
      <w:pPr>
        <w:spacing w:after="0" w:line="2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INDENTURE</w:t>
      </w:r>
      <w:r>
        <w:rPr>
          <w:rFonts w:ascii="Arial" w:cs="Arial" w:eastAsia="Arial" w:hAnsi="Arial"/>
          <w:sz w:val="16"/>
          <w:szCs w:val="16"/>
          <w:b w:val="1"/>
          <w:bCs w:val="1"/>
          <w:color w:val="auto"/>
        </w:rPr>
        <w:t>,</w:t>
      </w:r>
      <w:r>
        <w:rPr>
          <w:rFonts w:ascii="Arial" w:cs="Arial" w:eastAsia="Arial" w:hAnsi="Arial"/>
          <w:sz w:val="16"/>
          <w:szCs w:val="16"/>
          <w:color w:val="auto"/>
        </w:rPr>
        <w:t xml:space="preserve"> dated as of May 1, 2008,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 the “Trustees”), as Trustees under the Mortgage and Deed of Trust, dated as of September 1, 1945, between the Company and Irving Trust Company and Richard H. West (Douglas J. MacInnes, successor Co-Trustee), as Trustees, securing bonds issued and to be issued as provided therein (hereinafter sometimes called the “Mortgage”), reference to which Mortgage is hereby made, this indenture (hereinafter sometimes called the “Twenty-eighth Supplemental Indenture”) being supplemental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Mortgage was filed and recorded in various official records in the State of Minnesota; and</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under the Sixth Supplemental Indenture, dated as of August 1, 1975, to which reference is hereinafter made, D. W. May in turn succeeded E. J. McCabe as Co-Trustee under the Mortgage; and</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May 8, 2001, the Company filed Amended and Restated Articles of Incorporation with the Secretary of State of the State of Minnesota changing its name from Minnesota Power, Inc. to ALLETE, Inc.; and</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 Mortgage: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Designation</w:t>
            </w:r>
          </w:p>
        </w:tc>
        <w:tc>
          <w:tcPr>
            <w:tcW w:w="5720" w:type="dxa"/>
            <w:vAlign w:val="bottom"/>
            <w:tcBorders>
              <w:bottom w:val="single" w:sz="8" w:color="auto"/>
            </w:tcBorders>
            <w:shd w:val="clear" w:color="auto" w:fill="CCEEFF"/>
          </w:tcPr>
          <w:p>
            <w:pPr>
              <w:ind w:left="2740"/>
              <w:spacing w:after="0"/>
              <w:rPr>
                <w:sz w:val="20"/>
                <w:szCs w:val="20"/>
                <w:color w:val="auto"/>
              </w:rPr>
            </w:pPr>
            <w:r>
              <w:rPr>
                <w:rFonts w:ascii="Arial" w:cs="Arial" w:eastAsia="Arial" w:hAnsi="Arial"/>
                <w:sz w:val="18"/>
                <w:szCs w:val="18"/>
                <w:b w:val="1"/>
                <w:bCs w:val="1"/>
                <w:color w:val="auto"/>
              </w:rPr>
              <w:t>Dated as of</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First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March 1, 1949</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Second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July 1, 1951</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Third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March 1, 1957</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Fourth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January 1, 1968</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Fifth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April 1, 1971</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Sixth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August 1, 1975</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Seventh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September 1, 1976</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Eighth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September 1, 1977</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Ninth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April 1, 1978</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Tenth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August 1, 1978</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Eleventh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December 1, 1982</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Twelfth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April 1, 1987</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Thirteenth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March 1, 1992</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Fourteenth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June 1, 1992</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Fifteenth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July 1, 1992</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Sixteenth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July 1, 1992</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Seventeenth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February 1, 1993</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Eighteenth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July 1, 1993</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Nineteenth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February 1, 1997</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Twentieth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November 1, 1997</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Twenty-first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October 1, 2000</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Twenty-second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July 1, 2003</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Twenty-third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August 1, 2004</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Twenty-fourth Supplemental Indenture</w:t>
            </w:r>
          </w:p>
        </w:tc>
        <w:tc>
          <w:tcPr>
            <w:tcW w:w="5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March 1, 2005</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Twenty-fifth Supplemental Indenture</w:t>
            </w:r>
          </w:p>
        </w:tc>
        <w:tc>
          <w:tcPr>
            <w:tcW w:w="5720" w:type="dxa"/>
            <w:vAlign w:val="bottom"/>
          </w:tcPr>
          <w:p>
            <w:pPr>
              <w:ind w:left="2740"/>
              <w:spacing w:after="0"/>
              <w:rPr>
                <w:sz w:val="20"/>
                <w:szCs w:val="20"/>
                <w:color w:val="auto"/>
              </w:rPr>
            </w:pPr>
            <w:r>
              <w:rPr>
                <w:rFonts w:ascii="Arial" w:cs="Arial" w:eastAsia="Arial" w:hAnsi="Arial"/>
                <w:sz w:val="18"/>
                <w:szCs w:val="18"/>
                <w:color w:val="auto"/>
              </w:rPr>
              <w:t>December 1, 2005</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Twenty-sixth Supplemental Indenture</w:t>
            </w:r>
          </w:p>
        </w:tc>
        <w:tc>
          <w:tcPr>
            <w:tcW w:w="572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October 1, 2006</w:t>
            </w:r>
          </w:p>
        </w:tc>
      </w:tr>
      <w:tr>
        <w:trPr>
          <w:trHeight w:val="230"/>
        </w:trPr>
        <w:tc>
          <w:tcPr>
            <w:tcW w:w="20" w:type="dxa"/>
            <w:vAlign w:val="bottom"/>
          </w:tcPr>
          <w:p>
            <w:pPr>
              <w:spacing w:after="0"/>
              <w:rPr>
                <w:sz w:val="20"/>
                <w:szCs w:val="20"/>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Twenty-seventh Supplemental Indenture</w:t>
            </w:r>
          </w:p>
        </w:tc>
        <w:tc>
          <w:tcPr>
            <w:tcW w:w="5720" w:type="dxa"/>
            <w:vAlign w:val="bottom"/>
          </w:tcPr>
          <w:p>
            <w:pPr>
              <w:ind w:left="2800"/>
              <w:spacing w:after="0"/>
              <w:rPr>
                <w:sz w:val="20"/>
                <w:szCs w:val="20"/>
                <w:color w:val="auto"/>
              </w:rPr>
            </w:pPr>
            <w:r>
              <w:rPr>
                <w:rFonts w:ascii="Arial" w:cs="Arial" w:eastAsia="Arial" w:hAnsi="Arial"/>
                <w:sz w:val="18"/>
                <w:szCs w:val="18"/>
                <w:color w:val="auto"/>
              </w:rPr>
              <w:t>February 1, 2008</w:t>
            </w:r>
          </w:p>
        </w:tc>
      </w:tr>
    </w:tbl>
    <w:p>
      <w:pPr>
        <w:sectPr>
          <w:pgSz w:w="11900" w:h="16925" w:orient="portrait"/>
          <w:cols w:equalWidth="0" w:num="1">
            <w:col w:w="11420"/>
          </w:cols>
          <w:pgMar w:left="240" w:top="747" w:right="239" w:bottom="0" w:gutter="0" w:footer="0" w:header="0"/>
        </w:sectPr>
      </w:pPr>
    </w:p>
    <w:bookmarkStart w:id="51" w:name="page52"/>
    <w:bookmarkEnd w:id="51"/>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which supplemental indentures were filed and recorded in various official records in the State of Minnesota; and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issued, in accordance with the provisions of the Mortgage, as heretofore supplemented, the following series of First Mortgage Bonds: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Principal</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1"/>
              </w:rPr>
              <w:t>Amount</w:t>
            </w:r>
          </w:p>
        </w:tc>
      </w:tr>
      <w:tr>
        <w:trPr>
          <w:trHeight w:val="241"/>
        </w:trPr>
        <w:tc>
          <w:tcPr>
            <w:tcW w:w="20" w:type="dxa"/>
            <w:vAlign w:val="bottom"/>
          </w:tcPr>
          <w:p>
            <w:pPr>
              <w:spacing w:after="0"/>
              <w:rPr>
                <w:sz w:val="20"/>
                <w:szCs w:val="20"/>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Series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Issued</w:t>
            </w:r>
          </w:p>
        </w:tc>
        <w:tc>
          <w:tcPr>
            <w:tcW w:w="17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3-1/8% Series due 1975</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$26,000,000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3-1/8% Series due 1979</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3-5/8% Series due 1981</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10,000,000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4-3/4% Series due 1987</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6-1/2% Series due 1998</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18,000,000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8-1/8% Series due 2001</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10-1/2% Series due 2005</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35,000,000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8.70% Series due 2006</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8.35% Series due 2007</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50,000,000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9-1/4% Series due 2008</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Pollution Control Series A</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111,000,000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Series A</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Industrial Development Series B</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1,800,000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Series C</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1,150,000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Pollution Control Series B</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13,500,000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Pollution Control Series C</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Pollution Control Series D</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3,600,000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7-3/4% Series due 1994</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7-3/8% Series due March 1, 1997</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60,000,000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7-3/4% Series due June 1, 2007</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7-1/2% Series due August 1, 2007</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35,000,000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Pollution Control Series E</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7% Series due March 1, 2008</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50,000,000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6-1/4% Series due July 1, 2003</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7% Series due February 15, 2007</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60,000,000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6.68% Series due November 15, 2007</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Floating Rate Series due October 20, 2003</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250,000,000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Collateral Series A</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255,000,000</w:t>
            </w:r>
          </w:p>
        </w:tc>
        <w:tc>
          <w:tcPr>
            <w:tcW w:w="1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None</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Pollution Control Series F</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111,000,000</w:t>
            </w:r>
          </w:p>
        </w:tc>
        <w:tc>
          <w:tcPr>
            <w:tcW w:w="1760" w:type="dxa"/>
            <w:vAlign w:val="bottom"/>
          </w:tcPr>
          <w:p>
            <w:pPr>
              <w:jc w:val="center"/>
              <w:ind w:right="170"/>
              <w:spacing w:after="0"/>
              <w:rPr>
                <w:sz w:val="20"/>
                <w:szCs w:val="20"/>
                <w:color w:val="auto"/>
              </w:rPr>
            </w:pPr>
            <w:r>
              <w:rPr>
                <w:rFonts w:ascii="Arial" w:cs="Arial" w:eastAsia="Arial" w:hAnsi="Arial"/>
                <w:sz w:val="18"/>
                <w:szCs w:val="18"/>
                <w:color w:val="auto"/>
                <w:w w:val="89"/>
              </w:rPr>
              <w:t>111,000,000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5.28% Series due August 1, 2020</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35,000,000</w:t>
            </w:r>
          </w:p>
        </w:tc>
        <w:tc>
          <w:tcPr>
            <w:tcW w:w="17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35,000,000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5.69% Series due March 1, 2036</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50,000,000</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0"/>
              </w:rPr>
              <w:t>50,000,000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5.99% Series due February 1, 2027</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60,000,000</w:t>
            </w:r>
          </w:p>
        </w:tc>
        <w:tc>
          <w:tcPr>
            <w:tcW w:w="17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60,000,000</w:t>
            </w: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4.86% Series due April 1, 2013</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60,000,000</w:t>
            </w:r>
          </w:p>
        </w:tc>
        <w:tc>
          <w:tcPr>
            <w:tcW w:w="1760" w:type="dxa"/>
            <w:vAlign w:val="bottom"/>
          </w:tcPr>
          <w:p>
            <w:pPr>
              <w:jc w:val="center"/>
              <w:ind w:right="130"/>
              <w:spacing w:after="0"/>
              <w:rPr>
                <w:sz w:val="20"/>
                <w:szCs w:val="20"/>
                <w:color w:val="auto"/>
              </w:rPr>
            </w:pPr>
            <w:r>
              <w:rPr>
                <w:rFonts w:ascii="Arial" w:cs="Arial" w:eastAsia="Arial" w:hAnsi="Arial"/>
                <w:sz w:val="18"/>
                <w:szCs w:val="18"/>
                <w:color w:val="auto"/>
                <w:w w:val="90"/>
              </w:rPr>
              <w:t>60,000,000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which bonds are also hereinafter sometimes called bonds of the First through Thirty-third Series, respectively; and</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2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execution and delivery by the Company of this Twenty-eighth Supplemental Indenture, and the terms of the bonds of the Thirty-fourth Series, hereinafter referred to, have been duly authorized by the Board of Directors of the Company by appropriate resolutions of said Board of Directors;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INDENTURE WITNESSETH:</w:t>
      </w:r>
    </w:p>
    <w:p>
      <w:pPr>
        <w:spacing w:after="0" w:line="2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and DOUGLAS J. MACINNES, as</w:t>
      </w:r>
    </w:p>
    <w:p>
      <w:pPr>
        <w:sectPr>
          <w:pgSz w:w="11900" w:h="16854" w:orient="portrait"/>
          <w:cols w:equalWidth="0" w:num="1">
            <w:col w:w="11420"/>
          </w:cols>
          <w:pgMar w:left="240" w:top="368" w:right="239" w:bottom="0" w:gutter="0" w:footer="0" w:header="0"/>
        </w:sectPr>
      </w:pPr>
    </w:p>
    <w:bookmarkStart w:id="52" w:name="page53"/>
    <w:bookmarkEnd w:id="52"/>
    <w:p>
      <w:pPr>
        <w:jc w:val="both"/>
        <w:spacing w:after="0" w:line="267" w:lineRule="auto"/>
        <w:rPr>
          <w:sz w:val="20"/>
          <w:szCs w:val="20"/>
          <w:color w:val="auto"/>
        </w:rPr>
      </w:pPr>
      <w:r>
        <w:rPr>
          <w:rFonts w:ascii="Arial" w:cs="Arial" w:eastAsia="Arial" w:hAnsi="Arial"/>
          <w:sz w:val="17"/>
          <w:szCs w:val="17"/>
          <w:color w:val="auto"/>
        </w:rPr>
        <w:t>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Twenty-eighth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Twenty-eighth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Twenty-eighth Supplemental Indenture and from the lien and operation of the Mortgage in the above subdivisions (2) and</w:t>
      </w:r>
    </w:p>
    <w:p>
      <w:pPr>
        <w:spacing w:after="0" w:line="3" w:lineRule="exact"/>
        <w:rPr>
          <w:sz w:val="20"/>
          <w:szCs w:val="20"/>
          <w:color w:val="auto"/>
        </w:rPr>
      </w:pPr>
    </w:p>
    <w:p>
      <w:pPr>
        <w:jc w:val="both"/>
        <w:ind w:firstLine="8"/>
        <w:spacing w:after="0" w:line="255" w:lineRule="auto"/>
        <w:tabs>
          <w:tab w:leader="none" w:pos="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2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5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TRUST NEVERTHELESS, for the same purposes and upon the same terms, trusts and conditions and subject to and with the same provisos and covenants as are set forth in the Mortgage, as supplemented, this Twenty-eighth Supplemental Indenture being supplemental thereto.</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Thirty-third Series of Bonds</w:t>
      </w:r>
    </w:p>
    <w:p>
      <w:pPr>
        <w:spacing w:after="0" w:line="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SECTION 1. There shall be a series of bonds designated “6.02% Series due May 1, 2023” (herein sometimes referred to as the “Thirty-fourth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Thirty-fourth Series shall be dated as in Section 10 of the Mortgage provided, mature on May 1, 2023, be issued as fully registered bonds in denominations of One Thousand Dollars and, at the option of the Company, in any multiple or multiples of One Thousand Dollars (the exercise of such option to be evidenced by the execution and delivery thereof) and bear interest from May 14, 2008 (computed on the basis of a 360-day year of twelve thirty-day months) at the rate of 6.02% per annum, payable semi-annually on May 1 and November 1 of each year, commencing November 1, 2008,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ectPr>
          <w:pgSz w:w="11900" w:h="16838" w:orient="portrait"/>
          <w:cols w:equalWidth="0" w:num="1">
            <w:col w:w="11420"/>
          </w:cols>
          <w:pgMar w:left="240" w:top="125" w:right="239" w:bottom="0" w:gutter="0" w:footer="0" w:header="0"/>
        </w:sectPr>
      </w:pPr>
    </w:p>
    <w:bookmarkStart w:id="53" w:name="page54"/>
    <w:bookmarkEnd w:id="53"/>
    <w:p>
      <w:pPr>
        <w:spacing w:after="0" w:line="8" w:lineRule="exact"/>
        <w:rPr>
          <w:sz w:val="20"/>
          <w:szCs w:val="20"/>
          <w:color w:val="auto"/>
        </w:rPr>
      </w:pPr>
    </w:p>
    <w:p>
      <w:pPr>
        <w:jc w:val="both"/>
        <w:ind w:firstLine="656"/>
        <w:spacing w:after="0" w:line="286" w:lineRule="auto"/>
        <w:tabs>
          <w:tab w:leader="none" w:pos="1419"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Optional Prepayment. </w:t>
      </w:r>
      <w:r>
        <w:rPr>
          <w:rFonts w:ascii="Arial" w:cs="Arial" w:eastAsia="Arial" w:hAnsi="Arial"/>
          <w:sz w:val="16"/>
          <w:szCs w:val="16"/>
          <w:color w:val="auto"/>
        </w:rPr>
        <w:t>The Company may, at its option, upon notice as provided below, prepay at any time all, or from time to time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bonds of the Thirty-fourth Series at 100% of the principal amount so prepaid, and the Make-Whole Amount determined for the Settlement Date specified by the Company in such notice with respect to such principal amount. The Company will give each registered owner of Bonds of the Thirty-fourth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Thirty-fourth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 fourth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Thirty-fourth Series are not otherwise subject to voluntary or optional prepayment.</w:t>
      </w:r>
    </w:p>
    <w:p>
      <w:pPr>
        <w:spacing w:after="0" w:line="192" w:lineRule="exact"/>
        <w:rPr>
          <w:rFonts w:ascii="Arial" w:cs="Arial" w:eastAsia="Arial" w:hAnsi="Arial"/>
          <w:sz w:val="16"/>
          <w:szCs w:val="16"/>
          <w:b w:val="1"/>
          <w:bCs w:val="1"/>
          <w:color w:val="auto"/>
        </w:rPr>
      </w:pPr>
    </w:p>
    <w:p>
      <w:pPr>
        <w:jc w:val="both"/>
        <w:ind w:firstLine="702"/>
        <w:spacing w:after="0" w:line="289" w:lineRule="auto"/>
        <w:tabs>
          <w:tab w:leader="none" w:pos="1442" w:val="left"/>
        </w:tabs>
        <w:numPr>
          <w:ilvl w:val="1"/>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Partial Prepayments. </w:t>
      </w:r>
      <w:r>
        <w:rPr>
          <w:rFonts w:ascii="Arial" w:cs="Arial" w:eastAsia="Arial" w:hAnsi="Arial"/>
          <w:sz w:val="17"/>
          <w:szCs w:val="17"/>
          <w:color w:val="auto"/>
        </w:rPr>
        <w:t>In the case of each partial prepayment of the bonds of the Thirty-fourth Series, the principal amount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Bonds of the Thirty-fourth Series to be prepaid shall be allocated by the Company among all of the Bonds of the Thirty-fourth Series at the time outstanding in proportion, as nearly as practicable, to the respective unpaid principal amounts thereof not theretofore called for prepayment.</w:t>
      </w:r>
    </w:p>
    <w:p>
      <w:pPr>
        <w:spacing w:after="0" w:line="185" w:lineRule="exact"/>
        <w:rPr>
          <w:sz w:val="20"/>
          <w:szCs w:val="20"/>
          <w:color w:val="auto"/>
        </w:rPr>
      </w:pPr>
    </w:p>
    <w:p>
      <w:pPr>
        <w:jc w:val="both"/>
        <w:ind w:firstLine="702"/>
        <w:spacing w:after="0" w:line="286" w:lineRule="auto"/>
        <w:tabs>
          <w:tab w:leader="none" w:pos="1501"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Maturity; Surrender, Etc. </w:t>
      </w:r>
      <w:r>
        <w:rPr>
          <w:rFonts w:ascii="Arial" w:cs="Arial" w:eastAsia="Arial" w:hAnsi="Arial"/>
          <w:sz w:val="16"/>
          <w:szCs w:val="16"/>
          <w:color w:val="auto"/>
        </w:rPr>
        <w:t>In the case of each notice of prepayment of bonds of the Thirty-fourth Series pursuant to this section, if cash</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Thirty-fourth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96"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“Make-Whole Amount” means, with respect to any bond of the Thirty-fourth Series, an amount equal to the excess, if any, of the Discounted Value of the Remaining Scheduled Payments with respect to the Called Principal of such bond of the Thirty-fourth Series over the amount of such Called Principal, provided that the Make-Whole Amount may in no event be less than zero. For the purposes of determining the Make-Whole Amount, the following terms have the following meanings: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means any day other than a Saturday, a Sunday or a day on which commercial banks in New York City are required or authorized to be closed.</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“Called Principal” means, with respect to any bond of the Thirty-fourth Series, the principal of such bond that is to be prepaid pursuant to subsection (I) of this section.</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“Discounted Value” means, with respect to the Called Principal of any bond of the Thirty-fourth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Thirty-fourth Series is payable) equal to the Reinvestment Yield with respect to such Called Principal.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“Reinvestment Yield” means, with respect to the Called Principal of any bond of the Thirty-fourth Series, 0.5% over the yield to maturity implied by</w:t>
      </w:r>
    </w:p>
    <w:p>
      <w:pPr>
        <w:spacing w:after="0" w:line="46" w:lineRule="exact"/>
        <w:rPr>
          <w:sz w:val="20"/>
          <w:szCs w:val="20"/>
          <w:color w:val="auto"/>
        </w:rPr>
      </w:pPr>
    </w:p>
    <w:p>
      <w:pPr>
        <w:jc w:val="both"/>
        <w:ind w:firstLine="8"/>
        <w:spacing w:after="0" w:line="281"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w:t>
      </w:r>
    </w:p>
    <w:p>
      <w:pPr>
        <w:spacing w:after="0" w:line="6" w:lineRule="exact"/>
        <w:rPr>
          <w:rFonts w:ascii="Arial" w:cs="Arial" w:eastAsia="Arial" w:hAnsi="Arial"/>
          <w:sz w:val="16"/>
          <w:szCs w:val="16"/>
          <w:color w:val="auto"/>
        </w:rPr>
      </w:pPr>
    </w:p>
    <w:p>
      <w:pPr>
        <w:jc w:val="both"/>
        <w:ind w:firstLine="8"/>
        <w:spacing w:after="0" w:line="254"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Thirty-third Series.</w:t>
      </w: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ectPr>
          <w:pgSz w:w="11900" w:h="16847" w:orient="portrait"/>
          <w:cols w:equalWidth="0" w:num="1">
            <w:col w:w="11420"/>
          </w:cols>
          <w:pgMar w:left="240" w:top="364" w:right="239" w:bottom="0" w:gutter="0" w:footer="0" w:header="0"/>
        </w:sectPr>
      </w:pPr>
    </w:p>
    <w:bookmarkStart w:id="54" w:name="page55"/>
    <w:bookmarkEnd w:id="54"/>
    <w:p>
      <w:pPr>
        <w:jc w:val="both"/>
        <w:ind w:firstLine="648"/>
        <w:spacing w:after="0" w:line="276" w:lineRule="auto"/>
        <w:rPr>
          <w:sz w:val="20"/>
          <w:szCs w:val="20"/>
          <w:color w:val="auto"/>
        </w:rPr>
      </w:pPr>
      <w:r>
        <w:rPr>
          <w:rFonts w:ascii="Arial" w:cs="Arial" w:eastAsia="Arial" w:hAnsi="Arial"/>
          <w:sz w:val="17"/>
          <w:szCs w:val="17"/>
          <w:color w:val="auto"/>
        </w:rPr>
        <w:t>“Remaining Scheduled Payments” means, with respect to the Called Principal of any Bond of the Thirty-fourth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Thirty-fourth Series, then the amount of the next succeeding scheduled interest payment will be reduced by the amount of interest accrued to such Settlement Date and required to be paid on such Settlement Date pursuant to subsection (I) of this section.</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“Settlement Date” means, with respect to the Called Principal of any Bond of the Thirty-fourth Series, the date on which such Called Principal is to be prepaid pursuant to subsection (I) of this section.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52" w:lineRule="exact"/>
        <w:rPr>
          <w:sz w:val="20"/>
          <w:szCs w:val="20"/>
          <w:color w:val="auto"/>
        </w:rPr>
      </w:pPr>
    </w:p>
    <w:p>
      <w:pPr>
        <w:jc w:val="both"/>
        <w:ind w:firstLine="717"/>
        <w:spacing w:after="0" w:line="259" w:lineRule="auto"/>
        <w:tabs>
          <w:tab w:leader="none" w:pos="16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Thirty-fourth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Bonds of the Thirty-fourth Series shall be transferable (subject to the provisions of Section 12 of the Mortgage) at the office or agency of the Company in the Borough of Manhattan, The City of New York. The Company shall not be required to make transfers or exchanges of bonds of the Thirty-fourth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any exchange or transfer of bonds of the Thirty-fourth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Thirty-fourth Series.</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After the delivery of this Twenty-eighth Supplemental Indenture and upon compliance with the applicable provisions of the Mortgage and receipt of consideration therefor by the Company, there shall be an initial issue of bonds of the Thirty-fourth Series for the aggregate principal amount of $75,000,000.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 of Right to Amend the Mortgage</w:t>
      </w:r>
    </w:p>
    <w:p>
      <w:pPr>
        <w:spacing w:after="0" w:line="238" w:lineRule="exact"/>
        <w:rPr>
          <w:sz w:val="20"/>
          <w:szCs w:val="20"/>
          <w:color w:val="auto"/>
        </w:rPr>
      </w:pPr>
    </w:p>
    <w:p>
      <w:pPr>
        <w:jc w:val="both"/>
        <w:ind w:firstLine="1080"/>
        <w:spacing w:after="0" w:line="277" w:lineRule="auto"/>
        <w:rPr>
          <w:sz w:val="20"/>
          <w:szCs w:val="20"/>
          <w:color w:val="auto"/>
        </w:rPr>
      </w:pPr>
      <w:r>
        <w:rPr>
          <w:rFonts w:ascii="Arial" w:cs="Arial" w:eastAsia="Arial" w:hAnsi="Arial"/>
          <w:sz w:val="18"/>
          <w:szCs w:val="18"/>
          <w:color w:val="auto"/>
        </w:rPr>
        <w:t>SECTION 1. The Company reserves the right, without any vote, consent or other action by the holders of Bonds of the Thirty-fourth Series or any subsequent series, to amend the Mortgage, as herein or heretofore supplemented as follows:</w:t>
      </w:r>
    </w:p>
    <w:p>
      <w:pPr>
        <w:spacing w:after="0" w:line="197" w:lineRule="exact"/>
        <w:rPr>
          <w:sz w:val="20"/>
          <w:szCs w:val="20"/>
          <w:color w:val="auto"/>
        </w:rPr>
      </w:pPr>
    </w:p>
    <w:p>
      <w:pPr>
        <w:ind w:firstLine="656"/>
        <w:spacing w:after="0" w:line="277" w:lineRule="auto"/>
        <w:tabs>
          <w:tab w:leader="none" w:pos="9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197"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adding the following at the end of the first sentence of Section 101:</w:t>
      </w:r>
    </w:p>
    <w:p>
      <w:pPr>
        <w:spacing w:after="0" w:line="252"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1. Section 126 of the Mortgage, as heretofore amended, is hereby further amended by adding the words “and May 1, 2023,” after the words “and April 1, 2013.”</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SECTION 2. Subject to the amendments provided for in this Twenty-eighth Supplemental Indenture, the terms defined in the Mortgage, as heretofore supplemented, shall, for all purposes of this Twenty-eighth Supplemental Indenture, have the meanings specified in the Mortgage, as heretofore supplemented.</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3. The holders of bonds of the Thirty-fourth Series consent that the Company may, but shall not be obligated to, fix a record date for the purpose of determining the holders of bonds of the Thirty-fourth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Trustees shall not be responsible in any manner whatsoever for or in respect of the validity or sufficiency of this Twenty-eighth Supplemental Indenture or for or in respect of the recitals contained herein, all of which recitals are made by the Company solely. In general, each and every term and condition contained in Article XVII of the Mortgage shall apply to and form part of this Twenty-eighth Supplemental Indenture with the same force and effect as if the same were herein set forth in full with such omissions, variations and insertions, if any, as may be appropriate to make the same conform to the provisions of this Twenty-eighth Supplemental Indenture.</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SECTION 5. Whenever in this Twenty-eighth Supplemental Indenture any party hereto is named or referred to, this shall, subject to the provisions of Articles XVI and XVII of the Mortgage, as heretofore supplemented, be deemed to include the successors or assigns of such party, and all the covenants and</w:t>
      </w:r>
    </w:p>
    <w:p>
      <w:pPr>
        <w:sectPr>
          <w:pgSz w:w="11900" w:h="16838" w:orient="portrait"/>
          <w:cols w:equalWidth="0" w:num="1">
            <w:col w:w="11420"/>
          </w:cols>
          <w:pgMar w:left="240" w:top="368" w:right="239" w:bottom="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agreements in this Twenty-eighth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6. Nothing in this Twenty-eighth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Twenty-eighth Supplemental Indenture or any covenant, condition, stipulation, promise or agreement hereof, and all the covenants, conditions, stipulations, promises and agreements in this Twenty-eighth Supplemental Indenture contained by and on behalf of the Company shall be for the sole and exclusive benefit of the parties hereto, and of the holders of the bonds and of the coupons Outstanding under the Mortgage.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7. This Twenty-eighth Supplemental Indenture shall be executed in several counterparts, each of which shall be an original and all of which shall constitute but one and the same instrument.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8. The Company, the mortgagor named herein, by its execution hereof acknowledges receipt of a full, true and complete copy of this Twenty-eighth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ALLETE, I</w:t>
      </w:r>
      <w:r>
        <w:rPr>
          <w:rFonts w:ascii="Arial" w:cs="Arial" w:eastAsia="Arial" w:hAnsi="Arial"/>
          <w:sz w:val="12"/>
          <w:szCs w:val="12"/>
          <w:color w:val="auto"/>
        </w:rPr>
        <w:t>NC</w:t>
      </w:r>
      <w:r>
        <w:rPr>
          <w:rFonts w:ascii="Arial" w:cs="Arial" w:eastAsia="Arial" w:hAnsi="Arial"/>
          <w:sz w:val="18"/>
          <w:szCs w:val="18"/>
          <w:color w:val="auto"/>
        </w:rPr>
        <w:t>.</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-10160</wp:posOffset>
            </wp:positionV>
            <wp:extent cx="847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7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[Mark A. Schober]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[Sr. Vice President &amp;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Deborah A. Amberg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[Deborah A. Amberg]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 ALLETE,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Dawn Garbo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Jodi M. Nash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Trustees’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tbl>
      <w:tblPr>
        <w:tblLayout w:type="fixed"/>
        <w:tblInd w:w="454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600" w:type="dxa"/>
            <w:vAlign w:val="bottom"/>
            <w:gridSpan w:val="3"/>
          </w:tcPr>
          <w:p>
            <w:pPr>
              <w:ind w:left="380"/>
              <w:spacing w:after="0"/>
              <w:rPr>
                <w:sz w:val="20"/>
                <w:szCs w:val="20"/>
                <w:color w:val="auto"/>
              </w:rPr>
            </w:pPr>
            <w:r>
              <w:rPr>
                <w:rFonts w:ascii="Arial" w:cs="Arial" w:eastAsia="Arial" w:hAnsi="Arial"/>
                <w:sz w:val="18"/>
                <w:szCs w:val="18"/>
                <w:color w:val="auto"/>
                <w:w w:val="96"/>
              </w:rPr>
              <w:t>THE BANK OF NEW YORK,</w:t>
            </w:r>
          </w:p>
        </w:tc>
      </w:tr>
      <w:tr>
        <w:trPr>
          <w:trHeight w:val="230"/>
        </w:trPr>
        <w:tc>
          <w:tcPr>
            <w:tcW w:w="280" w:type="dxa"/>
            <w:vAlign w:val="bottom"/>
          </w:tcPr>
          <w:p>
            <w:pPr>
              <w:spacing w:after="0"/>
              <w:rPr>
                <w:sz w:val="20"/>
                <w:szCs w:val="20"/>
                <w:color w:val="auto"/>
              </w:rPr>
            </w:pPr>
          </w:p>
        </w:tc>
        <w:tc>
          <w:tcPr>
            <w:tcW w:w="2600" w:type="dxa"/>
            <w:vAlign w:val="bottom"/>
            <w:gridSpan w:val="3"/>
          </w:tcPr>
          <w:p>
            <w:pPr>
              <w:jc w:val="right"/>
              <w:ind w:right="1500"/>
              <w:spacing w:after="0"/>
              <w:rPr>
                <w:sz w:val="20"/>
                <w:szCs w:val="20"/>
                <w:color w:val="auto"/>
              </w:rPr>
            </w:pPr>
            <w:r>
              <w:rPr>
                <w:rFonts w:ascii="Arial" w:cs="Arial" w:eastAsia="Arial" w:hAnsi="Arial"/>
                <w:sz w:val="18"/>
                <w:szCs w:val="18"/>
                <w:color w:val="auto"/>
              </w:rPr>
              <w:t>as Trustee</w:t>
            </w:r>
          </w:p>
        </w:tc>
      </w:tr>
      <w:tr>
        <w:trPr>
          <w:trHeight w:val="419"/>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/s/ Remo J. Reale</w:t>
            </w:r>
          </w:p>
        </w:tc>
      </w:tr>
      <w:tr>
        <w:trPr>
          <w:trHeight w:val="20"/>
        </w:trPr>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600" w:type="dxa"/>
            <w:vAlign w:val="bottom"/>
            <w:gridSpan w:val="3"/>
          </w:tcPr>
          <w:p>
            <w:pPr>
              <w:jc w:val="right"/>
              <w:ind w:right="1500"/>
              <w:spacing w:after="0"/>
              <w:rPr>
                <w:sz w:val="20"/>
                <w:szCs w:val="20"/>
                <w:color w:val="auto"/>
              </w:rPr>
            </w:pPr>
            <w:r>
              <w:rPr>
                <w:rFonts w:ascii="Arial" w:cs="Arial" w:eastAsia="Arial" w:hAnsi="Arial"/>
                <w:sz w:val="18"/>
                <w:szCs w:val="18"/>
                <w:color w:val="auto"/>
                <w:w w:val="90"/>
              </w:rPr>
              <w:t>Remo J. Reale</w:t>
            </w:r>
          </w:p>
        </w:tc>
      </w:tr>
      <w:tr>
        <w:trPr>
          <w:trHeight w:val="243"/>
        </w:trPr>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Beata Hryniewicka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Beata Hryniewicka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Douglas J. MacInnes  L.S.</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DOUGLAS J. MACINNES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 THE BANK OF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YORK and DOUGLAS J. MACINNES in the presence of:</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Franca Ferrera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Della K. Benjamin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Trustees’ Signature Page</w:t>
      </w:r>
    </w:p>
    <w:p>
      <w:pPr>
        <w:spacing w:after="0" w:line="252"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Twenty-eighth Supplemental Indenture dated as of May 1, 2008</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To Mortgage and 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58" w:name="page59"/>
    <w:bookmarkEnd w:id="58"/>
    <w:p>
      <w:pPr>
        <w:spacing w:after="0"/>
        <w:tabs>
          <w:tab w:leader="none" w:pos="3400" w:val="left"/>
        </w:tabs>
        <w:rPr>
          <w:sz w:val="20"/>
          <w:szCs w:val="20"/>
          <w:color w:val="auto"/>
        </w:rPr>
      </w:pPr>
      <w:r>
        <w:rPr>
          <w:rFonts w:ascii="Arial" w:cs="Arial" w:eastAsia="Arial" w:hAnsi="Arial"/>
          <w:sz w:val="18"/>
          <w:szCs w:val="18"/>
          <w:color w:val="auto"/>
        </w:rPr>
        <w:t>STATE OF MINNESOTA</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COUNTY OF ST. LOUIS</w:t>
      </w:r>
      <w:r>
        <w:rPr>
          <w:sz w:val="20"/>
          <w:szCs w:val="20"/>
          <w:color w:val="auto"/>
        </w:rPr>
        <w:tab/>
      </w:r>
      <w:r>
        <w:rPr>
          <w:rFonts w:ascii="Arial" w:cs="Arial" w:eastAsia="Arial" w:hAnsi="Arial"/>
          <w:sz w:val="18"/>
          <w:szCs w:val="18"/>
          <w:color w:val="auto"/>
        </w:rPr>
        <w:t>)</w:t>
      </w:r>
    </w:p>
    <w:p>
      <w:pPr>
        <w:spacing w:after="0" w:line="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this 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May, before me, a Notary Public within and for said County, personally appeared Mark A. Schober and Deborah A. Amberg, to me personally known, who, being each by me duly sworn, did say that they are respectively the Sr. Vice President and CFO and the Sr. Vice President, General Counsil, and Secretary of ALLETE, Inc., the corporation named in the foregoing instrument; that the seal affixed to the foregoing instrument is the corporate seal of said corporation; that said instrument was signed and sealed in behalf of said corporation by authority of its Board of Directors; and said Mark A. Schober and Deborah A. Amberg acknowledged said instrument to be the free act and deed of said corporation.</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Personally came before me on this 9th day of May, Mark A. Schober, to me known to be the Sr. Vice President and CFO, and Deborah A. Amberg, to me known to be the Sr. Vice President, General Counsil,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Sr. Vice President and CFO and the Sr. Vice President, General Counsil,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Mark A. Schober and Deborah A. Amberg then and there acknowledged said instrument to be the free act and deed of said corporation and that such corporation executed the same.</w:t>
      </w:r>
    </w:p>
    <w:p>
      <w:pPr>
        <w:spacing w:after="0" w:line="21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the 9th day of May, before me personally came Mark A. Schober and Deborah A. Amberg, to me known, who, being by me duly sworn, did depose and say that they respectively reside at 202 W. Owatonna Street, Duluth, Minnesota, and 2738 Northridge Drive, Duluth, Minnesota; that they are respectively the Sr. Vice President and CFO and the Sr. Vice President, General Counsil,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notarial seal this 9th day of May.</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u w:val="single" w:color="auto"/>
          <w:color w:val="auto"/>
        </w:rPr>
        <w:t>/s/ Jodi M. Nash</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tabs>
          <w:tab w:leader="none" w:pos="3500" w:val="left"/>
        </w:tabs>
        <w:rPr>
          <w:sz w:val="20"/>
          <w:szCs w:val="20"/>
          <w:color w:val="auto"/>
        </w:rPr>
      </w:pPr>
      <w:r>
        <w:rPr>
          <w:rFonts w:ascii="Arial" w:cs="Arial" w:eastAsia="Arial" w:hAnsi="Arial"/>
          <w:sz w:val="18"/>
          <w:szCs w:val="18"/>
          <w:color w:val="auto"/>
        </w:rPr>
        <w:t>STATE OF NEW YORK</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this 12th day of May, before me, a Notary Public within and for said County, personally appeared Remo J. Reale and Beata Hryniewicka, to me personally known, who, being each by me duly sworn, did say that they are respectively a Vice President and an Assistant Vice President of THE BANK OF NEW YORK, the corporation named in the foregoing instrument; that the seal affixed to the foregoing instrument is the corporate seal of said corporation; that said instrument was signed and sealed in behalf of said corporation by authority of its Board of Directors; and said Remo J. Reale and Beata Hryniewicka acknowledged said instrument to be the free act and deed of said corporation.</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Personally came before me on this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May, Remo J. Reale, to me known to be a Vice President, and Beata Hryniewicka, known to me to be an Assistant Vice President, of the above named THE BANK OF NEW YORK,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a Vice President and an Assistant Vice President of said corporation; that the seal affixed to said instrument is the corporate seal of said corporation; and that they signed, sealed and delivered said instrument in the name and on behalf of said corporation by authority of its Board of Directors, and said Remo J. Reale and Beata Hryniewicka then and there acknowledged said instrument to be the free act and deed of said corporation and that such corporation executed the same.</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the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May, before me personally came Remo J. Reale and Beata Hryniewicka, to me known, who, being by me duly sworn, did depose and say that they each reside at 101 Barclay Street, 8W, New York, New York 10286; that they are respectively a Vice President and an Assistant Vice President of THE BANK OF NEW YORK,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notarial seal this 12th day of May.</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/s/ Gerold Picard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spacing w:after="0"/>
        <w:tabs>
          <w:tab w:leader="none" w:pos="3460" w:val="left"/>
        </w:tabs>
        <w:rPr>
          <w:sz w:val="20"/>
          <w:szCs w:val="20"/>
          <w:color w:val="auto"/>
        </w:rPr>
      </w:pPr>
      <w:r>
        <w:rPr>
          <w:rFonts w:ascii="Arial" w:cs="Arial" w:eastAsia="Arial" w:hAnsi="Arial"/>
          <w:sz w:val="18"/>
          <w:szCs w:val="18"/>
          <w:color w:val="auto"/>
        </w:rPr>
        <w:t>STATE OF NEW YORK</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On this 12th day of May, before me personally appeared DOUGLAS J. MACINNES, to me known to be the person described in and who executed the foregoing instrument, and acknowledged that he executed the same as his free act and deed.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Personally came before me this 12th day of May, the above named DOUGLAS J. MACINNES, to me known to be the person who executed the foregoing instrument, and acknowledged the same.</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the 12th day of May, before me personally came DOUGLAS J. MACINNES, to me known to be the person described in and who executed the foregoing instrument, and acknowledged that he executed the same.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notarial seal this 12th day of May.</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auto"/>
        </w:rPr>
        <w:t>/s/ Gerold Picard</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Notary Public, State of New York</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T"/>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4"/>
      <w:numFmt w:val="bullet"/>
      <w:start w:val="1"/>
    </w:lvl>
  </w:abstractNum>
  <w:abstractNum w:abstractNumId="12">
    <w:nsid w:val="3F2DBA31"/>
    <w:multiLevelType w:val="hybridMultilevel"/>
    <w:lvl w:ilvl="0">
      <w:lvlJc w:val="left"/>
      <w:lvlText w:val="%1"/>
      <w:numFmt w:val="decimal"/>
      <w:start w:val="32"/>
    </w:lvl>
  </w:abstractNum>
  <w:abstractNum w:abstractNumId="13">
    <w:nsid w:val="7C83E458"/>
    <w:multiLevelType w:val="hybridMultilevel"/>
    <w:lvl w:ilvl="0">
      <w:lvlJc w:val="left"/>
      <w:lvlText w:val="%1"/>
      <w:numFmt w:val="decimal"/>
      <w:start w:val="99"/>
    </w:lvl>
  </w:abstractNum>
  <w:abstractNum w:abstractNumId="14">
    <w:nsid w:val="257130A3"/>
    <w:multiLevelType w:val="hybridMultilevel"/>
    <w:lvl w:ilvl="0">
      <w:lvlJc w:val="left"/>
      <w:lvlText w:val="%1."/>
      <w:numFmt w:val="decimal"/>
      <w:start w:val="1"/>
    </w:lvl>
    <w:lvl w:ilvl="1">
      <w:lvlJc w:val="left"/>
      <w:lvlText w:val="%2."/>
      <w:numFmt w:val="low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upperLetter"/>
      <w:start w:val="9"/>
    </w:lvl>
    <w:lvl w:ilvl="1">
      <w:lvlJc w:val="left"/>
      <w:lvlText w:val="(%2)"/>
      <w:numFmt w:val="upperLetter"/>
      <w:start w:val="35"/>
    </w:lvl>
  </w:abstractNum>
  <w:abstractNum w:abstractNumId="19">
    <w:nsid w:val="721DA317"/>
    <w:multiLevelType w:val="hybridMultilevel"/>
    <w:lvl w:ilvl="0">
      <w:lvlJc w:val="left"/>
      <w:lvlText w:val="(%1)"/>
      <w:numFmt w:val="upperLetter"/>
      <w:start w:val="61"/>
    </w:lvl>
  </w:abstractNum>
  <w:abstractNum w:abstractNumId="20">
    <w:nsid w:val="2443A858"/>
    <w:multiLevelType w:val="hybridMultilevel"/>
    <w:lvl w:ilvl="0">
      <w:lvlJc w:val="left"/>
      <w:lvlText w:val="(%1)"/>
      <w:numFmt w:val="lowerLetter"/>
      <w:start w:val="9"/>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upperLetter"/>
      <w:start w:val="22"/>
    </w:lvl>
  </w:abstractNum>
  <w:abstractNum w:abstractNumId="23">
    <w:nsid w:val="75A2A8D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2019-12-11T13:34:20Z</dcterms:created>
  <dcterms:modified xsi:type="dcterms:W3CDTF">2019-12-11T13:34:20Z</dcterms:modified>
</cp:coreProperties>
</file>