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10-Q</w:t>
      </w:r>
    </w:p>
    <w:p>
      <w:pPr>
        <w:spacing w:after="0" w:line="1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55" w:lineRule="exact"/>
        <w:rPr>
          <w:sz w:val="24"/>
          <w:szCs w:val="24"/>
          <w:color w:val="auto"/>
        </w:rPr>
      </w:pPr>
    </w:p>
    <w:p>
      <w:pPr>
        <w:ind w:right="4300" w:firstLine="35"/>
        <w:spacing w:after="0" w:line="360" w:lineRule="auto"/>
        <w:tabs>
          <w:tab w:leader="none" w:pos="71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 For the quarterly period ended September 30, 2019</w:t>
      </w:r>
    </w:p>
    <w:p>
      <w:pPr>
        <w:jc w:val="center"/>
        <w:ind w:right="-19"/>
        <w:spacing w:after="0"/>
        <w:rPr>
          <w:sz w:val="20"/>
          <w:szCs w:val="20"/>
          <w:color w:val="auto"/>
        </w:rPr>
      </w:pPr>
      <w:r>
        <w:rPr>
          <w:rFonts w:ascii="Arial" w:cs="Arial" w:eastAsia="Arial" w:hAnsi="Arial"/>
          <w:sz w:val="18"/>
          <w:szCs w:val="18"/>
          <w:color w:val="auto"/>
        </w:rPr>
        <w:t>or</w:t>
      </w:r>
    </w:p>
    <w:p>
      <w:pPr>
        <w:spacing w:after="0" w:line="225" w:lineRule="exact"/>
        <w:rPr>
          <w:sz w:val="24"/>
          <w:szCs w:val="24"/>
          <w:color w:val="auto"/>
        </w:rPr>
      </w:pPr>
    </w:p>
    <w:p>
      <w:pPr>
        <w:ind w:left="720" w:right="4260" w:hanging="685"/>
        <w:spacing w:after="0" w:line="340" w:lineRule="auto"/>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For the transition period from ______________ to ______________</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1-3548</w:t>
      </w:r>
    </w:p>
    <w:p>
      <w:pPr>
        <w:spacing w:after="0" w:line="9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ALLETE, Inc.</w:t>
      </w:r>
    </w:p>
    <w:p>
      <w:pPr>
        <w:spacing w:after="0" w:line="1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32" w:lineRule="exact"/>
        <w:rPr>
          <w:sz w:val="24"/>
          <w:szCs w:val="24"/>
          <w:color w:val="auto"/>
        </w:rPr>
      </w:pPr>
    </w:p>
    <w:p>
      <w:pPr>
        <w:ind w:left="2400"/>
        <w:spacing w:after="0"/>
        <w:tabs>
          <w:tab w:leader="none" w:pos="8160" w:val="left"/>
        </w:tabs>
        <w:rPr>
          <w:sz w:val="20"/>
          <w:szCs w:val="20"/>
          <w:color w:val="auto"/>
        </w:rPr>
      </w:pPr>
      <w:r>
        <w:rPr>
          <w:rFonts w:ascii="Arial" w:cs="Arial" w:eastAsia="Arial" w:hAnsi="Arial"/>
          <w:sz w:val="18"/>
          <w:szCs w:val="18"/>
          <w:b w:val="1"/>
          <w:bCs w:val="1"/>
          <w:color w:val="auto"/>
        </w:rPr>
        <w:t>Minnesota</w:t>
      </w:r>
      <w:r>
        <w:rPr>
          <w:sz w:val="20"/>
          <w:szCs w:val="20"/>
          <w:color w:val="auto"/>
        </w:rPr>
        <w:tab/>
      </w:r>
      <w:r>
        <w:rPr>
          <w:rFonts w:ascii="Arial" w:cs="Arial" w:eastAsia="Arial" w:hAnsi="Arial"/>
          <w:sz w:val="18"/>
          <w:szCs w:val="18"/>
          <w:b w:val="1"/>
          <w:bCs w:val="1"/>
          <w:color w:val="auto"/>
        </w:rPr>
        <w:t>41-0418150</w:t>
      </w:r>
    </w:p>
    <w:p>
      <w:pPr>
        <w:spacing w:after="0" w:line="67" w:lineRule="exact"/>
        <w:rPr>
          <w:sz w:val="24"/>
          <w:szCs w:val="24"/>
          <w:color w:val="auto"/>
        </w:rPr>
      </w:pPr>
    </w:p>
    <w:p>
      <w:pPr>
        <w:ind w:left="660"/>
        <w:spacing w:after="0"/>
        <w:tabs>
          <w:tab w:leader="none" w:pos="7360" w:val="left"/>
        </w:tabs>
        <w:rPr>
          <w:sz w:val="20"/>
          <w:szCs w:val="20"/>
          <w:color w:val="auto"/>
        </w:rPr>
      </w:pPr>
      <w:r>
        <w:rPr>
          <w:rFonts w:ascii="Arial" w:cs="Arial" w:eastAsia="Arial" w:hAnsi="Arial"/>
          <w:sz w:val="18"/>
          <w:szCs w:val="18"/>
          <w:color w:val="auto"/>
        </w:rPr>
        <w:t>(State or other jurisdiction of incorporation or organization)</w:t>
      </w:r>
      <w:r>
        <w:rPr>
          <w:sz w:val="20"/>
          <w:szCs w:val="20"/>
          <w:color w:val="auto"/>
        </w:rPr>
        <w:tab/>
      </w:r>
      <w:r>
        <w:rPr>
          <w:rFonts w:ascii="Arial" w:cs="Arial" w:eastAsia="Arial" w:hAnsi="Arial"/>
          <w:sz w:val="17"/>
          <w:szCs w:val="17"/>
          <w:color w:val="auto"/>
        </w:rPr>
        <w:t>(IRS Employer Identification No.)</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30 West Superior Street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Duluth, Minnesota 55802-2093</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(Zip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(218) 279-5000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71" w:lineRule="exact"/>
        <w:rPr>
          <w:sz w:val="24"/>
          <w:szCs w:val="24"/>
          <w:color w:val="auto"/>
        </w:rPr>
      </w:pPr>
    </w:p>
    <w:p>
      <w:pPr>
        <w:ind w:left="1580"/>
        <w:spacing w:after="0"/>
        <w:tabs>
          <w:tab w:leader="none" w:pos="5140" w:val="left"/>
          <w:tab w:leader="none" w:pos="7580" w:val="left"/>
        </w:tabs>
        <w:rPr>
          <w:sz w:val="20"/>
          <w:szCs w:val="20"/>
          <w:color w:val="auto"/>
        </w:rPr>
      </w:pPr>
      <w:r>
        <w:rPr>
          <w:rFonts w:ascii="Arial" w:cs="Arial" w:eastAsia="Arial" w:hAnsi="Arial"/>
          <w:sz w:val="18"/>
          <w:szCs w:val="18"/>
          <w:color w:val="auto"/>
        </w:rPr>
        <w:t>Title of each class</w:t>
      </w:r>
      <w:r>
        <w:rPr>
          <w:sz w:val="20"/>
          <w:szCs w:val="20"/>
          <w:color w:val="auto"/>
        </w:rPr>
        <w:tab/>
      </w:r>
      <w:r>
        <w:rPr>
          <w:rFonts w:ascii="Arial" w:cs="Arial" w:eastAsia="Arial" w:hAnsi="Arial"/>
          <w:sz w:val="18"/>
          <w:szCs w:val="18"/>
          <w:color w:val="auto"/>
        </w:rPr>
        <w:t>Trading symbol</w:t>
      </w:r>
      <w:r>
        <w:rPr>
          <w:sz w:val="20"/>
          <w:szCs w:val="20"/>
          <w:color w:val="auto"/>
        </w:rPr>
        <w:tab/>
      </w:r>
      <w:r>
        <w:rPr>
          <w:rFonts w:ascii="Arial" w:cs="Arial" w:eastAsia="Arial" w:hAnsi="Arial"/>
          <w:sz w:val="16"/>
          <w:szCs w:val="16"/>
          <w:color w:val="auto"/>
        </w:rPr>
        <w:t>Name of each exchange on which registered</w:t>
      </w:r>
    </w:p>
    <w:p>
      <w:pPr>
        <w:spacing w:after="0" w:line="59" w:lineRule="exact"/>
        <w:rPr>
          <w:sz w:val="24"/>
          <w:szCs w:val="24"/>
          <w:color w:val="auto"/>
        </w:rPr>
      </w:pPr>
    </w:p>
    <w:p>
      <w:pPr>
        <w:ind w:left="920"/>
        <w:spacing w:after="0"/>
        <w:tabs>
          <w:tab w:leader="none" w:pos="5700" w:val="left"/>
          <w:tab w:leader="none" w:pos="8160" w:val="left"/>
        </w:tabs>
        <w:rPr>
          <w:sz w:val="20"/>
          <w:szCs w:val="20"/>
          <w:color w:val="auto"/>
        </w:rPr>
      </w:pPr>
      <w:r>
        <w:rPr>
          <w:rFonts w:ascii="Arial" w:cs="Arial" w:eastAsia="Arial" w:hAnsi="Arial"/>
          <w:sz w:val="18"/>
          <w:szCs w:val="18"/>
          <w:b w:val="1"/>
          <w:bCs w:val="1"/>
          <w:color w:val="auto"/>
        </w:rPr>
        <w:t>Common Stock, without par value</w:t>
      </w:r>
      <w:r>
        <w:rPr>
          <w:sz w:val="20"/>
          <w:szCs w:val="20"/>
          <w:color w:val="auto"/>
        </w:rPr>
        <w:tab/>
      </w:r>
      <w:r>
        <w:rPr>
          <w:rFonts w:ascii="Arial" w:cs="Arial" w:eastAsia="Arial" w:hAnsi="Arial"/>
          <w:sz w:val="18"/>
          <w:szCs w:val="18"/>
          <w:b w:val="1"/>
          <w:bCs w:val="1"/>
          <w:color w:val="auto"/>
        </w:rPr>
        <w:t>ALE</w:t>
      </w:r>
      <w:r>
        <w:rPr>
          <w:sz w:val="20"/>
          <w:szCs w:val="20"/>
          <w:color w:val="auto"/>
        </w:rPr>
        <w:tab/>
      </w:r>
      <w:r>
        <w:rPr>
          <w:rFonts w:ascii="Arial" w:cs="Arial" w:eastAsia="Arial" w:hAnsi="Arial"/>
          <w:sz w:val="16"/>
          <w:szCs w:val="16"/>
          <w:b w:val="1"/>
          <w:bCs w:val="1"/>
          <w:color w:val="auto"/>
        </w:rPr>
        <w:t>New York Stock Exchange</w:t>
      </w:r>
    </w:p>
    <w:p>
      <w:pPr>
        <w:spacing w:after="0" w:line="4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jc w:val="both"/>
        <w:spacing w:after="0" w:line="233"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MS PGothic" w:cs="MS PGothic" w:eastAsia="MS PGothic" w:hAnsi="MS PGothic"/>
          <w:sz w:val="17"/>
          <w:szCs w:val="17"/>
          <w:color w:val="auto"/>
        </w:rPr>
        <w:t>☒</w:t>
      </w:r>
      <w:r>
        <w:rPr>
          <w:rFonts w:ascii="Arial" w:cs="Arial" w:eastAsia="Arial" w:hAnsi="Arial"/>
          <w:sz w:val="17"/>
          <w:szCs w:val="17"/>
          <w:color w:val="auto"/>
        </w:rPr>
        <w:t xml:space="preserve"> Yes </w:t>
      </w: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182"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1" w:lineRule="exact"/>
        <w:rPr>
          <w:sz w:val="24"/>
          <w:szCs w:val="24"/>
          <w:color w:val="auto"/>
        </w:rPr>
      </w:pPr>
    </w:p>
    <w:p>
      <w:pPr>
        <w:ind w:left="1300"/>
        <w:spacing w:after="0" w:line="207" w:lineRule="exact"/>
        <w:tabs>
          <w:tab w:leader="none" w:pos="3180" w:val="left"/>
          <w:tab w:leader="none" w:pos="3920" w:val="left"/>
          <w:tab w:leader="none" w:pos="5340" w:val="left"/>
        </w:tabs>
        <w:rPr>
          <w:sz w:val="20"/>
          <w:szCs w:val="20"/>
          <w:color w:val="auto"/>
        </w:rPr>
      </w:pPr>
      <w:r>
        <w:rPr>
          <w:rFonts w:ascii="Arial" w:cs="Arial" w:eastAsia="Arial" w:hAnsi="Arial"/>
          <w:sz w:val="18"/>
          <w:szCs w:val="18"/>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w:t>
      </w:r>
      <w:r>
        <w:rPr>
          <w:sz w:val="20"/>
          <w:szCs w:val="20"/>
          <w:color w:val="auto"/>
        </w:rPr>
        <w:tab/>
      </w:r>
      <w:r>
        <w:rPr>
          <w:rFonts w:ascii="MS PGothic" w:cs="MS PGothic" w:eastAsia="MS PGothic" w:hAnsi="MS PGothic"/>
          <w:sz w:val="16"/>
          <w:szCs w:val="16"/>
          <w:color w:val="auto"/>
        </w:rPr>
        <w:t>☐</w:t>
      </w:r>
    </w:p>
    <w:p>
      <w:pPr>
        <w:spacing w:after="0" w:line="51" w:lineRule="exact"/>
        <w:rPr>
          <w:sz w:val="24"/>
          <w:szCs w:val="24"/>
          <w:color w:val="auto"/>
        </w:rPr>
      </w:pPr>
    </w:p>
    <w:p>
      <w:pPr>
        <w:ind w:left="1300"/>
        <w:spacing w:after="0" w:line="207" w:lineRule="exact"/>
        <w:tabs>
          <w:tab w:leader="none" w:pos="3080" w:val="left"/>
          <w:tab w:leader="none" w:pos="3640" w:val="left"/>
          <w:tab w:leader="none" w:pos="5900" w:val="left"/>
        </w:tabs>
        <w:rPr>
          <w:sz w:val="20"/>
          <w:szCs w:val="20"/>
          <w:color w:val="auto"/>
        </w:rPr>
      </w:pPr>
      <w:r>
        <w:rPr>
          <w:rFonts w:ascii="Arial" w:cs="Arial" w:eastAsia="Arial" w:hAnsi="Arial"/>
          <w:sz w:val="18"/>
          <w:szCs w:val="18"/>
          <w:color w:val="auto"/>
        </w:rPr>
        <w:t>Non-Accelerated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Smaller Reporting Company</w:t>
      </w:r>
      <w:r>
        <w:rPr>
          <w:sz w:val="20"/>
          <w:szCs w:val="20"/>
          <w:color w:val="auto"/>
        </w:rPr>
        <w:tab/>
      </w:r>
      <w:r>
        <w:rPr>
          <w:rFonts w:ascii="MS PGothic" w:cs="MS PGothic" w:eastAsia="MS PGothic" w:hAnsi="MS PGothic"/>
          <w:sz w:val="16"/>
          <w:szCs w:val="16"/>
          <w:color w:val="auto"/>
        </w:rPr>
        <w:t>☐</w:t>
      </w:r>
    </w:p>
    <w:p>
      <w:pPr>
        <w:spacing w:after="0" w:line="9" w:lineRule="exact"/>
        <w:rPr>
          <w:sz w:val="24"/>
          <w:szCs w:val="24"/>
          <w:color w:val="auto"/>
        </w:rPr>
      </w:pPr>
    </w:p>
    <w:p>
      <w:pPr>
        <w:ind w:left="4540"/>
        <w:spacing w:after="0" w:line="207" w:lineRule="exact"/>
        <w:tabs>
          <w:tab w:leader="none" w:pos="676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08" w:lineRule="exact"/>
        <w:rPr>
          <w:sz w:val="24"/>
          <w:szCs w:val="24"/>
          <w:color w:val="auto"/>
        </w:rPr>
      </w:pPr>
    </w:p>
    <w:p>
      <w:pPr>
        <w:jc w:val="both"/>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5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 without par value,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51,668,047 shares outstanding</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as of September 30, 2019</w:t>
      </w: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ALLETE, Inc. Third Quarter 2019 Form 10-Q</w:t>
      </w:r>
    </w:p>
    <w:p>
      <w:pPr>
        <w:sectPr>
          <w:pgSz w:w="11900" w:h="16838" w:orient="portrait"/>
          <w:cols w:equalWidth="0" w:num="1">
            <w:col w:w="11420"/>
          </w:cols>
          <w:pgMar w:left="240" w:top="1148" w:right="239" w:bottom="1440" w:gutter="0" w:footer="0" w:header="0"/>
        </w:sectPr>
      </w:pPr>
    </w:p>
    <w:p>
      <w:pPr>
        <w:spacing w:after="0" w:line="13" w:lineRule="exact"/>
        <w:rPr>
          <w:sz w:val="24"/>
          <w:szCs w:val="24"/>
          <w:color w:val="auto"/>
        </w:rPr>
      </w:pPr>
    </w:p>
    <w:p>
      <w:pPr>
        <w:ind w:left="11340"/>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420"/>
          </w:cols>
          <w:pgMar w:left="240" w:top="1148"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920" w:type="dxa"/>
            <w:vAlign w:val="bottom"/>
            <w:gridSpan w:val="10"/>
          </w:tcPr>
          <w:p>
            <w:pPr>
              <w:ind w:left="200"/>
              <w:spacing w:after="0"/>
              <w:rPr>
                <w:sz w:val="20"/>
                <w:szCs w:val="20"/>
                <w:color w:val="auto"/>
              </w:rPr>
            </w:pPr>
            <w:r>
              <w:rPr>
                <w:rFonts w:ascii="Arial" w:cs="Arial" w:eastAsia="Arial" w:hAnsi="Arial"/>
                <w:sz w:val="18"/>
                <w:szCs w:val="18"/>
                <w:b w:val="1"/>
                <w:bCs w:val="1"/>
                <w:color w:val="auto"/>
              </w:rPr>
              <w:t>Index</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08"/>
        </w:trPr>
        <w:tc>
          <w:tcPr>
            <w:tcW w:w="40" w:type="dxa"/>
            <w:vAlign w:val="bottom"/>
          </w:tcPr>
          <w:p>
            <w:pPr>
              <w:spacing w:after="0"/>
              <w:rPr>
                <w:sz w:val="24"/>
                <w:szCs w:val="24"/>
                <w:color w:val="auto"/>
              </w:rPr>
            </w:pPr>
          </w:p>
        </w:tc>
        <w:tc>
          <w:tcPr>
            <w:tcW w:w="800" w:type="dxa"/>
            <w:vAlign w:val="bottom"/>
            <w:gridSpan w:val="4"/>
          </w:tcPr>
          <w:p>
            <w:pPr>
              <w:spacing w:after="0"/>
              <w:rPr>
                <w:rFonts w:ascii="Arial" w:cs="Arial" w:eastAsia="Arial" w:hAnsi="Arial"/>
                <w:sz w:val="18"/>
                <w:szCs w:val="18"/>
                <w:color w:val="0000EE"/>
                <w:w w:val="92"/>
              </w:rPr>
            </w:pPr>
            <w:hyperlink w:anchor="page3">
              <w:r>
                <w:rPr>
                  <w:rFonts w:ascii="Arial" w:cs="Arial" w:eastAsia="Arial" w:hAnsi="Arial"/>
                  <w:sz w:val="18"/>
                  <w:szCs w:val="18"/>
                  <w:color w:val="0000EE"/>
                  <w:w w:val="92"/>
                </w:rPr>
                <w:t>Definitions</w:t>
              </w:r>
            </w:hyperlink>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00" w:type="dxa"/>
            <w:vAlign w:val="bottom"/>
            <w:gridSpan w:val="3"/>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48"/>
        </w:trPr>
        <w:tc>
          <w:tcPr>
            <w:tcW w:w="40" w:type="dxa"/>
            <w:vAlign w:val="bottom"/>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0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1180" w:type="dxa"/>
            <w:vAlign w:val="bottom"/>
            <w:gridSpan w:val="45"/>
            <w:shd w:val="clear" w:color="auto" w:fill="CCEEFF"/>
          </w:tcPr>
          <w:p>
            <w:pPr>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Forward-Looking Statements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5</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900" w:type="dxa"/>
            <w:vAlign w:val="bottom"/>
            <w:tcBorders>
              <w:top w:val="single" w:sz="8" w:color="CCEEFF"/>
            </w:tcBorders>
            <w:shd w:val="clear" w:color="auto" w:fill="CCEEFF"/>
          </w:tcPr>
          <w:p>
            <w:pPr>
              <w:spacing w:after="0"/>
              <w:rPr>
                <w:sz w:val="4"/>
                <w:szCs w:val="4"/>
                <w:color w:val="auto"/>
              </w:rPr>
            </w:pPr>
          </w:p>
        </w:tc>
        <w:tc>
          <w:tcPr>
            <w:tcW w:w="28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800" w:type="dxa"/>
            <w:vAlign w:val="bottom"/>
            <w:gridSpan w:val="4"/>
          </w:tcPr>
          <w:p>
            <w:pPr>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Part I.</w:t>
              </w:r>
            </w:hyperlink>
          </w:p>
        </w:tc>
        <w:tc>
          <w:tcPr>
            <w:tcW w:w="10380" w:type="dxa"/>
            <w:vAlign w:val="bottom"/>
            <w:gridSpan w:val="41"/>
          </w:tcPr>
          <w:p>
            <w:pPr>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Financial Information</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0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0000EE"/>
            </w:tcBorders>
            <w:shd w:val="clear" w:color="auto" w:fill="CCEEFF"/>
          </w:tcPr>
          <w:p>
            <w:pPr>
              <w:spacing w:after="0" w:line="202" w:lineRule="exact"/>
              <w:rPr>
                <w:rFonts w:ascii="Arial" w:cs="Arial" w:eastAsia="Arial" w:hAnsi="Arial"/>
                <w:sz w:val="18"/>
                <w:szCs w:val="18"/>
                <w:color w:val="0000EE"/>
                <w:w w:val="90"/>
              </w:rPr>
            </w:pPr>
            <w:hyperlink w:anchor="page7">
              <w:r>
                <w:rPr>
                  <w:rFonts w:ascii="Arial" w:cs="Arial" w:eastAsia="Arial" w:hAnsi="Arial"/>
                  <w:sz w:val="18"/>
                  <w:szCs w:val="18"/>
                  <w:color w:val="0000EE"/>
                  <w:w w:val="90"/>
                </w:rPr>
                <w:t>Item 1.</w:t>
              </w:r>
            </w:hyperlink>
          </w:p>
        </w:tc>
        <w:tc>
          <w:tcPr>
            <w:tcW w:w="520" w:type="dxa"/>
            <w:vAlign w:val="bottom"/>
            <w:tcBorders>
              <w:bottom w:val="single" w:sz="8" w:color="CCEEFF"/>
            </w:tcBorders>
            <w:gridSpan w:val="2"/>
            <w:shd w:val="clear" w:color="auto" w:fill="CCEEFF"/>
          </w:tcPr>
          <w:p>
            <w:pPr>
              <w:spacing w:after="0"/>
              <w:rPr>
                <w:sz w:val="21"/>
                <w:szCs w:val="21"/>
                <w:color w:val="auto"/>
              </w:rPr>
            </w:pPr>
          </w:p>
        </w:tc>
        <w:tc>
          <w:tcPr>
            <w:tcW w:w="3400" w:type="dxa"/>
            <w:vAlign w:val="bottom"/>
            <w:tcBorders>
              <w:bottom w:val="single" w:sz="8" w:color="0000EE"/>
            </w:tcBorders>
            <w:gridSpan w:val="27"/>
            <w:shd w:val="clear" w:color="auto" w:fill="CCEEFF"/>
          </w:tcPr>
          <w:p>
            <w:pPr>
              <w:spacing w:after="0" w:line="202"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Consolidated Financial Statements - Unaudited</w:t>
              </w:r>
            </w:hyperlink>
          </w:p>
        </w:tc>
        <w:tc>
          <w:tcPr>
            <w:tcW w:w="5940" w:type="dxa"/>
            <w:vAlign w:val="bottom"/>
            <w:tcBorders>
              <w:bottom w:val="single" w:sz="8" w:color="CCEEFF"/>
            </w:tcBorders>
            <w:gridSpan w:val="11"/>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7">
              <w:r>
                <w:rPr>
                  <w:rFonts w:ascii="Arial" w:cs="Arial" w:eastAsia="Arial" w:hAnsi="Arial"/>
                  <w:sz w:val="18"/>
                  <w:szCs w:val="18"/>
                  <w:color w:val="0000EE"/>
                  <w:w w:val="79"/>
                </w:rPr>
                <w:t>7</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40" w:type="dxa"/>
            <w:vAlign w:val="bottom"/>
            <w:gridSpan w:val="38"/>
          </w:tcPr>
          <w:p>
            <w:pPr>
              <w:ind w:left="240"/>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Consolidated Balance Sheet</w:t>
              </w:r>
            </w:hyperlink>
          </w:p>
        </w:tc>
        <w:tc>
          <w:tcPr>
            <w:tcW w:w="200" w:type="dxa"/>
            <w:vAlign w:val="bottom"/>
            <w:gridSpan w:val="3"/>
          </w:tcPr>
          <w:p>
            <w:pPr>
              <w:jc w:val="right"/>
              <w:ind w:right="20"/>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7</w:t>
              </w:r>
            </w:hyperlink>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0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340" w:type="dxa"/>
            <w:vAlign w:val="bottom"/>
            <w:gridSpan w:val="38"/>
            <w:shd w:val="clear" w:color="auto" w:fill="CCEEFF"/>
          </w:tcPr>
          <w:p>
            <w:pPr>
              <w:ind w:left="240"/>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Consolidated Statement of Income</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8</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900" w:type="dxa"/>
            <w:vAlign w:val="bottom"/>
            <w:tcBorders>
              <w:top w:val="single" w:sz="8" w:color="CCEEFF"/>
            </w:tcBorders>
            <w:shd w:val="clear" w:color="auto" w:fill="CCEEFF"/>
          </w:tcPr>
          <w:p>
            <w:pPr>
              <w:spacing w:after="0"/>
              <w:rPr>
                <w:sz w:val="4"/>
                <w:szCs w:val="4"/>
                <w:color w:val="auto"/>
              </w:rPr>
            </w:pPr>
          </w:p>
        </w:tc>
        <w:tc>
          <w:tcPr>
            <w:tcW w:w="28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40" w:type="dxa"/>
            <w:vAlign w:val="bottom"/>
            <w:gridSpan w:val="38"/>
          </w:tcPr>
          <w:p>
            <w:pPr>
              <w:ind w:left="240"/>
              <w:spacing w:after="0" w:line="202" w:lineRule="exact"/>
              <w:rPr>
                <w:rFonts w:ascii="Arial" w:cs="Arial" w:eastAsia="Arial" w:hAnsi="Arial"/>
                <w:sz w:val="18"/>
                <w:szCs w:val="18"/>
                <w:color w:val="0000EE"/>
              </w:rPr>
            </w:pPr>
            <w:hyperlink w:anchor="page9">
              <w:r>
                <w:rPr>
                  <w:rFonts w:ascii="Arial" w:cs="Arial" w:eastAsia="Arial" w:hAnsi="Arial"/>
                  <w:sz w:val="18"/>
                  <w:szCs w:val="18"/>
                  <w:color w:val="0000EE"/>
                </w:rPr>
                <w:t>Consolidated Statement of Comprehensive Income</w:t>
              </w:r>
            </w:hyperlink>
          </w:p>
        </w:tc>
        <w:tc>
          <w:tcPr>
            <w:tcW w:w="200" w:type="dxa"/>
            <w:vAlign w:val="bottom"/>
            <w:gridSpan w:val="3"/>
          </w:tcPr>
          <w:p>
            <w:pPr>
              <w:jc w:val="right"/>
              <w:ind w:right="20"/>
              <w:spacing w:after="0" w:line="202" w:lineRule="exact"/>
              <w:rPr>
                <w:rFonts w:ascii="Arial" w:cs="Arial" w:eastAsia="Arial" w:hAnsi="Arial"/>
                <w:sz w:val="18"/>
                <w:szCs w:val="18"/>
                <w:color w:val="0000EE"/>
              </w:rPr>
            </w:pPr>
            <w:hyperlink w:anchor="page9">
              <w:r>
                <w:rPr>
                  <w:rFonts w:ascii="Arial" w:cs="Arial" w:eastAsia="Arial" w:hAnsi="Arial"/>
                  <w:sz w:val="18"/>
                  <w:szCs w:val="18"/>
                  <w:color w:val="0000EE"/>
                </w:rPr>
                <w:t>9</w:t>
              </w:r>
            </w:hyperlink>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0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340" w:type="dxa"/>
            <w:vAlign w:val="bottom"/>
            <w:gridSpan w:val="38"/>
            <w:shd w:val="clear" w:color="auto" w:fill="CCEEFF"/>
          </w:tcPr>
          <w:p>
            <w:pPr>
              <w:ind w:left="240"/>
              <w:spacing w:after="0" w:line="202" w:lineRule="exact"/>
              <w:rPr>
                <w:rFonts w:ascii="Arial" w:cs="Arial" w:eastAsia="Arial" w:hAnsi="Arial"/>
                <w:sz w:val="18"/>
                <w:szCs w:val="18"/>
                <w:color w:val="0000EE"/>
              </w:rPr>
            </w:pPr>
            <w:hyperlink w:anchor="page10">
              <w:r>
                <w:rPr>
                  <w:rFonts w:ascii="Arial" w:cs="Arial" w:eastAsia="Arial" w:hAnsi="Arial"/>
                  <w:sz w:val="18"/>
                  <w:szCs w:val="18"/>
                  <w:color w:val="0000EE"/>
                </w:rPr>
                <w:t>Consolidated Statement of Cash Flows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10">
              <w:r>
                <w:rPr>
                  <w:rFonts w:ascii="Arial" w:cs="Arial" w:eastAsia="Arial" w:hAnsi="Arial"/>
                  <w:sz w:val="18"/>
                  <w:szCs w:val="18"/>
                  <w:color w:val="0000EE"/>
                  <w:w w:val="79"/>
                </w:rPr>
                <w:t>10</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900" w:type="dxa"/>
            <w:vAlign w:val="bottom"/>
            <w:tcBorders>
              <w:top w:val="single" w:sz="8" w:color="CCEEFF"/>
            </w:tcBorders>
            <w:shd w:val="clear" w:color="auto" w:fill="CCEEFF"/>
          </w:tcPr>
          <w:p>
            <w:pPr>
              <w:spacing w:after="0"/>
              <w:rPr>
                <w:sz w:val="4"/>
                <w:szCs w:val="4"/>
                <w:color w:val="auto"/>
              </w:rPr>
            </w:pPr>
          </w:p>
        </w:tc>
        <w:tc>
          <w:tcPr>
            <w:tcW w:w="28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40" w:type="dxa"/>
            <w:vAlign w:val="bottom"/>
            <w:gridSpan w:val="38"/>
          </w:tcPr>
          <w:p>
            <w:pPr>
              <w:ind w:left="240"/>
              <w:spacing w:after="0" w:line="202" w:lineRule="exact"/>
              <w:rPr>
                <w:rFonts w:ascii="Arial" w:cs="Arial" w:eastAsia="Arial" w:hAnsi="Arial"/>
                <w:sz w:val="18"/>
                <w:szCs w:val="18"/>
                <w:color w:val="0000EE"/>
              </w:rPr>
            </w:pPr>
            <w:hyperlink w:anchor="page11">
              <w:r>
                <w:rPr>
                  <w:rFonts w:ascii="Arial" w:cs="Arial" w:eastAsia="Arial" w:hAnsi="Arial"/>
                  <w:sz w:val="18"/>
                  <w:szCs w:val="18"/>
                  <w:color w:val="0000EE"/>
                </w:rPr>
                <w:t>Consolidated Statement of Shareholders’ Equity</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11">
              <w:r>
                <w:rPr>
                  <w:rFonts w:ascii="Arial" w:cs="Arial" w:eastAsia="Arial" w:hAnsi="Arial"/>
                  <w:sz w:val="18"/>
                  <w:szCs w:val="18"/>
                  <w:color w:val="0000EE"/>
                  <w:w w:val="79"/>
                </w:rPr>
                <w:t>11</w:t>
              </w:r>
            </w:hyperlink>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0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340" w:type="dxa"/>
            <w:vAlign w:val="bottom"/>
            <w:gridSpan w:val="38"/>
            <w:shd w:val="clear" w:color="auto" w:fill="CCEEFF"/>
          </w:tcPr>
          <w:p>
            <w:pPr>
              <w:ind w:left="240"/>
              <w:spacing w:after="0" w:line="202" w:lineRule="exact"/>
              <w:rPr>
                <w:rFonts w:ascii="Arial" w:cs="Arial" w:eastAsia="Arial" w:hAnsi="Arial"/>
                <w:sz w:val="18"/>
                <w:szCs w:val="18"/>
                <w:color w:val="0000EE"/>
              </w:rPr>
            </w:pPr>
            <w:hyperlink w:anchor="page12">
              <w:r>
                <w:rPr>
                  <w:rFonts w:ascii="Arial" w:cs="Arial" w:eastAsia="Arial" w:hAnsi="Arial"/>
                  <w:sz w:val="18"/>
                  <w:szCs w:val="18"/>
                  <w:color w:val="0000EE"/>
                </w:rPr>
                <w:t>Notes to Consolidated Financial Statements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12">
              <w:r>
                <w:rPr>
                  <w:rFonts w:ascii="Arial" w:cs="Arial" w:eastAsia="Arial" w:hAnsi="Arial"/>
                  <w:sz w:val="18"/>
                  <w:szCs w:val="18"/>
                  <w:color w:val="0000EE"/>
                  <w:w w:val="79"/>
                </w:rPr>
                <w:t>12</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900" w:type="dxa"/>
            <w:vAlign w:val="bottom"/>
            <w:tcBorders>
              <w:top w:val="single" w:sz="8" w:color="CCEEFF"/>
            </w:tcBorders>
            <w:shd w:val="clear" w:color="auto" w:fill="CCEEFF"/>
          </w:tcPr>
          <w:p>
            <w:pPr>
              <w:spacing w:after="0"/>
              <w:rPr>
                <w:sz w:val="4"/>
                <w:szCs w:val="4"/>
                <w:color w:val="auto"/>
              </w:rPr>
            </w:pPr>
          </w:p>
        </w:tc>
        <w:tc>
          <w:tcPr>
            <w:tcW w:w="28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80" w:type="dxa"/>
            <w:vAlign w:val="bottom"/>
            <w:gridSpan w:val="34"/>
          </w:tcPr>
          <w:p>
            <w:pPr>
              <w:spacing w:after="0" w:line="202" w:lineRule="exact"/>
              <w:rPr>
                <w:rFonts w:ascii="Arial" w:cs="Arial" w:eastAsia="Arial" w:hAnsi="Arial"/>
                <w:sz w:val="18"/>
                <w:szCs w:val="18"/>
                <w:color w:val="0000EE"/>
              </w:rPr>
            </w:pPr>
            <w:hyperlink w:anchor="page12">
              <w:r>
                <w:rPr>
                  <w:rFonts w:ascii="Arial" w:cs="Arial" w:eastAsia="Arial" w:hAnsi="Arial"/>
                  <w:sz w:val="18"/>
                  <w:szCs w:val="18"/>
                  <w:color w:val="0000EE"/>
                </w:rPr>
                <w:t>Note 1. Operations and Significant Accounting Policies</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12">
              <w:r>
                <w:rPr>
                  <w:rFonts w:ascii="Arial" w:cs="Arial" w:eastAsia="Arial" w:hAnsi="Arial"/>
                  <w:sz w:val="18"/>
                  <w:szCs w:val="18"/>
                  <w:color w:val="0000EE"/>
                  <w:w w:val="79"/>
                </w:rPr>
                <w:t>12</w:t>
              </w:r>
            </w:hyperlink>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190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80" w:type="dxa"/>
            <w:vAlign w:val="bottom"/>
            <w:gridSpan w:val="34"/>
            <w:shd w:val="clear" w:color="auto" w:fill="CCEEFF"/>
          </w:tcPr>
          <w:p>
            <w:pPr>
              <w:spacing w:after="0" w:line="202" w:lineRule="exact"/>
              <w:rPr>
                <w:rFonts w:ascii="Arial" w:cs="Arial" w:eastAsia="Arial" w:hAnsi="Arial"/>
                <w:sz w:val="18"/>
                <w:szCs w:val="18"/>
                <w:color w:val="0000EE"/>
              </w:rPr>
            </w:pPr>
            <w:hyperlink w:anchor="page16">
              <w:r>
                <w:rPr>
                  <w:rFonts w:ascii="Arial" w:cs="Arial" w:eastAsia="Arial" w:hAnsi="Arial"/>
                  <w:sz w:val="18"/>
                  <w:szCs w:val="18"/>
                  <w:color w:val="0000EE"/>
                </w:rPr>
                <w:t>Note 2. Regulatory Matters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16">
              <w:r>
                <w:rPr>
                  <w:rFonts w:ascii="Arial" w:cs="Arial" w:eastAsia="Arial" w:hAnsi="Arial"/>
                  <w:sz w:val="18"/>
                  <w:szCs w:val="18"/>
                  <w:color w:val="0000EE"/>
                  <w:w w:val="79"/>
                </w:rPr>
                <w:t>16</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900" w:type="dxa"/>
            <w:vAlign w:val="bottom"/>
            <w:tcBorders>
              <w:top w:val="single" w:sz="8" w:color="CCEEFF"/>
            </w:tcBorders>
            <w:shd w:val="clear" w:color="auto" w:fill="CCEEFF"/>
          </w:tcPr>
          <w:p>
            <w:pPr>
              <w:spacing w:after="0"/>
              <w:rPr>
                <w:sz w:val="4"/>
                <w:szCs w:val="4"/>
                <w:color w:val="auto"/>
              </w:rPr>
            </w:pPr>
          </w:p>
        </w:tc>
        <w:tc>
          <w:tcPr>
            <w:tcW w:w="28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80" w:type="dxa"/>
            <w:vAlign w:val="bottom"/>
            <w:gridSpan w:val="34"/>
          </w:tcPr>
          <w:p>
            <w:pPr>
              <w:spacing w:after="0" w:line="202" w:lineRule="exact"/>
              <w:rPr>
                <w:rFonts w:ascii="Arial" w:cs="Arial" w:eastAsia="Arial" w:hAnsi="Arial"/>
                <w:sz w:val="18"/>
                <w:szCs w:val="18"/>
                <w:color w:val="0000EE"/>
              </w:rPr>
            </w:pPr>
            <w:hyperlink w:anchor="page19">
              <w:r>
                <w:rPr>
                  <w:rFonts w:ascii="Arial" w:cs="Arial" w:eastAsia="Arial" w:hAnsi="Arial"/>
                  <w:sz w:val="18"/>
                  <w:szCs w:val="18"/>
                  <w:color w:val="0000EE"/>
                </w:rPr>
                <w:t>Note 3. Equity Investments</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19">
              <w:r>
                <w:rPr>
                  <w:rFonts w:ascii="Arial" w:cs="Arial" w:eastAsia="Arial" w:hAnsi="Arial"/>
                  <w:sz w:val="18"/>
                  <w:szCs w:val="18"/>
                  <w:color w:val="0000EE"/>
                  <w:w w:val="79"/>
                </w:rPr>
                <w:t>19</w:t>
              </w:r>
            </w:hyperlink>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0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80" w:type="dxa"/>
            <w:vAlign w:val="bottom"/>
            <w:gridSpan w:val="34"/>
            <w:shd w:val="clear" w:color="auto" w:fill="CCEEFF"/>
          </w:tcPr>
          <w:p>
            <w:pPr>
              <w:spacing w:after="0" w:line="202" w:lineRule="exact"/>
              <w:rPr>
                <w:rFonts w:ascii="Arial" w:cs="Arial" w:eastAsia="Arial" w:hAnsi="Arial"/>
                <w:sz w:val="18"/>
                <w:szCs w:val="18"/>
                <w:color w:val="0000EE"/>
              </w:rPr>
            </w:pPr>
            <w:hyperlink w:anchor="page19">
              <w:r>
                <w:rPr>
                  <w:rFonts w:ascii="Arial" w:cs="Arial" w:eastAsia="Arial" w:hAnsi="Arial"/>
                  <w:sz w:val="18"/>
                  <w:szCs w:val="18"/>
                  <w:color w:val="0000EE"/>
                </w:rPr>
                <w:t>Note 4. Goodwill and Intangible Assets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19">
              <w:r>
                <w:rPr>
                  <w:rFonts w:ascii="Arial" w:cs="Arial" w:eastAsia="Arial" w:hAnsi="Arial"/>
                  <w:sz w:val="18"/>
                  <w:szCs w:val="18"/>
                  <w:color w:val="0000EE"/>
                  <w:w w:val="79"/>
                </w:rPr>
                <w:t>19</w:t>
              </w:r>
            </w:hyperlink>
          </w:p>
        </w:tc>
      </w:tr>
      <w:tr>
        <w:trPr>
          <w:trHeight w:val="203"/>
        </w:trPr>
        <w:tc>
          <w:tcPr>
            <w:tcW w:w="4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840" w:type="dxa"/>
            <w:vAlign w:val="bottom"/>
            <w:tcBorders>
              <w:top w:val="single" w:sz="8" w:color="0000EE"/>
            </w:tcBorders>
            <w:gridSpan w:val="21"/>
          </w:tcPr>
          <w:p>
            <w:pPr>
              <w:spacing w:after="0" w:line="202" w:lineRule="exact"/>
              <w:rPr>
                <w:rFonts w:ascii="Arial" w:cs="Arial" w:eastAsia="Arial" w:hAnsi="Arial"/>
                <w:sz w:val="18"/>
                <w:szCs w:val="18"/>
                <w:color w:val="0000EE"/>
              </w:rPr>
            </w:pPr>
            <w:hyperlink w:anchor="page20">
              <w:r>
                <w:rPr>
                  <w:rFonts w:ascii="Arial" w:cs="Arial" w:eastAsia="Arial" w:hAnsi="Arial"/>
                  <w:sz w:val="18"/>
                  <w:szCs w:val="18"/>
                  <w:color w:val="0000EE"/>
                </w:rPr>
                <w:t>Note 5. Fair Value</w:t>
              </w:r>
            </w:hyperlink>
          </w:p>
        </w:tc>
        <w:tc>
          <w:tcPr>
            <w:tcW w:w="6040" w:type="dxa"/>
            <w:vAlign w:val="bottom"/>
            <w:tcBorders>
              <w:top w:val="single" w:sz="8" w:color="CCEEFF"/>
            </w:tcBorders>
            <w:gridSpan w:val="13"/>
          </w:tcPr>
          <w:p>
            <w:pPr>
              <w:spacing w:after="0"/>
              <w:rPr>
                <w:sz w:val="17"/>
                <w:szCs w:val="17"/>
                <w:color w:val="auto"/>
              </w:rPr>
            </w:pPr>
          </w:p>
        </w:tc>
        <w:tc>
          <w:tcPr>
            <w:tcW w:w="180" w:type="dxa"/>
            <w:vAlign w:val="bottom"/>
            <w:tcBorders>
              <w:top w:val="single" w:sz="8" w:color="0000EE"/>
            </w:tcBorders>
            <w:gridSpan w:val="2"/>
          </w:tcPr>
          <w:p>
            <w:pPr>
              <w:jc w:val="right"/>
              <w:spacing w:after="0" w:line="202" w:lineRule="exact"/>
              <w:rPr>
                <w:rFonts w:ascii="Arial" w:cs="Arial" w:eastAsia="Arial" w:hAnsi="Arial"/>
                <w:sz w:val="18"/>
                <w:szCs w:val="18"/>
                <w:color w:val="0000EE"/>
                <w:w w:val="79"/>
              </w:rPr>
            </w:pPr>
            <w:hyperlink w:anchor="page20">
              <w:r>
                <w:rPr>
                  <w:rFonts w:ascii="Arial" w:cs="Arial" w:eastAsia="Arial" w:hAnsi="Arial"/>
                  <w:sz w:val="18"/>
                  <w:szCs w:val="18"/>
                  <w:color w:val="0000EE"/>
                  <w:w w:val="79"/>
                </w:rPr>
                <w:t>20</w:t>
              </w:r>
            </w:hyperlink>
          </w:p>
        </w:tc>
        <w:tc>
          <w:tcPr>
            <w:tcW w:w="20" w:type="dxa"/>
            <w:vAlign w:val="bottom"/>
            <w:tcBorders>
              <w:top w:val="single" w:sz="8" w:color="CCEEFF"/>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0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960" w:type="dxa"/>
            <w:vAlign w:val="bottom"/>
            <w:tcBorders>
              <w:bottom w:val="single" w:sz="8" w:color="0000EE"/>
            </w:tcBorders>
            <w:gridSpan w:val="24"/>
            <w:shd w:val="clear" w:color="auto" w:fill="CCEEFF"/>
          </w:tcPr>
          <w:p>
            <w:pPr>
              <w:spacing w:after="0" w:line="202" w:lineRule="exact"/>
              <w:rPr>
                <w:rFonts w:ascii="Arial" w:cs="Arial" w:eastAsia="Arial" w:hAnsi="Arial"/>
                <w:sz w:val="18"/>
                <w:szCs w:val="18"/>
                <w:color w:val="0000EE"/>
                <w:w w:val="90"/>
              </w:rPr>
            </w:pPr>
            <w:hyperlink w:anchor="page21">
              <w:r>
                <w:rPr>
                  <w:rFonts w:ascii="Arial" w:cs="Arial" w:eastAsia="Arial" w:hAnsi="Arial"/>
                  <w:sz w:val="18"/>
                  <w:szCs w:val="18"/>
                  <w:color w:val="0000EE"/>
                  <w:w w:val="90"/>
                </w:rPr>
                <w:t>Note 6. Short-Term and Long-Term Debt</w:t>
              </w:r>
            </w:hyperlink>
          </w:p>
        </w:tc>
        <w:tc>
          <w:tcPr>
            <w:tcW w:w="5920" w:type="dxa"/>
            <w:vAlign w:val="bottom"/>
            <w:tcBorders>
              <w:bottom w:val="single" w:sz="8" w:color="CCEEFF"/>
            </w:tcBorders>
            <w:gridSpan w:val="10"/>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line="202" w:lineRule="exact"/>
              <w:rPr>
                <w:rFonts w:ascii="Arial" w:cs="Arial" w:eastAsia="Arial" w:hAnsi="Arial"/>
                <w:sz w:val="18"/>
                <w:szCs w:val="18"/>
                <w:color w:val="0000EE"/>
                <w:w w:val="79"/>
              </w:rPr>
            </w:pPr>
            <w:hyperlink w:anchor="page21">
              <w:r>
                <w:rPr>
                  <w:rFonts w:ascii="Arial" w:cs="Arial" w:eastAsia="Arial" w:hAnsi="Arial"/>
                  <w:sz w:val="18"/>
                  <w:szCs w:val="18"/>
                  <w:color w:val="0000EE"/>
                  <w:w w:val="79"/>
                </w:rPr>
                <w:t>21</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80" w:type="dxa"/>
            <w:vAlign w:val="bottom"/>
            <w:gridSpan w:val="34"/>
          </w:tcPr>
          <w:p>
            <w:pPr>
              <w:spacing w:after="0" w:line="202" w:lineRule="exact"/>
              <w:rPr>
                <w:rFonts w:ascii="Arial" w:cs="Arial" w:eastAsia="Arial" w:hAnsi="Arial"/>
                <w:sz w:val="18"/>
                <w:szCs w:val="18"/>
                <w:color w:val="0000EE"/>
              </w:rPr>
            </w:pPr>
            <w:hyperlink w:anchor="page22">
              <w:r>
                <w:rPr>
                  <w:rFonts w:ascii="Arial" w:cs="Arial" w:eastAsia="Arial" w:hAnsi="Arial"/>
                  <w:sz w:val="18"/>
                  <w:szCs w:val="18"/>
                  <w:color w:val="0000EE"/>
                </w:rPr>
                <w:t>Note 7. Commitments, Guarantees and Contingencies</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22">
              <w:r>
                <w:rPr>
                  <w:rFonts w:ascii="Arial" w:cs="Arial" w:eastAsia="Arial" w:hAnsi="Arial"/>
                  <w:sz w:val="18"/>
                  <w:szCs w:val="18"/>
                  <w:color w:val="0000EE"/>
                  <w:w w:val="79"/>
                </w:rPr>
                <w:t>22</w:t>
              </w:r>
            </w:hyperlink>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0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80" w:type="dxa"/>
            <w:vAlign w:val="bottom"/>
            <w:gridSpan w:val="34"/>
            <w:shd w:val="clear" w:color="auto" w:fill="CCEEFF"/>
          </w:tcPr>
          <w:p>
            <w:pPr>
              <w:spacing w:after="0" w:line="202" w:lineRule="exact"/>
              <w:rPr>
                <w:rFonts w:ascii="Arial" w:cs="Arial" w:eastAsia="Arial" w:hAnsi="Arial"/>
                <w:sz w:val="18"/>
                <w:szCs w:val="18"/>
                <w:color w:val="0000EE"/>
              </w:rPr>
            </w:pPr>
            <w:hyperlink w:anchor="page27">
              <w:r>
                <w:rPr>
                  <w:rFonts w:ascii="Arial" w:cs="Arial" w:eastAsia="Arial" w:hAnsi="Arial"/>
                  <w:sz w:val="18"/>
                  <w:szCs w:val="18"/>
                  <w:color w:val="0000EE"/>
                </w:rPr>
                <w:t>Note 8. Earnings Per Share and Common Stock</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27">
              <w:r>
                <w:rPr>
                  <w:rFonts w:ascii="Arial" w:cs="Arial" w:eastAsia="Arial" w:hAnsi="Arial"/>
                  <w:sz w:val="18"/>
                  <w:szCs w:val="18"/>
                  <w:color w:val="0000EE"/>
                  <w:w w:val="79"/>
                </w:rPr>
                <w:t>27</w:t>
              </w:r>
            </w:hyperlink>
          </w:p>
        </w:tc>
      </w:tr>
      <w:tr>
        <w:trPr>
          <w:trHeight w:val="203"/>
        </w:trPr>
        <w:tc>
          <w:tcPr>
            <w:tcW w:w="4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3420" w:type="dxa"/>
            <w:vAlign w:val="bottom"/>
            <w:tcBorders>
              <w:top w:val="single" w:sz="8" w:color="0000EE"/>
            </w:tcBorders>
            <w:gridSpan w:val="26"/>
          </w:tcPr>
          <w:p>
            <w:pPr>
              <w:spacing w:after="0" w:line="202" w:lineRule="exact"/>
              <w:rPr>
                <w:rFonts w:ascii="Arial" w:cs="Arial" w:eastAsia="Arial" w:hAnsi="Arial"/>
                <w:sz w:val="18"/>
                <w:szCs w:val="18"/>
                <w:color w:val="0000EE"/>
              </w:rPr>
            </w:pPr>
            <w:hyperlink w:anchor="page27">
              <w:r>
                <w:rPr>
                  <w:rFonts w:ascii="Arial" w:cs="Arial" w:eastAsia="Arial" w:hAnsi="Arial"/>
                  <w:sz w:val="18"/>
                  <w:szCs w:val="18"/>
                  <w:color w:val="0000EE"/>
                </w:rPr>
                <w:t>Note 9. Income Tax Expense</w:t>
              </w:r>
            </w:hyperlink>
          </w:p>
        </w:tc>
        <w:tc>
          <w:tcPr>
            <w:tcW w:w="5460" w:type="dxa"/>
            <w:vAlign w:val="bottom"/>
            <w:tcBorders>
              <w:top w:val="single" w:sz="8" w:color="CCEEFF"/>
            </w:tcBorders>
            <w:gridSpan w:val="8"/>
          </w:tcPr>
          <w:p>
            <w:pPr>
              <w:spacing w:after="0"/>
              <w:rPr>
                <w:sz w:val="17"/>
                <w:szCs w:val="17"/>
                <w:color w:val="auto"/>
              </w:rPr>
            </w:pPr>
          </w:p>
        </w:tc>
        <w:tc>
          <w:tcPr>
            <w:tcW w:w="180" w:type="dxa"/>
            <w:vAlign w:val="bottom"/>
            <w:tcBorders>
              <w:top w:val="single" w:sz="8" w:color="0000EE"/>
            </w:tcBorders>
            <w:gridSpan w:val="2"/>
          </w:tcPr>
          <w:p>
            <w:pPr>
              <w:jc w:val="right"/>
              <w:spacing w:after="0" w:line="202" w:lineRule="exact"/>
              <w:rPr>
                <w:rFonts w:ascii="Arial" w:cs="Arial" w:eastAsia="Arial" w:hAnsi="Arial"/>
                <w:sz w:val="18"/>
                <w:szCs w:val="18"/>
                <w:color w:val="0000EE"/>
                <w:w w:val="79"/>
              </w:rPr>
            </w:pPr>
            <w:hyperlink w:anchor="page27">
              <w:r>
                <w:rPr>
                  <w:rFonts w:ascii="Arial" w:cs="Arial" w:eastAsia="Arial" w:hAnsi="Arial"/>
                  <w:sz w:val="18"/>
                  <w:szCs w:val="18"/>
                  <w:color w:val="0000EE"/>
                  <w:w w:val="79"/>
                </w:rPr>
                <w:t>27</w:t>
              </w:r>
            </w:hyperlink>
          </w:p>
        </w:tc>
        <w:tc>
          <w:tcPr>
            <w:tcW w:w="20" w:type="dxa"/>
            <w:vAlign w:val="bottom"/>
            <w:tcBorders>
              <w:top w:val="single" w:sz="8" w:color="CCEEFF"/>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0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100" w:type="dxa"/>
            <w:vAlign w:val="bottom"/>
            <w:tcBorders>
              <w:bottom w:val="single" w:sz="8" w:color="0000EE"/>
            </w:tcBorders>
            <w:gridSpan w:val="32"/>
            <w:shd w:val="clear" w:color="auto" w:fill="CCEEFF"/>
          </w:tcPr>
          <w:p>
            <w:pPr>
              <w:spacing w:after="0" w:line="202" w:lineRule="exact"/>
              <w:rPr>
                <w:rFonts w:ascii="Arial" w:cs="Arial" w:eastAsia="Arial" w:hAnsi="Arial"/>
                <w:sz w:val="18"/>
                <w:szCs w:val="18"/>
                <w:color w:val="0000EE"/>
                <w:w w:val="89"/>
              </w:rPr>
            </w:pPr>
            <w:hyperlink w:anchor="page29">
              <w:r>
                <w:rPr>
                  <w:rFonts w:ascii="Arial" w:cs="Arial" w:eastAsia="Arial" w:hAnsi="Arial"/>
                  <w:sz w:val="18"/>
                  <w:szCs w:val="18"/>
                  <w:color w:val="0000EE"/>
                  <w:w w:val="89"/>
                </w:rPr>
                <w:t>Note 10. Pension and Other Postretirement Benefit Plans</w:t>
              </w:r>
            </w:hyperlink>
          </w:p>
        </w:tc>
        <w:tc>
          <w:tcPr>
            <w:tcW w:w="4780" w:type="dxa"/>
            <w:vAlign w:val="bottom"/>
            <w:tcBorders>
              <w:bottom w:val="single" w:sz="8" w:color="CCEEFF"/>
            </w:tcBorders>
            <w:gridSpan w:val="2"/>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line="202" w:lineRule="exact"/>
              <w:rPr>
                <w:rFonts w:ascii="Arial" w:cs="Arial" w:eastAsia="Arial" w:hAnsi="Arial"/>
                <w:sz w:val="18"/>
                <w:szCs w:val="18"/>
                <w:color w:val="0000EE"/>
                <w:w w:val="79"/>
              </w:rPr>
            </w:pPr>
            <w:hyperlink w:anchor="page29">
              <w:r>
                <w:rPr>
                  <w:rFonts w:ascii="Arial" w:cs="Arial" w:eastAsia="Arial" w:hAnsi="Arial"/>
                  <w:sz w:val="18"/>
                  <w:szCs w:val="18"/>
                  <w:color w:val="0000EE"/>
                  <w:w w:val="79"/>
                </w:rPr>
                <w:t>29</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80" w:type="dxa"/>
            <w:vAlign w:val="bottom"/>
            <w:gridSpan w:val="34"/>
          </w:tcPr>
          <w:p>
            <w:pPr>
              <w:spacing w:after="0" w:line="202" w:lineRule="exact"/>
              <w:rPr>
                <w:rFonts w:ascii="Arial" w:cs="Arial" w:eastAsia="Arial" w:hAnsi="Arial"/>
                <w:sz w:val="18"/>
                <w:szCs w:val="18"/>
                <w:color w:val="0000EE"/>
              </w:rPr>
            </w:pPr>
            <w:hyperlink w:anchor="page29">
              <w:r>
                <w:rPr>
                  <w:rFonts w:ascii="Arial" w:cs="Arial" w:eastAsia="Arial" w:hAnsi="Arial"/>
                  <w:sz w:val="18"/>
                  <w:szCs w:val="18"/>
                  <w:color w:val="0000EE"/>
                </w:rPr>
                <w:t>Note 11. Business Segments</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29">
              <w:r>
                <w:rPr>
                  <w:rFonts w:ascii="Arial" w:cs="Arial" w:eastAsia="Arial" w:hAnsi="Arial"/>
                  <w:sz w:val="18"/>
                  <w:szCs w:val="18"/>
                  <w:color w:val="0000EE"/>
                  <w:w w:val="79"/>
                </w:rPr>
                <w:t>29</w:t>
              </w:r>
            </w:hyperlink>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0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0000EE"/>
            </w:tcBorders>
            <w:shd w:val="clear" w:color="auto" w:fill="CCEEFF"/>
          </w:tcPr>
          <w:p>
            <w:pPr>
              <w:spacing w:after="0" w:line="202" w:lineRule="exact"/>
              <w:rPr>
                <w:rFonts w:ascii="Arial" w:cs="Arial" w:eastAsia="Arial" w:hAnsi="Arial"/>
                <w:sz w:val="18"/>
                <w:szCs w:val="18"/>
                <w:color w:val="0000EE"/>
                <w:w w:val="90"/>
              </w:rPr>
            </w:pPr>
            <w:hyperlink w:anchor="page31">
              <w:r>
                <w:rPr>
                  <w:rFonts w:ascii="Arial" w:cs="Arial" w:eastAsia="Arial" w:hAnsi="Arial"/>
                  <w:sz w:val="18"/>
                  <w:szCs w:val="18"/>
                  <w:color w:val="0000EE"/>
                  <w:w w:val="90"/>
                </w:rPr>
                <w:t>Item 2.</w:t>
              </w:r>
            </w:hyperlink>
          </w:p>
        </w:tc>
        <w:tc>
          <w:tcPr>
            <w:tcW w:w="520" w:type="dxa"/>
            <w:vAlign w:val="bottom"/>
            <w:tcBorders>
              <w:bottom w:val="single" w:sz="8" w:color="CCEEFF"/>
            </w:tcBorders>
            <w:gridSpan w:val="2"/>
            <w:shd w:val="clear" w:color="auto" w:fill="CCEEFF"/>
          </w:tcPr>
          <w:p>
            <w:pPr>
              <w:spacing w:after="0"/>
              <w:rPr>
                <w:sz w:val="21"/>
                <w:szCs w:val="21"/>
                <w:color w:val="auto"/>
              </w:rPr>
            </w:pPr>
          </w:p>
        </w:tc>
        <w:tc>
          <w:tcPr>
            <w:tcW w:w="6460" w:type="dxa"/>
            <w:vAlign w:val="bottom"/>
            <w:tcBorders>
              <w:bottom w:val="single" w:sz="8" w:color="0000EE"/>
            </w:tcBorders>
            <w:gridSpan w:val="37"/>
            <w:shd w:val="clear" w:color="auto" w:fill="CCEEFF"/>
          </w:tcPr>
          <w:p>
            <w:pPr>
              <w:spacing w:after="0" w:line="202" w:lineRule="exact"/>
              <w:rPr>
                <w:rFonts w:ascii="Arial" w:cs="Arial" w:eastAsia="Arial" w:hAnsi="Arial"/>
                <w:sz w:val="18"/>
                <w:szCs w:val="18"/>
                <w:color w:val="0000EE"/>
                <w:w w:val="90"/>
              </w:rPr>
            </w:pPr>
            <w:hyperlink w:anchor="page31">
              <w:r>
                <w:rPr>
                  <w:rFonts w:ascii="Arial" w:cs="Arial" w:eastAsia="Arial" w:hAnsi="Arial"/>
                  <w:sz w:val="18"/>
                  <w:szCs w:val="18"/>
                  <w:color w:val="0000EE"/>
                  <w:w w:val="90"/>
                </w:rPr>
                <w:t>Management’s Discussion and Analysis of Financial Condition and Results of Operations</w:t>
              </w:r>
            </w:hyperlink>
          </w:p>
        </w:tc>
        <w:tc>
          <w:tcPr>
            <w:tcW w:w="28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line="202" w:lineRule="exact"/>
              <w:rPr>
                <w:rFonts w:ascii="Arial" w:cs="Arial" w:eastAsia="Arial" w:hAnsi="Arial"/>
                <w:sz w:val="18"/>
                <w:szCs w:val="18"/>
                <w:color w:val="0000EE"/>
                <w:w w:val="79"/>
              </w:rPr>
            </w:pPr>
            <w:hyperlink w:anchor="page31">
              <w:r>
                <w:rPr>
                  <w:rFonts w:ascii="Arial" w:cs="Arial" w:eastAsia="Arial" w:hAnsi="Arial"/>
                  <w:sz w:val="18"/>
                  <w:szCs w:val="18"/>
                  <w:color w:val="0000EE"/>
                  <w:w w:val="79"/>
                </w:rPr>
                <w:t>31</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40" w:type="dxa"/>
            <w:vAlign w:val="bottom"/>
            <w:gridSpan w:val="38"/>
          </w:tcPr>
          <w:p>
            <w:pPr>
              <w:ind w:left="240"/>
              <w:spacing w:after="0" w:line="202" w:lineRule="exact"/>
              <w:rPr>
                <w:rFonts w:ascii="Arial" w:cs="Arial" w:eastAsia="Arial" w:hAnsi="Arial"/>
                <w:sz w:val="18"/>
                <w:szCs w:val="18"/>
                <w:color w:val="0000EE"/>
              </w:rPr>
            </w:pPr>
            <w:hyperlink w:anchor="page33">
              <w:r>
                <w:rPr>
                  <w:rFonts w:ascii="Arial" w:cs="Arial" w:eastAsia="Arial" w:hAnsi="Arial"/>
                  <w:sz w:val="18"/>
                  <w:szCs w:val="18"/>
                  <w:color w:val="0000EE"/>
                </w:rPr>
                <w:t>Comparison of Quarters Ended</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33">
              <w:r>
                <w:rPr>
                  <w:rFonts w:ascii="Arial" w:cs="Arial" w:eastAsia="Arial" w:hAnsi="Arial"/>
                  <w:sz w:val="18"/>
                  <w:szCs w:val="18"/>
                  <w:color w:val="0000EE"/>
                  <w:w w:val="79"/>
                </w:rPr>
                <w:t>33</w:t>
              </w:r>
            </w:hyperlink>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0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340" w:type="dxa"/>
            <w:vAlign w:val="bottom"/>
            <w:gridSpan w:val="38"/>
            <w:shd w:val="clear" w:color="auto" w:fill="CCEEFF"/>
          </w:tcPr>
          <w:p>
            <w:pPr>
              <w:ind w:left="240"/>
              <w:spacing w:after="0" w:line="202" w:lineRule="exact"/>
              <w:rPr>
                <w:rFonts w:ascii="Arial" w:cs="Arial" w:eastAsia="Arial" w:hAnsi="Arial"/>
                <w:sz w:val="18"/>
                <w:szCs w:val="18"/>
                <w:color w:val="0000EE"/>
              </w:rPr>
            </w:pPr>
            <w:hyperlink w:anchor="page35">
              <w:r>
                <w:rPr>
                  <w:rFonts w:ascii="Arial" w:cs="Arial" w:eastAsia="Arial" w:hAnsi="Arial"/>
                  <w:sz w:val="18"/>
                  <w:szCs w:val="18"/>
                  <w:color w:val="0000EE"/>
                </w:rPr>
                <w:t>Comparison of the Nine Months Ended</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35">
              <w:r>
                <w:rPr>
                  <w:rFonts w:ascii="Arial" w:cs="Arial" w:eastAsia="Arial" w:hAnsi="Arial"/>
                  <w:sz w:val="18"/>
                  <w:szCs w:val="18"/>
                  <w:color w:val="0000EE"/>
                  <w:w w:val="79"/>
                </w:rPr>
                <w:t>35</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900" w:type="dxa"/>
            <w:vAlign w:val="bottom"/>
            <w:tcBorders>
              <w:top w:val="single" w:sz="8" w:color="CCEEFF"/>
            </w:tcBorders>
            <w:shd w:val="clear" w:color="auto" w:fill="CCEEFF"/>
          </w:tcPr>
          <w:p>
            <w:pPr>
              <w:spacing w:after="0"/>
              <w:rPr>
                <w:sz w:val="4"/>
                <w:szCs w:val="4"/>
                <w:color w:val="auto"/>
              </w:rPr>
            </w:pPr>
          </w:p>
        </w:tc>
        <w:tc>
          <w:tcPr>
            <w:tcW w:w="28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40" w:type="dxa"/>
            <w:vAlign w:val="bottom"/>
            <w:gridSpan w:val="38"/>
          </w:tcPr>
          <w:p>
            <w:pPr>
              <w:ind w:left="240"/>
              <w:spacing w:after="0" w:line="202" w:lineRule="exact"/>
              <w:rPr>
                <w:rFonts w:ascii="Arial" w:cs="Arial" w:eastAsia="Arial" w:hAnsi="Arial"/>
                <w:sz w:val="18"/>
                <w:szCs w:val="18"/>
                <w:color w:val="0000EE"/>
              </w:rPr>
            </w:pPr>
            <w:hyperlink w:anchor="page38">
              <w:r>
                <w:rPr>
                  <w:rFonts w:ascii="Arial" w:cs="Arial" w:eastAsia="Arial" w:hAnsi="Arial"/>
                  <w:sz w:val="18"/>
                  <w:szCs w:val="18"/>
                  <w:color w:val="0000EE"/>
                </w:rPr>
                <w:t>Critical Accounting Policies</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38">
              <w:r>
                <w:rPr>
                  <w:rFonts w:ascii="Arial" w:cs="Arial" w:eastAsia="Arial" w:hAnsi="Arial"/>
                  <w:sz w:val="18"/>
                  <w:szCs w:val="18"/>
                  <w:color w:val="0000EE"/>
                  <w:w w:val="79"/>
                </w:rPr>
                <w:t>38</w:t>
              </w:r>
            </w:hyperlink>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0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340" w:type="dxa"/>
            <w:vAlign w:val="bottom"/>
            <w:gridSpan w:val="38"/>
            <w:shd w:val="clear" w:color="auto" w:fill="CCEEFF"/>
          </w:tcPr>
          <w:p>
            <w:pPr>
              <w:ind w:left="240"/>
              <w:spacing w:after="0" w:line="202" w:lineRule="exact"/>
              <w:rPr>
                <w:rFonts w:ascii="Arial" w:cs="Arial" w:eastAsia="Arial" w:hAnsi="Arial"/>
                <w:sz w:val="18"/>
                <w:szCs w:val="18"/>
                <w:color w:val="0000EE"/>
              </w:rPr>
            </w:pPr>
            <w:hyperlink w:anchor="page39">
              <w:r>
                <w:rPr>
                  <w:rFonts w:ascii="Arial" w:cs="Arial" w:eastAsia="Arial" w:hAnsi="Arial"/>
                  <w:sz w:val="18"/>
                  <w:szCs w:val="18"/>
                  <w:color w:val="0000EE"/>
                </w:rPr>
                <w:t>Outlook</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39">
              <w:r>
                <w:rPr>
                  <w:rFonts w:ascii="Arial" w:cs="Arial" w:eastAsia="Arial" w:hAnsi="Arial"/>
                  <w:sz w:val="18"/>
                  <w:szCs w:val="18"/>
                  <w:color w:val="0000EE"/>
                  <w:w w:val="79"/>
                </w:rPr>
                <w:t>39</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900" w:type="dxa"/>
            <w:vAlign w:val="bottom"/>
            <w:tcBorders>
              <w:top w:val="single" w:sz="8" w:color="CCEEFF"/>
            </w:tcBorders>
            <w:shd w:val="clear" w:color="auto" w:fill="CCEEFF"/>
          </w:tcPr>
          <w:p>
            <w:pPr>
              <w:spacing w:after="0"/>
              <w:rPr>
                <w:sz w:val="4"/>
                <w:szCs w:val="4"/>
                <w:color w:val="auto"/>
              </w:rPr>
            </w:pPr>
          </w:p>
        </w:tc>
        <w:tc>
          <w:tcPr>
            <w:tcW w:w="28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40" w:type="dxa"/>
            <w:vAlign w:val="bottom"/>
            <w:gridSpan w:val="38"/>
          </w:tcPr>
          <w:p>
            <w:pPr>
              <w:ind w:left="240"/>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Liquidity and Capital Resources</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45">
              <w:r>
                <w:rPr>
                  <w:rFonts w:ascii="Arial" w:cs="Arial" w:eastAsia="Arial" w:hAnsi="Arial"/>
                  <w:sz w:val="18"/>
                  <w:szCs w:val="18"/>
                  <w:color w:val="0000EE"/>
                  <w:w w:val="79"/>
                </w:rPr>
                <w:t>45</w:t>
              </w:r>
            </w:hyperlink>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0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340" w:type="dxa"/>
            <w:vAlign w:val="bottom"/>
            <w:gridSpan w:val="38"/>
            <w:shd w:val="clear" w:color="auto" w:fill="CCEEFF"/>
          </w:tcPr>
          <w:p>
            <w:pPr>
              <w:ind w:left="240"/>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Other</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47">
              <w:r>
                <w:rPr>
                  <w:rFonts w:ascii="Arial" w:cs="Arial" w:eastAsia="Arial" w:hAnsi="Arial"/>
                  <w:sz w:val="18"/>
                  <w:szCs w:val="18"/>
                  <w:color w:val="0000EE"/>
                  <w:w w:val="79"/>
                </w:rPr>
                <w:t>47</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900" w:type="dxa"/>
            <w:vAlign w:val="bottom"/>
            <w:tcBorders>
              <w:top w:val="single" w:sz="8" w:color="CCEEFF"/>
            </w:tcBorders>
            <w:shd w:val="clear" w:color="auto" w:fill="CCEEFF"/>
          </w:tcPr>
          <w:p>
            <w:pPr>
              <w:spacing w:after="0"/>
              <w:rPr>
                <w:sz w:val="4"/>
                <w:szCs w:val="4"/>
                <w:color w:val="auto"/>
              </w:rPr>
            </w:pPr>
          </w:p>
        </w:tc>
        <w:tc>
          <w:tcPr>
            <w:tcW w:w="28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gridSpan w:val="3"/>
          </w:tcPr>
          <w:p>
            <w:pPr>
              <w:spacing w:after="0" w:line="202" w:lineRule="exact"/>
              <w:rPr>
                <w:rFonts w:ascii="Arial" w:cs="Arial" w:eastAsia="Arial" w:hAnsi="Arial"/>
                <w:sz w:val="18"/>
                <w:szCs w:val="18"/>
                <w:color w:val="0000EE"/>
              </w:rPr>
            </w:pPr>
            <w:hyperlink w:anchor="page48">
              <w:r>
                <w:rPr>
                  <w:rFonts w:ascii="Arial" w:cs="Arial" w:eastAsia="Arial" w:hAnsi="Arial"/>
                  <w:sz w:val="18"/>
                  <w:szCs w:val="18"/>
                  <w:color w:val="0000EE"/>
                </w:rPr>
                <w:t>Item 3.</w:t>
              </w:r>
            </w:hyperlink>
          </w:p>
        </w:tc>
        <w:tc>
          <w:tcPr>
            <w:tcW w:w="9340" w:type="dxa"/>
            <w:vAlign w:val="bottom"/>
            <w:gridSpan w:val="38"/>
          </w:tcPr>
          <w:p>
            <w:pPr>
              <w:spacing w:after="0" w:line="202" w:lineRule="exact"/>
              <w:rPr>
                <w:rFonts w:ascii="Arial" w:cs="Arial" w:eastAsia="Arial" w:hAnsi="Arial"/>
                <w:sz w:val="18"/>
                <w:szCs w:val="18"/>
                <w:color w:val="0000EE"/>
              </w:rPr>
            </w:pPr>
            <w:hyperlink w:anchor="page48">
              <w:r>
                <w:rPr>
                  <w:rFonts w:ascii="Arial" w:cs="Arial" w:eastAsia="Arial" w:hAnsi="Arial"/>
                  <w:sz w:val="18"/>
                  <w:szCs w:val="18"/>
                  <w:color w:val="0000EE"/>
                </w:rPr>
                <w:t>Quantitative and Qualitative Disclosures about Market Risk</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48">
              <w:r>
                <w:rPr>
                  <w:rFonts w:ascii="Arial" w:cs="Arial" w:eastAsia="Arial" w:hAnsi="Arial"/>
                  <w:sz w:val="18"/>
                  <w:szCs w:val="18"/>
                  <w:color w:val="0000EE"/>
                  <w:w w:val="79"/>
                </w:rPr>
                <w:t>48</w:t>
              </w:r>
            </w:hyperlink>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0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line="202" w:lineRule="exact"/>
              <w:rPr>
                <w:rFonts w:ascii="Arial" w:cs="Arial" w:eastAsia="Arial" w:hAnsi="Arial"/>
                <w:sz w:val="18"/>
                <w:szCs w:val="18"/>
                <w:color w:val="0000EE"/>
                <w:w w:val="90"/>
              </w:rPr>
            </w:pPr>
            <w:hyperlink w:anchor="page49">
              <w:r>
                <w:rPr>
                  <w:rFonts w:ascii="Arial" w:cs="Arial" w:eastAsia="Arial" w:hAnsi="Arial"/>
                  <w:sz w:val="18"/>
                  <w:szCs w:val="18"/>
                  <w:color w:val="0000EE"/>
                  <w:w w:val="90"/>
                </w:rPr>
                <w:t>Item 4.</w:t>
              </w:r>
            </w:hyperlink>
          </w:p>
        </w:tc>
        <w:tc>
          <w:tcPr>
            <w:tcW w:w="520" w:type="dxa"/>
            <w:vAlign w:val="bottom"/>
            <w:gridSpan w:val="2"/>
            <w:shd w:val="clear" w:color="auto" w:fill="CCEEFF"/>
          </w:tcPr>
          <w:p>
            <w:pPr>
              <w:spacing w:after="0"/>
              <w:rPr>
                <w:sz w:val="17"/>
                <w:szCs w:val="17"/>
                <w:color w:val="auto"/>
              </w:rPr>
            </w:pPr>
          </w:p>
        </w:tc>
        <w:tc>
          <w:tcPr>
            <w:tcW w:w="9340" w:type="dxa"/>
            <w:vAlign w:val="bottom"/>
            <w:gridSpan w:val="38"/>
            <w:shd w:val="clear" w:color="auto" w:fill="CCEEFF"/>
          </w:tcPr>
          <w:p>
            <w:pPr>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Controls and Procedures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49">
              <w:r>
                <w:rPr>
                  <w:rFonts w:ascii="Arial" w:cs="Arial" w:eastAsia="Arial" w:hAnsi="Arial"/>
                  <w:sz w:val="18"/>
                  <w:szCs w:val="18"/>
                  <w:color w:val="0000EE"/>
                  <w:w w:val="79"/>
                </w:rPr>
                <w:t>49</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900" w:type="dxa"/>
            <w:vAlign w:val="bottom"/>
            <w:tcBorders>
              <w:top w:val="single" w:sz="8" w:color="CCEEFF"/>
            </w:tcBorders>
            <w:shd w:val="clear" w:color="auto" w:fill="CCEEFF"/>
          </w:tcPr>
          <w:p>
            <w:pPr>
              <w:spacing w:after="0"/>
              <w:rPr>
                <w:sz w:val="4"/>
                <w:szCs w:val="4"/>
                <w:color w:val="auto"/>
              </w:rPr>
            </w:pPr>
          </w:p>
        </w:tc>
        <w:tc>
          <w:tcPr>
            <w:tcW w:w="28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800" w:type="dxa"/>
            <w:vAlign w:val="bottom"/>
            <w:gridSpan w:val="4"/>
          </w:tcPr>
          <w:p>
            <w:pPr>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Part II.</w:t>
              </w:r>
            </w:hyperlink>
          </w:p>
        </w:tc>
        <w:tc>
          <w:tcPr>
            <w:tcW w:w="10380" w:type="dxa"/>
            <w:vAlign w:val="bottom"/>
            <w:gridSpan w:val="41"/>
          </w:tcPr>
          <w:p>
            <w:pPr>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Other Information</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0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line="202" w:lineRule="exact"/>
              <w:rPr>
                <w:rFonts w:ascii="Arial" w:cs="Arial" w:eastAsia="Arial" w:hAnsi="Arial"/>
                <w:sz w:val="18"/>
                <w:szCs w:val="18"/>
                <w:color w:val="0000EE"/>
                <w:w w:val="90"/>
              </w:rPr>
            </w:pPr>
            <w:hyperlink w:anchor="page49">
              <w:r>
                <w:rPr>
                  <w:rFonts w:ascii="Arial" w:cs="Arial" w:eastAsia="Arial" w:hAnsi="Arial"/>
                  <w:sz w:val="18"/>
                  <w:szCs w:val="18"/>
                  <w:color w:val="0000EE"/>
                  <w:w w:val="90"/>
                </w:rPr>
                <w:t>Item 1.</w:t>
              </w:r>
            </w:hyperlink>
          </w:p>
        </w:tc>
        <w:tc>
          <w:tcPr>
            <w:tcW w:w="520" w:type="dxa"/>
            <w:vAlign w:val="bottom"/>
            <w:gridSpan w:val="2"/>
            <w:shd w:val="clear" w:color="auto" w:fill="CCEEFF"/>
          </w:tcPr>
          <w:p>
            <w:pPr>
              <w:spacing w:after="0"/>
              <w:rPr>
                <w:sz w:val="17"/>
                <w:szCs w:val="17"/>
                <w:color w:val="auto"/>
              </w:rPr>
            </w:pPr>
          </w:p>
        </w:tc>
        <w:tc>
          <w:tcPr>
            <w:tcW w:w="9340" w:type="dxa"/>
            <w:vAlign w:val="bottom"/>
            <w:gridSpan w:val="38"/>
            <w:shd w:val="clear" w:color="auto" w:fill="CCEEFF"/>
          </w:tcPr>
          <w:p>
            <w:pPr>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Legal Proceedings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49">
              <w:r>
                <w:rPr>
                  <w:rFonts w:ascii="Arial" w:cs="Arial" w:eastAsia="Arial" w:hAnsi="Arial"/>
                  <w:sz w:val="18"/>
                  <w:szCs w:val="18"/>
                  <w:color w:val="0000EE"/>
                  <w:w w:val="79"/>
                </w:rPr>
                <w:t>49</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900" w:type="dxa"/>
            <w:vAlign w:val="bottom"/>
            <w:tcBorders>
              <w:top w:val="single" w:sz="8" w:color="CCEEFF"/>
            </w:tcBorders>
            <w:shd w:val="clear" w:color="auto" w:fill="CCEEFF"/>
          </w:tcPr>
          <w:p>
            <w:pPr>
              <w:spacing w:after="0"/>
              <w:rPr>
                <w:sz w:val="4"/>
                <w:szCs w:val="4"/>
                <w:color w:val="auto"/>
              </w:rPr>
            </w:pPr>
          </w:p>
        </w:tc>
        <w:tc>
          <w:tcPr>
            <w:tcW w:w="28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gridSpan w:val="3"/>
          </w:tcPr>
          <w:p>
            <w:pPr>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Item 1A.</w:t>
              </w:r>
            </w:hyperlink>
          </w:p>
        </w:tc>
        <w:tc>
          <w:tcPr>
            <w:tcW w:w="9340" w:type="dxa"/>
            <w:vAlign w:val="bottom"/>
            <w:gridSpan w:val="38"/>
          </w:tcPr>
          <w:p>
            <w:pPr>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Risk Factors</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49">
              <w:r>
                <w:rPr>
                  <w:rFonts w:ascii="Arial" w:cs="Arial" w:eastAsia="Arial" w:hAnsi="Arial"/>
                  <w:sz w:val="18"/>
                  <w:szCs w:val="18"/>
                  <w:color w:val="0000EE"/>
                  <w:w w:val="79"/>
                </w:rPr>
                <w:t>49</w:t>
              </w:r>
            </w:hyperlink>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0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line="202" w:lineRule="exact"/>
              <w:rPr>
                <w:rFonts w:ascii="Arial" w:cs="Arial" w:eastAsia="Arial" w:hAnsi="Arial"/>
                <w:sz w:val="18"/>
                <w:szCs w:val="18"/>
                <w:color w:val="0000EE"/>
                <w:w w:val="90"/>
              </w:rPr>
            </w:pPr>
            <w:hyperlink w:anchor="page49">
              <w:r>
                <w:rPr>
                  <w:rFonts w:ascii="Arial" w:cs="Arial" w:eastAsia="Arial" w:hAnsi="Arial"/>
                  <w:sz w:val="18"/>
                  <w:szCs w:val="18"/>
                  <w:color w:val="0000EE"/>
                  <w:w w:val="90"/>
                </w:rPr>
                <w:t>Item 2.</w:t>
              </w:r>
            </w:hyperlink>
          </w:p>
        </w:tc>
        <w:tc>
          <w:tcPr>
            <w:tcW w:w="520" w:type="dxa"/>
            <w:vAlign w:val="bottom"/>
            <w:gridSpan w:val="2"/>
            <w:shd w:val="clear" w:color="auto" w:fill="CCEEFF"/>
          </w:tcPr>
          <w:p>
            <w:pPr>
              <w:spacing w:after="0"/>
              <w:rPr>
                <w:sz w:val="21"/>
                <w:szCs w:val="21"/>
                <w:color w:val="auto"/>
              </w:rPr>
            </w:pPr>
          </w:p>
        </w:tc>
        <w:tc>
          <w:tcPr>
            <w:tcW w:w="9340" w:type="dxa"/>
            <w:vAlign w:val="bottom"/>
            <w:gridSpan w:val="38"/>
            <w:shd w:val="clear" w:color="auto" w:fill="CCEEFF"/>
          </w:tcPr>
          <w:p>
            <w:pPr>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Unregistered Sales of Equity Securities and Use of Proceeds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49">
              <w:r>
                <w:rPr>
                  <w:rFonts w:ascii="Arial" w:cs="Arial" w:eastAsia="Arial" w:hAnsi="Arial"/>
                  <w:sz w:val="18"/>
                  <w:szCs w:val="18"/>
                  <w:color w:val="0000EE"/>
                  <w:w w:val="79"/>
                </w:rPr>
                <w:t>49</w:t>
              </w:r>
            </w:hyperlink>
          </w:p>
        </w:tc>
      </w:tr>
      <w:tr>
        <w:trPr>
          <w:trHeight w:val="203"/>
        </w:trPr>
        <w:tc>
          <w:tcPr>
            <w:tcW w:w="4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520" w:type="dxa"/>
            <w:vAlign w:val="bottom"/>
            <w:tcBorders>
              <w:top w:val="single" w:sz="8" w:color="0000EE"/>
            </w:tcBorders>
          </w:tcPr>
          <w:p>
            <w:pPr>
              <w:spacing w:after="0" w:line="202" w:lineRule="exact"/>
              <w:rPr>
                <w:rFonts w:ascii="Arial" w:cs="Arial" w:eastAsia="Arial" w:hAnsi="Arial"/>
                <w:sz w:val="18"/>
                <w:szCs w:val="18"/>
                <w:color w:val="0000EE"/>
                <w:w w:val="90"/>
              </w:rPr>
            </w:pPr>
            <w:hyperlink w:anchor="page49">
              <w:r>
                <w:rPr>
                  <w:rFonts w:ascii="Arial" w:cs="Arial" w:eastAsia="Arial" w:hAnsi="Arial"/>
                  <w:sz w:val="18"/>
                  <w:szCs w:val="18"/>
                  <w:color w:val="0000EE"/>
                  <w:w w:val="90"/>
                </w:rPr>
                <w:t>Item 3.</w:t>
              </w:r>
            </w:hyperlink>
          </w:p>
        </w:tc>
        <w:tc>
          <w:tcPr>
            <w:tcW w:w="520" w:type="dxa"/>
            <w:vAlign w:val="bottom"/>
            <w:tcBorders>
              <w:top w:val="single" w:sz="8" w:color="CCEEFF"/>
            </w:tcBorders>
            <w:gridSpan w:val="2"/>
          </w:tcPr>
          <w:p>
            <w:pPr>
              <w:spacing w:after="0"/>
              <w:rPr>
                <w:sz w:val="17"/>
                <w:szCs w:val="17"/>
                <w:color w:val="auto"/>
              </w:rPr>
            </w:pPr>
          </w:p>
        </w:tc>
        <w:tc>
          <w:tcPr>
            <w:tcW w:w="4340" w:type="dxa"/>
            <w:vAlign w:val="bottom"/>
            <w:tcBorders>
              <w:top w:val="single" w:sz="8" w:color="0000EE"/>
            </w:tcBorders>
            <w:gridSpan w:val="34"/>
          </w:tcPr>
          <w:p>
            <w:pPr>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Defaults Upon Senior Securities</w:t>
              </w:r>
            </w:hyperlink>
          </w:p>
        </w:tc>
        <w:tc>
          <w:tcPr>
            <w:tcW w:w="5000" w:type="dxa"/>
            <w:vAlign w:val="bottom"/>
            <w:tcBorders>
              <w:top w:val="single" w:sz="8" w:color="CCEEFF"/>
            </w:tcBorders>
            <w:gridSpan w:val="4"/>
          </w:tcPr>
          <w:p>
            <w:pPr>
              <w:spacing w:after="0"/>
              <w:rPr>
                <w:sz w:val="17"/>
                <w:szCs w:val="17"/>
                <w:color w:val="auto"/>
              </w:rPr>
            </w:pPr>
          </w:p>
        </w:tc>
        <w:tc>
          <w:tcPr>
            <w:tcW w:w="180" w:type="dxa"/>
            <w:vAlign w:val="bottom"/>
            <w:tcBorders>
              <w:top w:val="single" w:sz="8" w:color="0000EE"/>
            </w:tcBorders>
            <w:gridSpan w:val="2"/>
          </w:tcPr>
          <w:p>
            <w:pPr>
              <w:jc w:val="right"/>
              <w:spacing w:after="0" w:line="202" w:lineRule="exact"/>
              <w:rPr>
                <w:rFonts w:ascii="Arial" w:cs="Arial" w:eastAsia="Arial" w:hAnsi="Arial"/>
                <w:sz w:val="18"/>
                <w:szCs w:val="18"/>
                <w:color w:val="0000EE"/>
                <w:w w:val="79"/>
              </w:rPr>
            </w:pPr>
            <w:hyperlink w:anchor="page49">
              <w:r>
                <w:rPr>
                  <w:rFonts w:ascii="Arial" w:cs="Arial" w:eastAsia="Arial" w:hAnsi="Arial"/>
                  <w:sz w:val="18"/>
                  <w:szCs w:val="18"/>
                  <w:color w:val="0000EE"/>
                  <w:w w:val="79"/>
                </w:rPr>
                <w:t>49</w:t>
              </w:r>
            </w:hyperlink>
          </w:p>
        </w:tc>
        <w:tc>
          <w:tcPr>
            <w:tcW w:w="20" w:type="dxa"/>
            <w:vAlign w:val="bottom"/>
            <w:tcBorders>
              <w:top w:val="single" w:sz="8" w:color="CCEEFF"/>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0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line="202" w:lineRule="exact"/>
              <w:rPr>
                <w:rFonts w:ascii="Arial" w:cs="Arial" w:eastAsia="Arial" w:hAnsi="Arial"/>
                <w:sz w:val="18"/>
                <w:szCs w:val="18"/>
                <w:color w:val="0000EE"/>
                <w:w w:val="90"/>
              </w:rPr>
            </w:pPr>
            <w:hyperlink w:anchor="page49">
              <w:r>
                <w:rPr>
                  <w:rFonts w:ascii="Arial" w:cs="Arial" w:eastAsia="Arial" w:hAnsi="Arial"/>
                  <w:sz w:val="18"/>
                  <w:szCs w:val="18"/>
                  <w:color w:val="0000EE"/>
                  <w:w w:val="90"/>
                </w:rPr>
                <w:t>Item 4.</w:t>
              </w:r>
            </w:hyperlink>
          </w:p>
        </w:tc>
        <w:tc>
          <w:tcPr>
            <w:tcW w:w="520" w:type="dxa"/>
            <w:vAlign w:val="bottom"/>
            <w:gridSpan w:val="2"/>
            <w:shd w:val="clear" w:color="auto" w:fill="CCEEFF"/>
          </w:tcPr>
          <w:p>
            <w:pPr>
              <w:spacing w:after="0"/>
              <w:rPr>
                <w:sz w:val="21"/>
                <w:szCs w:val="21"/>
                <w:color w:val="auto"/>
              </w:rPr>
            </w:pPr>
          </w:p>
        </w:tc>
        <w:tc>
          <w:tcPr>
            <w:tcW w:w="9340" w:type="dxa"/>
            <w:vAlign w:val="bottom"/>
            <w:gridSpan w:val="38"/>
            <w:shd w:val="clear" w:color="auto" w:fill="CCEEFF"/>
          </w:tcPr>
          <w:p>
            <w:pPr>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Mine Safety Disclosures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49">
              <w:r>
                <w:rPr>
                  <w:rFonts w:ascii="Arial" w:cs="Arial" w:eastAsia="Arial" w:hAnsi="Arial"/>
                  <w:sz w:val="18"/>
                  <w:szCs w:val="18"/>
                  <w:color w:val="0000EE"/>
                  <w:w w:val="79"/>
                </w:rPr>
                <w:t>49</w:t>
              </w:r>
            </w:hyperlink>
          </w:p>
        </w:tc>
      </w:tr>
      <w:tr>
        <w:trPr>
          <w:trHeight w:val="203"/>
        </w:trPr>
        <w:tc>
          <w:tcPr>
            <w:tcW w:w="4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520" w:type="dxa"/>
            <w:vAlign w:val="bottom"/>
            <w:tcBorders>
              <w:top w:val="single" w:sz="8" w:color="0000EE"/>
            </w:tcBorders>
          </w:tcPr>
          <w:p>
            <w:pPr>
              <w:spacing w:after="0" w:line="202" w:lineRule="exact"/>
              <w:rPr>
                <w:rFonts w:ascii="Arial" w:cs="Arial" w:eastAsia="Arial" w:hAnsi="Arial"/>
                <w:sz w:val="18"/>
                <w:szCs w:val="18"/>
                <w:color w:val="0000EE"/>
                <w:w w:val="90"/>
              </w:rPr>
            </w:pPr>
            <w:hyperlink w:anchor="page49">
              <w:r>
                <w:rPr>
                  <w:rFonts w:ascii="Arial" w:cs="Arial" w:eastAsia="Arial" w:hAnsi="Arial"/>
                  <w:sz w:val="18"/>
                  <w:szCs w:val="18"/>
                  <w:color w:val="0000EE"/>
                  <w:w w:val="90"/>
                </w:rPr>
                <w:t>Item 5.</w:t>
              </w:r>
            </w:hyperlink>
          </w:p>
        </w:tc>
        <w:tc>
          <w:tcPr>
            <w:tcW w:w="520" w:type="dxa"/>
            <w:vAlign w:val="bottom"/>
            <w:tcBorders>
              <w:top w:val="single" w:sz="8" w:color="CCEEFF"/>
            </w:tcBorders>
            <w:gridSpan w:val="2"/>
          </w:tcPr>
          <w:p>
            <w:pPr>
              <w:spacing w:after="0"/>
              <w:rPr>
                <w:sz w:val="17"/>
                <w:szCs w:val="17"/>
                <w:color w:val="auto"/>
              </w:rPr>
            </w:pPr>
          </w:p>
        </w:tc>
        <w:tc>
          <w:tcPr>
            <w:tcW w:w="1760" w:type="dxa"/>
            <w:vAlign w:val="bottom"/>
            <w:tcBorders>
              <w:top w:val="single" w:sz="8" w:color="0000EE"/>
            </w:tcBorders>
            <w:gridSpan w:val="12"/>
          </w:tcPr>
          <w:p>
            <w:pPr>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Other Information</w:t>
              </w:r>
            </w:hyperlink>
          </w:p>
        </w:tc>
        <w:tc>
          <w:tcPr>
            <w:tcW w:w="7580" w:type="dxa"/>
            <w:vAlign w:val="bottom"/>
            <w:tcBorders>
              <w:top w:val="single" w:sz="8" w:color="CCEEFF"/>
            </w:tcBorders>
            <w:gridSpan w:val="26"/>
          </w:tcPr>
          <w:p>
            <w:pPr>
              <w:spacing w:after="0"/>
              <w:rPr>
                <w:sz w:val="17"/>
                <w:szCs w:val="17"/>
                <w:color w:val="auto"/>
              </w:rPr>
            </w:pPr>
          </w:p>
        </w:tc>
        <w:tc>
          <w:tcPr>
            <w:tcW w:w="180" w:type="dxa"/>
            <w:vAlign w:val="bottom"/>
            <w:tcBorders>
              <w:top w:val="single" w:sz="8" w:color="0000EE"/>
            </w:tcBorders>
            <w:gridSpan w:val="2"/>
          </w:tcPr>
          <w:p>
            <w:pPr>
              <w:jc w:val="right"/>
              <w:spacing w:after="0" w:line="202" w:lineRule="exact"/>
              <w:rPr>
                <w:rFonts w:ascii="Arial" w:cs="Arial" w:eastAsia="Arial" w:hAnsi="Arial"/>
                <w:sz w:val="18"/>
                <w:szCs w:val="18"/>
                <w:color w:val="0000EE"/>
                <w:w w:val="79"/>
              </w:rPr>
            </w:pPr>
            <w:hyperlink w:anchor="page49">
              <w:r>
                <w:rPr>
                  <w:rFonts w:ascii="Arial" w:cs="Arial" w:eastAsia="Arial" w:hAnsi="Arial"/>
                  <w:sz w:val="18"/>
                  <w:szCs w:val="18"/>
                  <w:color w:val="0000EE"/>
                  <w:w w:val="79"/>
                </w:rPr>
                <w:t>49</w:t>
              </w:r>
            </w:hyperlink>
          </w:p>
        </w:tc>
        <w:tc>
          <w:tcPr>
            <w:tcW w:w="20" w:type="dxa"/>
            <w:vAlign w:val="bottom"/>
            <w:tcBorders>
              <w:top w:val="single" w:sz="8" w:color="CCEEFF"/>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0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0000EE"/>
            </w:tcBorders>
            <w:shd w:val="clear" w:color="auto" w:fill="CCEEFF"/>
          </w:tcPr>
          <w:p>
            <w:pPr>
              <w:spacing w:after="0" w:line="202" w:lineRule="exact"/>
              <w:rPr>
                <w:rFonts w:ascii="Arial" w:cs="Arial" w:eastAsia="Arial" w:hAnsi="Arial"/>
                <w:sz w:val="18"/>
                <w:szCs w:val="18"/>
                <w:color w:val="0000EE"/>
                <w:w w:val="90"/>
              </w:rPr>
            </w:pPr>
            <w:hyperlink w:anchor="page50">
              <w:r>
                <w:rPr>
                  <w:rFonts w:ascii="Arial" w:cs="Arial" w:eastAsia="Arial" w:hAnsi="Arial"/>
                  <w:sz w:val="18"/>
                  <w:szCs w:val="18"/>
                  <w:color w:val="0000EE"/>
                  <w:w w:val="90"/>
                </w:rPr>
                <w:t>Item 6.</w:t>
              </w:r>
            </w:hyperlink>
          </w:p>
        </w:tc>
        <w:tc>
          <w:tcPr>
            <w:tcW w:w="520" w:type="dxa"/>
            <w:vAlign w:val="bottom"/>
            <w:tcBorders>
              <w:bottom w:val="single" w:sz="8" w:color="CCEEFF"/>
            </w:tcBorders>
            <w:gridSpan w:val="2"/>
            <w:shd w:val="clear" w:color="auto" w:fill="CCEEFF"/>
          </w:tcPr>
          <w:p>
            <w:pPr>
              <w:spacing w:after="0"/>
              <w:rPr>
                <w:sz w:val="21"/>
                <w:szCs w:val="21"/>
                <w:color w:val="auto"/>
              </w:rPr>
            </w:pPr>
          </w:p>
        </w:tc>
        <w:tc>
          <w:tcPr>
            <w:tcW w:w="600" w:type="dxa"/>
            <w:vAlign w:val="bottom"/>
            <w:tcBorders>
              <w:bottom w:val="single" w:sz="8" w:color="0000EE"/>
            </w:tcBorders>
            <w:gridSpan w:val="6"/>
            <w:shd w:val="clear" w:color="auto" w:fill="CCEEFF"/>
          </w:tcPr>
          <w:p>
            <w:pPr>
              <w:spacing w:after="0" w:line="202" w:lineRule="exact"/>
              <w:rPr>
                <w:rFonts w:ascii="Arial" w:cs="Arial" w:eastAsia="Arial" w:hAnsi="Arial"/>
                <w:sz w:val="18"/>
                <w:szCs w:val="18"/>
                <w:color w:val="0000EE"/>
                <w:w w:val="91"/>
              </w:rPr>
            </w:pPr>
            <w:hyperlink w:anchor="page50">
              <w:r>
                <w:rPr>
                  <w:rFonts w:ascii="Arial" w:cs="Arial" w:eastAsia="Arial" w:hAnsi="Arial"/>
                  <w:sz w:val="18"/>
                  <w:szCs w:val="18"/>
                  <w:color w:val="0000EE"/>
                  <w:w w:val="91"/>
                </w:rPr>
                <w:t>Exhibits</w:t>
              </w:r>
            </w:hyperlink>
          </w:p>
        </w:tc>
        <w:tc>
          <w:tcPr>
            <w:tcW w:w="8740" w:type="dxa"/>
            <w:vAlign w:val="bottom"/>
            <w:tcBorders>
              <w:bottom w:val="single" w:sz="8" w:color="CCEEFF"/>
            </w:tcBorders>
            <w:gridSpan w:val="32"/>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line="202" w:lineRule="exact"/>
              <w:rPr>
                <w:rFonts w:ascii="Arial" w:cs="Arial" w:eastAsia="Arial" w:hAnsi="Arial"/>
                <w:sz w:val="18"/>
                <w:szCs w:val="18"/>
                <w:color w:val="0000EE"/>
                <w:w w:val="79"/>
              </w:rPr>
            </w:pPr>
            <w:hyperlink w:anchor="page50">
              <w:r>
                <w:rPr>
                  <w:rFonts w:ascii="Arial" w:cs="Arial" w:eastAsia="Arial" w:hAnsi="Arial"/>
                  <w:sz w:val="18"/>
                  <w:szCs w:val="18"/>
                  <w:color w:val="0000EE"/>
                  <w:w w:val="79"/>
                </w:rPr>
                <w:t>50</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760" w:type="dxa"/>
            <w:vAlign w:val="bottom"/>
            <w:tcBorders>
              <w:bottom w:val="single" w:sz="8" w:color="0000EE"/>
            </w:tcBorders>
            <w:gridSpan w:val="3"/>
          </w:tcPr>
          <w:p>
            <w:pPr>
              <w:spacing w:after="0" w:line="202" w:lineRule="exact"/>
              <w:rPr>
                <w:rFonts w:ascii="Arial" w:cs="Arial" w:eastAsia="Arial" w:hAnsi="Arial"/>
                <w:sz w:val="18"/>
                <w:szCs w:val="18"/>
                <w:color w:val="0000EE"/>
                <w:w w:val="85"/>
              </w:rPr>
            </w:pPr>
            <w:hyperlink w:anchor="page51">
              <w:r>
                <w:rPr>
                  <w:rFonts w:ascii="Arial" w:cs="Arial" w:eastAsia="Arial" w:hAnsi="Arial"/>
                  <w:sz w:val="18"/>
                  <w:szCs w:val="18"/>
                  <w:color w:val="0000EE"/>
                  <w:w w:val="85"/>
                </w:rPr>
                <w:t>Signatures</w:t>
              </w:r>
            </w:hyperlink>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202" w:lineRule="exact"/>
              <w:rPr>
                <w:rFonts w:ascii="Arial" w:cs="Arial" w:eastAsia="Arial" w:hAnsi="Arial"/>
                <w:sz w:val="18"/>
                <w:szCs w:val="18"/>
                <w:color w:val="0000EE"/>
                <w:w w:val="79"/>
              </w:rPr>
            </w:pPr>
            <w:hyperlink w:anchor="page51">
              <w:r>
                <w:rPr>
                  <w:rFonts w:ascii="Arial" w:cs="Arial" w:eastAsia="Arial" w:hAnsi="Arial"/>
                  <w:sz w:val="18"/>
                  <w:szCs w:val="18"/>
                  <w:color w:val="0000EE"/>
                  <w:w w:val="79"/>
                </w:rPr>
                <w:t>51</w:t>
              </w:r>
            </w:hyperlink>
          </w:p>
        </w:tc>
        <w:tc>
          <w:tcPr>
            <w:tcW w:w="20" w:type="dxa"/>
            <w:vAlign w:val="bottom"/>
          </w:tcPr>
          <w:p>
            <w:pPr>
              <w:spacing w:after="0"/>
              <w:rPr>
                <w:sz w:val="17"/>
                <w:szCs w:val="17"/>
                <w:color w:val="auto"/>
              </w:rPr>
            </w:pPr>
          </w:p>
        </w:tc>
      </w:tr>
    </w:tbl>
    <w:p>
      <w:pPr>
        <w:spacing w:after="0" w:line="2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2019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20"/>
          </w:cols>
          <w:pgMar w:left="240" w:top="104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abbreviations or acronyms are used in the text. References in this report to “we,” “us” and “our” are to ALLETE, Inc., and its subsidiaries, collectively.</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40" w:type="dxa"/>
            <w:vAlign w:val="bottom"/>
            <w:gridSpan w:val="3"/>
          </w:tcPr>
          <w:p>
            <w:pPr>
              <w:ind w:left="40"/>
              <w:spacing w:after="0"/>
              <w:rPr>
                <w:sz w:val="20"/>
                <w:szCs w:val="20"/>
                <w:color w:val="auto"/>
              </w:rPr>
            </w:pPr>
            <w:r>
              <w:rPr>
                <w:rFonts w:ascii="Arial" w:cs="Arial" w:eastAsia="Arial" w:hAnsi="Arial"/>
                <w:sz w:val="18"/>
                <w:szCs w:val="18"/>
                <w:b w:val="1"/>
                <w:bCs w:val="1"/>
                <w:color w:val="auto"/>
              </w:rPr>
              <w:t>Abbreviation or Acronym</w:t>
            </w:r>
          </w:p>
        </w:tc>
        <w:tc>
          <w:tcPr>
            <w:tcW w:w="8180" w:type="dxa"/>
            <w:vAlign w:val="bottom"/>
            <w:gridSpan w:val="2"/>
          </w:tcPr>
          <w:p>
            <w:pPr>
              <w:spacing w:after="0"/>
              <w:rPr>
                <w:sz w:val="20"/>
                <w:szCs w:val="20"/>
                <w:color w:val="auto"/>
              </w:rPr>
            </w:pPr>
            <w:r>
              <w:rPr>
                <w:rFonts w:ascii="Arial" w:cs="Arial" w:eastAsia="Arial" w:hAnsi="Arial"/>
                <w:sz w:val="18"/>
                <w:szCs w:val="18"/>
                <w:b w:val="1"/>
                <w:bCs w:val="1"/>
                <w:color w:val="auto"/>
              </w:rPr>
              <w:t>Term</w:t>
            </w:r>
          </w:p>
        </w:tc>
      </w:tr>
      <w:tr>
        <w:trPr>
          <w:trHeight w:val="48"/>
        </w:trPr>
        <w:tc>
          <w:tcPr>
            <w:tcW w:w="40" w:type="dxa"/>
            <w:vAlign w:val="bottom"/>
          </w:tcPr>
          <w:p>
            <w:pPr>
              <w:spacing w:after="0"/>
              <w:rPr>
                <w:sz w:val="4"/>
                <w:szCs w:val="4"/>
                <w:color w:val="auto"/>
              </w:rPr>
            </w:pPr>
          </w:p>
        </w:tc>
        <w:tc>
          <w:tcPr>
            <w:tcW w:w="1980" w:type="dxa"/>
            <w:vAlign w:val="bottom"/>
            <w:tcBorders>
              <w:top w:val="single" w:sz="8" w:color="auto"/>
            </w:tcBorders>
          </w:tcPr>
          <w:p>
            <w:pPr>
              <w:spacing w:after="0"/>
              <w:rPr>
                <w:sz w:val="4"/>
                <w:szCs w:val="4"/>
                <w:color w:val="auto"/>
              </w:rPr>
            </w:pPr>
          </w:p>
        </w:tc>
        <w:tc>
          <w:tcPr>
            <w:tcW w:w="122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7780" w:type="dxa"/>
            <w:vAlign w:val="bottom"/>
          </w:tcPr>
          <w:p>
            <w:pPr>
              <w:spacing w:after="0"/>
              <w:rPr>
                <w:sz w:val="4"/>
                <w:szCs w:val="4"/>
                <w:color w:val="auto"/>
              </w:rPr>
            </w:pPr>
          </w:p>
        </w:tc>
      </w:tr>
      <w:tr>
        <w:trPr>
          <w:trHeight w:val="229"/>
        </w:trPr>
        <w:tc>
          <w:tcPr>
            <w:tcW w:w="3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AFUDC</w:t>
            </w:r>
          </w:p>
        </w:tc>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Allowance for Funds Used During Construction – the cost of both debt and equity funds used to finance</w:t>
            </w: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regulated utility plant additions during construction periods</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ALLETE</w:t>
            </w:r>
          </w:p>
        </w:tc>
        <w:tc>
          <w:tcPr>
            <w:tcW w:w="8180" w:type="dxa"/>
            <w:vAlign w:val="bottom"/>
            <w:gridSpan w:val="2"/>
          </w:tcPr>
          <w:p>
            <w:pPr>
              <w:spacing w:after="0"/>
              <w:rPr>
                <w:sz w:val="20"/>
                <w:szCs w:val="20"/>
                <w:color w:val="auto"/>
              </w:rPr>
            </w:pPr>
            <w:r>
              <w:rPr>
                <w:rFonts w:ascii="Arial" w:cs="Arial" w:eastAsia="Arial" w:hAnsi="Arial"/>
                <w:sz w:val="18"/>
                <w:szCs w:val="18"/>
                <w:color w:val="auto"/>
              </w:rPr>
              <w:t>ALLETE, Inc.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ALLETE Clean Energy</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ALLETE Clean Energy, Inc. and its subsidiaries</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ALLETE Properties</w:t>
            </w:r>
          </w:p>
        </w:tc>
        <w:tc>
          <w:tcPr>
            <w:tcW w:w="8180" w:type="dxa"/>
            <w:vAlign w:val="bottom"/>
            <w:gridSpan w:val="2"/>
          </w:tcPr>
          <w:p>
            <w:pPr>
              <w:spacing w:after="0"/>
              <w:rPr>
                <w:sz w:val="20"/>
                <w:szCs w:val="20"/>
                <w:color w:val="auto"/>
              </w:rPr>
            </w:pPr>
            <w:r>
              <w:rPr>
                <w:rFonts w:ascii="Arial" w:cs="Arial" w:eastAsia="Arial" w:hAnsi="Arial"/>
                <w:sz w:val="18"/>
                <w:szCs w:val="18"/>
                <w:color w:val="auto"/>
              </w:rPr>
              <w:t>ALLETE Properties, LLC and its subsidiaries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ALLETE Transmission Holdings</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ALLETE Transmission Holdings, Inc.</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ATC</w:t>
            </w:r>
          </w:p>
        </w:tc>
        <w:tc>
          <w:tcPr>
            <w:tcW w:w="8180" w:type="dxa"/>
            <w:vAlign w:val="bottom"/>
            <w:gridSpan w:val="2"/>
          </w:tcPr>
          <w:p>
            <w:pPr>
              <w:spacing w:after="0"/>
              <w:rPr>
                <w:sz w:val="20"/>
                <w:szCs w:val="20"/>
                <w:color w:val="auto"/>
              </w:rPr>
            </w:pPr>
            <w:r>
              <w:rPr>
                <w:rFonts w:ascii="Arial" w:cs="Arial" w:eastAsia="Arial" w:hAnsi="Arial"/>
                <w:sz w:val="18"/>
                <w:szCs w:val="18"/>
                <w:color w:val="auto"/>
              </w:rPr>
              <w:t>American Transmission Company LLC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Bison</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Bison Wind Energy Center</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BNI Energy</w:t>
            </w:r>
          </w:p>
        </w:tc>
        <w:tc>
          <w:tcPr>
            <w:tcW w:w="8180" w:type="dxa"/>
            <w:vAlign w:val="bottom"/>
            <w:gridSpan w:val="2"/>
          </w:tcPr>
          <w:p>
            <w:pPr>
              <w:spacing w:after="0"/>
              <w:rPr>
                <w:sz w:val="20"/>
                <w:szCs w:val="20"/>
                <w:color w:val="auto"/>
              </w:rPr>
            </w:pPr>
            <w:r>
              <w:rPr>
                <w:rFonts w:ascii="Arial" w:cs="Arial" w:eastAsia="Arial" w:hAnsi="Arial"/>
                <w:sz w:val="18"/>
                <w:szCs w:val="18"/>
                <w:color w:val="auto"/>
              </w:rPr>
              <w:t>BNI Energy, Inc. and its subsidiary</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Boswell</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Boswell Energy Center</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Camp Ripley</w:t>
            </w:r>
          </w:p>
        </w:tc>
        <w:tc>
          <w:tcPr>
            <w:tcW w:w="8180" w:type="dxa"/>
            <w:vAlign w:val="bottom"/>
            <w:gridSpan w:val="2"/>
          </w:tcPr>
          <w:p>
            <w:pPr>
              <w:spacing w:after="0"/>
              <w:rPr>
                <w:sz w:val="20"/>
                <w:szCs w:val="20"/>
                <w:color w:val="auto"/>
              </w:rPr>
            </w:pPr>
            <w:r>
              <w:rPr>
                <w:rFonts w:ascii="Arial" w:cs="Arial" w:eastAsia="Arial" w:hAnsi="Arial"/>
                <w:sz w:val="18"/>
                <w:szCs w:val="18"/>
                <w:color w:val="auto"/>
              </w:rPr>
              <w:t>Camp Ripley Solar Array</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CIP</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Conservation Improvement Program</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Cliffs</w:t>
            </w:r>
          </w:p>
        </w:tc>
        <w:tc>
          <w:tcPr>
            <w:tcW w:w="8180" w:type="dxa"/>
            <w:vAlign w:val="bottom"/>
            <w:gridSpan w:val="2"/>
          </w:tcPr>
          <w:p>
            <w:pPr>
              <w:spacing w:after="0"/>
              <w:rPr>
                <w:sz w:val="20"/>
                <w:szCs w:val="20"/>
                <w:color w:val="auto"/>
              </w:rPr>
            </w:pPr>
            <w:r>
              <w:rPr>
                <w:rFonts w:ascii="Arial" w:cs="Arial" w:eastAsia="Arial" w:hAnsi="Arial"/>
                <w:sz w:val="18"/>
                <w:szCs w:val="18"/>
                <w:color w:val="auto"/>
              </w:rPr>
              <w:t>Cleveland-Cliffs Inc.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Company</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ALLETE, Inc. and its subsidiaries</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CSAPR</w:t>
            </w:r>
          </w:p>
        </w:tc>
        <w:tc>
          <w:tcPr>
            <w:tcW w:w="8180" w:type="dxa"/>
            <w:vAlign w:val="bottom"/>
            <w:gridSpan w:val="2"/>
          </w:tcPr>
          <w:p>
            <w:pPr>
              <w:spacing w:after="0"/>
              <w:rPr>
                <w:sz w:val="20"/>
                <w:szCs w:val="20"/>
                <w:color w:val="auto"/>
              </w:rPr>
            </w:pPr>
            <w:r>
              <w:rPr>
                <w:rFonts w:ascii="Arial" w:cs="Arial" w:eastAsia="Arial" w:hAnsi="Arial"/>
                <w:sz w:val="18"/>
                <w:szCs w:val="18"/>
                <w:color w:val="auto"/>
              </w:rPr>
              <w:t>Cross-State Air Pollution Rule</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DC</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Direct Current</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EIS</w:t>
            </w:r>
          </w:p>
        </w:tc>
        <w:tc>
          <w:tcPr>
            <w:tcW w:w="8180" w:type="dxa"/>
            <w:vAlign w:val="bottom"/>
            <w:gridSpan w:val="2"/>
          </w:tcPr>
          <w:p>
            <w:pPr>
              <w:spacing w:after="0"/>
              <w:rPr>
                <w:sz w:val="20"/>
                <w:szCs w:val="20"/>
                <w:color w:val="auto"/>
              </w:rPr>
            </w:pPr>
            <w:r>
              <w:rPr>
                <w:rFonts w:ascii="Arial" w:cs="Arial" w:eastAsia="Arial" w:hAnsi="Arial"/>
                <w:sz w:val="18"/>
                <w:szCs w:val="18"/>
                <w:color w:val="auto"/>
              </w:rPr>
              <w:t>Environmental Impact Statement</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EITE</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Energy-Intensive Trade-Exposed</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EPA</w:t>
            </w:r>
          </w:p>
        </w:tc>
        <w:tc>
          <w:tcPr>
            <w:tcW w:w="8180" w:type="dxa"/>
            <w:vAlign w:val="bottom"/>
            <w:gridSpan w:val="2"/>
          </w:tcPr>
          <w:p>
            <w:pPr>
              <w:spacing w:after="0"/>
              <w:rPr>
                <w:sz w:val="20"/>
                <w:szCs w:val="20"/>
                <w:color w:val="auto"/>
              </w:rPr>
            </w:pPr>
            <w:r>
              <w:rPr>
                <w:rFonts w:ascii="Arial" w:cs="Arial" w:eastAsia="Arial" w:hAnsi="Arial"/>
                <w:sz w:val="18"/>
                <w:szCs w:val="18"/>
                <w:color w:val="auto"/>
              </w:rPr>
              <w:t>United States Environmental Protection Agency</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ESOP</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Employee Stock Ownership Plan</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FASB</w:t>
            </w:r>
          </w:p>
        </w:tc>
        <w:tc>
          <w:tcPr>
            <w:tcW w:w="8180" w:type="dxa"/>
            <w:vAlign w:val="bottom"/>
            <w:gridSpan w:val="2"/>
          </w:tcPr>
          <w:p>
            <w:pPr>
              <w:spacing w:after="0"/>
              <w:rPr>
                <w:sz w:val="20"/>
                <w:szCs w:val="20"/>
                <w:color w:val="auto"/>
              </w:rPr>
            </w:pPr>
            <w:r>
              <w:rPr>
                <w:rFonts w:ascii="Arial" w:cs="Arial" w:eastAsia="Arial" w:hAnsi="Arial"/>
                <w:sz w:val="18"/>
                <w:szCs w:val="18"/>
                <w:color w:val="auto"/>
              </w:rPr>
              <w:t>Financial Accounting Standards Board</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FERC</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Federal Energy Regulatory Commission</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Form 10-K</w:t>
            </w:r>
          </w:p>
        </w:tc>
        <w:tc>
          <w:tcPr>
            <w:tcW w:w="8180" w:type="dxa"/>
            <w:vAlign w:val="bottom"/>
            <w:gridSpan w:val="2"/>
          </w:tcPr>
          <w:p>
            <w:pPr>
              <w:spacing w:after="0"/>
              <w:rPr>
                <w:sz w:val="20"/>
                <w:szCs w:val="20"/>
                <w:color w:val="auto"/>
              </w:rPr>
            </w:pPr>
            <w:r>
              <w:rPr>
                <w:rFonts w:ascii="Arial" w:cs="Arial" w:eastAsia="Arial" w:hAnsi="Arial"/>
                <w:sz w:val="18"/>
                <w:szCs w:val="18"/>
                <w:color w:val="auto"/>
              </w:rPr>
              <w:t>ALLETE Annual Report on Form 10-K</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Form 10-Q</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ALLETE Quarterly Report on Form 10-Q</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GAAP</w:t>
            </w:r>
          </w:p>
        </w:tc>
        <w:tc>
          <w:tcPr>
            <w:tcW w:w="8180" w:type="dxa"/>
            <w:vAlign w:val="bottom"/>
            <w:gridSpan w:val="2"/>
          </w:tcPr>
          <w:p>
            <w:pPr>
              <w:spacing w:after="0"/>
              <w:rPr>
                <w:sz w:val="20"/>
                <w:szCs w:val="20"/>
                <w:color w:val="auto"/>
              </w:rPr>
            </w:pPr>
            <w:r>
              <w:rPr>
                <w:rFonts w:ascii="Arial" w:cs="Arial" w:eastAsia="Arial" w:hAnsi="Arial"/>
                <w:sz w:val="18"/>
                <w:szCs w:val="18"/>
                <w:color w:val="auto"/>
              </w:rPr>
              <w:t>Generally Accepted Accounting Principles in the United States of America</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GHG</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Greenhouse Gases</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GNTL</w:t>
            </w:r>
          </w:p>
        </w:tc>
        <w:tc>
          <w:tcPr>
            <w:tcW w:w="8180" w:type="dxa"/>
            <w:vAlign w:val="bottom"/>
            <w:gridSpan w:val="2"/>
          </w:tcPr>
          <w:p>
            <w:pPr>
              <w:spacing w:after="0"/>
              <w:rPr>
                <w:sz w:val="20"/>
                <w:szCs w:val="20"/>
                <w:color w:val="auto"/>
              </w:rPr>
            </w:pPr>
            <w:r>
              <w:rPr>
                <w:rFonts w:ascii="Arial" w:cs="Arial" w:eastAsia="Arial" w:hAnsi="Arial"/>
                <w:sz w:val="18"/>
                <w:szCs w:val="18"/>
                <w:color w:val="auto"/>
              </w:rPr>
              <w:t>Great Northern Transmission Line</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Husky Energy</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Husky Energy Inc.</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Invest Direct</w:t>
            </w:r>
          </w:p>
        </w:tc>
        <w:tc>
          <w:tcPr>
            <w:tcW w:w="8180" w:type="dxa"/>
            <w:vAlign w:val="bottom"/>
            <w:gridSpan w:val="2"/>
          </w:tcPr>
          <w:p>
            <w:pPr>
              <w:spacing w:after="0"/>
              <w:rPr>
                <w:sz w:val="20"/>
                <w:szCs w:val="20"/>
                <w:color w:val="auto"/>
              </w:rPr>
            </w:pPr>
            <w:r>
              <w:rPr>
                <w:rFonts w:ascii="Arial" w:cs="Arial" w:eastAsia="Arial" w:hAnsi="Arial"/>
                <w:sz w:val="18"/>
                <w:szCs w:val="18"/>
                <w:color w:val="auto"/>
              </w:rPr>
              <w:t>ALLETE’s Direct Stock Purchase and Dividend Reinvestment Plan</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IRP</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Integrated Resource Plan</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Item ___</w:t>
            </w:r>
          </w:p>
        </w:tc>
        <w:tc>
          <w:tcPr>
            <w:tcW w:w="8180" w:type="dxa"/>
            <w:vAlign w:val="bottom"/>
            <w:gridSpan w:val="2"/>
          </w:tcPr>
          <w:p>
            <w:pPr>
              <w:spacing w:after="0"/>
              <w:rPr>
                <w:sz w:val="20"/>
                <w:szCs w:val="20"/>
                <w:color w:val="auto"/>
              </w:rPr>
            </w:pPr>
            <w:r>
              <w:rPr>
                <w:rFonts w:ascii="Arial" w:cs="Arial" w:eastAsia="Arial" w:hAnsi="Arial"/>
                <w:sz w:val="18"/>
                <w:szCs w:val="18"/>
                <w:color w:val="auto"/>
              </w:rPr>
              <w:t>Item ___ of this Form 10-Q</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kV</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Kilovolt(s)</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kW / kWh</w:t>
            </w:r>
          </w:p>
        </w:tc>
        <w:tc>
          <w:tcPr>
            <w:tcW w:w="8180" w:type="dxa"/>
            <w:vAlign w:val="bottom"/>
            <w:gridSpan w:val="2"/>
          </w:tcPr>
          <w:p>
            <w:pPr>
              <w:spacing w:after="0"/>
              <w:rPr>
                <w:sz w:val="20"/>
                <w:szCs w:val="20"/>
                <w:color w:val="auto"/>
              </w:rPr>
            </w:pPr>
            <w:r>
              <w:rPr>
                <w:rFonts w:ascii="Arial" w:cs="Arial" w:eastAsia="Arial" w:hAnsi="Arial"/>
                <w:sz w:val="18"/>
                <w:szCs w:val="18"/>
                <w:color w:val="auto"/>
              </w:rPr>
              <w:t>Kilowatt(s) / Kilowatt-hour(s)</w:t>
            </w:r>
          </w:p>
        </w:tc>
      </w:tr>
      <w:tr>
        <w:trPr>
          <w:trHeight w:val="203"/>
        </w:trPr>
        <w:tc>
          <w:tcPr>
            <w:tcW w:w="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780" w:type="dxa"/>
            <w:vAlign w:val="bottom"/>
          </w:tcPr>
          <w:p>
            <w:pPr>
              <w:spacing w:after="0"/>
              <w:rPr>
                <w:sz w:val="17"/>
                <w:szCs w:val="17"/>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Laskin</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Laskin Energy Center</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Manitoba Hydro</w:t>
            </w:r>
          </w:p>
        </w:tc>
        <w:tc>
          <w:tcPr>
            <w:tcW w:w="8180" w:type="dxa"/>
            <w:vAlign w:val="bottom"/>
            <w:gridSpan w:val="2"/>
          </w:tcPr>
          <w:p>
            <w:pPr>
              <w:spacing w:after="0"/>
              <w:rPr>
                <w:sz w:val="20"/>
                <w:szCs w:val="20"/>
                <w:color w:val="auto"/>
              </w:rPr>
            </w:pPr>
            <w:r>
              <w:rPr>
                <w:rFonts w:ascii="Arial" w:cs="Arial" w:eastAsia="Arial" w:hAnsi="Arial"/>
                <w:sz w:val="18"/>
                <w:szCs w:val="18"/>
                <w:color w:val="auto"/>
              </w:rPr>
              <w:t>Manitoba Hydro-Electric Board</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Minnesota Power</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An operating division of ALLETE, Inc.</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Minnkota Power</w:t>
            </w:r>
          </w:p>
        </w:tc>
        <w:tc>
          <w:tcPr>
            <w:tcW w:w="8180" w:type="dxa"/>
            <w:vAlign w:val="bottom"/>
            <w:gridSpan w:val="2"/>
          </w:tcPr>
          <w:p>
            <w:pPr>
              <w:spacing w:after="0"/>
              <w:rPr>
                <w:sz w:val="20"/>
                <w:szCs w:val="20"/>
                <w:color w:val="auto"/>
              </w:rPr>
            </w:pPr>
            <w:r>
              <w:rPr>
                <w:rFonts w:ascii="Arial" w:cs="Arial" w:eastAsia="Arial" w:hAnsi="Arial"/>
                <w:sz w:val="18"/>
                <w:szCs w:val="18"/>
                <w:color w:val="auto"/>
              </w:rPr>
              <w:t>Minnkota Power Cooperative, Inc.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MISO</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Midcontinent Independent System Operator, Inc.</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MMTP</w:t>
            </w:r>
          </w:p>
        </w:tc>
        <w:tc>
          <w:tcPr>
            <w:tcW w:w="8180" w:type="dxa"/>
            <w:vAlign w:val="bottom"/>
            <w:gridSpan w:val="2"/>
          </w:tcPr>
          <w:p>
            <w:pPr>
              <w:spacing w:after="0"/>
              <w:rPr>
                <w:sz w:val="20"/>
                <w:szCs w:val="20"/>
                <w:color w:val="auto"/>
              </w:rPr>
            </w:pPr>
            <w:r>
              <w:rPr>
                <w:rFonts w:ascii="Arial" w:cs="Arial" w:eastAsia="Arial" w:hAnsi="Arial"/>
                <w:sz w:val="18"/>
                <w:szCs w:val="18"/>
                <w:color w:val="auto"/>
              </w:rPr>
              <w:t>Manitoba-Minnesota Transmission Project</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Montana-Dakota Utilities</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Montana-Dakota Utilities Co., a subsidiary of MDU Resources Group, Inc.</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Moody’s</w:t>
            </w:r>
          </w:p>
        </w:tc>
        <w:tc>
          <w:tcPr>
            <w:tcW w:w="8180" w:type="dxa"/>
            <w:vAlign w:val="bottom"/>
            <w:gridSpan w:val="2"/>
          </w:tcPr>
          <w:p>
            <w:pPr>
              <w:spacing w:after="0"/>
              <w:rPr>
                <w:sz w:val="20"/>
                <w:szCs w:val="20"/>
                <w:color w:val="auto"/>
              </w:rPr>
            </w:pPr>
            <w:r>
              <w:rPr>
                <w:rFonts w:ascii="Arial" w:cs="Arial" w:eastAsia="Arial" w:hAnsi="Arial"/>
                <w:sz w:val="18"/>
                <w:szCs w:val="18"/>
                <w:color w:val="auto"/>
              </w:rPr>
              <w:t>Moody’s Investors Service, Inc.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MPCA</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Minnesota Pollution Control Agency</w:t>
            </w:r>
          </w:p>
        </w:tc>
      </w:tr>
      <w:tr>
        <w:trPr>
          <w:trHeight w:val="398"/>
        </w:trPr>
        <w:tc>
          <w:tcPr>
            <w:tcW w:w="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780" w:type="dxa"/>
            <w:vAlign w:val="bottom"/>
          </w:tcPr>
          <w:p>
            <w:pPr>
              <w:ind w:left="740"/>
              <w:spacing w:after="0"/>
              <w:rPr>
                <w:sz w:val="20"/>
                <w:szCs w:val="20"/>
                <w:color w:val="auto"/>
              </w:rPr>
            </w:pPr>
            <w:r>
              <w:rPr>
                <w:rFonts w:ascii="Arial" w:cs="Arial" w:eastAsia="Arial" w:hAnsi="Arial"/>
                <w:sz w:val="14"/>
                <w:szCs w:val="14"/>
                <w:color w:val="auto"/>
              </w:rPr>
              <w:t>ALLETE, Inc. Third Quarter 2019 Form 10-Q</w:t>
            </w:r>
          </w:p>
        </w:tc>
      </w:tr>
    </w:tbl>
    <w:p>
      <w:pPr>
        <w:spacing w:after="0" w:line="1" w:lineRule="exact"/>
        <w:rPr>
          <w:sz w:val="20"/>
          <w:szCs w:val="20"/>
          <w:color w:val="auto"/>
        </w:rPr>
      </w:pPr>
    </w:p>
    <w:p>
      <w:pPr>
        <w:sectPr>
          <w:pgSz w:w="11900" w:h="16838" w:orient="portrait"/>
          <w:cols w:equalWidth="0" w:num="1">
            <w:col w:w="11420"/>
          </w:cols>
          <w:pgMar w:left="240" w:top="1040" w:right="239" w:bottom="1440" w:gutter="0" w:footer="0" w:header="0"/>
        </w:sectPr>
      </w:pPr>
    </w:p>
    <w:p>
      <w:pPr>
        <w:ind w:left="11340"/>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1040" w:right="2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3240" w:type="dxa"/>
            <w:vAlign w:val="bottom"/>
            <w:gridSpan w:val="3"/>
          </w:tcPr>
          <w:p>
            <w:pPr>
              <w:ind w:left="40"/>
              <w:spacing w:after="0"/>
              <w:rPr>
                <w:sz w:val="20"/>
                <w:szCs w:val="20"/>
                <w:color w:val="auto"/>
              </w:rPr>
            </w:pPr>
            <w:r>
              <w:rPr>
                <w:rFonts w:ascii="Arial" w:cs="Arial" w:eastAsia="Arial" w:hAnsi="Arial"/>
                <w:sz w:val="18"/>
                <w:szCs w:val="18"/>
                <w:b w:val="1"/>
                <w:bCs w:val="1"/>
                <w:color w:val="auto"/>
              </w:rPr>
              <w:t>Abbreviation or Acronym</w:t>
            </w:r>
          </w:p>
        </w:tc>
        <w:tc>
          <w:tcPr>
            <w:tcW w:w="8180" w:type="dxa"/>
            <w:vAlign w:val="bottom"/>
            <w:gridSpan w:val="2"/>
          </w:tcPr>
          <w:p>
            <w:pPr>
              <w:spacing w:after="0"/>
              <w:rPr>
                <w:sz w:val="20"/>
                <w:szCs w:val="20"/>
                <w:color w:val="auto"/>
              </w:rPr>
            </w:pPr>
            <w:r>
              <w:rPr>
                <w:rFonts w:ascii="Arial" w:cs="Arial" w:eastAsia="Arial" w:hAnsi="Arial"/>
                <w:sz w:val="18"/>
                <w:szCs w:val="18"/>
                <w:b w:val="1"/>
                <w:bCs w:val="1"/>
                <w:color w:val="auto"/>
              </w:rPr>
              <w:t>Term</w:t>
            </w:r>
          </w:p>
        </w:tc>
      </w:tr>
      <w:tr>
        <w:trPr>
          <w:trHeight w:val="48"/>
        </w:trPr>
        <w:tc>
          <w:tcPr>
            <w:tcW w:w="40" w:type="dxa"/>
            <w:vAlign w:val="bottom"/>
          </w:tcPr>
          <w:p>
            <w:pPr>
              <w:spacing w:after="0"/>
              <w:rPr>
                <w:sz w:val="4"/>
                <w:szCs w:val="4"/>
                <w:color w:val="auto"/>
              </w:rPr>
            </w:pPr>
          </w:p>
        </w:tc>
        <w:tc>
          <w:tcPr>
            <w:tcW w:w="1980" w:type="dxa"/>
            <w:vAlign w:val="bottom"/>
            <w:tcBorders>
              <w:top w:val="single" w:sz="8" w:color="auto"/>
            </w:tcBorders>
          </w:tcPr>
          <w:p>
            <w:pPr>
              <w:spacing w:after="0"/>
              <w:rPr>
                <w:sz w:val="4"/>
                <w:szCs w:val="4"/>
                <w:color w:val="auto"/>
              </w:rPr>
            </w:pPr>
          </w:p>
        </w:tc>
        <w:tc>
          <w:tcPr>
            <w:tcW w:w="122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7780" w:type="dxa"/>
            <w:vAlign w:val="bottom"/>
          </w:tcPr>
          <w:p>
            <w:pPr>
              <w:spacing w:after="0"/>
              <w:rPr>
                <w:sz w:val="4"/>
                <w:szCs w:val="4"/>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MPUC</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Minnesota Public Utilities Commission</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MW / MWh</w:t>
            </w:r>
          </w:p>
        </w:tc>
        <w:tc>
          <w:tcPr>
            <w:tcW w:w="8180" w:type="dxa"/>
            <w:vAlign w:val="bottom"/>
            <w:gridSpan w:val="2"/>
          </w:tcPr>
          <w:p>
            <w:pPr>
              <w:spacing w:after="0"/>
              <w:rPr>
                <w:sz w:val="20"/>
                <w:szCs w:val="20"/>
                <w:color w:val="auto"/>
              </w:rPr>
            </w:pPr>
            <w:r>
              <w:rPr>
                <w:rFonts w:ascii="Arial" w:cs="Arial" w:eastAsia="Arial" w:hAnsi="Arial"/>
                <w:sz w:val="18"/>
                <w:szCs w:val="18"/>
                <w:color w:val="auto"/>
              </w:rPr>
              <w:t>Megawatt(s) / Megawatt-hour(s)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NAAQS</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National Ambient Air Quality Standards</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NDPSC</w:t>
            </w:r>
          </w:p>
        </w:tc>
        <w:tc>
          <w:tcPr>
            <w:tcW w:w="8180" w:type="dxa"/>
            <w:vAlign w:val="bottom"/>
            <w:gridSpan w:val="2"/>
          </w:tcPr>
          <w:p>
            <w:pPr>
              <w:spacing w:after="0"/>
              <w:rPr>
                <w:sz w:val="20"/>
                <w:szCs w:val="20"/>
                <w:color w:val="auto"/>
              </w:rPr>
            </w:pPr>
            <w:r>
              <w:rPr>
                <w:rFonts w:ascii="Arial" w:cs="Arial" w:eastAsia="Arial" w:hAnsi="Arial"/>
                <w:sz w:val="18"/>
                <w:szCs w:val="18"/>
                <w:color w:val="auto"/>
              </w:rPr>
              <w:t>North Dakota Public Service Commission</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Nobles 2</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Nobles 2 Power Partners, LLC</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NOL</w:t>
            </w:r>
          </w:p>
        </w:tc>
        <w:tc>
          <w:tcPr>
            <w:tcW w:w="8180" w:type="dxa"/>
            <w:vAlign w:val="bottom"/>
            <w:gridSpan w:val="2"/>
          </w:tcPr>
          <w:p>
            <w:pPr>
              <w:spacing w:after="0"/>
              <w:rPr>
                <w:sz w:val="20"/>
                <w:szCs w:val="20"/>
                <w:color w:val="auto"/>
              </w:rPr>
            </w:pPr>
            <w:r>
              <w:rPr>
                <w:rFonts w:ascii="Arial" w:cs="Arial" w:eastAsia="Arial" w:hAnsi="Arial"/>
                <w:sz w:val="18"/>
                <w:szCs w:val="18"/>
                <w:color w:val="auto"/>
              </w:rPr>
              <w:t>Net Operating Loss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w:t>
            </w:r>
            <w:r>
              <w:rPr>
                <w:rFonts w:ascii="Arial" w:cs="Arial" w:eastAsia="Arial" w:hAnsi="Arial"/>
                <w:sz w:val="12"/>
                <w:szCs w:val="12"/>
                <w:color w:val="auto"/>
              </w:rPr>
              <w:t>X</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Nitrogen Oxides</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Northern States Power</w:t>
            </w:r>
          </w:p>
        </w:tc>
        <w:tc>
          <w:tcPr>
            <w:tcW w:w="8180" w:type="dxa"/>
            <w:vAlign w:val="bottom"/>
            <w:gridSpan w:val="2"/>
          </w:tcPr>
          <w:p>
            <w:pPr>
              <w:spacing w:after="0"/>
              <w:rPr>
                <w:sz w:val="20"/>
                <w:szCs w:val="20"/>
                <w:color w:val="auto"/>
              </w:rPr>
            </w:pPr>
            <w:r>
              <w:rPr>
                <w:rFonts w:ascii="Arial" w:cs="Arial" w:eastAsia="Arial" w:hAnsi="Arial"/>
                <w:sz w:val="18"/>
                <w:szCs w:val="18"/>
                <w:color w:val="auto"/>
              </w:rPr>
              <w:t>Northern States Power Company, a subsidiary of Xcel Energy Inc.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Northshore Mining</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Northshore Mining Company, a wholly-owned subsidiary of Cleveland-Cliffs Inc.</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Note ___</w:t>
            </w:r>
          </w:p>
        </w:tc>
        <w:tc>
          <w:tcPr>
            <w:tcW w:w="8180" w:type="dxa"/>
            <w:vAlign w:val="bottom"/>
            <w:gridSpan w:val="2"/>
          </w:tcPr>
          <w:p>
            <w:pPr>
              <w:spacing w:after="0"/>
              <w:rPr>
                <w:sz w:val="20"/>
                <w:szCs w:val="20"/>
                <w:color w:val="auto"/>
              </w:rPr>
            </w:pPr>
            <w:r>
              <w:rPr>
                <w:rFonts w:ascii="Arial" w:cs="Arial" w:eastAsia="Arial" w:hAnsi="Arial"/>
                <w:sz w:val="18"/>
                <w:szCs w:val="18"/>
                <w:color w:val="auto"/>
              </w:rPr>
              <w:t>Note ___ to the Consolidated Financial Statements in this Form 10-Q</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NPDES</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National Pollutant Discharge Elimination System</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NTEC</w:t>
            </w:r>
          </w:p>
        </w:tc>
        <w:tc>
          <w:tcPr>
            <w:tcW w:w="8180" w:type="dxa"/>
            <w:vAlign w:val="bottom"/>
            <w:gridSpan w:val="2"/>
          </w:tcPr>
          <w:p>
            <w:pPr>
              <w:spacing w:after="0"/>
              <w:rPr>
                <w:sz w:val="20"/>
                <w:szCs w:val="20"/>
                <w:color w:val="auto"/>
              </w:rPr>
            </w:pPr>
            <w:r>
              <w:rPr>
                <w:rFonts w:ascii="Arial" w:cs="Arial" w:eastAsia="Arial" w:hAnsi="Arial"/>
                <w:sz w:val="18"/>
                <w:szCs w:val="18"/>
                <w:color w:val="auto"/>
              </w:rPr>
              <w:t>Nemadji Trail Energy Center</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Oliver Wind I</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Oliver Wind I Energy Center</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Oliver Wind II</w:t>
            </w:r>
          </w:p>
        </w:tc>
        <w:tc>
          <w:tcPr>
            <w:tcW w:w="8180" w:type="dxa"/>
            <w:vAlign w:val="bottom"/>
            <w:gridSpan w:val="2"/>
          </w:tcPr>
          <w:p>
            <w:pPr>
              <w:spacing w:after="0"/>
              <w:rPr>
                <w:sz w:val="20"/>
                <w:szCs w:val="20"/>
                <w:color w:val="auto"/>
              </w:rPr>
            </w:pPr>
            <w:r>
              <w:rPr>
                <w:rFonts w:ascii="Arial" w:cs="Arial" w:eastAsia="Arial" w:hAnsi="Arial"/>
                <w:sz w:val="18"/>
                <w:szCs w:val="18"/>
                <w:color w:val="auto"/>
              </w:rPr>
              <w:t>Oliver Wind II Energy Center</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Palm Coast Park District</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Palm Coast Park Community Development District in Florida</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PolyMet</w:t>
            </w:r>
          </w:p>
        </w:tc>
        <w:tc>
          <w:tcPr>
            <w:tcW w:w="8180" w:type="dxa"/>
            <w:vAlign w:val="bottom"/>
            <w:gridSpan w:val="2"/>
          </w:tcPr>
          <w:p>
            <w:pPr>
              <w:spacing w:after="0"/>
              <w:rPr>
                <w:sz w:val="20"/>
                <w:szCs w:val="20"/>
                <w:color w:val="auto"/>
              </w:rPr>
            </w:pPr>
            <w:r>
              <w:rPr>
                <w:rFonts w:ascii="Arial" w:cs="Arial" w:eastAsia="Arial" w:hAnsi="Arial"/>
                <w:sz w:val="18"/>
                <w:szCs w:val="18"/>
                <w:color w:val="auto"/>
              </w:rPr>
              <w:t>PolyMet Mining Corp.</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PPA / PSA</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Power Purchase Agreement / Power Sales Agreement</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PPACA</w:t>
            </w:r>
          </w:p>
        </w:tc>
        <w:tc>
          <w:tcPr>
            <w:tcW w:w="8180" w:type="dxa"/>
            <w:vAlign w:val="bottom"/>
            <w:gridSpan w:val="2"/>
          </w:tcPr>
          <w:p>
            <w:pPr>
              <w:spacing w:after="0"/>
              <w:rPr>
                <w:sz w:val="20"/>
                <w:szCs w:val="20"/>
                <w:color w:val="auto"/>
              </w:rPr>
            </w:pPr>
            <w:r>
              <w:rPr>
                <w:rFonts w:ascii="Arial" w:cs="Arial" w:eastAsia="Arial" w:hAnsi="Arial"/>
                <w:sz w:val="18"/>
                <w:szCs w:val="18"/>
                <w:color w:val="auto"/>
              </w:rPr>
              <w:t>Patient Protection and Affordable Care Act of 2010</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PSCW</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Public Service Commission of Wisconsin</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SEC</w:t>
            </w:r>
          </w:p>
        </w:tc>
        <w:tc>
          <w:tcPr>
            <w:tcW w:w="8180" w:type="dxa"/>
            <w:vAlign w:val="bottom"/>
            <w:gridSpan w:val="2"/>
          </w:tcPr>
          <w:p>
            <w:pPr>
              <w:spacing w:after="0"/>
              <w:rPr>
                <w:sz w:val="20"/>
                <w:szCs w:val="20"/>
                <w:color w:val="auto"/>
              </w:rPr>
            </w:pPr>
            <w:r>
              <w:rPr>
                <w:rFonts w:ascii="Arial" w:cs="Arial" w:eastAsia="Arial" w:hAnsi="Arial"/>
                <w:sz w:val="18"/>
                <w:szCs w:val="18"/>
                <w:color w:val="auto"/>
              </w:rPr>
              <w:t>Securities and Exchange Commission</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Silver Bay Power</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Silver Bay Power Company, a wholly-owned subsidiary of Cleveland-Cliffs Inc.</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SO</w:t>
            </w:r>
            <w:r>
              <w:rPr>
                <w:rFonts w:ascii="Arial" w:cs="Arial" w:eastAsia="Arial" w:hAnsi="Arial"/>
                <w:sz w:val="12"/>
                <w:szCs w:val="12"/>
                <w:color w:val="auto"/>
              </w:rPr>
              <w:t>2</w:t>
            </w:r>
          </w:p>
        </w:tc>
        <w:tc>
          <w:tcPr>
            <w:tcW w:w="8180" w:type="dxa"/>
            <w:vAlign w:val="bottom"/>
            <w:gridSpan w:val="2"/>
          </w:tcPr>
          <w:p>
            <w:pPr>
              <w:spacing w:after="0"/>
              <w:rPr>
                <w:sz w:val="20"/>
                <w:szCs w:val="20"/>
                <w:color w:val="auto"/>
              </w:rPr>
            </w:pPr>
            <w:r>
              <w:rPr>
                <w:rFonts w:ascii="Arial" w:cs="Arial" w:eastAsia="Arial" w:hAnsi="Arial"/>
                <w:sz w:val="18"/>
                <w:szCs w:val="18"/>
                <w:color w:val="auto"/>
              </w:rPr>
              <w:t>Sulfur Dioxide</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Square Butte</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Square Butte Electric Cooperative, a North Dakota cooperative corporation</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SWL&amp;P</w:t>
            </w:r>
          </w:p>
        </w:tc>
        <w:tc>
          <w:tcPr>
            <w:tcW w:w="8180" w:type="dxa"/>
            <w:vAlign w:val="bottom"/>
            <w:gridSpan w:val="2"/>
          </w:tcPr>
          <w:p>
            <w:pPr>
              <w:spacing w:after="0"/>
              <w:rPr>
                <w:sz w:val="20"/>
                <w:szCs w:val="20"/>
                <w:color w:val="auto"/>
              </w:rPr>
            </w:pPr>
            <w:r>
              <w:rPr>
                <w:rFonts w:ascii="Arial" w:cs="Arial" w:eastAsia="Arial" w:hAnsi="Arial"/>
                <w:sz w:val="18"/>
                <w:szCs w:val="18"/>
                <w:color w:val="auto"/>
              </w:rPr>
              <w:t>Superior Water, Light and Power Company</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Taconite Harbor</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Taconite Harbor Energy Center</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TCJA</w:t>
            </w:r>
          </w:p>
        </w:tc>
        <w:tc>
          <w:tcPr>
            <w:tcW w:w="8180" w:type="dxa"/>
            <w:vAlign w:val="bottom"/>
            <w:gridSpan w:val="2"/>
          </w:tcPr>
          <w:p>
            <w:pPr>
              <w:spacing w:after="0"/>
              <w:rPr>
                <w:sz w:val="20"/>
                <w:szCs w:val="20"/>
                <w:color w:val="auto"/>
              </w:rPr>
            </w:pPr>
            <w:r>
              <w:rPr>
                <w:rFonts w:ascii="Arial" w:cs="Arial" w:eastAsia="Arial" w:hAnsi="Arial"/>
                <w:sz w:val="18"/>
                <w:szCs w:val="18"/>
                <w:color w:val="auto"/>
              </w:rPr>
              <w:t>Tax Cuts and Job Act of 2017 (Public Law 115-97)</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Town Center District</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Town Center at Palm Coast Community Development District in Florida</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U.S.</w:t>
            </w:r>
          </w:p>
        </w:tc>
        <w:tc>
          <w:tcPr>
            <w:tcW w:w="8180" w:type="dxa"/>
            <w:vAlign w:val="bottom"/>
            <w:gridSpan w:val="2"/>
          </w:tcPr>
          <w:p>
            <w:pPr>
              <w:spacing w:after="0"/>
              <w:rPr>
                <w:sz w:val="20"/>
                <w:szCs w:val="20"/>
                <w:color w:val="auto"/>
              </w:rPr>
            </w:pPr>
            <w:r>
              <w:rPr>
                <w:rFonts w:ascii="Arial" w:cs="Arial" w:eastAsia="Arial" w:hAnsi="Arial"/>
                <w:sz w:val="18"/>
                <w:szCs w:val="18"/>
                <w:color w:val="auto"/>
              </w:rPr>
              <w:t>United States of America</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U.S. Water Services</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U.S. Water Services Holding Company and its subsidiaries</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WTG</w:t>
            </w:r>
          </w:p>
        </w:tc>
        <w:tc>
          <w:tcPr>
            <w:tcW w:w="8180" w:type="dxa"/>
            <w:vAlign w:val="bottom"/>
            <w:gridSpan w:val="2"/>
          </w:tcPr>
          <w:p>
            <w:pPr>
              <w:spacing w:after="0"/>
              <w:rPr>
                <w:sz w:val="20"/>
                <w:szCs w:val="20"/>
                <w:color w:val="auto"/>
              </w:rPr>
            </w:pPr>
            <w:r>
              <w:rPr>
                <w:rFonts w:ascii="Arial" w:cs="Arial" w:eastAsia="Arial" w:hAnsi="Arial"/>
                <w:sz w:val="18"/>
                <w:szCs w:val="18"/>
                <w:color w:val="auto"/>
              </w:rPr>
              <w:t>Wind Turbine Generator</w:t>
            </w:r>
          </w:p>
        </w:tc>
      </w:tr>
      <w:tr>
        <w:trPr>
          <w:trHeight w:val="858"/>
        </w:trPr>
        <w:tc>
          <w:tcPr>
            <w:tcW w:w="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780" w:type="dxa"/>
            <w:vAlign w:val="bottom"/>
          </w:tcPr>
          <w:p>
            <w:pPr>
              <w:ind w:left="740"/>
              <w:spacing w:after="0"/>
              <w:rPr>
                <w:sz w:val="20"/>
                <w:szCs w:val="20"/>
                <w:color w:val="auto"/>
              </w:rPr>
            </w:pPr>
            <w:r>
              <w:rPr>
                <w:rFonts w:ascii="Arial" w:cs="Arial" w:eastAsia="Arial" w:hAnsi="Arial"/>
                <w:sz w:val="14"/>
                <w:szCs w:val="14"/>
                <w:color w:val="auto"/>
              </w:rPr>
              <w:t>ALLETE, Inc. Third Quarter 2019 Form 10-Q</w:t>
            </w:r>
          </w:p>
        </w:tc>
      </w:tr>
    </w:tbl>
    <w:p>
      <w:pPr>
        <w:jc w:val="right"/>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20"/>
          </w:cols>
          <w:pgMar w:left="240" w:top="1189"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Statements in this report that are not statements of historical facts are considered “forward-looking” and, accordingly, involve risks and uncertainties that could cause actual results to differ materially from those discussed. Although such forward-looking statements have been made in good faith and are based on reasonable assumptions, there can be no assurance that the expected results will be achieved. Any statements that express, or involve discussions as to, future expectations, risks, beliefs, plans, objectives, assumptions, events, uncertainties, financial performance, or growth strategies (often, but not always, through the use of words or phrases such as “anticipates,” “believes,” “estimates,” “expects,” “intends,” “plans,” “projects,” “likely,” “will continue,” “could,” “may,” “potential,” “target,” “outlook” or words of similar meaning) are not statements of historical facts and may be forward-looking.</w:t>
      </w:r>
    </w:p>
    <w:p>
      <w:pPr>
        <w:spacing w:after="0" w:line="16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connection with the safe harbor provisions of the Private Securities Litigation Reform Act of 1995, we are providing this cautionary statement to identify important factors that could cause our actual results to differ materially from those indicated in forward-looking statements made by or on behalf of ALLETE in this Form 10-Q, in presentations, on our website, in response to questions or otherwise. These statements are qualified in their entirety by reference to, and are accompanied by, the following important factors, in addition to any assumptions and other factors referred to specifically in connection with such forward-looking statements that could cause our actual results to differ materially from those indicated in the forward-looking statements:</w:t>
      </w:r>
    </w:p>
    <w:p>
      <w:pPr>
        <w:spacing w:after="0" w:line="158"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implement our strategic objectives;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global and domestic economic conditions affecting us or our customers;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and compliance with laws and regulations;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tax rates or policies or in rates of inflation;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outcome of legal and administrative proceedings (whether civil or criminal) and settlements;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weather conditions, natural disasters and pandemic diseases;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access capital markets and bank financing;</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interest rates and the performance of the financial markets;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project delays or changes in project costs;</w:t>
      </w:r>
    </w:p>
    <w:p>
      <w:pPr>
        <w:spacing w:after="0" w:line="9" w:lineRule="exact"/>
        <w:rPr>
          <w:rFonts w:ascii="Arial" w:cs="Arial" w:eastAsia="Arial" w:hAnsi="Arial"/>
          <w:sz w:val="18"/>
          <w:szCs w:val="18"/>
          <w:color w:val="auto"/>
        </w:rPr>
      </w:pPr>
    </w:p>
    <w:p>
      <w:pPr>
        <w:ind w:left="340" w:right="20" w:hanging="332"/>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operating expenses and capital expenditures and our ability to raise revenues from our customers in regulated rates or contract price increases at our Energy Infrastructure and Related Services and other businesses;</w:t>
      </w: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impacts of commodity prices on ALLETE and our customers;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qualified, skilled and experienced personnel;</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emerging technology;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war, acts of terrorism and cybersecurity attacks;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expansion and integrate acquisitions;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population growth rates and demographic patterns;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wholesale power market conditions;</w:t>
      </w:r>
    </w:p>
    <w:p>
      <w:pPr>
        <w:spacing w:after="0" w:line="9" w:lineRule="exact"/>
        <w:rPr>
          <w:rFonts w:ascii="Arial" w:cs="Arial" w:eastAsia="Arial" w:hAnsi="Arial"/>
          <w:sz w:val="18"/>
          <w:szCs w:val="18"/>
          <w:color w:val="auto"/>
        </w:rPr>
      </w:pPr>
    </w:p>
    <w:p>
      <w:pPr>
        <w:jc w:val="both"/>
        <w:ind w:left="340" w:right="20" w:hanging="332"/>
        <w:spacing w:after="0" w:line="281"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federal and state regulatory and legislative actions that impact regulated utility economics, including our allowed rates of return, capital structure, ability to secure financing, industry and rate structure, acquisition and disposal of assets and facilities, operation and construction of plant facilities and utility infrastructure, recovery of purchased power, capital investments and other expenses, including present or prospective environmental matters;</w:t>
      </w:r>
    </w:p>
    <w:p>
      <w:pPr>
        <w:spacing w:after="0" w:line="2" w:lineRule="exact"/>
        <w:rPr>
          <w:rFonts w:ascii="Arial" w:cs="Arial" w:eastAsia="Arial" w:hAnsi="Arial"/>
          <w:sz w:val="16"/>
          <w:szCs w:val="16"/>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competition, including competition for retail and wholesale customers;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restructuring initiatives in the electric industry;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impacts on our Regulated Operations segment of climate change and future regulation to restrict the emissions of GHG;</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increased deployment of distributed low-carbon electricity generation resources;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impacts of laws and regulations related to renewable and distributed generation;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pricing, availability and transportation of fuel and other commodities and the ability to recover the costs of such commodities;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current and potential industrial and municipal customers’ ability to execute announced expansion plans;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real estate market conditions where our legacy Florida real estate investment is located may not improve;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success of efforts to realize value from, invest in, and develop new opportunities in, our Energy Infrastructure and Related Services businesses; and</w:t>
      </w:r>
    </w:p>
    <w:p>
      <w:pPr>
        <w:spacing w:after="0" w:line="32" w:lineRule="exact"/>
        <w:rPr>
          <w:rFonts w:ascii="Arial" w:cs="Arial" w:eastAsia="Arial" w:hAnsi="Arial"/>
          <w:sz w:val="16"/>
          <w:szCs w:val="16"/>
          <w:color w:val="auto"/>
        </w:rPr>
      </w:pPr>
    </w:p>
    <w:p>
      <w:pPr>
        <w:jc w:val="both"/>
        <w:ind w:left="340" w:hanging="332"/>
        <w:spacing w:after="0" w:line="255"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factors affecting our Energy Infrastructure and Related Services businesses, including unanticipated cost increases, changes in legislation and regulations impacting the industries in which the customers served operate, the effects of weather, creditworthiness of customers, ability to obtain materials required to perform services, and changing market conditions.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2019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1040" w:right="239" w:bottom="1440" w:gutter="0" w:footer="0" w:header="0"/>
        </w:sectPr>
      </w:pPr>
    </w:p>
    <w:bookmarkStart w:id="5" w:name="page6"/>
    <w:bookmarkEnd w:id="5"/>
    <w:p>
      <w:pPr>
        <w:jc w:val="center"/>
        <w:ind w:right="-59"/>
        <w:spacing w:after="0"/>
        <w:rPr>
          <w:sz w:val="20"/>
          <w:szCs w:val="20"/>
          <w:color w:val="auto"/>
        </w:rPr>
      </w:pPr>
      <w:r>
        <w:rPr>
          <w:rFonts w:ascii="Arial" w:cs="Arial" w:eastAsia="Arial" w:hAnsi="Arial"/>
          <w:sz w:val="18"/>
          <w:szCs w:val="18"/>
          <w:b w:val="1"/>
          <w:bCs w:val="1"/>
          <w:color w:val="auto"/>
        </w:rPr>
        <w:t>Forward-Looking Statements (Continued)</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Additional disclosures regarding factors that could cause our results or performance to differ from those anticipated by this report are discussed in Part I, Item 1A. Risk Factors of ALLETE’s 2018 Form 10-K. Any forward-looking statement speaks only as of the date on which such statement is made, and we undertake no obligation to update any forward-looking statement to reflect events or circumstances after the date on which that statement is made or to reflect the occurrence of unanticipated events. New factors emerge from time to time, and it is not possible for management to predict all of these factors, nor can it assess the impact of each of these factors on the businesses of ALLETE or the extent to which any factor, or combination of factors, may cause actual results to differ materially from those contained in any forward-looking statement. Readers are urged to carefully review and consider the various disclosures made by ALLETE in this Form 10-Q and in other reports filed with the SEC that attempt to identify the risks and uncertainties that may affect ALLETE’s business.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2019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20"/>
          </w:cols>
          <w:pgMar w:left="240" w:top="1040"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8220" w:type="dxa"/>
            <w:vAlign w:val="bottom"/>
          </w:tcPr>
          <w:p>
            <w:pPr>
              <w:spacing w:after="0"/>
              <w:rPr>
                <w:sz w:val="20"/>
                <w:szCs w:val="20"/>
                <w:color w:val="auto"/>
              </w:rPr>
            </w:pPr>
            <w:r>
              <w:rPr>
                <w:rFonts w:ascii="Arial" w:cs="Arial" w:eastAsia="Arial" w:hAnsi="Arial"/>
                <w:sz w:val="18"/>
                <w:szCs w:val="18"/>
                <w:b w:val="1"/>
                <w:bCs w:val="1"/>
                <w:color w:val="auto"/>
              </w:rPr>
              <w:t>PART I. FINANCIAL INFORMATION</w:t>
            </w:r>
          </w:p>
        </w:tc>
        <w:tc>
          <w:tcPr>
            <w:tcW w:w="166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32"/>
        </w:trPr>
        <w:tc>
          <w:tcPr>
            <w:tcW w:w="8220" w:type="dxa"/>
            <w:vAlign w:val="bottom"/>
          </w:tcPr>
          <w:p>
            <w:pPr>
              <w:spacing w:after="0"/>
              <w:rPr>
                <w:sz w:val="20"/>
                <w:szCs w:val="20"/>
                <w:color w:val="auto"/>
              </w:rPr>
            </w:pPr>
            <w:r>
              <w:rPr>
                <w:rFonts w:ascii="Arial" w:cs="Arial" w:eastAsia="Arial" w:hAnsi="Arial"/>
                <w:sz w:val="18"/>
                <w:szCs w:val="18"/>
                <w:b w:val="1"/>
                <w:bCs w:val="1"/>
                <w:color w:val="auto"/>
              </w:rPr>
              <w:t>ITEM 1. CONSOLIDATED FINANCIAL STATEMENTS</w:t>
            </w:r>
          </w:p>
        </w:tc>
        <w:tc>
          <w:tcPr>
            <w:tcW w:w="16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14"/>
        </w:trPr>
        <w:tc>
          <w:tcPr>
            <w:tcW w:w="8220" w:type="dxa"/>
            <w:vAlign w:val="bottom"/>
          </w:tcPr>
          <w:p>
            <w:pPr>
              <w:jc w:val="center"/>
              <w:ind w:left="3110"/>
              <w:spacing w:after="0"/>
              <w:rPr>
                <w:sz w:val="20"/>
                <w:szCs w:val="20"/>
                <w:color w:val="auto"/>
              </w:rPr>
            </w:pPr>
            <w:r>
              <w:rPr>
                <w:rFonts w:ascii="Arial" w:cs="Arial" w:eastAsia="Arial" w:hAnsi="Arial"/>
                <w:sz w:val="18"/>
                <w:szCs w:val="18"/>
                <w:b w:val="1"/>
                <w:bCs w:val="1"/>
                <w:color w:val="auto"/>
              </w:rPr>
              <w:t>ALLETE</w:t>
            </w:r>
          </w:p>
        </w:tc>
        <w:tc>
          <w:tcPr>
            <w:tcW w:w="16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16"/>
        </w:trPr>
        <w:tc>
          <w:tcPr>
            <w:tcW w:w="8220" w:type="dxa"/>
            <w:vAlign w:val="bottom"/>
          </w:tcPr>
          <w:p>
            <w:pPr>
              <w:jc w:val="center"/>
              <w:ind w:left="3110"/>
              <w:spacing w:after="0"/>
              <w:rPr>
                <w:sz w:val="20"/>
                <w:szCs w:val="20"/>
                <w:color w:val="auto"/>
              </w:rPr>
            </w:pPr>
            <w:r>
              <w:rPr>
                <w:rFonts w:ascii="Arial" w:cs="Arial" w:eastAsia="Arial" w:hAnsi="Arial"/>
                <w:sz w:val="18"/>
                <w:szCs w:val="18"/>
                <w:b w:val="1"/>
                <w:bCs w:val="1"/>
                <w:color w:val="auto"/>
                <w:w w:val="99"/>
              </w:rPr>
              <w:t>CONSOLIDATED BALANCE SHEET</w:t>
            </w:r>
          </w:p>
        </w:tc>
        <w:tc>
          <w:tcPr>
            <w:tcW w:w="16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4"/>
        </w:trPr>
        <w:tc>
          <w:tcPr>
            <w:tcW w:w="8220" w:type="dxa"/>
            <w:vAlign w:val="bottom"/>
          </w:tcPr>
          <w:p>
            <w:pPr>
              <w:jc w:val="center"/>
              <w:ind w:left="3110"/>
              <w:spacing w:after="0"/>
              <w:rPr>
                <w:sz w:val="20"/>
                <w:szCs w:val="20"/>
                <w:color w:val="auto"/>
              </w:rPr>
            </w:pPr>
            <w:r>
              <w:rPr>
                <w:rFonts w:ascii="Arial" w:cs="Arial" w:eastAsia="Arial" w:hAnsi="Arial"/>
                <w:sz w:val="18"/>
                <w:szCs w:val="18"/>
                <w:b w:val="1"/>
                <w:bCs w:val="1"/>
                <w:color w:val="auto"/>
                <w:w w:val="93"/>
              </w:rPr>
              <w:t>Unaudited</w:t>
            </w:r>
          </w:p>
        </w:tc>
        <w:tc>
          <w:tcPr>
            <w:tcW w:w="166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41"/>
        </w:trPr>
        <w:tc>
          <w:tcPr>
            <w:tcW w:w="8220" w:type="dxa"/>
            <w:vAlign w:val="bottom"/>
          </w:tcPr>
          <w:p>
            <w:pPr>
              <w:spacing w:after="0"/>
              <w:rPr>
                <w:sz w:val="24"/>
                <w:szCs w:val="24"/>
                <w:color w:val="auto"/>
              </w:rPr>
            </w:pPr>
          </w:p>
        </w:tc>
        <w:tc>
          <w:tcPr>
            <w:tcW w:w="1660" w:type="dxa"/>
            <w:vAlign w:val="bottom"/>
          </w:tcPr>
          <w:p>
            <w:pPr>
              <w:jc w:val="right"/>
              <w:ind w:right="270"/>
              <w:spacing w:after="0"/>
              <w:rPr>
                <w:sz w:val="20"/>
                <w:szCs w:val="20"/>
                <w:color w:val="auto"/>
              </w:rPr>
            </w:pPr>
            <w:r>
              <w:rPr>
                <w:rFonts w:ascii="Arial" w:cs="Arial" w:eastAsia="Arial" w:hAnsi="Arial"/>
                <w:sz w:val="18"/>
                <w:szCs w:val="18"/>
                <w:b w:val="1"/>
                <w:bCs w:val="1"/>
                <w:color w:val="auto"/>
              </w:rPr>
              <w:t>September 30,</w:t>
            </w:r>
          </w:p>
        </w:tc>
        <w:tc>
          <w:tcPr>
            <w:tcW w:w="148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8220" w:type="dxa"/>
            <w:vAlign w:val="bottom"/>
          </w:tcPr>
          <w:p>
            <w:pPr>
              <w:spacing w:after="0"/>
              <w:rPr>
                <w:sz w:val="20"/>
                <w:szCs w:val="20"/>
                <w:color w:val="auto"/>
              </w:rPr>
            </w:pPr>
          </w:p>
        </w:tc>
        <w:tc>
          <w:tcPr>
            <w:tcW w:w="1660" w:type="dxa"/>
            <w:vAlign w:val="bottom"/>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1480" w:type="dxa"/>
            <w:vAlign w:val="bottom"/>
          </w:tcPr>
          <w:p>
            <w:pPr>
              <w:jc w:val="right"/>
              <w:ind w:right="30"/>
              <w:spacing w:after="0"/>
              <w:rPr>
                <w:sz w:val="20"/>
                <w:szCs w:val="20"/>
                <w:color w:val="auto"/>
              </w:rPr>
            </w:pPr>
            <w:r>
              <w:rPr>
                <w:rFonts w:ascii="Arial" w:cs="Arial" w:eastAsia="Arial" w:hAnsi="Arial"/>
                <w:sz w:val="18"/>
                <w:szCs w:val="18"/>
                <w:b w:val="1"/>
                <w:bCs w:val="1"/>
                <w:color w:val="auto"/>
              </w:rPr>
              <w:t>2018</w:t>
            </w:r>
          </w:p>
        </w:tc>
      </w:tr>
      <w:tr>
        <w:trPr>
          <w:trHeight w:val="27"/>
        </w:trPr>
        <w:tc>
          <w:tcPr>
            <w:tcW w:w="8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82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66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8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6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66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8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16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$100.3</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$69.1</w:t>
            </w:r>
          </w:p>
        </w:tc>
      </w:tr>
      <w:tr>
        <w:trPr>
          <w:trHeight w:val="243"/>
        </w:trPr>
        <w:tc>
          <w:tcPr>
            <w:tcW w:w="8220" w:type="dxa"/>
            <w:vAlign w:val="bottom"/>
          </w:tcPr>
          <w:p>
            <w:pPr>
              <w:ind w:left="280"/>
              <w:spacing w:after="0"/>
              <w:rPr>
                <w:sz w:val="20"/>
                <w:szCs w:val="20"/>
                <w:color w:val="auto"/>
              </w:rPr>
            </w:pPr>
            <w:r>
              <w:rPr>
                <w:rFonts w:ascii="Arial" w:cs="Arial" w:eastAsia="Arial" w:hAnsi="Arial"/>
                <w:sz w:val="18"/>
                <w:szCs w:val="18"/>
                <w:color w:val="auto"/>
              </w:rPr>
              <w:t>Accounts Receivable (Less Allowance of $1.0 and $1.7)</w:t>
            </w:r>
          </w:p>
        </w:tc>
        <w:tc>
          <w:tcPr>
            <w:tcW w:w="1660" w:type="dxa"/>
            <w:vAlign w:val="bottom"/>
          </w:tcPr>
          <w:p>
            <w:pPr>
              <w:jc w:val="right"/>
              <w:ind w:right="230"/>
              <w:spacing w:after="0"/>
              <w:rPr>
                <w:sz w:val="20"/>
                <w:szCs w:val="20"/>
                <w:color w:val="auto"/>
              </w:rPr>
            </w:pPr>
            <w:r>
              <w:rPr>
                <w:rFonts w:ascii="Arial" w:cs="Arial" w:eastAsia="Arial" w:hAnsi="Arial"/>
                <w:sz w:val="18"/>
                <w:szCs w:val="18"/>
                <w:color w:val="auto"/>
              </w:rPr>
              <w:t>85.1</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144.4</w:t>
            </w:r>
          </w:p>
        </w:tc>
      </w:tr>
      <w:tr>
        <w:trPr>
          <w:trHeight w:val="27"/>
        </w:trPr>
        <w:tc>
          <w:tcPr>
            <w:tcW w:w="8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 – Net</w:t>
            </w:r>
          </w:p>
        </w:tc>
        <w:tc>
          <w:tcPr>
            <w:tcW w:w="16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84.6</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86.7</w:t>
            </w:r>
          </w:p>
        </w:tc>
      </w:tr>
      <w:tr>
        <w:trPr>
          <w:trHeight w:val="243"/>
        </w:trPr>
        <w:tc>
          <w:tcPr>
            <w:tcW w:w="8220" w:type="dxa"/>
            <w:vAlign w:val="bottom"/>
          </w:tcPr>
          <w:p>
            <w:pPr>
              <w:ind w:left="280"/>
              <w:spacing w:after="0"/>
              <w:rPr>
                <w:sz w:val="20"/>
                <w:szCs w:val="20"/>
                <w:color w:val="auto"/>
              </w:rPr>
            </w:pPr>
            <w:r>
              <w:rPr>
                <w:rFonts w:ascii="Arial" w:cs="Arial" w:eastAsia="Arial" w:hAnsi="Arial"/>
                <w:sz w:val="18"/>
                <w:szCs w:val="18"/>
                <w:color w:val="auto"/>
              </w:rPr>
              <w:t>Prepayments and Other</w:t>
            </w:r>
          </w:p>
        </w:tc>
        <w:tc>
          <w:tcPr>
            <w:tcW w:w="1660" w:type="dxa"/>
            <w:vAlign w:val="bottom"/>
          </w:tcPr>
          <w:p>
            <w:pPr>
              <w:jc w:val="right"/>
              <w:ind w:right="230"/>
              <w:spacing w:after="0"/>
              <w:rPr>
                <w:sz w:val="20"/>
                <w:szCs w:val="20"/>
                <w:color w:val="auto"/>
              </w:rPr>
            </w:pPr>
            <w:r>
              <w:rPr>
                <w:rFonts w:ascii="Arial" w:cs="Arial" w:eastAsia="Arial" w:hAnsi="Arial"/>
                <w:sz w:val="18"/>
                <w:szCs w:val="18"/>
                <w:color w:val="auto"/>
              </w:rPr>
              <w:t>26.1</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34.1</w:t>
            </w:r>
          </w:p>
        </w:tc>
      </w:tr>
      <w:tr>
        <w:trPr>
          <w:trHeight w:val="27"/>
        </w:trPr>
        <w:tc>
          <w:tcPr>
            <w:tcW w:w="8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8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16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296.1</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334.3</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Property, Plant and Equipment – Net</w:t>
            </w:r>
          </w:p>
        </w:tc>
        <w:tc>
          <w:tcPr>
            <w:tcW w:w="1660" w:type="dxa"/>
            <w:vAlign w:val="bottom"/>
          </w:tcPr>
          <w:p>
            <w:pPr>
              <w:jc w:val="right"/>
              <w:ind w:right="230"/>
              <w:spacing w:after="0"/>
              <w:rPr>
                <w:sz w:val="20"/>
                <w:szCs w:val="20"/>
                <w:color w:val="auto"/>
              </w:rPr>
            </w:pPr>
            <w:r>
              <w:rPr>
                <w:rFonts w:ascii="Arial" w:cs="Arial" w:eastAsia="Arial" w:hAnsi="Arial"/>
                <w:sz w:val="18"/>
                <w:szCs w:val="18"/>
                <w:color w:val="auto"/>
              </w:rPr>
              <w:t>4,210.7</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3,904.4</w:t>
            </w:r>
          </w:p>
        </w:tc>
      </w:tr>
      <w:tr>
        <w:trPr>
          <w:trHeight w:val="27"/>
        </w:trPr>
        <w:tc>
          <w:tcPr>
            <w:tcW w:w="8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Regulatory Assets</w:t>
            </w:r>
          </w:p>
        </w:tc>
        <w:tc>
          <w:tcPr>
            <w:tcW w:w="16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393.1</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389.5</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Equity Investments</w:t>
            </w:r>
          </w:p>
        </w:tc>
        <w:tc>
          <w:tcPr>
            <w:tcW w:w="1660" w:type="dxa"/>
            <w:vAlign w:val="bottom"/>
          </w:tcPr>
          <w:p>
            <w:pPr>
              <w:jc w:val="right"/>
              <w:ind w:right="230"/>
              <w:spacing w:after="0"/>
              <w:rPr>
                <w:sz w:val="20"/>
                <w:szCs w:val="20"/>
                <w:color w:val="auto"/>
              </w:rPr>
            </w:pPr>
            <w:r>
              <w:rPr>
                <w:rFonts w:ascii="Arial" w:cs="Arial" w:eastAsia="Arial" w:hAnsi="Arial"/>
                <w:sz w:val="18"/>
                <w:szCs w:val="18"/>
                <w:color w:val="auto"/>
              </w:rPr>
              <w:t>183.3</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161.1</w:t>
            </w:r>
          </w:p>
        </w:tc>
      </w:tr>
      <w:tr>
        <w:trPr>
          <w:trHeight w:val="27"/>
        </w:trPr>
        <w:tc>
          <w:tcPr>
            <w:tcW w:w="8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and Intangible Assets – Net</w:t>
            </w:r>
          </w:p>
        </w:tc>
        <w:tc>
          <w:tcPr>
            <w:tcW w:w="16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1.0</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223.3</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1660" w:type="dxa"/>
            <w:vAlign w:val="bottom"/>
          </w:tcPr>
          <w:p>
            <w:pPr>
              <w:jc w:val="right"/>
              <w:ind w:right="230"/>
              <w:spacing w:after="0"/>
              <w:rPr>
                <w:sz w:val="20"/>
                <w:szCs w:val="20"/>
                <w:color w:val="auto"/>
              </w:rPr>
            </w:pPr>
            <w:r>
              <w:rPr>
                <w:rFonts w:ascii="Arial" w:cs="Arial" w:eastAsia="Arial" w:hAnsi="Arial"/>
                <w:sz w:val="18"/>
                <w:szCs w:val="18"/>
                <w:color w:val="auto"/>
              </w:rPr>
              <w:t>191.6</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152.4</w:t>
            </w:r>
          </w:p>
        </w:tc>
      </w:tr>
      <w:tr>
        <w:trPr>
          <w:trHeight w:val="27"/>
        </w:trPr>
        <w:tc>
          <w:tcPr>
            <w:tcW w:w="8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16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$5,275.8</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$5,165.0</w:t>
            </w:r>
          </w:p>
        </w:tc>
      </w:tr>
      <w:tr>
        <w:trPr>
          <w:trHeight w:val="237"/>
        </w:trPr>
        <w:tc>
          <w:tcPr>
            <w:tcW w:w="82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Liabilities and Shareholders’ Equity</w:t>
            </w:r>
          </w:p>
        </w:tc>
        <w:tc>
          <w:tcPr>
            <w:tcW w:w="16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r>
      <w:tr>
        <w:trPr>
          <w:trHeight w:val="27"/>
        </w:trPr>
        <w:tc>
          <w:tcPr>
            <w:tcW w:w="8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16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66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8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16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$143.5</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$149.8</w:t>
            </w:r>
          </w:p>
        </w:tc>
      </w:tr>
      <w:tr>
        <w:trPr>
          <w:trHeight w:val="243"/>
        </w:trPr>
        <w:tc>
          <w:tcPr>
            <w:tcW w:w="8220" w:type="dxa"/>
            <w:vAlign w:val="bottom"/>
          </w:tcPr>
          <w:p>
            <w:pPr>
              <w:ind w:left="280"/>
              <w:spacing w:after="0"/>
              <w:rPr>
                <w:sz w:val="20"/>
                <w:szCs w:val="20"/>
                <w:color w:val="auto"/>
              </w:rPr>
            </w:pPr>
            <w:r>
              <w:rPr>
                <w:rFonts w:ascii="Arial" w:cs="Arial" w:eastAsia="Arial" w:hAnsi="Arial"/>
                <w:sz w:val="18"/>
                <w:szCs w:val="18"/>
                <w:color w:val="auto"/>
              </w:rPr>
              <w:t>Accrued Taxes</w:t>
            </w:r>
          </w:p>
        </w:tc>
        <w:tc>
          <w:tcPr>
            <w:tcW w:w="1660" w:type="dxa"/>
            <w:vAlign w:val="bottom"/>
          </w:tcPr>
          <w:p>
            <w:pPr>
              <w:jc w:val="right"/>
              <w:ind w:right="230"/>
              <w:spacing w:after="0"/>
              <w:rPr>
                <w:sz w:val="20"/>
                <w:szCs w:val="20"/>
                <w:color w:val="auto"/>
              </w:rPr>
            </w:pPr>
            <w:r>
              <w:rPr>
                <w:rFonts w:ascii="Arial" w:cs="Arial" w:eastAsia="Arial" w:hAnsi="Arial"/>
                <w:sz w:val="18"/>
                <w:szCs w:val="18"/>
                <w:color w:val="auto"/>
              </w:rPr>
              <w:t>53.4</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51.4</w:t>
            </w:r>
          </w:p>
        </w:tc>
      </w:tr>
      <w:tr>
        <w:trPr>
          <w:trHeight w:val="27"/>
        </w:trPr>
        <w:tc>
          <w:tcPr>
            <w:tcW w:w="8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Interest</w:t>
            </w:r>
          </w:p>
        </w:tc>
        <w:tc>
          <w:tcPr>
            <w:tcW w:w="16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15.0</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17.9</w:t>
            </w:r>
          </w:p>
        </w:tc>
      </w:tr>
      <w:tr>
        <w:trPr>
          <w:trHeight w:val="243"/>
        </w:trPr>
        <w:tc>
          <w:tcPr>
            <w:tcW w:w="8220" w:type="dxa"/>
            <w:vAlign w:val="bottom"/>
          </w:tcPr>
          <w:p>
            <w:pPr>
              <w:ind w:left="280"/>
              <w:spacing w:after="0"/>
              <w:rPr>
                <w:sz w:val="20"/>
                <w:szCs w:val="20"/>
                <w:color w:val="auto"/>
              </w:rPr>
            </w:pPr>
            <w:r>
              <w:rPr>
                <w:rFonts w:ascii="Arial" w:cs="Arial" w:eastAsia="Arial" w:hAnsi="Arial"/>
                <w:sz w:val="18"/>
                <w:szCs w:val="18"/>
                <w:color w:val="auto"/>
              </w:rPr>
              <w:t>Long-Term Debt Due Within One Year</w:t>
            </w:r>
          </w:p>
        </w:tc>
        <w:tc>
          <w:tcPr>
            <w:tcW w:w="1660" w:type="dxa"/>
            <w:vAlign w:val="bottom"/>
          </w:tcPr>
          <w:p>
            <w:pPr>
              <w:jc w:val="right"/>
              <w:ind w:right="230"/>
              <w:spacing w:after="0"/>
              <w:rPr>
                <w:sz w:val="20"/>
                <w:szCs w:val="20"/>
                <w:color w:val="auto"/>
              </w:rPr>
            </w:pPr>
            <w:r>
              <w:rPr>
                <w:rFonts w:ascii="Arial" w:cs="Arial" w:eastAsia="Arial" w:hAnsi="Arial"/>
                <w:sz w:val="18"/>
                <w:szCs w:val="18"/>
                <w:color w:val="auto"/>
              </w:rPr>
              <w:t>212.7</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57.5</w:t>
            </w:r>
          </w:p>
        </w:tc>
      </w:tr>
      <w:tr>
        <w:trPr>
          <w:trHeight w:val="27"/>
        </w:trPr>
        <w:tc>
          <w:tcPr>
            <w:tcW w:w="8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5"/>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16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58.7</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128.5</w:t>
            </w:r>
          </w:p>
        </w:tc>
      </w:tr>
      <w:tr>
        <w:trPr>
          <w:trHeight w:val="237"/>
        </w:trPr>
        <w:tc>
          <w:tcPr>
            <w:tcW w:w="822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Current Liabilities</w:t>
            </w:r>
          </w:p>
        </w:tc>
        <w:tc>
          <w:tcPr>
            <w:tcW w:w="166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483.3</w:t>
            </w:r>
          </w:p>
        </w:tc>
        <w:tc>
          <w:tcPr>
            <w:tcW w:w="1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405.1</w:t>
            </w:r>
          </w:p>
        </w:tc>
      </w:tr>
      <w:tr>
        <w:trPr>
          <w:trHeight w:val="27"/>
        </w:trPr>
        <w:tc>
          <w:tcPr>
            <w:tcW w:w="8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16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1,404.9</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1,428.5</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1660" w:type="dxa"/>
            <w:vAlign w:val="bottom"/>
          </w:tcPr>
          <w:p>
            <w:pPr>
              <w:jc w:val="right"/>
              <w:ind w:right="230"/>
              <w:spacing w:after="0"/>
              <w:rPr>
                <w:sz w:val="20"/>
                <w:szCs w:val="20"/>
                <w:color w:val="auto"/>
              </w:rPr>
            </w:pPr>
            <w:r>
              <w:rPr>
                <w:rFonts w:ascii="Arial" w:cs="Arial" w:eastAsia="Arial" w:hAnsi="Arial"/>
                <w:sz w:val="18"/>
                <w:szCs w:val="18"/>
                <w:color w:val="auto"/>
              </w:rPr>
              <w:t>213.9</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223.6</w:t>
            </w:r>
          </w:p>
        </w:tc>
      </w:tr>
      <w:tr>
        <w:trPr>
          <w:trHeight w:val="27"/>
        </w:trPr>
        <w:tc>
          <w:tcPr>
            <w:tcW w:w="8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Regulatory Liabilities</w:t>
            </w:r>
          </w:p>
        </w:tc>
        <w:tc>
          <w:tcPr>
            <w:tcW w:w="16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510.4</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512.1</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Defined Benefit Pension and Other Postretirement Benefit Plans</w:t>
            </w:r>
          </w:p>
        </w:tc>
        <w:tc>
          <w:tcPr>
            <w:tcW w:w="1660" w:type="dxa"/>
            <w:vAlign w:val="bottom"/>
          </w:tcPr>
          <w:p>
            <w:pPr>
              <w:jc w:val="right"/>
              <w:ind w:right="230"/>
              <w:spacing w:after="0"/>
              <w:rPr>
                <w:sz w:val="20"/>
                <w:szCs w:val="20"/>
                <w:color w:val="auto"/>
              </w:rPr>
            </w:pPr>
            <w:r>
              <w:rPr>
                <w:rFonts w:ascii="Arial" w:cs="Arial" w:eastAsia="Arial" w:hAnsi="Arial"/>
                <w:sz w:val="18"/>
                <w:szCs w:val="18"/>
                <w:color w:val="auto"/>
              </w:rPr>
              <w:t>162.4</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177.3</w:t>
            </w:r>
          </w:p>
        </w:tc>
      </w:tr>
      <w:tr>
        <w:trPr>
          <w:trHeight w:val="27"/>
        </w:trPr>
        <w:tc>
          <w:tcPr>
            <w:tcW w:w="8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5"/>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16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293.1</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262.6</w:t>
            </w:r>
          </w:p>
        </w:tc>
      </w:tr>
      <w:tr>
        <w:trPr>
          <w:trHeight w:val="237"/>
        </w:trPr>
        <w:tc>
          <w:tcPr>
            <w:tcW w:w="822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Liabilities</w:t>
            </w:r>
          </w:p>
        </w:tc>
        <w:tc>
          <w:tcPr>
            <w:tcW w:w="166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3,068.0</w:t>
            </w:r>
          </w:p>
        </w:tc>
        <w:tc>
          <w:tcPr>
            <w:tcW w:w="1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3,009.2</w:t>
            </w:r>
          </w:p>
        </w:tc>
      </w:tr>
      <w:tr>
        <w:trPr>
          <w:trHeight w:val="27"/>
        </w:trPr>
        <w:tc>
          <w:tcPr>
            <w:tcW w:w="8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Commitments, Guarantees and Contingencies (Note 7)</w:t>
            </w:r>
          </w:p>
        </w:tc>
        <w:tc>
          <w:tcPr>
            <w:tcW w:w="16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r>
      <w:tr>
        <w:trPr>
          <w:trHeight w:val="237"/>
        </w:trPr>
        <w:tc>
          <w:tcPr>
            <w:tcW w:w="82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Shareholders’ Equity</w:t>
            </w:r>
          </w:p>
        </w:tc>
        <w:tc>
          <w:tcPr>
            <w:tcW w:w="16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r>
      <w:tr>
        <w:trPr>
          <w:trHeight w:val="27"/>
        </w:trPr>
        <w:tc>
          <w:tcPr>
            <w:tcW w:w="8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3"/>
              </w:rPr>
              <w:t>Common Stock Without Par Value, 80.0 Shares Authorized, 51.7 and 51.5 Shares Issued and Outstanding</w:t>
            </w:r>
          </w:p>
        </w:tc>
        <w:tc>
          <w:tcPr>
            <w:tcW w:w="16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1,435.1</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1,428.5</w:t>
            </w:r>
          </w:p>
        </w:tc>
      </w:tr>
      <w:tr>
        <w:trPr>
          <w:trHeight w:val="243"/>
        </w:trPr>
        <w:tc>
          <w:tcPr>
            <w:tcW w:w="8220" w:type="dxa"/>
            <w:vAlign w:val="bottom"/>
          </w:tcPr>
          <w:p>
            <w:pPr>
              <w:ind w:left="280"/>
              <w:spacing w:after="0"/>
              <w:rPr>
                <w:sz w:val="20"/>
                <w:szCs w:val="20"/>
                <w:color w:val="auto"/>
              </w:rPr>
            </w:pPr>
            <w:r>
              <w:rPr>
                <w:rFonts w:ascii="Arial" w:cs="Arial" w:eastAsia="Arial" w:hAnsi="Arial"/>
                <w:sz w:val="18"/>
                <w:szCs w:val="18"/>
                <w:color w:val="auto"/>
              </w:rPr>
              <w:t>Accumulated Other Comprehensive Loss</w:t>
            </w:r>
          </w:p>
        </w:tc>
        <w:tc>
          <w:tcPr>
            <w:tcW w:w="1660" w:type="dxa"/>
            <w:vAlign w:val="bottom"/>
          </w:tcPr>
          <w:p>
            <w:pPr>
              <w:jc w:val="right"/>
              <w:ind w:right="170"/>
              <w:spacing w:after="0"/>
              <w:rPr>
                <w:sz w:val="20"/>
                <w:szCs w:val="20"/>
                <w:color w:val="auto"/>
              </w:rPr>
            </w:pPr>
            <w:r>
              <w:rPr>
                <w:rFonts w:ascii="Arial" w:cs="Arial" w:eastAsia="Arial" w:hAnsi="Arial"/>
                <w:sz w:val="18"/>
                <w:szCs w:val="18"/>
                <w:color w:val="auto"/>
              </w:rPr>
              <w:t>(26.8)</w:t>
            </w:r>
          </w:p>
        </w:tc>
        <w:tc>
          <w:tcPr>
            <w:tcW w:w="1480" w:type="dxa"/>
            <w:vAlign w:val="bottom"/>
          </w:tcPr>
          <w:p>
            <w:pPr>
              <w:jc w:val="right"/>
              <w:spacing w:after="0"/>
              <w:rPr>
                <w:sz w:val="20"/>
                <w:szCs w:val="20"/>
                <w:color w:val="auto"/>
              </w:rPr>
            </w:pPr>
            <w:r>
              <w:rPr>
                <w:rFonts w:ascii="Arial" w:cs="Arial" w:eastAsia="Arial" w:hAnsi="Arial"/>
                <w:sz w:val="18"/>
                <w:szCs w:val="18"/>
                <w:color w:val="auto"/>
              </w:rPr>
              <w:t>(27.3)</w:t>
            </w:r>
          </w:p>
        </w:tc>
      </w:tr>
      <w:tr>
        <w:trPr>
          <w:trHeight w:val="27"/>
        </w:trPr>
        <w:tc>
          <w:tcPr>
            <w:tcW w:w="8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5"/>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Retained Earnings</w:t>
            </w:r>
          </w:p>
        </w:tc>
        <w:tc>
          <w:tcPr>
            <w:tcW w:w="16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799.5</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754.6</w:t>
            </w:r>
          </w:p>
        </w:tc>
      </w:tr>
      <w:tr>
        <w:trPr>
          <w:trHeight w:val="237"/>
        </w:trPr>
        <w:tc>
          <w:tcPr>
            <w:tcW w:w="822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Shareholders’ Equity</w:t>
            </w:r>
          </w:p>
        </w:tc>
        <w:tc>
          <w:tcPr>
            <w:tcW w:w="166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2,207.8</w:t>
            </w:r>
          </w:p>
        </w:tc>
        <w:tc>
          <w:tcPr>
            <w:tcW w:w="1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2,155.8</w:t>
            </w:r>
          </w:p>
        </w:tc>
      </w:tr>
      <w:tr>
        <w:trPr>
          <w:trHeight w:val="27"/>
        </w:trPr>
        <w:tc>
          <w:tcPr>
            <w:tcW w:w="8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Shareholders’ Equity</w:t>
            </w:r>
          </w:p>
        </w:tc>
        <w:tc>
          <w:tcPr>
            <w:tcW w:w="16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$5,275.8</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$5,165.0</w:t>
            </w:r>
          </w:p>
        </w:tc>
      </w:tr>
      <w:tr>
        <w:trPr>
          <w:trHeight w:val="264"/>
        </w:trPr>
        <w:tc>
          <w:tcPr>
            <w:tcW w:w="8220" w:type="dxa"/>
            <w:vAlign w:val="bottom"/>
            <w:tcBorders>
              <w:top w:val="single" w:sz="8" w:color="auto"/>
            </w:tcBorders>
          </w:tcPr>
          <w:p>
            <w:pPr>
              <w:jc w:val="center"/>
              <w:ind w:left="3110"/>
              <w:spacing w:after="0"/>
              <w:rPr>
                <w:sz w:val="20"/>
                <w:szCs w:val="20"/>
                <w:color w:val="auto"/>
              </w:rPr>
            </w:pPr>
            <w:r>
              <w:rPr>
                <w:rFonts w:ascii="Arial" w:cs="Arial" w:eastAsia="Arial" w:hAnsi="Arial"/>
                <w:sz w:val="18"/>
                <w:szCs w:val="18"/>
                <w:color w:val="auto"/>
                <w:w w:val="88"/>
              </w:rPr>
              <w:t>The accompanying notes are an integral part of these statements.</w:t>
            </w:r>
          </w:p>
        </w:tc>
        <w:tc>
          <w:tcPr>
            <w:tcW w:w="1660" w:type="dxa"/>
            <w:vAlign w:val="bottom"/>
            <w:tcBorders>
              <w:top w:val="single" w:sz="8" w:color="auto"/>
            </w:tcBorders>
          </w:tcPr>
          <w:p>
            <w:pPr>
              <w:spacing w:after="0"/>
              <w:rPr>
                <w:sz w:val="22"/>
                <w:szCs w:val="22"/>
                <w:color w:val="auto"/>
              </w:rPr>
            </w:pPr>
          </w:p>
        </w:tc>
        <w:tc>
          <w:tcPr>
            <w:tcW w:w="1480" w:type="dxa"/>
            <w:vAlign w:val="bottom"/>
            <w:tcBorders>
              <w:top w:val="single" w:sz="8" w:color="auto"/>
            </w:tcBorders>
          </w:tcPr>
          <w:p>
            <w:pPr>
              <w:spacing w:after="0"/>
              <w:rPr>
                <w:sz w:val="22"/>
                <w:szCs w:val="22"/>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2019 Form 10-Q</w:t>
      </w:r>
    </w:p>
    <w:p>
      <w:pPr>
        <w:sectPr>
          <w:pgSz w:w="11900" w:h="16838" w:orient="portrait"/>
          <w:cols w:equalWidth="0" w:num="1">
            <w:col w:w="11420"/>
          </w:cols>
          <w:pgMar w:left="240" w:top="1040" w:right="239" w:bottom="1440" w:gutter="0" w:footer="0" w:header="0"/>
        </w:sectPr>
      </w:pPr>
    </w:p>
    <w:p>
      <w:pPr>
        <w:spacing w:after="0" w:line="13"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20"/>
          </w:cols>
          <w:pgMar w:left="240" w:top="1040" w:right="2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ALLETE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p>
        </w:tc>
        <w:tc>
          <w:tcPr>
            <w:tcW w:w="3780" w:type="dxa"/>
            <w:vAlign w:val="bottom"/>
            <w:gridSpan w:val="2"/>
          </w:tcPr>
          <w:p>
            <w:pPr>
              <w:jc w:val="right"/>
              <w:ind w:right="450"/>
              <w:spacing w:after="0"/>
              <w:rPr>
                <w:sz w:val="20"/>
                <w:szCs w:val="20"/>
                <w:color w:val="auto"/>
              </w:rPr>
            </w:pPr>
            <w:r>
              <w:rPr>
                <w:rFonts w:ascii="Arial" w:cs="Arial" w:eastAsia="Arial" w:hAnsi="Arial"/>
                <w:sz w:val="18"/>
                <w:szCs w:val="18"/>
                <w:b w:val="1"/>
                <w:bCs w:val="1"/>
                <w:color w:val="auto"/>
              </w:rPr>
              <w:t>Quarter Ended</w:t>
            </w:r>
          </w:p>
        </w:tc>
        <w:tc>
          <w:tcPr>
            <w:tcW w:w="204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Nine Months Ended</w:t>
            </w:r>
          </w:p>
        </w:tc>
      </w:tr>
      <w:tr>
        <w:trPr>
          <w:trHeight w:val="270"/>
        </w:trPr>
        <w:tc>
          <w:tcPr>
            <w:tcW w:w="5600" w:type="dxa"/>
            <w:vAlign w:val="bottom"/>
          </w:tcPr>
          <w:p>
            <w:pPr>
              <w:spacing w:after="0"/>
              <w:rPr>
                <w:sz w:val="23"/>
                <w:szCs w:val="23"/>
                <w:color w:val="auto"/>
              </w:rPr>
            </w:pPr>
          </w:p>
        </w:tc>
        <w:tc>
          <w:tcPr>
            <w:tcW w:w="3780" w:type="dxa"/>
            <w:vAlign w:val="bottom"/>
            <w:gridSpan w:val="2"/>
          </w:tcPr>
          <w:p>
            <w:pPr>
              <w:jc w:val="right"/>
              <w:ind w:right="490"/>
              <w:spacing w:after="0"/>
              <w:rPr>
                <w:sz w:val="20"/>
                <w:szCs w:val="20"/>
                <w:color w:val="auto"/>
              </w:rPr>
            </w:pPr>
            <w:r>
              <w:rPr>
                <w:rFonts w:ascii="Arial" w:cs="Arial" w:eastAsia="Arial" w:hAnsi="Arial"/>
                <w:sz w:val="18"/>
                <w:szCs w:val="18"/>
                <w:b w:val="1"/>
                <w:bCs w:val="1"/>
                <w:color w:val="auto"/>
              </w:rPr>
              <w:t>September 30,</w:t>
            </w:r>
          </w:p>
        </w:tc>
        <w:tc>
          <w:tcPr>
            <w:tcW w:w="204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September 30,</w:t>
            </w:r>
          </w:p>
        </w:tc>
      </w:tr>
      <w:tr>
        <w:trPr>
          <w:trHeight w:val="270"/>
        </w:trPr>
        <w:tc>
          <w:tcPr>
            <w:tcW w:w="5600" w:type="dxa"/>
            <w:vAlign w:val="bottom"/>
          </w:tcPr>
          <w:p>
            <w:pPr>
              <w:spacing w:after="0"/>
              <w:rPr>
                <w:sz w:val="23"/>
                <w:szCs w:val="23"/>
                <w:color w:val="auto"/>
              </w:rPr>
            </w:pPr>
          </w:p>
        </w:tc>
        <w:tc>
          <w:tcPr>
            <w:tcW w:w="276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11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8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2018</w:t>
            </w:r>
          </w:p>
        </w:tc>
      </w:tr>
      <w:tr>
        <w:trPr>
          <w:trHeight w:val="27"/>
        </w:trPr>
        <w:tc>
          <w:tcPr>
            <w:tcW w:w="560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600" w:type="dxa"/>
            <w:vAlign w:val="bottom"/>
          </w:tcPr>
          <w:p>
            <w:pPr>
              <w:ind w:left="40"/>
              <w:spacing w:after="0"/>
              <w:rPr>
                <w:sz w:val="20"/>
                <w:szCs w:val="20"/>
                <w:color w:val="auto"/>
              </w:rPr>
            </w:pPr>
            <w:r>
              <w:rPr>
                <w:rFonts w:ascii="Arial" w:cs="Arial" w:eastAsia="Arial" w:hAnsi="Arial"/>
                <w:sz w:val="18"/>
                <w:szCs w:val="18"/>
                <w:b w:val="1"/>
                <w:bCs w:val="1"/>
                <w:color w:val="auto"/>
              </w:rPr>
              <w:t>Millions Except Per Share Amounts</w:t>
            </w:r>
          </w:p>
        </w:tc>
        <w:tc>
          <w:tcPr>
            <w:tcW w:w="27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56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w:t>
            </w:r>
          </w:p>
        </w:tc>
        <w:tc>
          <w:tcPr>
            <w:tcW w:w="27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600" w:type="dxa"/>
            <w:vAlign w:val="bottom"/>
          </w:tcPr>
          <w:p>
            <w:pPr>
              <w:ind w:left="380"/>
              <w:spacing w:after="0"/>
              <w:rPr>
                <w:sz w:val="20"/>
                <w:szCs w:val="20"/>
                <w:color w:val="auto"/>
              </w:rPr>
            </w:pPr>
            <w:r>
              <w:rPr>
                <w:rFonts w:ascii="Arial" w:cs="Arial" w:eastAsia="Arial" w:hAnsi="Arial"/>
                <w:sz w:val="18"/>
                <w:szCs w:val="18"/>
                <w:color w:val="auto"/>
              </w:rPr>
              <w:t>Contracts with Customers – Utility</w:t>
            </w:r>
          </w:p>
        </w:tc>
        <w:tc>
          <w:tcPr>
            <w:tcW w:w="2760" w:type="dxa"/>
            <w:vAlign w:val="bottom"/>
          </w:tcPr>
          <w:p>
            <w:pPr>
              <w:jc w:val="right"/>
              <w:ind w:right="150"/>
              <w:spacing w:after="0"/>
              <w:rPr>
                <w:sz w:val="20"/>
                <w:szCs w:val="20"/>
                <w:color w:val="auto"/>
              </w:rPr>
            </w:pPr>
            <w:r>
              <w:rPr>
                <w:rFonts w:ascii="Arial" w:cs="Arial" w:eastAsia="Arial" w:hAnsi="Arial"/>
                <w:sz w:val="18"/>
                <w:szCs w:val="18"/>
                <w:color w:val="auto"/>
              </w:rPr>
              <w:t>$254.1</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$261.3</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$786.1</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$789.3</w:t>
            </w:r>
          </w:p>
        </w:tc>
      </w:tr>
      <w:tr>
        <w:trPr>
          <w:trHeight w:val="27"/>
        </w:trPr>
        <w:tc>
          <w:tcPr>
            <w:tcW w:w="56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Contracts with Customers – Non-utility</w:t>
            </w:r>
          </w:p>
        </w:tc>
        <w:tc>
          <w:tcPr>
            <w:tcW w:w="27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31.3</w:t>
            </w:r>
          </w:p>
        </w:tc>
        <w:tc>
          <w:tcPr>
            <w:tcW w:w="10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80.7</w:t>
            </w: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141.1</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243.1</w:t>
            </w:r>
          </w:p>
        </w:tc>
      </w:tr>
      <w:tr>
        <w:trPr>
          <w:trHeight w:val="243"/>
        </w:trPr>
        <w:tc>
          <w:tcPr>
            <w:tcW w:w="5600" w:type="dxa"/>
            <w:vAlign w:val="bottom"/>
          </w:tcPr>
          <w:p>
            <w:pPr>
              <w:ind w:left="380"/>
              <w:spacing w:after="0"/>
              <w:rPr>
                <w:sz w:val="20"/>
                <w:szCs w:val="20"/>
                <w:color w:val="auto"/>
              </w:rPr>
            </w:pPr>
            <w:r>
              <w:rPr>
                <w:rFonts w:ascii="Arial" w:cs="Arial" w:eastAsia="Arial" w:hAnsi="Arial"/>
                <w:sz w:val="18"/>
                <w:szCs w:val="18"/>
                <w:color w:val="auto"/>
              </w:rPr>
              <w:t>Other – Non-utility</w:t>
            </w:r>
          </w:p>
        </w:tc>
        <w:tc>
          <w:tcPr>
            <w:tcW w:w="2760" w:type="dxa"/>
            <w:vAlign w:val="bottom"/>
          </w:tcPr>
          <w:p>
            <w:pPr>
              <w:jc w:val="right"/>
              <w:ind w:right="150"/>
              <w:spacing w:after="0"/>
              <w:rPr>
                <w:sz w:val="20"/>
                <w:szCs w:val="20"/>
                <w:color w:val="auto"/>
              </w:rPr>
            </w:pPr>
            <w:r>
              <w:rPr>
                <w:rFonts w:ascii="Arial" w:cs="Arial" w:eastAsia="Arial" w:hAnsi="Arial"/>
                <w:sz w:val="18"/>
                <w:szCs w:val="18"/>
                <w:color w:val="auto"/>
              </w:rPr>
              <w:t>2.9</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6.0</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8.7</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17.9</w:t>
            </w:r>
          </w:p>
        </w:tc>
      </w:tr>
      <w:tr>
        <w:trPr>
          <w:trHeight w:val="27"/>
        </w:trPr>
        <w:tc>
          <w:tcPr>
            <w:tcW w:w="560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56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Operating Revenue</w:t>
            </w:r>
          </w:p>
        </w:tc>
        <w:tc>
          <w:tcPr>
            <w:tcW w:w="27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288.3</w:t>
            </w:r>
          </w:p>
        </w:tc>
        <w:tc>
          <w:tcPr>
            <w:tcW w:w="10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348.0</w:t>
            </w: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935.9</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1,050.3</w:t>
            </w:r>
          </w:p>
        </w:tc>
      </w:tr>
      <w:tr>
        <w:trPr>
          <w:trHeight w:val="237"/>
        </w:trPr>
        <w:tc>
          <w:tcPr>
            <w:tcW w:w="56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7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r>
      <w:tr>
        <w:trPr>
          <w:trHeight w:val="27"/>
        </w:trPr>
        <w:tc>
          <w:tcPr>
            <w:tcW w:w="56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Fuel, Purchased Power and Gas – Utility</w:t>
            </w:r>
          </w:p>
        </w:tc>
        <w:tc>
          <w:tcPr>
            <w:tcW w:w="27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98.2</w:t>
            </w:r>
          </w:p>
        </w:tc>
        <w:tc>
          <w:tcPr>
            <w:tcW w:w="10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103.2</w:t>
            </w: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295.9</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300.6</w:t>
            </w:r>
          </w:p>
        </w:tc>
      </w:tr>
      <w:tr>
        <w:trPr>
          <w:trHeight w:val="243"/>
        </w:trPr>
        <w:tc>
          <w:tcPr>
            <w:tcW w:w="5600" w:type="dxa"/>
            <w:vAlign w:val="bottom"/>
          </w:tcPr>
          <w:p>
            <w:pPr>
              <w:ind w:left="380"/>
              <w:spacing w:after="0"/>
              <w:rPr>
                <w:sz w:val="20"/>
                <w:szCs w:val="20"/>
                <w:color w:val="auto"/>
              </w:rPr>
            </w:pPr>
            <w:r>
              <w:rPr>
                <w:rFonts w:ascii="Arial" w:cs="Arial" w:eastAsia="Arial" w:hAnsi="Arial"/>
                <w:sz w:val="18"/>
                <w:szCs w:val="18"/>
                <w:color w:val="auto"/>
              </w:rPr>
              <w:t>Transmission Services – Utility</w:t>
            </w:r>
          </w:p>
        </w:tc>
        <w:tc>
          <w:tcPr>
            <w:tcW w:w="2760" w:type="dxa"/>
            <w:vAlign w:val="bottom"/>
          </w:tcPr>
          <w:p>
            <w:pPr>
              <w:jc w:val="right"/>
              <w:ind w:right="150"/>
              <w:spacing w:after="0"/>
              <w:rPr>
                <w:sz w:val="20"/>
                <w:szCs w:val="20"/>
                <w:color w:val="auto"/>
              </w:rPr>
            </w:pPr>
            <w:r>
              <w:rPr>
                <w:rFonts w:ascii="Arial" w:cs="Arial" w:eastAsia="Arial" w:hAnsi="Arial"/>
                <w:sz w:val="18"/>
                <w:szCs w:val="18"/>
                <w:color w:val="auto"/>
              </w:rPr>
              <w:t>18.3</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17.9</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55.8</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53.1</w:t>
            </w:r>
          </w:p>
        </w:tc>
      </w:tr>
      <w:tr>
        <w:trPr>
          <w:trHeight w:val="27"/>
        </w:trPr>
        <w:tc>
          <w:tcPr>
            <w:tcW w:w="56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Sales – Non-utility</w:t>
            </w:r>
          </w:p>
        </w:tc>
        <w:tc>
          <w:tcPr>
            <w:tcW w:w="27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14.7</w:t>
            </w:r>
          </w:p>
        </w:tc>
        <w:tc>
          <w:tcPr>
            <w:tcW w:w="10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38.7</w:t>
            </w: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61.8</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108.6</w:t>
            </w:r>
          </w:p>
        </w:tc>
      </w:tr>
      <w:tr>
        <w:trPr>
          <w:trHeight w:val="243"/>
        </w:trPr>
        <w:tc>
          <w:tcPr>
            <w:tcW w:w="5600" w:type="dxa"/>
            <w:vAlign w:val="bottom"/>
          </w:tcPr>
          <w:p>
            <w:pPr>
              <w:ind w:left="380"/>
              <w:spacing w:after="0"/>
              <w:rPr>
                <w:sz w:val="20"/>
                <w:szCs w:val="20"/>
                <w:color w:val="auto"/>
              </w:rPr>
            </w:pPr>
            <w:r>
              <w:rPr>
                <w:rFonts w:ascii="Arial" w:cs="Arial" w:eastAsia="Arial" w:hAnsi="Arial"/>
                <w:sz w:val="18"/>
                <w:szCs w:val="18"/>
                <w:color w:val="auto"/>
              </w:rPr>
              <w:t>Operating and Maintenance</w:t>
            </w:r>
          </w:p>
        </w:tc>
        <w:tc>
          <w:tcPr>
            <w:tcW w:w="2760" w:type="dxa"/>
            <w:vAlign w:val="bottom"/>
          </w:tcPr>
          <w:p>
            <w:pPr>
              <w:jc w:val="right"/>
              <w:ind w:right="150"/>
              <w:spacing w:after="0"/>
              <w:rPr>
                <w:sz w:val="20"/>
                <w:szCs w:val="20"/>
                <w:color w:val="auto"/>
              </w:rPr>
            </w:pPr>
            <w:r>
              <w:rPr>
                <w:rFonts w:ascii="Arial" w:cs="Arial" w:eastAsia="Arial" w:hAnsi="Arial"/>
                <w:sz w:val="18"/>
                <w:szCs w:val="18"/>
                <w:color w:val="auto"/>
              </w:rPr>
              <w:t>58.1</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80.3</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201.0</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253.6</w:t>
            </w:r>
          </w:p>
        </w:tc>
      </w:tr>
      <w:tr>
        <w:trPr>
          <w:trHeight w:val="27"/>
        </w:trPr>
        <w:tc>
          <w:tcPr>
            <w:tcW w:w="56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7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49.5</w:t>
            </w:r>
          </w:p>
        </w:tc>
        <w:tc>
          <w:tcPr>
            <w:tcW w:w="10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51.5</w:t>
            </w: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151.6</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153.4</w:t>
            </w:r>
          </w:p>
        </w:tc>
      </w:tr>
      <w:tr>
        <w:trPr>
          <w:trHeight w:val="243"/>
        </w:trPr>
        <w:tc>
          <w:tcPr>
            <w:tcW w:w="5600" w:type="dxa"/>
            <w:vAlign w:val="bottom"/>
          </w:tcPr>
          <w:p>
            <w:pPr>
              <w:ind w:left="380"/>
              <w:spacing w:after="0"/>
              <w:rPr>
                <w:sz w:val="20"/>
                <w:szCs w:val="20"/>
                <w:color w:val="auto"/>
              </w:rPr>
            </w:pPr>
            <w:r>
              <w:rPr>
                <w:rFonts w:ascii="Arial" w:cs="Arial" w:eastAsia="Arial" w:hAnsi="Arial"/>
                <w:sz w:val="18"/>
                <w:szCs w:val="18"/>
                <w:color w:val="auto"/>
              </w:rPr>
              <w:t>Taxes Other than Income Taxes</w:t>
            </w:r>
          </w:p>
        </w:tc>
        <w:tc>
          <w:tcPr>
            <w:tcW w:w="2760" w:type="dxa"/>
            <w:vAlign w:val="bottom"/>
          </w:tcPr>
          <w:p>
            <w:pPr>
              <w:jc w:val="right"/>
              <w:ind w:right="150"/>
              <w:spacing w:after="0"/>
              <w:rPr>
                <w:sz w:val="20"/>
                <w:szCs w:val="20"/>
                <w:color w:val="auto"/>
              </w:rPr>
            </w:pPr>
            <w:r>
              <w:rPr>
                <w:rFonts w:ascii="Arial" w:cs="Arial" w:eastAsia="Arial" w:hAnsi="Arial"/>
                <w:sz w:val="18"/>
                <w:szCs w:val="18"/>
                <w:color w:val="auto"/>
              </w:rPr>
              <w:t>12.5</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13.1</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39.8</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43.8</w:t>
            </w:r>
          </w:p>
        </w:tc>
      </w:tr>
      <w:tr>
        <w:trPr>
          <w:trHeight w:val="27"/>
        </w:trPr>
        <w:tc>
          <w:tcPr>
            <w:tcW w:w="560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56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Operating Expenses</w:t>
            </w:r>
          </w:p>
        </w:tc>
        <w:tc>
          <w:tcPr>
            <w:tcW w:w="27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251.3</w:t>
            </w:r>
          </w:p>
        </w:tc>
        <w:tc>
          <w:tcPr>
            <w:tcW w:w="10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304.7</w:t>
            </w: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805.9</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913.1</w:t>
            </w:r>
          </w:p>
        </w:tc>
      </w:tr>
      <w:tr>
        <w:trPr>
          <w:trHeight w:val="237"/>
        </w:trPr>
        <w:tc>
          <w:tcPr>
            <w:tcW w:w="56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Operating Income</w:t>
            </w:r>
          </w:p>
        </w:tc>
        <w:tc>
          <w:tcPr>
            <w:tcW w:w="27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37.0</w:t>
            </w:r>
          </w:p>
        </w:tc>
        <w:tc>
          <w:tcPr>
            <w:tcW w:w="10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43.3</w:t>
            </w:r>
          </w:p>
        </w:tc>
        <w:tc>
          <w:tcPr>
            <w:tcW w:w="11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130.0</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137.2</w:t>
            </w:r>
          </w:p>
        </w:tc>
      </w:tr>
      <w:tr>
        <w:trPr>
          <w:trHeight w:val="27"/>
        </w:trPr>
        <w:tc>
          <w:tcPr>
            <w:tcW w:w="560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7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60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2760" w:type="dxa"/>
            <w:vAlign w:val="bottom"/>
          </w:tcPr>
          <w:p>
            <w:pPr>
              <w:jc w:val="right"/>
              <w:ind w:right="90"/>
              <w:spacing w:after="0"/>
              <w:rPr>
                <w:sz w:val="20"/>
                <w:szCs w:val="20"/>
                <w:color w:val="auto"/>
              </w:rPr>
            </w:pPr>
            <w:r>
              <w:rPr>
                <w:rFonts w:ascii="Arial" w:cs="Arial" w:eastAsia="Arial" w:hAnsi="Arial"/>
                <w:sz w:val="18"/>
                <w:szCs w:val="18"/>
                <w:color w:val="auto"/>
              </w:rPr>
              <w:t>(16.1)</w:t>
            </w: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(17.6)</w:t>
            </w: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(48.9)</w:t>
            </w:r>
          </w:p>
        </w:tc>
        <w:tc>
          <w:tcPr>
            <w:tcW w:w="880" w:type="dxa"/>
            <w:vAlign w:val="bottom"/>
          </w:tcPr>
          <w:p>
            <w:pPr>
              <w:jc w:val="right"/>
              <w:spacing w:after="0"/>
              <w:rPr>
                <w:sz w:val="20"/>
                <w:szCs w:val="20"/>
                <w:color w:val="auto"/>
              </w:rPr>
            </w:pPr>
            <w:r>
              <w:rPr>
                <w:rFonts w:ascii="Arial" w:cs="Arial" w:eastAsia="Arial" w:hAnsi="Arial"/>
                <w:sz w:val="18"/>
                <w:szCs w:val="18"/>
                <w:color w:val="auto"/>
              </w:rPr>
              <w:t>(51.6)</w:t>
            </w:r>
          </w:p>
        </w:tc>
      </w:tr>
      <w:tr>
        <w:trPr>
          <w:trHeight w:val="27"/>
        </w:trPr>
        <w:tc>
          <w:tcPr>
            <w:tcW w:w="56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Earnings</w:t>
            </w:r>
          </w:p>
        </w:tc>
        <w:tc>
          <w:tcPr>
            <w:tcW w:w="27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4.9</w:t>
            </w:r>
          </w:p>
        </w:tc>
        <w:tc>
          <w:tcPr>
            <w:tcW w:w="10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4.0</w:t>
            </w: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15.3</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w:t>
            </w:r>
          </w:p>
        </w:tc>
      </w:tr>
      <w:tr>
        <w:trPr>
          <w:trHeight w:val="243"/>
        </w:trPr>
        <w:tc>
          <w:tcPr>
            <w:tcW w:w="5600" w:type="dxa"/>
            <w:vAlign w:val="bottom"/>
          </w:tcPr>
          <w:p>
            <w:pPr>
              <w:ind w:left="380"/>
              <w:spacing w:after="0"/>
              <w:rPr>
                <w:sz w:val="20"/>
                <w:szCs w:val="20"/>
                <w:color w:val="auto"/>
              </w:rPr>
            </w:pPr>
            <w:r>
              <w:rPr>
                <w:rFonts w:ascii="Arial" w:cs="Arial" w:eastAsia="Arial" w:hAnsi="Arial"/>
                <w:sz w:val="18"/>
                <w:szCs w:val="18"/>
                <w:color w:val="auto"/>
              </w:rPr>
              <w:t>Gain on Sale of U.S. Water Services</w:t>
            </w:r>
          </w:p>
        </w:tc>
        <w:tc>
          <w:tcPr>
            <w:tcW w:w="27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20.6</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6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5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27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3.0</w:t>
            </w:r>
          </w:p>
        </w:tc>
        <w:tc>
          <w:tcPr>
            <w:tcW w:w="10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1.4</w:t>
            </w: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14.6</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w:t>
            </w:r>
          </w:p>
        </w:tc>
      </w:tr>
      <w:tr>
        <w:trPr>
          <w:trHeight w:val="237"/>
        </w:trPr>
        <w:tc>
          <w:tcPr>
            <w:tcW w:w="5600" w:type="dxa"/>
            <w:vAlign w:val="bottom"/>
            <w:tcBorders>
              <w:top w:val="single" w:sz="8" w:color="auto"/>
            </w:tcBorders>
          </w:tcPr>
          <w:p>
            <w:pPr>
              <w:ind w:left="600"/>
              <w:spacing w:after="0"/>
              <w:rPr>
                <w:sz w:val="20"/>
                <w:szCs w:val="20"/>
                <w:color w:val="auto"/>
              </w:rPr>
            </w:pPr>
            <w:r>
              <w:rPr>
                <w:rFonts w:ascii="Arial" w:cs="Arial" w:eastAsia="Arial" w:hAnsi="Arial"/>
                <w:sz w:val="18"/>
                <w:szCs w:val="18"/>
                <w:color w:val="auto"/>
              </w:rPr>
              <w:t>Total Other Income (Expense)</w:t>
            </w:r>
          </w:p>
        </w:tc>
        <w:tc>
          <w:tcPr>
            <w:tcW w:w="27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(8.2)</w:t>
            </w:r>
          </w:p>
        </w:tc>
        <w:tc>
          <w:tcPr>
            <w:tcW w:w="10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(12.2)</w:t>
            </w:r>
          </w:p>
        </w:tc>
        <w:tc>
          <w:tcPr>
            <w:tcW w:w="11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1.6</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(32.9)</w:t>
            </w:r>
          </w:p>
        </w:tc>
      </w:tr>
      <w:tr>
        <w:trPr>
          <w:trHeight w:val="27"/>
        </w:trPr>
        <w:tc>
          <w:tcPr>
            <w:tcW w:w="560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7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28.8</w:t>
            </w:r>
          </w:p>
        </w:tc>
        <w:tc>
          <w:tcPr>
            <w:tcW w:w="10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31.1</w:t>
            </w: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131.6</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104.3</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b w:val="1"/>
                <w:bCs w:val="1"/>
                <w:color w:val="auto"/>
              </w:rPr>
              <w:t>Income Tax Expense (Benefit)</w:t>
            </w:r>
          </w:p>
        </w:tc>
        <w:tc>
          <w:tcPr>
            <w:tcW w:w="2760" w:type="dxa"/>
            <w:vAlign w:val="bottom"/>
          </w:tcPr>
          <w:p>
            <w:pPr>
              <w:jc w:val="right"/>
              <w:ind w:right="90"/>
              <w:spacing w:after="0"/>
              <w:rPr>
                <w:sz w:val="20"/>
                <w:szCs w:val="20"/>
                <w:color w:val="auto"/>
              </w:rPr>
            </w:pPr>
            <w:r>
              <w:rPr>
                <w:rFonts w:ascii="Arial" w:cs="Arial" w:eastAsia="Arial" w:hAnsi="Arial"/>
                <w:sz w:val="18"/>
                <w:szCs w:val="18"/>
                <w:color w:val="auto"/>
              </w:rPr>
              <w:t>(2.4)</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0.4</w:t>
            </w: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(4.3)</w:t>
            </w:r>
          </w:p>
        </w:tc>
        <w:tc>
          <w:tcPr>
            <w:tcW w:w="88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7"/>
        </w:trPr>
        <w:tc>
          <w:tcPr>
            <w:tcW w:w="560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7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$31.2</w:t>
            </w:r>
          </w:p>
        </w:tc>
        <w:tc>
          <w:tcPr>
            <w:tcW w:w="10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$30.7</w:t>
            </w: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$135.9</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$113.0</w:t>
            </w:r>
          </w:p>
        </w:tc>
      </w:tr>
      <w:tr>
        <w:trPr>
          <w:trHeight w:val="237"/>
        </w:trPr>
        <w:tc>
          <w:tcPr>
            <w:tcW w:w="56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Average Shares of Common Stock</w:t>
            </w:r>
          </w:p>
        </w:tc>
        <w:tc>
          <w:tcPr>
            <w:tcW w:w="27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r>
      <w:tr>
        <w:trPr>
          <w:trHeight w:val="27"/>
        </w:trPr>
        <w:tc>
          <w:tcPr>
            <w:tcW w:w="56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7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51.7</w:t>
            </w:r>
          </w:p>
        </w:tc>
        <w:tc>
          <w:tcPr>
            <w:tcW w:w="10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51.4</w:t>
            </w: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51.6</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51.3</w:t>
            </w:r>
          </w:p>
        </w:tc>
      </w:tr>
      <w:tr>
        <w:trPr>
          <w:trHeight w:val="243"/>
        </w:trPr>
        <w:tc>
          <w:tcPr>
            <w:tcW w:w="5600" w:type="dxa"/>
            <w:vAlign w:val="bottom"/>
          </w:tcPr>
          <w:p>
            <w:pPr>
              <w:ind w:left="380"/>
              <w:spacing w:after="0"/>
              <w:rPr>
                <w:sz w:val="20"/>
                <w:szCs w:val="20"/>
                <w:color w:val="auto"/>
              </w:rPr>
            </w:pPr>
            <w:r>
              <w:rPr>
                <w:rFonts w:ascii="Arial" w:cs="Arial" w:eastAsia="Arial" w:hAnsi="Arial"/>
                <w:sz w:val="18"/>
                <w:szCs w:val="18"/>
                <w:color w:val="auto"/>
              </w:rPr>
              <w:t>Diluted</w:t>
            </w:r>
          </w:p>
        </w:tc>
        <w:tc>
          <w:tcPr>
            <w:tcW w:w="2760" w:type="dxa"/>
            <w:vAlign w:val="bottom"/>
          </w:tcPr>
          <w:p>
            <w:pPr>
              <w:jc w:val="right"/>
              <w:ind w:right="150"/>
              <w:spacing w:after="0"/>
              <w:rPr>
                <w:sz w:val="20"/>
                <w:szCs w:val="20"/>
                <w:color w:val="auto"/>
              </w:rPr>
            </w:pPr>
            <w:r>
              <w:rPr>
                <w:rFonts w:ascii="Arial" w:cs="Arial" w:eastAsia="Arial" w:hAnsi="Arial"/>
                <w:sz w:val="18"/>
                <w:szCs w:val="18"/>
                <w:color w:val="auto"/>
              </w:rPr>
              <w:t>51.8</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51.6</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51.7</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51.5</w:t>
            </w:r>
          </w:p>
        </w:tc>
      </w:tr>
      <w:tr>
        <w:trPr>
          <w:trHeight w:val="27"/>
        </w:trPr>
        <w:tc>
          <w:tcPr>
            <w:tcW w:w="560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Earnings Per Share of Common Stock</w:t>
            </w:r>
          </w:p>
        </w:tc>
        <w:tc>
          <w:tcPr>
            <w:tcW w:w="27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$0.60</w:t>
            </w:r>
          </w:p>
        </w:tc>
        <w:tc>
          <w:tcPr>
            <w:tcW w:w="10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$0.59</w:t>
            </w: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$2.63</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b w:val="1"/>
                <w:bCs w:val="1"/>
                <w:color w:val="auto"/>
              </w:rPr>
              <w:t>Diluted Earnings Per Share of Common Stock</w:t>
            </w:r>
          </w:p>
        </w:tc>
        <w:tc>
          <w:tcPr>
            <w:tcW w:w="2760" w:type="dxa"/>
            <w:vAlign w:val="bottom"/>
          </w:tcPr>
          <w:p>
            <w:pPr>
              <w:jc w:val="right"/>
              <w:ind w:right="150"/>
              <w:spacing w:after="0"/>
              <w:rPr>
                <w:sz w:val="20"/>
                <w:szCs w:val="20"/>
                <w:color w:val="auto"/>
              </w:rPr>
            </w:pPr>
            <w:r>
              <w:rPr>
                <w:rFonts w:ascii="Arial" w:cs="Arial" w:eastAsia="Arial" w:hAnsi="Arial"/>
                <w:sz w:val="18"/>
                <w:szCs w:val="18"/>
                <w:color w:val="auto"/>
              </w:rPr>
              <w:t>$0.60</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$0.59</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$2.63</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$2.19</w:t>
            </w:r>
          </w:p>
        </w:tc>
      </w:tr>
      <w:tr>
        <w:trPr>
          <w:trHeight w:val="27"/>
        </w:trPr>
        <w:tc>
          <w:tcPr>
            <w:tcW w:w="836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8360" w:type="dxa"/>
            <w:vAlign w:val="bottom"/>
            <w:gridSpan w:val="2"/>
          </w:tcPr>
          <w:p>
            <w:pPr>
              <w:ind w:left="3380"/>
              <w:spacing w:after="0"/>
              <w:rPr>
                <w:sz w:val="20"/>
                <w:szCs w:val="20"/>
                <w:color w:val="auto"/>
              </w:rPr>
            </w:pPr>
            <w:r>
              <w:rPr>
                <w:rFonts w:ascii="Arial" w:cs="Arial" w:eastAsia="Arial" w:hAnsi="Arial"/>
                <w:sz w:val="18"/>
                <w:szCs w:val="18"/>
                <w:color w:val="auto"/>
                <w:w w:val="94"/>
              </w:rPr>
              <w:t>The accompanying notes are an integral part of these statements.</w:t>
            </w:r>
          </w:p>
        </w:tc>
        <w:tc>
          <w:tcPr>
            <w:tcW w:w="10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80" w:type="dxa"/>
            <w:vAlign w:val="bottom"/>
          </w:tcPr>
          <w:p>
            <w:pPr>
              <w:spacing w:after="0"/>
              <w:rPr>
                <w:sz w:val="22"/>
                <w:szCs w:val="22"/>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2019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20"/>
          </w:cols>
          <w:pgMar w:left="240" w:top="1040"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ALLETE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3280" w:type="dxa"/>
            <w:vAlign w:val="bottom"/>
            <w:gridSpan w:val="2"/>
          </w:tcPr>
          <w:p>
            <w:pPr>
              <w:jc w:val="right"/>
              <w:ind w:right="570"/>
              <w:spacing w:after="0"/>
              <w:rPr>
                <w:sz w:val="20"/>
                <w:szCs w:val="20"/>
                <w:color w:val="auto"/>
              </w:rPr>
            </w:pPr>
            <w:r>
              <w:rPr>
                <w:rFonts w:ascii="Arial" w:cs="Arial" w:eastAsia="Arial" w:hAnsi="Arial"/>
                <w:sz w:val="18"/>
                <w:szCs w:val="18"/>
                <w:b w:val="1"/>
                <w:bCs w:val="1"/>
                <w:color w:val="auto"/>
              </w:rPr>
              <w:t>Quarter Ended</w:t>
            </w:r>
          </w:p>
        </w:tc>
        <w:tc>
          <w:tcPr>
            <w:tcW w:w="208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Nine Months Ended</w:t>
            </w:r>
          </w:p>
        </w:tc>
      </w:tr>
      <w:tr>
        <w:trPr>
          <w:trHeight w:val="270"/>
        </w:trPr>
        <w:tc>
          <w:tcPr>
            <w:tcW w:w="6060" w:type="dxa"/>
            <w:vAlign w:val="bottom"/>
          </w:tcPr>
          <w:p>
            <w:pPr>
              <w:spacing w:after="0"/>
              <w:rPr>
                <w:sz w:val="23"/>
                <w:szCs w:val="23"/>
                <w:color w:val="auto"/>
              </w:rPr>
            </w:pPr>
          </w:p>
        </w:tc>
        <w:tc>
          <w:tcPr>
            <w:tcW w:w="3280" w:type="dxa"/>
            <w:vAlign w:val="bottom"/>
            <w:gridSpan w:val="2"/>
          </w:tcPr>
          <w:p>
            <w:pPr>
              <w:jc w:val="right"/>
              <w:ind w:right="610"/>
              <w:spacing w:after="0"/>
              <w:rPr>
                <w:sz w:val="20"/>
                <w:szCs w:val="20"/>
                <w:color w:val="auto"/>
              </w:rPr>
            </w:pPr>
            <w:r>
              <w:rPr>
                <w:rFonts w:ascii="Arial" w:cs="Arial" w:eastAsia="Arial" w:hAnsi="Arial"/>
                <w:sz w:val="18"/>
                <w:szCs w:val="18"/>
                <w:b w:val="1"/>
                <w:bCs w:val="1"/>
                <w:color w:val="auto"/>
              </w:rPr>
              <w:t>September 30,</w:t>
            </w:r>
          </w:p>
        </w:tc>
        <w:tc>
          <w:tcPr>
            <w:tcW w:w="208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September 30,</w:t>
            </w:r>
          </w:p>
        </w:tc>
      </w:tr>
      <w:tr>
        <w:trPr>
          <w:trHeight w:val="270"/>
        </w:trPr>
        <w:tc>
          <w:tcPr>
            <w:tcW w:w="6060" w:type="dxa"/>
            <w:vAlign w:val="bottom"/>
          </w:tcPr>
          <w:p>
            <w:pPr>
              <w:spacing w:after="0"/>
              <w:rPr>
                <w:sz w:val="23"/>
                <w:szCs w:val="23"/>
                <w:color w:val="auto"/>
              </w:rPr>
            </w:pPr>
          </w:p>
        </w:tc>
        <w:tc>
          <w:tcPr>
            <w:tcW w:w="214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1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960" w:type="dxa"/>
            <w:vAlign w:val="bottom"/>
          </w:tcPr>
          <w:p>
            <w:pPr>
              <w:jc w:val="right"/>
              <w:ind w:right="230"/>
              <w:spacing w:after="0"/>
              <w:rPr>
                <w:sz w:val="20"/>
                <w:szCs w:val="20"/>
                <w:color w:val="auto"/>
              </w:rPr>
            </w:pPr>
            <w:r>
              <w:rPr>
                <w:rFonts w:ascii="Arial" w:cs="Arial" w:eastAsia="Arial" w:hAnsi="Arial"/>
                <w:sz w:val="18"/>
                <w:szCs w:val="18"/>
                <w:b w:val="1"/>
                <w:bCs w:val="1"/>
                <w:color w:val="auto"/>
              </w:rPr>
              <w:t>2018</w:t>
            </w:r>
          </w:p>
        </w:tc>
      </w:tr>
      <w:tr>
        <w:trPr>
          <w:trHeight w:val="27"/>
        </w:trPr>
        <w:tc>
          <w:tcPr>
            <w:tcW w:w="606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5"/>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1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$31.2</w:t>
            </w:r>
          </w:p>
        </w:tc>
        <w:tc>
          <w:tcPr>
            <w:tcW w:w="11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$30.7</w:t>
            </w:r>
          </w:p>
        </w:tc>
        <w:tc>
          <w:tcPr>
            <w:tcW w:w="11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$135.9</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$113.0</w:t>
            </w:r>
          </w:p>
        </w:tc>
      </w:tr>
      <w:tr>
        <w:trPr>
          <w:trHeight w:val="237"/>
        </w:trPr>
        <w:tc>
          <w:tcPr>
            <w:tcW w:w="60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Other Comprehensive Income (Loss)</w:t>
            </w:r>
          </w:p>
        </w:tc>
        <w:tc>
          <w:tcPr>
            <w:tcW w:w="21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 (Loss) on Securities</w:t>
            </w:r>
          </w:p>
        </w:tc>
        <w:tc>
          <w:tcPr>
            <w:tcW w:w="2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Net of Income Tax Expense of $–, $–, $0.1 and $–</w:t>
            </w:r>
          </w:p>
        </w:tc>
        <w:tc>
          <w:tcPr>
            <w:tcW w:w="21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0.2</w:t>
            </w:r>
          </w:p>
        </w:tc>
        <w:tc>
          <w:tcPr>
            <w:tcW w:w="96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60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Defined Benefit Pension and Other Postretirement Benefit Plans</w:t>
            </w:r>
          </w:p>
        </w:tc>
        <w:tc>
          <w:tcPr>
            <w:tcW w:w="2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Net of Income Tax Expense of $0.1, $0.1, $0.2 and $0.3</w:t>
            </w:r>
          </w:p>
        </w:tc>
        <w:tc>
          <w:tcPr>
            <w:tcW w:w="2140" w:type="dxa"/>
            <w:vAlign w:val="bottom"/>
          </w:tcPr>
          <w:p>
            <w:pPr>
              <w:jc w:val="right"/>
              <w:ind w:right="210"/>
              <w:spacing w:after="0"/>
              <w:rPr>
                <w:sz w:val="20"/>
                <w:szCs w:val="20"/>
                <w:color w:val="auto"/>
              </w:rPr>
            </w:pPr>
            <w:r>
              <w:rPr>
                <w:rFonts w:ascii="Arial" w:cs="Arial" w:eastAsia="Arial" w:hAnsi="Arial"/>
                <w:sz w:val="18"/>
                <w:szCs w:val="18"/>
                <w:color w:val="auto"/>
              </w:rPr>
              <w:t>0.1</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0.3</w:t>
            </w: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0.3</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7"/>
        </w:trPr>
        <w:tc>
          <w:tcPr>
            <w:tcW w:w="606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Other Comprehensive Income</w:t>
            </w:r>
          </w:p>
        </w:tc>
        <w:tc>
          <w:tcPr>
            <w:tcW w:w="21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0.1</w:t>
            </w:r>
          </w:p>
        </w:tc>
        <w:tc>
          <w:tcPr>
            <w:tcW w:w="11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0.3</w:t>
            </w:r>
          </w:p>
        </w:tc>
        <w:tc>
          <w:tcPr>
            <w:tcW w:w="11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0.5</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r>
      <w:tr>
        <w:trPr>
          <w:trHeight w:val="237"/>
        </w:trPr>
        <w:tc>
          <w:tcPr>
            <w:tcW w:w="60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Comprehensive Income</w:t>
            </w:r>
          </w:p>
        </w:tc>
        <w:tc>
          <w:tcPr>
            <w:tcW w:w="214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$31.3</w:t>
            </w:r>
          </w:p>
        </w:tc>
        <w:tc>
          <w:tcPr>
            <w:tcW w:w="11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$31.0</w:t>
            </w:r>
          </w:p>
        </w:tc>
        <w:tc>
          <w:tcPr>
            <w:tcW w:w="11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$136.4</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2019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20"/>
          </w:cols>
          <w:pgMar w:left="240" w:top="104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ALLETE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820" w:type="dxa"/>
            <w:vAlign w:val="bottom"/>
          </w:tcPr>
          <w:p>
            <w:pPr>
              <w:spacing w:after="0"/>
              <w:rPr>
                <w:sz w:val="19"/>
                <w:szCs w:val="19"/>
                <w:color w:val="auto"/>
              </w:rPr>
            </w:pPr>
          </w:p>
        </w:tc>
        <w:tc>
          <w:tcPr>
            <w:tcW w:w="2600" w:type="dxa"/>
            <w:vAlign w:val="bottom"/>
            <w:gridSpan w:val="2"/>
          </w:tcPr>
          <w:p>
            <w:pPr>
              <w:jc w:val="right"/>
              <w:ind w:right="255"/>
              <w:spacing w:after="0"/>
              <w:rPr>
                <w:sz w:val="20"/>
                <w:szCs w:val="20"/>
                <w:color w:val="auto"/>
              </w:rPr>
            </w:pPr>
            <w:r>
              <w:rPr>
                <w:rFonts w:ascii="Arial" w:cs="Arial" w:eastAsia="Arial" w:hAnsi="Arial"/>
                <w:sz w:val="17"/>
                <w:szCs w:val="17"/>
                <w:b w:val="1"/>
                <w:bCs w:val="1"/>
                <w:color w:val="auto"/>
              </w:rPr>
              <w:t>Nine Months Ended</w:t>
            </w:r>
          </w:p>
        </w:tc>
      </w:tr>
      <w:tr>
        <w:trPr>
          <w:trHeight w:val="270"/>
        </w:trPr>
        <w:tc>
          <w:tcPr>
            <w:tcW w:w="8820" w:type="dxa"/>
            <w:vAlign w:val="bottom"/>
          </w:tcPr>
          <w:p>
            <w:pPr>
              <w:spacing w:after="0"/>
              <w:rPr>
                <w:sz w:val="23"/>
                <w:szCs w:val="23"/>
                <w:color w:val="auto"/>
              </w:rPr>
            </w:pPr>
          </w:p>
        </w:tc>
        <w:tc>
          <w:tcPr>
            <w:tcW w:w="2600" w:type="dxa"/>
            <w:vAlign w:val="bottom"/>
            <w:gridSpan w:val="2"/>
          </w:tcPr>
          <w:p>
            <w:pPr>
              <w:jc w:val="right"/>
              <w:ind w:right="455"/>
              <w:spacing w:after="0"/>
              <w:rPr>
                <w:sz w:val="20"/>
                <w:szCs w:val="20"/>
                <w:color w:val="auto"/>
              </w:rPr>
            </w:pPr>
            <w:r>
              <w:rPr>
                <w:rFonts w:ascii="Arial" w:cs="Arial" w:eastAsia="Arial" w:hAnsi="Arial"/>
                <w:sz w:val="17"/>
                <w:szCs w:val="17"/>
                <w:b w:val="1"/>
                <w:bCs w:val="1"/>
                <w:color w:val="auto"/>
              </w:rPr>
              <w:t>September 30,</w:t>
            </w:r>
          </w:p>
        </w:tc>
      </w:tr>
      <w:tr>
        <w:trPr>
          <w:trHeight w:val="270"/>
        </w:trPr>
        <w:tc>
          <w:tcPr>
            <w:tcW w:w="8820" w:type="dxa"/>
            <w:vAlign w:val="bottom"/>
          </w:tcPr>
          <w:p>
            <w:pPr>
              <w:spacing w:after="0"/>
              <w:rPr>
                <w:sz w:val="23"/>
                <w:szCs w:val="23"/>
                <w:color w:val="auto"/>
              </w:rPr>
            </w:pPr>
          </w:p>
        </w:tc>
        <w:tc>
          <w:tcPr>
            <w:tcW w:w="1680" w:type="dxa"/>
            <w:vAlign w:val="bottom"/>
          </w:tcPr>
          <w:p>
            <w:pPr>
              <w:jc w:val="right"/>
              <w:ind w:right="455"/>
              <w:spacing w:after="0"/>
              <w:rPr>
                <w:sz w:val="20"/>
                <w:szCs w:val="20"/>
                <w:color w:val="auto"/>
              </w:rPr>
            </w:pPr>
            <w:r>
              <w:rPr>
                <w:rFonts w:ascii="Arial" w:cs="Arial" w:eastAsia="Arial" w:hAnsi="Arial"/>
                <w:sz w:val="17"/>
                <w:szCs w:val="17"/>
                <w:b w:val="1"/>
                <w:bCs w:val="1"/>
                <w:color w:val="auto"/>
              </w:rPr>
              <w:t>2019</w:t>
            </w:r>
          </w:p>
        </w:tc>
        <w:tc>
          <w:tcPr>
            <w:tcW w:w="920" w:type="dxa"/>
            <w:vAlign w:val="bottom"/>
          </w:tcPr>
          <w:p>
            <w:pPr>
              <w:jc w:val="right"/>
              <w:ind w:right="255"/>
              <w:spacing w:after="0"/>
              <w:rPr>
                <w:sz w:val="20"/>
                <w:szCs w:val="20"/>
                <w:color w:val="auto"/>
              </w:rPr>
            </w:pPr>
            <w:r>
              <w:rPr>
                <w:rFonts w:ascii="Arial" w:cs="Arial" w:eastAsia="Arial" w:hAnsi="Arial"/>
                <w:sz w:val="17"/>
                <w:szCs w:val="17"/>
                <w:b w:val="1"/>
                <w:bCs w:val="1"/>
                <w:color w:val="auto"/>
              </w:rPr>
              <w:t>2018</w:t>
            </w:r>
          </w:p>
        </w:tc>
      </w:tr>
      <w:tr>
        <w:trPr>
          <w:trHeight w:val="31"/>
        </w:trPr>
        <w:tc>
          <w:tcPr>
            <w:tcW w:w="88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3"/>
        </w:trPr>
        <w:tc>
          <w:tcPr>
            <w:tcW w:w="8820" w:type="dxa"/>
            <w:vAlign w:val="bottom"/>
          </w:tcPr>
          <w:p>
            <w:pPr>
              <w:ind w:left="40"/>
              <w:spacing w:after="0"/>
              <w:rPr>
                <w:sz w:val="20"/>
                <w:szCs w:val="20"/>
                <w:color w:val="auto"/>
              </w:rPr>
            </w:pPr>
            <w:r>
              <w:rPr>
                <w:rFonts w:ascii="Arial" w:cs="Arial" w:eastAsia="Arial" w:hAnsi="Arial"/>
                <w:sz w:val="17"/>
                <w:szCs w:val="17"/>
                <w:b w:val="1"/>
                <w:bCs w:val="1"/>
                <w:color w:val="auto"/>
              </w:rPr>
              <w:t>Millions</w:t>
            </w:r>
          </w:p>
        </w:tc>
        <w:tc>
          <w:tcPr>
            <w:tcW w:w="16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1"/>
        </w:trPr>
        <w:tc>
          <w:tcPr>
            <w:tcW w:w="88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Operating Activities</w:t>
            </w:r>
          </w:p>
        </w:tc>
        <w:tc>
          <w:tcPr>
            <w:tcW w:w="16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Net Income</w:t>
            </w:r>
          </w:p>
        </w:tc>
        <w:tc>
          <w:tcPr>
            <w:tcW w:w="1680" w:type="dxa"/>
            <w:vAlign w:val="bottom"/>
          </w:tcPr>
          <w:p>
            <w:pPr>
              <w:jc w:val="right"/>
              <w:ind w:right="215"/>
              <w:spacing w:after="0"/>
              <w:rPr>
                <w:sz w:val="20"/>
                <w:szCs w:val="20"/>
                <w:color w:val="auto"/>
              </w:rPr>
            </w:pPr>
            <w:r>
              <w:rPr>
                <w:rFonts w:ascii="Arial" w:cs="Arial" w:eastAsia="Arial" w:hAnsi="Arial"/>
                <w:sz w:val="17"/>
                <w:szCs w:val="17"/>
                <w:color w:val="auto"/>
              </w:rPr>
              <w:t>$135.9</w:t>
            </w: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$113.0</w:t>
            </w:r>
          </w:p>
        </w:tc>
      </w:tr>
      <w:tr>
        <w:trPr>
          <w:trHeight w:val="31"/>
        </w:trPr>
        <w:tc>
          <w:tcPr>
            <w:tcW w:w="88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AFUDC – Equity</w:t>
            </w:r>
          </w:p>
        </w:tc>
        <w:tc>
          <w:tcPr>
            <w:tcW w:w="168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7"/>
                <w:szCs w:val="17"/>
                <w:color w:val="auto"/>
              </w:rPr>
              <w:t>(1.9)</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(0.9)</w:t>
            </w: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Income from Equity Investments – Net of Dividends</w:t>
            </w:r>
          </w:p>
        </w:tc>
        <w:tc>
          <w:tcPr>
            <w:tcW w:w="1680" w:type="dxa"/>
            <w:vAlign w:val="bottom"/>
          </w:tcPr>
          <w:p>
            <w:pPr>
              <w:jc w:val="right"/>
              <w:ind w:right="175"/>
              <w:spacing w:after="0"/>
              <w:rPr>
                <w:sz w:val="20"/>
                <w:szCs w:val="20"/>
                <w:color w:val="auto"/>
              </w:rPr>
            </w:pPr>
            <w:r>
              <w:rPr>
                <w:rFonts w:ascii="Arial" w:cs="Arial" w:eastAsia="Arial" w:hAnsi="Arial"/>
                <w:sz w:val="17"/>
                <w:szCs w:val="17"/>
                <w:color w:val="auto"/>
              </w:rPr>
              <w:t>(3.2)</w:t>
            </w:r>
          </w:p>
        </w:tc>
        <w:tc>
          <w:tcPr>
            <w:tcW w:w="92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31"/>
        </w:trPr>
        <w:tc>
          <w:tcPr>
            <w:tcW w:w="88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Depreciation Expense</w:t>
            </w:r>
          </w:p>
        </w:tc>
        <w:tc>
          <w:tcPr>
            <w:tcW w:w="168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7"/>
                <w:szCs w:val="17"/>
                <w:color w:val="auto"/>
              </w:rPr>
              <w:t>150.3</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149.3</w:t>
            </w: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Amortization of PSAs</w:t>
            </w:r>
          </w:p>
        </w:tc>
        <w:tc>
          <w:tcPr>
            <w:tcW w:w="1680" w:type="dxa"/>
            <w:vAlign w:val="bottom"/>
          </w:tcPr>
          <w:p>
            <w:pPr>
              <w:jc w:val="right"/>
              <w:ind w:right="175"/>
              <w:spacing w:after="0"/>
              <w:rPr>
                <w:sz w:val="20"/>
                <w:szCs w:val="20"/>
                <w:color w:val="auto"/>
              </w:rPr>
            </w:pPr>
            <w:r>
              <w:rPr>
                <w:rFonts w:ascii="Arial" w:cs="Arial" w:eastAsia="Arial" w:hAnsi="Arial"/>
                <w:sz w:val="17"/>
                <w:szCs w:val="17"/>
                <w:color w:val="auto"/>
              </w:rPr>
              <w:t>(8.7)</w:t>
            </w:r>
          </w:p>
        </w:tc>
        <w:tc>
          <w:tcPr>
            <w:tcW w:w="920" w:type="dxa"/>
            <w:vAlign w:val="bottom"/>
          </w:tcPr>
          <w:p>
            <w:pPr>
              <w:jc w:val="right"/>
              <w:spacing w:after="0"/>
              <w:rPr>
                <w:sz w:val="20"/>
                <w:szCs w:val="20"/>
                <w:color w:val="auto"/>
              </w:rPr>
            </w:pPr>
            <w:r>
              <w:rPr>
                <w:rFonts w:ascii="Arial" w:cs="Arial" w:eastAsia="Arial" w:hAnsi="Arial"/>
                <w:sz w:val="17"/>
                <w:szCs w:val="17"/>
                <w:color w:val="auto"/>
              </w:rPr>
              <w:t>(17.9)</w:t>
            </w:r>
          </w:p>
        </w:tc>
      </w:tr>
      <w:tr>
        <w:trPr>
          <w:trHeight w:val="31"/>
        </w:trPr>
        <w:tc>
          <w:tcPr>
            <w:tcW w:w="88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Amortization of Other Intangible Assets and Other Assets</w:t>
            </w:r>
          </w:p>
        </w:tc>
        <w:tc>
          <w:tcPr>
            <w:tcW w:w="168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7"/>
                <w:szCs w:val="17"/>
                <w:color w:val="auto"/>
              </w:rPr>
              <w:t>9.9</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7.8</w:t>
            </w: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Deferred Income Tax Benefit</w:t>
            </w:r>
          </w:p>
        </w:tc>
        <w:tc>
          <w:tcPr>
            <w:tcW w:w="1680" w:type="dxa"/>
            <w:vAlign w:val="bottom"/>
          </w:tcPr>
          <w:p>
            <w:pPr>
              <w:jc w:val="right"/>
              <w:ind w:right="175"/>
              <w:spacing w:after="0"/>
              <w:rPr>
                <w:sz w:val="20"/>
                <w:szCs w:val="20"/>
                <w:color w:val="auto"/>
              </w:rPr>
            </w:pPr>
            <w:r>
              <w:rPr>
                <w:rFonts w:ascii="Arial" w:cs="Arial" w:eastAsia="Arial" w:hAnsi="Arial"/>
                <w:sz w:val="17"/>
                <w:szCs w:val="17"/>
                <w:color w:val="auto"/>
              </w:rPr>
              <w:t>(4.5)</w:t>
            </w:r>
          </w:p>
        </w:tc>
        <w:tc>
          <w:tcPr>
            <w:tcW w:w="920" w:type="dxa"/>
            <w:vAlign w:val="bottom"/>
          </w:tcPr>
          <w:p>
            <w:pPr>
              <w:jc w:val="right"/>
              <w:spacing w:after="0"/>
              <w:rPr>
                <w:sz w:val="20"/>
                <w:szCs w:val="20"/>
                <w:color w:val="auto"/>
              </w:rPr>
            </w:pPr>
            <w:r>
              <w:rPr>
                <w:rFonts w:ascii="Arial" w:cs="Arial" w:eastAsia="Arial" w:hAnsi="Arial"/>
                <w:sz w:val="17"/>
                <w:szCs w:val="17"/>
                <w:color w:val="auto"/>
              </w:rPr>
              <w:t>(9.1)</w:t>
            </w:r>
          </w:p>
        </w:tc>
      </w:tr>
      <w:tr>
        <w:trPr>
          <w:trHeight w:val="31"/>
        </w:trPr>
        <w:tc>
          <w:tcPr>
            <w:tcW w:w="88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Share-Based and ESOP Compensation Expense</w:t>
            </w:r>
          </w:p>
        </w:tc>
        <w:tc>
          <w:tcPr>
            <w:tcW w:w="168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7"/>
                <w:szCs w:val="17"/>
                <w:color w:val="auto"/>
              </w:rPr>
              <w:t>4.9</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5.1</w:t>
            </w: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Defined Benefit Pension and Postretirement Benefit Expense</w:t>
            </w:r>
          </w:p>
        </w:tc>
        <w:tc>
          <w:tcPr>
            <w:tcW w:w="1680" w:type="dxa"/>
            <w:vAlign w:val="bottom"/>
          </w:tcPr>
          <w:p>
            <w:pPr>
              <w:jc w:val="right"/>
              <w:ind w:right="215"/>
              <w:spacing w:after="0"/>
              <w:rPr>
                <w:sz w:val="20"/>
                <w:szCs w:val="20"/>
                <w:color w:val="auto"/>
              </w:rPr>
            </w:pPr>
            <w:r>
              <w:rPr>
                <w:rFonts w:ascii="Arial" w:cs="Arial" w:eastAsia="Arial" w:hAnsi="Arial"/>
                <w:sz w:val="17"/>
                <w:szCs w:val="17"/>
                <w:color w:val="auto"/>
              </w:rPr>
              <w:t>1.8</w:t>
            </w: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6.4</w:t>
            </w:r>
          </w:p>
        </w:tc>
      </w:tr>
      <w:tr>
        <w:trPr>
          <w:trHeight w:val="31"/>
        </w:trPr>
        <w:tc>
          <w:tcPr>
            <w:tcW w:w="88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Payments / Provision for Interim Rate Refund</w:t>
            </w:r>
          </w:p>
        </w:tc>
        <w:tc>
          <w:tcPr>
            <w:tcW w:w="168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7"/>
                <w:szCs w:val="17"/>
                <w:color w:val="auto"/>
              </w:rPr>
              <w:t>(40.0)</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13.0</w:t>
            </w: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Payments / Provision for Tax Reform Refund</w:t>
            </w:r>
          </w:p>
        </w:tc>
        <w:tc>
          <w:tcPr>
            <w:tcW w:w="1680" w:type="dxa"/>
            <w:vAlign w:val="bottom"/>
          </w:tcPr>
          <w:p>
            <w:pPr>
              <w:jc w:val="right"/>
              <w:ind w:right="175"/>
              <w:spacing w:after="0"/>
              <w:rPr>
                <w:sz w:val="20"/>
                <w:szCs w:val="20"/>
                <w:color w:val="auto"/>
              </w:rPr>
            </w:pPr>
            <w:r>
              <w:rPr>
                <w:rFonts w:ascii="Arial" w:cs="Arial" w:eastAsia="Arial" w:hAnsi="Arial"/>
                <w:sz w:val="17"/>
                <w:szCs w:val="17"/>
                <w:color w:val="auto"/>
              </w:rPr>
              <w:t>(10.4)</w:t>
            </w: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9.2</w:t>
            </w:r>
          </w:p>
        </w:tc>
      </w:tr>
      <w:tr>
        <w:trPr>
          <w:trHeight w:val="31"/>
        </w:trPr>
        <w:tc>
          <w:tcPr>
            <w:tcW w:w="88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Bad Debt Expense</w:t>
            </w:r>
          </w:p>
        </w:tc>
        <w:tc>
          <w:tcPr>
            <w:tcW w:w="168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7"/>
                <w:szCs w:val="17"/>
                <w:color w:val="auto"/>
              </w:rPr>
              <w:t>(0.3)</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1.5</w:t>
            </w: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Gain on Sale of U.S. Water Services</w:t>
            </w:r>
          </w:p>
        </w:tc>
        <w:tc>
          <w:tcPr>
            <w:tcW w:w="1680" w:type="dxa"/>
            <w:vAlign w:val="bottom"/>
          </w:tcPr>
          <w:p>
            <w:pPr>
              <w:jc w:val="right"/>
              <w:ind w:right="175"/>
              <w:spacing w:after="0"/>
              <w:rPr>
                <w:sz w:val="20"/>
                <w:szCs w:val="20"/>
                <w:color w:val="auto"/>
              </w:rPr>
            </w:pPr>
            <w:r>
              <w:rPr>
                <w:rFonts w:ascii="Arial" w:cs="Arial" w:eastAsia="Arial" w:hAnsi="Arial"/>
                <w:sz w:val="17"/>
                <w:szCs w:val="17"/>
                <w:color w:val="auto"/>
              </w:rPr>
              <w:t>(20.6)</w:t>
            </w: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88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Changes in Operating Assets and Liabilities</w:t>
            </w:r>
          </w:p>
        </w:tc>
        <w:tc>
          <w:tcPr>
            <w:tcW w:w="16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9"/>
        </w:trPr>
        <w:tc>
          <w:tcPr>
            <w:tcW w:w="8820" w:type="dxa"/>
            <w:vAlign w:val="bottom"/>
          </w:tcPr>
          <w:p>
            <w:pPr>
              <w:ind w:left="500"/>
              <w:spacing w:after="0"/>
              <w:rPr>
                <w:sz w:val="20"/>
                <w:szCs w:val="20"/>
                <w:color w:val="auto"/>
              </w:rPr>
            </w:pPr>
            <w:r>
              <w:rPr>
                <w:rFonts w:ascii="Arial" w:cs="Arial" w:eastAsia="Arial" w:hAnsi="Arial"/>
                <w:sz w:val="17"/>
                <w:szCs w:val="17"/>
                <w:color w:val="auto"/>
              </w:rPr>
              <w:t>Accounts Receivable</w:t>
            </w:r>
          </w:p>
        </w:tc>
        <w:tc>
          <w:tcPr>
            <w:tcW w:w="1680" w:type="dxa"/>
            <w:vAlign w:val="bottom"/>
          </w:tcPr>
          <w:p>
            <w:pPr>
              <w:jc w:val="right"/>
              <w:ind w:right="215"/>
              <w:spacing w:after="0"/>
              <w:rPr>
                <w:sz w:val="20"/>
                <w:szCs w:val="20"/>
                <w:color w:val="auto"/>
              </w:rPr>
            </w:pPr>
            <w:r>
              <w:rPr>
                <w:rFonts w:ascii="Arial" w:cs="Arial" w:eastAsia="Arial" w:hAnsi="Arial"/>
                <w:sz w:val="17"/>
                <w:szCs w:val="17"/>
                <w:color w:val="auto"/>
              </w:rPr>
              <w:t>34.1</w:t>
            </w: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3.9</w:t>
            </w:r>
          </w:p>
        </w:tc>
      </w:tr>
      <w:tr>
        <w:trPr>
          <w:trHeight w:val="31"/>
        </w:trPr>
        <w:tc>
          <w:tcPr>
            <w:tcW w:w="88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Inventories</w:t>
            </w:r>
          </w:p>
        </w:tc>
        <w:tc>
          <w:tcPr>
            <w:tcW w:w="168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7"/>
                <w:szCs w:val="17"/>
                <w:color w:val="auto"/>
              </w:rPr>
              <w:t>(15.9)</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(12.6)</w:t>
            </w:r>
          </w:p>
        </w:tc>
      </w:tr>
      <w:tr>
        <w:trPr>
          <w:trHeight w:val="239"/>
        </w:trPr>
        <w:tc>
          <w:tcPr>
            <w:tcW w:w="8820" w:type="dxa"/>
            <w:vAlign w:val="bottom"/>
          </w:tcPr>
          <w:p>
            <w:pPr>
              <w:ind w:left="500"/>
              <w:spacing w:after="0"/>
              <w:rPr>
                <w:sz w:val="20"/>
                <w:szCs w:val="20"/>
                <w:color w:val="auto"/>
              </w:rPr>
            </w:pPr>
            <w:r>
              <w:rPr>
                <w:rFonts w:ascii="Arial" w:cs="Arial" w:eastAsia="Arial" w:hAnsi="Arial"/>
                <w:sz w:val="17"/>
                <w:szCs w:val="17"/>
                <w:color w:val="auto"/>
              </w:rPr>
              <w:t>Prepayments and Other</w:t>
            </w:r>
          </w:p>
        </w:tc>
        <w:tc>
          <w:tcPr>
            <w:tcW w:w="1680" w:type="dxa"/>
            <w:vAlign w:val="bottom"/>
          </w:tcPr>
          <w:p>
            <w:pPr>
              <w:jc w:val="right"/>
              <w:ind w:right="215"/>
              <w:spacing w:after="0"/>
              <w:rPr>
                <w:sz w:val="20"/>
                <w:szCs w:val="20"/>
                <w:color w:val="auto"/>
              </w:rPr>
            </w:pPr>
            <w:r>
              <w:rPr>
                <w:rFonts w:ascii="Arial" w:cs="Arial" w:eastAsia="Arial" w:hAnsi="Arial"/>
                <w:sz w:val="17"/>
                <w:szCs w:val="17"/>
                <w:color w:val="auto"/>
              </w:rPr>
              <w:t>7.3</w:t>
            </w: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5.7</w:t>
            </w:r>
          </w:p>
        </w:tc>
      </w:tr>
      <w:tr>
        <w:trPr>
          <w:trHeight w:val="31"/>
        </w:trPr>
        <w:tc>
          <w:tcPr>
            <w:tcW w:w="88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Accounts Payable</w:t>
            </w:r>
          </w:p>
        </w:tc>
        <w:tc>
          <w:tcPr>
            <w:tcW w:w="168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7"/>
                <w:szCs w:val="17"/>
                <w:color w:val="auto"/>
              </w:rPr>
              <w:t>(3.3)</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9.9</w:t>
            </w:r>
          </w:p>
        </w:tc>
      </w:tr>
      <w:tr>
        <w:trPr>
          <w:trHeight w:val="239"/>
        </w:trPr>
        <w:tc>
          <w:tcPr>
            <w:tcW w:w="8820" w:type="dxa"/>
            <w:vAlign w:val="bottom"/>
          </w:tcPr>
          <w:p>
            <w:pPr>
              <w:ind w:left="500"/>
              <w:spacing w:after="0"/>
              <w:rPr>
                <w:sz w:val="20"/>
                <w:szCs w:val="20"/>
                <w:color w:val="auto"/>
              </w:rPr>
            </w:pPr>
            <w:r>
              <w:rPr>
                <w:rFonts w:ascii="Arial" w:cs="Arial" w:eastAsia="Arial" w:hAnsi="Arial"/>
                <w:sz w:val="17"/>
                <w:szCs w:val="17"/>
                <w:color w:val="auto"/>
              </w:rPr>
              <w:t>Other Current Liabilities</w:t>
            </w:r>
          </w:p>
        </w:tc>
        <w:tc>
          <w:tcPr>
            <w:tcW w:w="1680" w:type="dxa"/>
            <w:vAlign w:val="bottom"/>
          </w:tcPr>
          <w:p>
            <w:pPr>
              <w:jc w:val="right"/>
              <w:ind w:right="175"/>
              <w:spacing w:after="0"/>
              <w:rPr>
                <w:sz w:val="20"/>
                <w:szCs w:val="20"/>
                <w:color w:val="auto"/>
              </w:rPr>
            </w:pPr>
            <w:r>
              <w:rPr>
                <w:rFonts w:ascii="Arial" w:cs="Arial" w:eastAsia="Arial" w:hAnsi="Arial"/>
                <w:sz w:val="17"/>
                <w:szCs w:val="17"/>
                <w:color w:val="auto"/>
              </w:rPr>
              <w:t>(15.8)</w:t>
            </w: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21.2</w:t>
            </w:r>
          </w:p>
        </w:tc>
      </w:tr>
      <w:tr>
        <w:trPr>
          <w:trHeight w:val="31"/>
        </w:trPr>
        <w:tc>
          <w:tcPr>
            <w:tcW w:w="88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Cash Contributions to Defined Benefit Pension Plans</w:t>
            </w:r>
          </w:p>
        </w:tc>
        <w:tc>
          <w:tcPr>
            <w:tcW w:w="168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7"/>
                <w:szCs w:val="17"/>
                <w:color w:val="auto"/>
              </w:rPr>
              <w:t>(10.4)</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(15.0)</w:t>
            </w: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Changes in Regulatory and Other Non-Current Assets</w:t>
            </w:r>
          </w:p>
        </w:tc>
        <w:tc>
          <w:tcPr>
            <w:tcW w:w="1680" w:type="dxa"/>
            <w:vAlign w:val="bottom"/>
          </w:tcPr>
          <w:p>
            <w:pPr>
              <w:jc w:val="right"/>
              <w:ind w:right="175"/>
              <w:spacing w:after="0"/>
              <w:rPr>
                <w:sz w:val="20"/>
                <w:szCs w:val="20"/>
                <w:color w:val="auto"/>
              </w:rPr>
            </w:pPr>
            <w:r>
              <w:rPr>
                <w:rFonts w:ascii="Arial" w:cs="Arial" w:eastAsia="Arial" w:hAnsi="Arial"/>
                <w:sz w:val="17"/>
                <w:szCs w:val="17"/>
                <w:color w:val="auto"/>
              </w:rPr>
              <w:t>(18.3)</w:t>
            </w: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7.2</w:t>
            </w:r>
          </w:p>
        </w:tc>
      </w:tr>
      <w:tr>
        <w:trPr>
          <w:trHeight w:val="31"/>
        </w:trPr>
        <w:tc>
          <w:tcPr>
            <w:tcW w:w="88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5"/>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Changes in Regulatory and Other Non-Current Liabilities</w:t>
            </w:r>
          </w:p>
        </w:tc>
        <w:tc>
          <w:tcPr>
            <w:tcW w:w="168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7"/>
                <w:szCs w:val="17"/>
                <w:color w:val="auto"/>
              </w:rPr>
              <w:t>(14.5)</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1.7</w:t>
            </w:r>
          </w:p>
        </w:tc>
      </w:tr>
      <w:tr>
        <w:trPr>
          <w:trHeight w:val="233"/>
        </w:trPr>
        <w:tc>
          <w:tcPr>
            <w:tcW w:w="8820" w:type="dxa"/>
            <w:vAlign w:val="bottom"/>
            <w:tcBorders>
              <w:top w:val="single" w:sz="8" w:color="auto"/>
            </w:tcBorders>
          </w:tcPr>
          <w:p>
            <w:pPr>
              <w:ind w:left="500"/>
              <w:spacing w:after="0"/>
              <w:rPr>
                <w:sz w:val="20"/>
                <w:szCs w:val="20"/>
                <w:color w:val="auto"/>
              </w:rPr>
            </w:pPr>
            <w:r>
              <w:rPr>
                <w:rFonts w:ascii="Arial" w:cs="Arial" w:eastAsia="Arial" w:hAnsi="Arial"/>
                <w:sz w:val="17"/>
                <w:szCs w:val="17"/>
                <w:color w:val="auto"/>
              </w:rPr>
              <w:t>Cash from Operating Activities</w:t>
            </w:r>
          </w:p>
        </w:tc>
        <w:tc>
          <w:tcPr>
            <w:tcW w:w="1680" w:type="dxa"/>
            <w:vAlign w:val="bottom"/>
            <w:tcBorders>
              <w:top w:val="single" w:sz="8" w:color="auto"/>
            </w:tcBorders>
          </w:tcPr>
          <w:p>
            <w:pPr>
              <w:jc w:val="right"/>
              <w:ind w:right="215"/>
              <w:spacing w:after="0"/>
              <w:rPr>
                <w:sz w:val="20"/>
                <w:szCs w:val="20"/>
                <w:color w:val="auto"/>
              </w:rPr>
            </w:pPr>
            <w:r>
              <w:rPr>
                <w:rFonts w:ascii="Arial" w:cs="Arial" w:eastAsia="Arial" w:hAnsi="Arial"/>
                <w:sz w:val="17"/>
                <w:szCs w:val="17"/>
                <w:color w:val="auto"/>
              </w:rPr>
              <w:t>176.4</w:t>
            </w:r>
          </w:p>
        </w:tc>
        <w:tc>
          <w:tcPr>
            <w:tcW w:w="9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298.1</w:t>
            </w:r>
          </w:p>
        </w:tc>
      </w:tr>
      <w:tr>
        <w:trPr>
          <w:trHeight w:val="31"/>
        </w:trPr>
        <w:tc>
          <w:tcPr>
            <w:tcW w:w="88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8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Investing Activities</w:t>
            </w:r>
          </w:p>
        </w:tc>
        <w:tc>
          <w:tcPr>
            <w:tcW w:w="16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Proceeds from Sale of Available-for-sale Securities</w:t>
            </w:r>
          </w:p>
        </w:tc>
        <w:tc>
          <w:tcPr>
            <w:tcW w:w="1680" w:type="dxa"/>
            <w:vAlign w:val="bottom"/>
          </w:tcPr>
          <w:p>
            <w:pPr>
              <w:jc w:val="right"/>
              <w:ind w:right="215"/>
              <w:spacing w:after="0"/>
              <w:rPr>
                <w:sz w:val="20"/>
                <w:szCs w:val="20"/>
                <w:color w:val="auto"/>
              </w:rPr>
            </w:pPr>
            <w:r>
              <w:rPr>
                <w:rFonts w:ascii="Arial" w:cs="Arial" w:eastAsia="Arial" w:hAnsi="Arial"/>
                <w:sz w:val="17"/>
                <w:szCs w:val="17"/>
                <w:color w:val="auto"/>
              </w:rPr>
              <w:t>11.2</w:t>
            </w: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9.3</w:t>
            </w:r>
          </w:p>
        </w:tc>
      </w:tr>
      <w:tr>
        <w:trPr>
          <w:trHeight w:val="31"/>
        </w:trPr>
        <w:tc>
          <w:tcPr>
            <w:tcW w:w="88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Payments for Purchase of Available-for-sale Securities</w:t>
            </w:r>
          </w:p>
        </w:tc>
        <w:tc>
          <w:tcPr>
            <w:tcW w:w="168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7"/>
                <w:szCs w:val="17"/>
                <w:color w:val="auto"/>
              </w:rPr>
              <w:t>(11.1)</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(12.5)</w:t>
            </w: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Payments for Equity Investments</w:t>
            </w:r>
          </w:p>
        </w:tc>
        <w:tc>
          <w:tcPr>
            <w:tcW w:w="1680" w:type="dxa"/>
            <w:vAlign w:val="bottom"/>
          </w:tcPr>
          <w:p>
            <w:pPr>
              <w:jc w:val="right"/>
              <w:ind w:right="175"/>
              <w:spacing w:after="0"/>
              <w:rPr>
                <w:sz w:val="20"/>
                <w:szCs w:val="20"/>
                <w:color w:val="auto"/>
              </w:rPr>
            </w:pPr>
            <w:r>
              <w:rPr>
                <w:rFonts w:ascii="Arial" w:cs="Arial" w:eastAsia="Arial" w:hAnsi="Arial"/>
                <w:sz w:val="17"/>
                <w:szCs w:val="17"/>
                <w:color w:val="auto"/>
              </w:rPr>
              <w:t>(26.4)</w:t>
            </w:r>
          </w:p>
        </w:tc>
        <w:tc>
          <w:tcPr>
            <w:tcW w:w="920" w:type="dxa"/>
            <w:vAlign w:val="bottom"/>
          </w:tcPr>
          <w:p>
            <w:pPr>
              <w:jc w:val="right"/>
              <w:spacing w:after="0"/>
              <w:rPr>
                <w:sz w:val="20"/>
                <w:szCs w:val="20"/>
                <w:color w:val="auto"/>
              </w:rPr>
            </w:pPr>
            <w:r>
              <w:rPr>
                <w:rFonts w:ascii="Arial" w:cs="Arial" w:eastAsia="Arial" w:hAnsi="Arial"/>
                <w:sz w:val="17"/>
                <w:szCs w:val="17"/>
                <w:color w:val="auto"/>
              </w:rPr>
              <w:t>(5.0)</w:t>
            </w:r>
          </w:p>
        </w:tc>
      </w:tr>
      <w:tr>
        <w:trPr>
          <w:trHeight w:val="31"/>
        </w:trPr>
        <w:tc>
          <w:tcPr>
            <w:tcW w:w="88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Return of Capital from Equity Investments</w:t>
            </w:r>
          </w:p>
        </w:tc>
        <w:tc>
          <w:tcPr>
            <w:tcW w:w="168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7"/>
                <w:szCs w:val="17"/>
                <w:color w:val="auto"/>
              </w:rPr>
              <w:t>8.3</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Proceeds from Sale of U.S. Water Services – Net of Transaction Costs and Cash Retained</w:t>
            </w:r>
          </w:p>
        </w:tc>
        <w:tc>
          <w:tcPr>
            <w:tcW w:w="1680" w:type="dxa"/>
            <w:vAlign w:val="bottom"/>
          </w:tcPr>
          <w:p>
            <w:pPr>
              <w:jc w:val="right"/>
              <w:ind w:right="215"/>
              <w:spacing w:after="0"/>
              <w:rPr>
                <w:sz w:val="20"/>
                <w:szCs w:val="20"/>
                <w:color w:val="auto"/>
              </w:rPr>
            </w:pPr>
            <w:r>
              <w:rPr>
                <w:rFonts w:ascii="Arial" w:cs="Arial" w:eastAsia="Arial" w:hAnsi="Arial"/>
                <w:sz w:val="17"/>
                <w:szCs w:val="17"/>
                <w:color w:val="auto"/>
              </w:rPr>
              <w:t>266.1</w:t>
            </w: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88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Additions to Property, Plant and Equipment</w:t>
            </w:r>
          </w:p>
        </w:tc>
        <w:tc>
          <w:tcPr>
            <w:tcW w:w="168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7"/>
                <w:szCs w:val="17"/>
                <w:color w:val="auto"/>
              </w:rPr>
              <w:t>(421.3)</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(201.0)</w:t>
            </w: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Other Investing Activities</w:t>
            </w:r>
          </w:p>
        </w:tc>
        <w:tc>
          <w:tcPr>
            <w:tcW w:w="1680" w:type="dxa"/>
            <w:vAlign w:val="bottom"/>
          </w:tcPr>
          <w:p>
            <w:pPr>
              <w:jc w:val="right"/>
              <w:ind w:right="215"/>
              <w:spacing w:after="0"/>
              <w:rPr>
                <w:sz w:val="20"/>
                <w:szCs w:val="20"/>
                <w:color w:val="auto"/>
              </w:rPr>
            </w:pPr>
            <w:r>
              <w:rPr>
                <w:rFonts w:ascii="Arial" w:cs="Arial" w:eastAsia="Arial" w:hAnsi="Arial"/>
                <w:sz w:val="17"/>
                <w:szCs w:val="17"/>
                <w:color w:val="auto"/>
              </w:rPr>
              <w:t>13.2</w:t>
            </w: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1.4</w:t>
            </w:r>
          </w:p>
        </w:tc>
      </w:tr>
      <w:tr>
        <w:trPr>
          <w:trHeight w:val="31"/>
        </w:trPr>
        <w:tc>
          <w:tcPr>
            <w:tcW w:w="88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88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Cash for Investing Activities</w:t>
            </w:r>
          </w:p>
        </w:tc>
        <w:tc>
          <w:tcPr>
            <w:tcW w:w="168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7"/>
                <w:szCs w:val="17"/>
                <w:color w:val="auto"/>
              </w:rPr>
              <w:t>(160.0)</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(207.8)</w:t>
            </w:r>
          </w:p>
        </w:tc>
      </w:tr>
      <w:tr>
        <w:trPr>
          <w:trHeight w:val="233"/>
        </w:trPr>
        <w:tc>
          <w:tcPr>
            <w:tcW w:w="8820" w:type="dxa"/>
            <w:vAlign w:val="bottom"/>
            <w:tcBorders>
              <w:top w:val="single" w:sz="8" w:color="auto"/>
            </w:tcBorders>
          </w:tcPr>
          <w:p>
            <w:pPr>
              <w:ind w:left="40"/>
              <w:spacing w:after="0"/>
              <w:rPr>
                <w:sz w:val="20"/>
                <w:szCs w:val="20"/>
                <w:color w:val="auto"/>
              </w:rPr>
            </w:pPr>
            <w:r>
              <w:rPr>
                <w:rFonts w:ascii="Arial" w:cs="Arial" w:eastAsia="Arial" w:hAnsi="Arial"/>
                <w:sz w:val="17"/>
                <w:szCs w:val="17"/>
                <w:b w:val="1"/>
                <w:bCs w:val="1"/>
                <w:color w:val="auto"/>
              </w:rPr>
              <w:t>Financing Activities</w:t>
            </w:r>
          </w:p>
        </w:tc>
        <w:tc>
          <w:tcPr>
            <w:tcW w:w="16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r>
      <w:tr>
        <w:trPr>
          <w:trHeight w:val="31"/>
        </w:trPr>
        <w:tc>
          <w:tcPr>
            <w:tcW w:w="88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Proceeds from Issuance of Common Stock</w:t>
            </w:r>
          </w:p>
        </w:tc>
        <w:tc>
          <w:tcPr>
            <w:tcW w:w="168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7"/>
                <w:szCs w:val="17"/>
                <w:color w:val="auto"/>
              </w:rPr>
              <w:t>1.7</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14.6</w:t>
            </w: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Proceeds from Issuance of Long-Term Debt</w:t>
            </w:r>
          </w:p>
        </w:tc>
        <w:tc>
          <w:tcPr>
            <w:tcW w:w="1680" w:type="dxa"/>
            <w:vAlign w:val="bottom"/>
          </w:tcPr>
          <w:p>
            <w:pPr>
              <w:jc w:val="right"/>
              <w:ind w:right="215"/>
              <w:spacing w:after="0"/>
              <w:rPr>
                <w:sz w:val="20"/>
                <w:szCs w:val="20"/>
                <w:color w:val="auto"/>
              </w:rPr>
            </w:pPr>
            <w:r>
              <w:rPr>
                <w:rFonts w:ascii="Arial" w:cs="Arial" w:eastAsia="Arial" w:hAnsi="Arial"/>
                <w:sz w:val="17"/>
                <w:szCs w:val="17"/>
                <w:color w:val="auto"/>
              </w:rPr>
              <w:t>200.0</w:t>
            </w: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72.7</w:t>
            </w:r>
          </w:p>
        </w:tc>
      </w:tr>
      <w:tr>
        <w:trPr>
          <w:trHeight w:val="31"/>
        </w:trPr>
        <w:tc>
          <w:tcPr>
            <w:tcW w:w="88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Repayments of Long-Term Debt</w:t>
            </w:r>
          </w:p>
        </w:tc>
        <w:tc>
          <w:tcPr>
            <w:tcW w:w="168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7"/>
                <w:szCs w:val="17"/>
                <w:color w:val="auto"/>
              </w:rPr>
              <w:t>(66.1)</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(59.5)</w:t>
            </w: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Acquisition-Related Contingent Consideration Payments</w:t>
            </w:r>
          </w:p>
        </w:tc>
        <w:tc>
          <w:tcPr>
            <w:tcW w:w="1680" w:type="dxa"/>
            <w:vAlign w:val="bottom"/>
          </w:tcPr>
          <w:p>
            <w:pPr>
              <w:jc w:val="right"/>
              <w:ind w:right="175"/>
              <w:spacing w:after="0"/>
              <w:rPr>
                <w:sz w:val="20"/>
                <w:szCs w:val="20"/>
                <w:color w:val="auto"/>
              </w:rPr>
            </w:pPr>
            <w:r>
              <w:rPr>
                <w:rFonts w:ascii="Arial" w:cs="Arial" w:eastAsia="Arial" w:hAnsi="Arial"/>
                <w:sz w:val="17"/>
                <w:szCs w:val="17"/>
                <w:color w:val="auto"/>
              </w:rPr>
              <w:t>(3.8)</w:t>
            </w: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88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Dividends on Common Stock</w:t>
            </w:r>
          </w:p>
        </w:tc>
        <w:tc>
          <w:tcPr>
            <w:tcW w:w="168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7"/>
                <w:szCs w:val="17"/>
                <w:color w:val="auto"/>
              </w:rPr>
              <w:t>(91.0)</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(86.2)</w:t>
            </w: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Other Financing Activities</w:t>
            </w:r>
          </w:p>
        </w:tc>
        <w:tc>
          <w:tcPr>
            <w:tcW w:w="1680" w:type="dxa"/>
            <w:vAlign w:val="bottom"/>
          </w:tcPr>
          <w:p>
            <w:pPr>
              <w:jc w:val="right"/>
              <w:ind w:right="175"/>
              <w:spacing w:after="0"/>
              <w:rPr>
                <w:sz w:val="20"/>
                <w:szCs w:val="20"/>
                <w:color w:val="auto"/>
              </w:rPr>
            </w:pPr>
            <w:r>
              <w:rPr>
                <w:rFonts w:ascii="Arial" w:cs="Arial" w:eastAsia="Arial" w:hAnsi="Arial"/>
                <w:sz w:val="17"/>
                <w:szCs w:val="17"/>
                <w:color w:val="auto"/>
              </w:rPr>
              <w:t>(1.0)</w:t>
            </w:r>
          </w:p>
        </w:tc>
        <w:tc>
          <w:tcPr>
            <w:tcW w:w="920" w:type="dxa"/>
            <w:vAlign w:val="bottom"/>
          </w:tcPr>
          <w:p>
            <w:pPr>
              <w:jc w:val="right"/>
              <w:spacing w:after="0"/>
              <w:rPr>
                <w:sz w:val="20"/>
                <w:szCs w:val="20"/>
                <w:color w:val="auto"/>
              </w:rPr>
            </w:pPr>
            <w:r>
              <w:rPr>
                <w:rFonts w:ascii="Arial" w:cs="Arial" w:eastAsia="Arial" w:hAnsi="Arial"/>
                <w:sz w:val="17"/>
                <w:szCs w:val="17"/>
                <w:color w:val="auto"/>
              </w:rPr>
              <w:t>(0.5)</w:t>
            </w:r>
          </w:p>
        </w:tc>
      </w:tr>
      <w:tr>
        <w:trPr>
          <w:trHeight w:val="31"/>
        </w:trPr>
        <w:tc>
          <w:tcPr>
            <w:tcW w:w="88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88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Cash from (for) Financing Activities</w:t>
            </w:r>
          </w:p>
        </w:tc>
        <w:tc>
          <w:tcPr>
            <w:tcW w:w="168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7"/>
                <w:szCs w:val="17"/>
                <w:color w:val="auto"/>
              </w:rPr>
              <w:t>39.8</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(58.9)</w:t>
            </w:r>
          </w:p>
        </w:tc>
      </w:tr>
      <w:tr>
        <w:trPr>
          <w:trHeight w:val="233"/>
        </w:trPr>
        <w:tc>
          <w:tcPr>
            <w:tcW w:w="8820" w:type="dxa"/>
            <w:vAlign w:val="bottom"/>
            <w:tcBorders>
              <w:top w:val="single" w:sz="8" w:color="auto"/>
            </w:tcBorders>
          </w:tcPr>
          <w:p>
            <w:pPr>
              <w:ind w:left="40"/>
              <w:spacing w:after="0"/>
              <w:rPr>
                <w:sz w:val="20"/>
                <w:szCs w:val="20"/>
                <w:color w:val="auto"/>
              </w:rPr>
            </w:pPr>
            <w:r>
              <w:rPr>
                <w:rFonts w:ascii="Arial" w:cs="Arial" w:eastAsia="Arial" w:hAnsi="Arial"/>
                <w:sz w:val="17"/>
                <w:szCs w:val="17"/>
                <w:b w:val="1"/>
                <w:bCs w:val="1"/>
                <w:color w:val="auto"/>
              </w:rPr>
              <w:t>Change in Cash, Cash Equivalents and Restricted Cash</w:t>
            </w:r>
          </w:p>
        </w:tc>
        <w:tc>
          <w:tcPr>
            <w:tcW w:w="1680" w:type="dxa"/>
            <w:vAlign w:val="bottom"/>
            <w:tcBorders>
              <w:top w:val="single" w:sz="8" w:color="auto"/>
            </w:tcBorders>
          </w:tcPr>
          <w:p>
            <w:pPr>
              <w:jc w:val="right"/>
              <w:ind w:right="215"/>
              <w:spacing w:after="0"/>
              <w:rPr>
                <w:sz w:val="20"/>
                <w:szCs w:val="20"/>
                <w:color w:val="auto"/>
              </w:rPr>
            </w:pPr>
            <w:r>
              <w:rPr>
                <w:rFonts w:ascii="Arial" w:cs="Arial" w:eastAsia="Arial" w:hAnsi="Arial"/>
                <w:sz w:val="17"/>
                <w:szCs w:val="17"/>
                <w:color w:val="auto"/>
              </w:rPr>
              <w:t>56.2</w:t>
            </w:r>
          </w:p>
        </w:tc>
        <w:tc>
          <w:tcPr>
            <w:tcW w:w="9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31.4</w:t>
            </w:r>
          </w:p>
        </w:tc>
      </w:tr>
      <w:tr>
        <w:trPr>
          <w:trHeight w:val="31"/>
        </w:trPr>
        <w:tc>
          <w:tcPr>
            <w:tcW w:w="88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5"/>
        </w:trPr>
        <w:tc>
          <w:tcPr>
            <w:tcW w:w="8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Cash, Cash Equivalents and Restricted Cash at Beginning of Period</w:t>
            </w:r>
          </w:p>
        </w:tc>
        <w:tc>
          <w:tcPr>
            <w:tcW w:w="168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7"/>
                <w:szCs w:val="17"/>
                <w:color w:val="auto"/>
              </w:rPr>
              <w:t>79.0</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110.1</w:t>
            </w:r>
          </w:p>
        </w:tc>
      </w:tr>
      <w:tr>
        <w:trPr>
          <w:trHeight w:val="233"/>
        </w:trPr>
        <w:tc>
          <w:tcPr>
            <w:tcW w:w="8820" w:type="dxa"/>
            <w:vAlign w:val="bottom"/>
            <w:tcBorders>
              <w:top w:val="single" w:sz="8" w:color="auto"/>
            </w:tcBorders>
          </w:tcPr>
          <w:p>
            <w:pPr>
              <w:ind w:left="40"/>
              <w:spacing w:after="0"/>
              <w:rPr>
                <w:sz w:val="20"/>
                <w:szCs w:val="20"/>
                <w:color w:val="auto"/>
              </w:rPr>
            </w:pPr>
            <w:r>
              <w:rPr>
                <w:rFonts w:ascii="Arial" w:cs="Arial" w:eastAsia="Arial" w:hAnsi="Arial"/>
                <w:sz w:val="17"/>
                <w:szCs w:val="17"/>
                <w:b w:val="1"/>
                <w:bCs w:val="1"/>
                <w:color w:val="auto"/>
              </w:rPr>
              <w:t>Cash, Cash Equivalents and Restricted Cash at End of Period</w:t>
            </w:r>
          </w:p>
        </w:tc>
        <w:tc>
          <w:tcPr>
            <w:tcW w:w="1680" w:type="dxa"/>
            <w:vAlign w:val="bottom"/>
            <w:tcBorders>
              <w:top w:val="single" w:sz="8" w:color="auto"/>
            </w:tcBorders>
          </w:tcPr>
          <w:p>
            <w:pPr>
              <w:jc w:val="right"/>
              <w:ind w:right="215"/>
              <w:spacing w:after="0"/>
              <w:rPr>
                <w:sz w:val="20"/>
                <w:szCs w:val="20"/>
                <w:color w:val="auto"/>
              </w:rPr>
            </w:pPr>
            <w:r>
              <w:rPr>
                <w:rFonts w:ascii="Arial" w:cs="Arial" w:eastAsia="Arial" w:hAnsi="Arial"/>
                <w:sz w:val="17"/>
                <w:szCs w:val="17"/>
                <w:color w:val="auto"/>
              </w:rPr>
              <w:t>$135.2</w:t>
            </w:r>
          </w:p>
        </w:tc>
        <w:tc>
          <w:tcPr>
            <w:tcW w:w="9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$141.5</w:t>
            </w:r>
          </w:p>
        </w:tc>
      </w:tr>
      <w:tr>
        <w:trPr>
          <w:trHeight w:val="31"/>
        </w:trPr>
        <w:tc>
          <w:tcPr>
            <w:tcW w:w="88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24"/>
        </w:trPr>
        <w:tc>
          <w:tcPr>
            <w:tcW w:w="8820" w:type="dxa"/>
            <w:vAlign w:val="bottom"/>
          </w:tcPr>
          <w:p>
            <w:pPr>
              <w:ind w:left="3380"/>
              <w:spacing w:after="0"/>
              <w:rPr>
                <w:sz w:val="20"/>
                <w:szCs w:val="20"/>
                <w:color w:val="auto"/>
              </w:rPr>
            </w:pPr>
            <w:r>
              <w:rPr>
                <w:rFonts w:ascii="Arial" w:cs="Arial" w:eastAsia="Arial" w:hAnsi="Arial"/>
                <w:sz w:val="18"/>
                <w:szCs w:val="18"/>
                <w:color w:val="auto"/>
              </w:rPr>
              <w:t>The accompanying notes are an integral part of these statements.</w:t>
            </w:r>
          </w:p>
        </w:tc>
        <w:tc>
          <w:tcPr>
            <w:tcW w:w="1680" w:type="dxa"/>
            <w:vAlign w:val="bottom"/>
          </w:tcPr>
          <w:p>
            <w:pPr>
              <w:spacing w:after="0"/>
              <w:rPr>
                <w:sz w:val="19"/>
                <w:szCs w:val="19"/>
                <w:color w:val="auto"/>
              </w:rPr>
            </w:pPr>
          </w:p>
        </w:tc>
        <w:tc>
          <w:tcPr>
            <w:tcW w:w="920" w:type="dxa"/>
            <w:vAlign w:val="bottom"/>
          </w:tcPr>
          <w:p>
            <w:pPr>
              <w:spacing w:after="0"/>
              <w:rPr>
                <w:sz w:val="19"/>
                <w:szCs w:val="19"/>
                <w:color w:val="auto"/>
              </w:rPr>
            </w:pPr>
          </w:p>
        </w:tc>
      </w:tr>
    </w:tbl>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2019 Form 10-Q</w:t>
      </w:r>
    </w:p>
    <w:p>
      <w:pPr>
        <w:sectPr>
          <w:pgSz w:w="11900" w:h="16838" w:orient="portrait"/>
          <w:cols w:equalWidth="0" w:num="1">
            <w:col w:w="11420"/>
          </w:cols>
          <w:pgMar w:left="240" w:top="1040" w:right="239" w:bottom="512" w:gutter="0" w:footer="0" w:header="0"/>
        </w:sectPr>
      </w:pP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10</w:t>
      </w:r>
    </w:p>
    <w:p>
      <w:pPr>
        <w:sectPr>
          <w:pgSz w:w="11900" w:h="16838" w:orient="portrait"/>
          <w:cols w:equalWidth="0" w:num="1">
            <w:col w:w="11420"/>
          </w:cols>
          <w:pgMar w:left="240" w:top="1040" w:right="239" w:bottom="512" w:gutter="0" w:footer="0" w:header="0"/>
          <w:type w:val="continuous"/>
        </w:sectPr>
      </w:pPr>
    </w:p>
    <w:bookmarkStart w:id="10" w:name="page11"/>
    <w:bookmarkEnd w:id="10"/>
    <w:p>
      <w:pPr>
        <w:jc w:val="center"/>
        <w:ind w:right="100"/>
        <w:spacing w:after="0"/>
        <w:rPr>
          <w:sz w:val="20"/>
          <w:szCs w:val="20"/>
          <w:color w:val="auto"/>
        </w:rPr>
      </w:pPr>
      <w:r>
        <w:rPr>
          <w:rFonts w:ascii="Arial" w:cs="Arial" w:eastAsia="Arial" w:hAnsi="Arial"/>
          <w:sz w:val="18"/>
          <w:szCs w:val="18"/>
          <w:b w:val="1"/>
          <w:bCs w:val="1"/>
          <w:color w:val="auto"/>
        </w:rPr>
        <w:t>ALLETE</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CONSOLIDATED STATEMENT OF SHAREHOLDERS’ EQUITY</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Unaudited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0" w:type="dxa"/>
            <w:vAlign w:val="bottom"/>
          </w:tcPr>
          <w:p>
            <w:pPr>
              <w:spacing w:after="0"/>
              <w:rPr>
                <w:sz w:val="20"/>
                <w:szCs w:val="20"/>
                <w:color w:val="auto"/>
              </w:rPr>
            </w:pPr>
          </w:p>
        </w:tc>
        <w:tc>
          <w:tcPr>
            <w:tcW w:w="3380" w:type="dxa"/>
            <w:vAlign w:val="bottom"/>
            <w:gridSpan w:val="2"/>
          </w:tcPr>
          <w:p>
            <w:pPr>
              <w:jc w:val="right"/>
              <w:ind w:right="490"/>
              <w:spacing w:after="0"/>
              <w:rPr>
                <w:sz w:val="20"/>
                <w:szCs w:val="20"/>
                <w:color w:val="auto"/>
              </w:rPr>
            </w:pPr>
            <w:r>
              <w:rPr>
                <w:rFonts w:ascii="Arial" w:cs="Arial" w:eastAsia="Arial" w:hAnsi="Arial"/>
                <w:sz w:val="18"/>
                <w:szCs w:val="18"/>
                <w:b w:val="1"/>
                <w:bCs w:val="1"/>
                <w:color w:val="auto"/>
              </w:rPr>
              <w:t>Quarter Ended</w:t>
            </w:r>
          </w:p>
        </w:tc>
        <w:tc>
          <w:tcPr>
            <w:tcW w:w="204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Nine Months Ended</w:t>
            </w:r>
          </w:p>
        </w:tc>
      </w:tr>
      <w:tr>
        <w:trPr>
          <w:trHeight w:val="270"/>
        </w:trPr>
        <w:tc>
          <w:tcPr>
            <w:tcW w:w="5800" w:type="dxa"/>
            <w:vAlign w:val="bottom"/>
          </w:tcPr>
          <w:p>
            <w:pPr>
              <w:spacing w:after="0"/>
              <w:rPr>
                <w:sz w:val="23"/>
                <w:szCs w:val="23"/>
                <w:color w:val="auto"/>
              </w:rPr>
            </w:pPr>
          </w:p>
        </w:tc>
        <w:tc>
          <w:tcPr>
            <w:tcW w:w="3380" w:type="dxa"/>
            <w:vAlign w:val="bottom"/>
            <w:gridSpan w:val="2"/>
          </w:tcPr>
          <w:p>
            <w:pPr>
              <w:jc w:val="right"/>
              <w:ind w:right="530"/>
              <w:spacing w:after="0"/>
              <w:rPr>
                <w:sz w:val="20"/>
                <w:szCs w:val="20"/>
                <w:color w:val="auto"/>
              </w:rPr>
            </w:pPr>
            <w:r>
              <w:rPr>
                <w:rFonts w:ascii="Arial" w:cs="Arial" w:eastAsia="Arial" w:hAnsi="Arial"/>
                <w:sz w:val="18"/>
                <w:szCs w:val="18"/>
                <w:b w:val="1"/>
                <w:bCs w:val="1"/>
                <w:color w:val="auto"/>
              </w:rPr>
              <w:t>September 30,</w:t>
            </w:r>
          </w:p>
        </w:tc>
        <w:tc>
          <w:tcPr>
            <w:tcW w:w="204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September 30,</w:t>
            </w:r>
          </w:p>
        </w:tc>
      </w:tr>
      <w:tr>
        <w:trPr>
          <w:trHeight w:val="270"/>
        </w:trPr>
        <w:tc>
          <w:tcPr>
            <w:tcW w:w="5800" w:type="dxa"/>
            <w:vAlign w:val="bottom"/>
          </w:tcPr>
          <w:p>
            <w:pPr>
              <w:spacing w:after="0"/>
              <w:rPr>
                <w:sz w:val="23"/>
                <w:szCs w:val="23"/>
                <w:color w:val="auto"/>
              </w:rPr>
            </w:pPr>
          </w:p>
        </w:tc>
        <w:tc>
          <w:tcPr>
            <w:tcW w:w="23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11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9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2018</w:t>
            </w:r>
          </w:p>
        </w:tc>
      </w:tr>
      <w:tr>
        <w:trPr>
          <w:trHeight w:val="27"/>
        </w:trPr>
        <w:tc>
          <w:tcPr>
            <w:tcW w:w="580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5800" w:type="dxa"/>
            <w:vAlign w:val="bottom"/>
          </w:tcPr>
          <w:p>
            <w:pPr>
              <w:ind w:left="20"/>
              <w:spacing w:after="0"/>
              <w:rPr>
                <w:sz w:val="20"/>
                <w:szCs w:val="20"/>
                <w:color w:val="auto"/>
              </w:rPr>
            </w:pPr>
            <w:r>
              <w:rPr>
                <w:rFonts w:ascii="Arial" w:cs="Arial" w:eastAsia="Arial" w:hAnsi="Arial"/>
                <w:sz w:val="18"/>
                <w:szCs w:val="18"/>
                <w:b w:val="1"/>
                <w:bCs w:val="1"/>
                <w:color w:val="auto"/>
              </w:rPr>
              <w:t>Millions Except Per Share Amounts</w:t>
            </w:r>
          </w:p>
        </w:tc>
        <w:tc>
          <w:tcPr>
            <w:tcW w:w="2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
        </w:trPr>
        <w:tc>
          <w:tcPr>
            <w:tcW w:w="58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Common Stock</w:t>
            </w:r>
          </w:p>
        </w:tc>
        <w:tc>
          <w:tcPr>
            <w:tcW w:w="2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5800" w:type="dxa"/>
            <w:vAlign w:val="bottom"/>
          </w:tcPr>
          <w:p>
            <w:pPr>
              <w:ind w:left="20"/>
              <w:spacing w:after="0"/>
              <w:rPr>
                <w:sz w:val="20"/>
                <w:szCs w:val="20"/>
                <w:color w:val="auto"/>
              </w:rPr>
            </w:pPr>
            <w:r>
              <w:rPr>
                <w:rFonts w:ascii="Arial" w:cs="Arial" w:eastAsia="Arial" w:hAnsi="Arial"/>
                <w:sz w:val="18"/>
                <w:szCs w:val="18"/>
                <w:color w:val="auto"/>
              </w:rPr>
              <w:t>Balance, Beginning of Period</w:t>
            </w:r>
          </w:p>
        </w:tc>
        <w:tc>
          <w:tcPr>
            <w:tcW w:w="2320" w:type="dxa"/>
            <w:vAlign w:val="bottom"/>
          </w:tcPr>
          <w:p>
            <w:pPr>
              <w:jc w:val="right"/>
              <w:ind w:right="150"/>
              <w:spacing w:after="0"/>
              <w:rPr>
                <w:sz w:val="20"/>
                <w:szCs w:val="20"/>
                <w:color w:val="auto"/>
              </w:rPr>
            </w:pPr>
            <w:r>
              <w:rPr>
                <w:rFonts w:ascii="Arial" w:cs="Arial" w:eastAsia="Arial" w:hAnsi="Arial"/>
                <w:sz w:val="18"/>
                <w:szCs w:val="18"/>
                <w:color w:val="auto"/>
              </w:rPr>
              <w:t>$1,433.3</w:t>
            </w:r>
          </w:p>
        </w:tc>
        <w:tc>
          <w:tcPr>
            <w:tcW w:w="1060" w:type="dxa"/>
            <w:vAlign w:val="bottom"/>
          </w:tcPr>
          <w:p>
            <w:pPr>
              <w:jc w:val="right"/>
              <w:ind w:right="190"/>
              <w:spacing w:after="0"/>
              <w:rPr>
                <w:sz w:val="20"/>
                <w:szCs w:val="20"/>
                <w:color w:val="auto"/>
              </w:rPr>
            </w:pPr>
            <w:r>
              <w:rPr>
                <w:rFonts w:ascii="Arial" w:cs="Arial" w:eastAsia="Arial" w:hAnsi="Arial"/>
                <w:sz w:val="18"/>
                <w:szCs w:val="18"/>
                <w:color w:val="auto"/>
              </w:rPr>
              <w:t>$1,415.4</w:t>
            </w:r>
          </w:p>
        </w:tc>
        <w:tc>
          <w:tcPr>
            <w:tcW w:w="1100" w:type="dxa"/>
            <w:vAlign w:val="bottom"/>
          </w:tcPr>
          <w:p>
            <w:pPr>
              <w:jc w:val="right"/>
              <w:ind w:right="170"/>
              <w:spacing w:after="0"/>
              <w:rPr>
                <w:sz w:val="20"/>
                <w:szCs w:val="20"/>
                <w:color w:val="auto"/>
              </w:rPr>
            </w:pPr>
            <w:r>
              <w:rPr>
                <w:rFonts w:ascii="Arial" w:cs="Arial" w:eastAsia="Arial" w:hAnsi="Arial"/>
                <w:sz w:val="18"/>
                <w:szCs w:val="18"/>
                <w:color w:val="auto"/>
              </w:rPr>
              <w:t>$1,428.5</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$1,401.4</w:t>
            </w:r>
          </w:p>
        </w:tc>
      </w:tr>
      <w:tr>
        <w:trPr>
          <w:trHeight w:val="27"/>
        </w:trPr>
        <w:tc>
          <w:tcPr>
            <w:tcW w:w="58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5"/>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Common Stock Issued</w:t>
            </w:r>
          </w:p>
        </w:tc>
        <w:tc>
          <w:tcPr>
            <w:tcW w:w="23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1.8</w:t>
            </w:r>
          </w:p>
        </w:tc>
        <w:tc>
          <w:tcPr>
            <w:tcW w:w="10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5.7</w:t>
            </w:r>
          </w:p>
        </w:tc>
        <w:tc>
          <w:tcPr>
            <w:tcW w:w="11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6.6</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w:t>
            </w:r>
          </w:p>
        </w:tc>
      </w:tr>
      <w:tr>
        <w:trPr>
          <w:trHeight w:val="237"/>
        </w:trPr>
        <w:tc>
          <w:tcPr>
            <w:tcW w:w="580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Balance, End of Period</w:t>
            </w:r>
          </w:p>
        </w:tc>
        <w:tc>
          <w:tcPr>
            <w:tcW w:w="23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1,435.1</w:t>
            </w:r>
          </w:p>
        </w:tc>
        <w:tc>
          <w:tcPr>
            <w:tcW w:w="106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1,421.1</w:t>
            </w:r>
          </w:p>
        </w:tc>
        <w:tc>
          <w:tcPr>
            <w:tcW w:w="11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1,435.1</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1,421.1</w:t>
            </w:r>
          </w:p>
        </w:tc>
      </w:tr>
      <w:tr>
        <w:trPr>
          <w:trHeight w:val="27"/>
        </w:trPr>
        <w:tc>
          <w:tcPr>
            <w:tcW w:w="580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318"/>
        </w:trPr>
        <w:tc>
          <w:tcPr>
            <w:tcW w:w="5800" w:type="dxa"/>
            <w:vAlign w:val="bottom"/>
            <w:shd w:val="clear" w:color="auto" w:fill="CCEEFF"/>
          </w:tcPr>
          <w:p>
            <w:pPr>
              <w:spacing w:after="0"/>
              <w:rPr>
                <w:sz w:val="24"/>
                <w:szCs w:val="24"/>
                <w:color w:val="auto"/>
              </w:rPr>
            </w:pPr>
          </w:p>
        </w:tc>
        <w:tc>
          <w:tcPr>
            <w:tcW w:w="2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43"/>
        </w:trPr>
        <w:tc>
          <w:tcPr>
            <w:tcW w:w="5800" w:type="dxa"/>
            <w:vAlign w:val="bottom"/>
          </w:tcPr>
          <w:p>
            <w:pPr>
              <w:ind w:left="20"/>
              <w:spacing w:after="0"/>
              <w:rPr>
                <w:sz w:val="20"/>
                <w:szCs w:val="20"/>
                <w:color w:val="auto"/>
              </w:rPr>
            </w:pPr>
            <w:r>
              <w:rPr>
                <w:rFonts w:ascii="Arial" w:cs="Arial" w:eastAsia="Arial" w:hAnsi="Arial"/>
                <w:sz w:val="18"/>
                <w:szCs w:val="18"/>
                <w:b w:val="1"/>
                <w:bCs w:val="1"/>
                <w:color w:val="auto"/>
              </w:rPr>
              <w:t>Accumulated Other Comprehensive Loss</w:t>
            </w:r>
          </w:p>
        </w:tc>
        <w:tc>
          <w:tcPr>
            <w:tcW w:w="2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58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Beginning of Period</w:t>
            </w:r>
          </w:p>
        </w:tc>
        <w:tc>
          <w:tcPr>
            <w:tcW w:w="2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(26.9)</w:t>
            </w:r>
          </w:p>
        </w:tc>
        <w:tc>
          <w:tcPr>
            <w:tcW w:w="10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(27.6)</w:t>
            </w: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(27.3)</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w:t>
            </w:r>
          </w:p>
        </w:tc>
      </w:tr>
      <w:tr>
        <w:trPr>
          <w:trHeight w:val="243"/>
        </w:trPr>
        <w:tc>
          <w:tcPr>
            <w:tcW w:w="5800" w:type="dxa"/>
            <w:vAlign w:val="bottom"/>
          </w:tcPr>
          <w:p>
            <w:pPr>
              <w:ind w:left="20"/>
              <w:spacing w:after="0"/>
              <w:rPr>
                <w:sz w:val="20"/>
                <w:szCs w:val="20"/>
                <w:color w:val="auto"/>
              </w:rPr>
            </w:pPr>
            <w:r>
              <w:rPr>
                <w:rFonts w:ascii="Arial" w:cs="Arial" w:eastAsia="Arial" w:hAnsi="Arial"/>
                <w:sz w:val="18"/>
                <w:szCs w:val="18"/>
                <w:color w:val="auto"/>
              </w:rPr>
              <w:t>Other Comprehensive Income - Net of Income Taxes</w:t>
            </w:r>
          </w:p>
        </w:tc>
        <w:tc>
          <w:tcPr>
            <w:tcW w:w="2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58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Unrealized Gain (Loss) on Debt Securities</w:t>
            </w:r>
          </w:p>
        </w:tc>
        <w:tc>
          <w:tcPr>
            <w:tcW w:w="23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0.2</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43"/>
        </w:trPr>
        <w:tc>
          <w:tcPr>
            <w:tcW w:w="5800" w:type="dxa"/>
            <w:vAlign w:val="bottom"/>
          </w:tcPr>
          <w:p>
            <w:pPr>
              <w:ind w:left="280"/>
              <w:spacing w:after="0"/>
              <w:rPr>
                <w:sz w:val="20"/>
                <w:szCs w:val="20"/>
                <w:color w:val="auto"/>
              </w:rPr>
            </w:pPr>
            <w:r>
              <w:rPr>
                <w:rFonts w:ascii="Arial" w:cs="Arial" w:eastAsia="Arial" w:hAnsi="Arial"/>
                <w:sz w:val="18"/>
                <w:szCs w:val="18"/>
                <w:color w:val="auto"/>
              </w:rPr>
              <w:t>Defined Benefit Pension and Other Postretirement Plans</w:t>
            </w:r>
          </w:p>
        </w:tc>
        <w:tc>
          <w:tcPr>
            <w:tcW w:w="2320" w:type="dxa"/>
            <w:vAlign w:val="bottom"/>
          </w:tcPr>
          <w:p>
            <w:pPr>
              <w:jc w:val="right"/>
              <w:ind w:right="150"/>
              <w:spacing w:after="0"/>
              <w:rPr>
                <w:sz w:val="20"/>
                <w:szCs w:val="20"/>
                <w:color w:val="auto"/>
              </w:rPr>
            </w:pPr>
            <w:r>
              <w:rPr>
                <w:rFonts w:ascii="Arial" w:cs="Arial" w:eastAsia="Arial" w:hAnsi="Arial"/>
                <w:sz w:val="18"/>
                <w:szCs w:val="18"/>
                <w:color w:val="auto"/>
              </w:rPr>
              <w:t>0.1</w:t>
            </w:r>
          </w:p>
        </w:tc>
        <w:tc>
          <w:tcPr>
            <w:tcW w:w="1060" w:type="dxa"/>
            <w:vAlign w:val="bottom"/>
          </w:tcPr>
          <w:p>
            <w:pPr>
              <w:jc w:val="right"/>
              <w:ind w:right="190"/>
              <w:spacing w:after="0"/>
              <w:rPr>
                <w:sz w:val="20"/>
                <w:szCs w:val="20"/>
                <w:color w:val="auto"/>
              </w:rPr>
            </w:pPr>
            <w:r>
              <w:rPr>
                <w:rFonts w:ascii="Arial" w:cs="Arial" w:eastAsia="Arial" w:hAnsi="Arial"/>
                <w:sz w:val="18"/>
                <w:szCs w:val="18"/>
                <w:color w:val="auto"/>
              </w:rPr>
              <w:t>0.3</w:t>
            </w:r>
          </w:p>
        </w:tc>
        <w:tc>
          <w:tcPr>
            <w:tcW w:w="1100" w:type="dxa"/>
            <w:vAlign w:val="bottom"/>
          </w:tcPr>
          <w:p>
            <w:pPr>
              <w:jc w:val="right"/>
              <w:ind w:right="170"/>
              <w:spacing w:after="0"/>
              <w:rPr>
                <w:sz w:val="20"/>
                <w:szCs w:val="20"/>
                <w:color w:val="auto"/>
              </w:rPr>
            </w:pPr>
            <w:r>
              <w:rPr>
                <w:rFonts w:ascii="Arial" w:cs="Arial" w:eastAsia="Arial" w:hAnsi="Arial"/>
                <w:sz w:val="18"/>
                <w:szCs w:val="18"/>
                <w:color w:val="auto"/>
              </w:rPr>
              <w:t>0.3</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7"/>
        </w:trPr>
        <w:tc>
          <w:tcPr>
            <w:tcW w:w="580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5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Balance, End of Period</w:t>
            </w:r>
          </w:p>
        </w:tc>
        <w:tc>
          <w:tcPr>
            <w:tcW w:w="2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(26.8)</w:t>
            </w:r>
          </w:p>
        </w:tc>
        <w:tc>
          <w:tcPr>
            <w:tcW w:w="10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(27.3)</w:t>
            </w: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(26.8)</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w:t>
            </w:r>
          </w:p>
        </w:tc>
      </w:tr>
      <w:tr>
        <w:trPr>
          <w:trHeight w:val="318"/>
        </w:trPr>
        <w:tc>
          <w:tcPr>
            <w:tcW w:w="5800" w:type="dxa"/>
            <w:vAlign w:val="bottom"/>
            <w:tcBorders>
              <w:top w:val="single" w:sz="8" w:color="auto"/>
            </w:tcBorders>
          </w:tcPr>
          <w:p>
            <w:pPr>
              <w:spacing w:after="0"/>
              <w:rPr>
                <w:sz w:val="24"/>
                <w:szCs w:val="24"/>
                <w:color w:val="auto"/>
              </w:rPr>
            </w:pPr>
          </w:p>
        </w:tc>
        <w:tc>
          <w:tcPr>
            <w:tcW w:w="23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250"/>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Retained Earnings</w:t>
            </w:r>
          </w:p>
        </w:tc>
        <w:tc>
          <w:tcPr>
            <w:tcW w:w="2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5800" w:type="dxa"/>
            <w:vAlign w:val="bottom"/>
          </w:tcPr>
          <w:p>
            <w:pPr>
              <w:ind w:left="20"/>
              <w:spacing w:after="0"/>
              <w:rPr>
                <w:sz w:val="20"/>
                <w:szCs w:val="20"/>
                <w:color w:val="auto"/>
              </w:rPr>
            </w:pPr>
            <w:r>
              <w:rPr>
                <w:rFonts w:ascii="Arial" w:cs="Arial" w:eastAsia="Arial" w:hAnsi="Arial"/>
                <w:sz w:val="18"/>
                <w:szCs w:val="18"/>
                <w:color w:val="auto"/>
              </w:rPr>
              <w:t>Balance, Beginning of Period</w:t>
            </w:r>
          </w:p>
        </w:tc>
        <w:tc>
          <w:tcPr>
            <w:tcW w:w="2320" w:type="dxa"/>
            <w:vAlign w:val="bottom"/>
          </w:tcPr>
          <w:p>
            <w:pPr>
              <w:jc w:val="right"/>
              <w:ind w:right="150"/>
              <w:spacing w:after="0"/>
              <w:rPr>
                <w:sz w:val="20"/>
                <w:szCs w:val="20"/>
                <w:color w:val="auto"/>
              </w:rPr>
            </w:pPr>
            <w:r>
              <w:rPr>
                <w:rFonts w:ascii="Arial" w:cs="Arial" w:eastAsia="Arial" w:hAnsi="Arial"/>
                <w:sz w:val="18"/>
                <w:szCs w:val="18"/>
                <w:color w:val="auto"/>
              </w:rPr>
              <w:t>798.6</w:t>
            </w:r>
          </w:p>
        </w:tc>
        <w:tc>
          <w:tcPr>
            <w:tcW w:w="1060" w:type="dxa"/>
            <w:vAlign w:val="bottom"/>
          </w:tcPr>
          <w:p>
            <w:pPr>
              <w:jc w:val="right"/>
              <w:ind w:right="190"/>
              <w:spacing w:after="0"/>
              <w:rPr>
                <w:sz w:val="20"/>
                <w:szCs w:val="20"/>
                <w:color w:val="auto"/>
              </w:rPr>
            </w:pPr>
            <w:r>
              <w:rPr>
                <w:rFonts w:ascii="Arial" w:cs="Arial" w:eastAsia="Arial" w:hAnsi="Arial"/>
                <w:sz w:val="18"/>
                <w:szCs w:val="18"/>
                <w:color w:val="auto"/>
              </w:rPr>
              <w:t>720.4</w:t>
            </w:r>
          </w:p>
        </w:tc>
        <w:tc>
          <w:tcPr>
            <w:tcW w:w="1100" w:type="dxa"/>
            <w:vAlign w:val="bottom"/>
          </w:tcPr>
          <w:p>
            <w:pPr>
              <w:jc w:val="right"/>
              <w:ind w:right="170"/>
              <w:spacing w:after="0"/>
              <w:rPr>
                <w:sz w:val="20"/>
                <w:szCs w:val="20"/>
                <w:color w:val="auto"/>
              </w:rPr>
            </w:pPr>
            <w:r>
              <w:rPr>
                <w:rFonts w:ascii="Arial" w:cs="Arial" w:eastAsia="Arial" w:hAnsi="Arial"/>
                <w:sz w:val="18"/>
                <w:szCs w:val="18"/>
                <w:color w:val="auto"/>
              </w:rPr>
              <w:t>754.6</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695.5</w:t>
            </w:r>
          </w:p>
        </w:tc>
      </w:tr>
      <w:tr>
        <w:trPr>
          <w:trHeight w:val="27"/>
        </w:trPr>
        <w:tc>
          <w:tcPr>
            <w:tcW w:w="58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3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31.2</w:t>
            </w:r>
          </w:p>
        </w:tc>
        <w:tc>
          <w:tcPr>
            <w:tcW w:w="10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30.7</w:t>
            </w:r>
          </w:p>
        </w:tc>
        <w:tc>
          <w:tcPr>
            <w:tcW w:w="11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135.9</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113.0</w:t>
            </w:r>
          </w:p>
        </w:tc>
      </w:tr>
      <w:tr>
        <w:trPr>
          <w:trHeight w:val="243"/>
        </w:trPr>
        <w:tc>
          <w:tcPr>
            <w:tcW w:w="5800" w:type="dxa"/>
            <w:vAlign w:val="bottom"/>
          </w:tcPr>
          <w:p>
            <w:pPr>
              <w:ind w:left="20"/>
              <w:spacing w:after="0"/>
              <w:rPr>
                <w:sz w:val="20"/>
                <w:szCs w:val="20"/>
                <w:color w:val="auto"/>
              </w:rPr>
            </w:pPr>
            <w:r>
              <w:rPr>
                <w:rFonts w:ascii="Arial" w:cs="Arial" w:eastAsia="Arial" w:hAnsi="Arial"/>
                <w:sz w:val="18"/>
                <w:szCs w:val="18"/>
                <w:color w:val="auto"/>
              </w:rPr>
              <w:t>Common Stock Dividends</w:t>
            </w:r>
          </w:p>
        </w:tc>
        <w:tc>
          <w:tcPr>
            <w:tcW w:w="2320" w:type="dxa"/>
            <w:vAlign w:val="bottom"/>
          </w:tcPr>
          <w:p>
            <w:pPr>
              <w:jc w:val="right"/>
              <w:ind w:right="90"/>
              <w:spacing w:after="0"/>
              <w:rPr>
                <w:sz w:val="20"/>
                <w:szCs w:val="20"/>
                <w:color w:val="auto"/>
              </w:rPr>
            </w:pPr>
            <w:r>
              <w:rPr>
                <w:rFonts w:ascii="Arial" w:cs="Arial" w:eastAsia="Arial" w:hAnsi="Arial"/>
                <w:sz w:val="18"/>
                <w:szCs w:val="18"/>
                <w:color w:val="auto"/>
              </w:rPr>
              <w:t>(30.3)</w:t>
            </w: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(28.8)</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(91.0)</w:t>
            </w:r>
          </w:p>
        </w:tc>
        <w:tc>
          <w:tcPr>
            <w:tcW w:w="940" w:type="dxa"/>
            <w:vAlign w:val="bottom"/>
          </w:tcPr>
          <w:p>
            <w:pPr>
              <w:jc w:val="right"/>
              <w:spacing w:after="0"/>
              <w:rPr>
                <w:sz w:val="20"/>
                <w:szCs w:val="20"/>
                <w:color w:val="auto"/>
              </w:rPr>
            </w:pPr>
            <w:r>
              <w:rPr>
                <w:rFonts w:ascii="Arial" w:cs="Arial" w:eastAsia="Arial" w:hAnsi="Arial"/>
                <w:sz w:val="18"/>
                <w:szCs w:val="18"/>
                <w:color w:val="auto"/>
              </w:rPr>
              <w:t>(86.2)</w:t>
            </w:r>
          </w:p>
        </w:tc>
      </w:tr>
      <w:tr>
        <w:trPr>
          <w:trHeight w:val="27"/>
        </w:trPr>
        <w:tc>
          <w:tcPr>
            <w:tcW w:w="580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5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Balance, End of Period</w:t>
            </w:r>
          </w:p>
        </w:tc>
        <w:tc>
          <w:tcPr>
            <w:tcW w:w="23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799.5</w:t>
            </w:r>
          </w:p>
        </w:tc>
        <w:tc>
          <w:tcPr>
            <w:tcW w:w="10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722.3</w:t>
            </w:r>
          </w:p>
        </w:tc>
        <w:tc>
          <w:tcPr>
            <w:tcW w:w="11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799.5</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722.3</w:t>
            </w:r>
          </w:p>
        </w:tc>
      </w:tr>
      <w:tr>
        <w:trPr>
          <w:trHeight w:val="318"/>
        </w:trPr>
        <w:tc>
          <w:tcPr>
            <w:tcW w:w="5800" w:type="dxa"/>
            <w:vAlign w:val="bottom"/>
            <w:tcBorders>
              <w:top w:val="single" w:sz="8" w:color="auto"/>
              <w:bottom w:val="single" w:sz="8" w:color="auto"/>
            </w:tcBorders>
          </w:tcPr>
          <w:p>
            <w:pPr>
              <w:spacing w:after="0"/>
              <w:rPr>
                <w:sz w:val="24"/>
                <w:szCs w:val="24"/>
                <w:color w:val="auto"/>
              </w:rPr>
            </w:pPr>
          </w:p>
        </w:tc>
        <w:tc>
          <w:tcPr>
            <w:tcW w:w="232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r>
      <w:tr>
        <w:trPr>
          <w:trHeight w:val="269"/>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Shareholders’ Equity</w:t>
            </w:r>
          </w:p>
        </w:tc>
        <w:tc>
          <w:tcPr>
            <w:tcW w:w="23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$2,207.8</w:t>
            </w:r>
          </w:p>
        </w:tc>
        <w:tc>
          <w:tcPr>
            <w:tcW w:w="10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$2,116.1</w:t>
            </w:r>
          </w:p>
        </w:tc>
        <w:tc>
          <w:tcPr>
            <w:tcW w:w="11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$2,207.8</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$2,116.1</w:t>
            </w:r>
          </w:p>
        </w:tc>
      </w:tr>
      <w:tr>
        <w:trPr>
          <w:trHeight w:val="318"/>
        </w:trPr>
        <w:tc>
          <w:tcPr>
            <w:tcW w:w="5800" w:type="dxa"/>
            <w:vAlign w:val="bottom"/>
            <w:tcBorders>
              <w:top w:val="single" w:sz="8" w:color="auto"/>
            </w:tcBorders>
          </w:tcPr>
          <w:p>
            <w:pPr>
              <w:spacing w:after="0"/>
              <w:rPr>
                <w:sz w:val="24"/>
                <w:szCs w:val="24"/>
                <w:color w:val="auto"/>
              </w:rPr>
            </w:pPr>
          </w:p>
        </w:tc>
        <w:tc>
          <w:tcPr>
            <w:tcW w:w="23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250"/>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Dividends Per Share of Common Stock</w:t>
            </w:r>
          </w:p>
        </w:tc>
        <w:tc>
          <w:tcPr>
            <w:tcW w:w="23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$0.5875</w:t>
            </w:r>
          </w:p>
        </w:tc>
        <w:tc>
          <w:tcPr>
            <w:tcW w:w="10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$0.56</w:t>
            </w:r>
          </w:p>
        </w:tc>
        <w:tc>
          <w:tcPr>
            <w:tcW w:w="11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$1.7625</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w:t>
            </w:r>
          </w:p>
        </w:tc>
      </w:tr>
      <w:tr>
        <w:trPr>
          <w:trHeight w:val="20"/>
        </w:trPr>
        <w:tc>
          <w:tcPr>
            <w:tcW w:w="5800" w:type="dxa"/>
            <w:vAlign w:val="bottom"/>
            <w:shd w:val="clear" w:color="auto" w:fill="000000"/>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r>
    </w:tbl>
    <w:p>
      <w:pPr>
        <w:spacing w:after="0" w:line="25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48"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ALLETE, Inc. Third Quarter 2019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320"/>
          </w:cols>
          <w:pgMar w:left="340" w:top="1040"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NOTES TO CONSOLIDATED FINANCIAL STATEMENTS – UNAUDITED</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the instructions to Form 10-Q and Rule 10-01 of Regulation S-X, and do not include all of the information and notes required by GAAP for complete financial statements. Similarly, the December 31, 2018, Consolidated Balance Sheet was derived from audited financial statements, but does not include all disclosures required by GAAP. In management’s opinion, these unaudited financial statements include all adjustments necessary for a fair statement of financial results. All adjustments are of a normal, recurring nature, except as otherwise disclosed. Operating results for the nine months ended September 30, 2019, are not necessarily indicative of results that may be expected for any other interim period or for the year ending December 31, 2019. For further information, refer to the Consolidated Financial Statements and notes included in our 2018 Form 10-K.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OPERATIONS AND SIGNIFICANT ACCOUNTING POLICIES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Cash, Cash Equivalents and Restricted Cash. </w:t>
      </w:r>
      <w:r>
        <w:rPr>
          <w:rFonts w:ascii="Arial" w:cs="Arial" w:eastAsia="Arial" w:hAnsi="Arial"/>
          <w:sz w:val="17"/>
          <w:szCs w:val="17"/>
          <w:color w:val="auto"/>
        </w:rPr>
        <w:t>We consider all investments purchased with original maturities of three months or less to be cash equivalents.</w:t>
      </w:r>
      <w:r>
        <w:rPr>
          <w:rFonts w:ascii="Arial" w:cs="Arial" w:eastAsia="Arial" w:hAnsi="Arial"/>
          <w:sz w:val="17"/>
          <w:szCs w:val="17"/>
          <w:b w:val="1"/>
          <w:bCs w:val="1"/>
          <w:color w:val="auto"/>
        </w:rPr>
        <w:t xml:space="preserve"> </w:t>
      </w:r>
      <w:r>
        <w:rPr>
          <w:rFonts w:ascii="Arial" w:cs="Arial" w:eastAsia="Arial" w:hAnsi="Arial"/>
          <w:sz w:val="17"/>
          <w:szCs w:val="17"/>
          <w:color w:val="auto"/>
        </w:rPr>
        <w:t>As of September 30, 2019, restricted cash amounts included in Prepayments and Other on the Consolidated Balance Sheet include collateral deposits required under an ALLETE Clean Energy loan agreement. In prior periods presented, the amounts also include U.S. Water Services' standby letters of credit. The restricted cash amounts included in Other Non-Current Assets represent collateral deposits required under an ALLETE Clean Energy loan agreement, PSAs and construction projects. In prior periods presented, the amounts also include deposits from a SWL&amp;P customer in aid of future capital expenditures. The following table provides a reconciliation of cash, cash equivalents and restricted cash reported within the Consolidated Balance Sheet that aggregate to the amounts presented in the Consolidated Statement of Cash Flows.</w:t>
      </w:r>
    </w:p>
    <w:p>
      <w:pPr>
        <w:spacing w:after="0" w:line="199"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1740" w:type="dxa"/>
            <w:vAlign w:val="bottom"/>
          </w:tcPr>
          <w:p>
            <w:pPr>
              <w:jc w:val="right"/>
              <w:ind w:right="230"/>
              <w:spacing w:after="0"/>
              <w:rPr>
                <w:sz w:val="20"/>
                <w:szCs w:val="20"/>
                <w:color w:val="auto"/>
              </w:rPr>
            </w:pPr>
            <w:r>
              <w:rPr>
                <w:rFonts w:ascii="Arial" w:cs="Arial" w:eastAsia="Arial" w:hAnsi="Arial"/>
                <w:sz w:val="18"/>
                <w:szCs w:val="18"/>
                <w:b w:val="1"/>
                <w:bCs w:val="1"/>
                <w:color w:val="auto"/>
              </w:rPr>
              <w:t>September 30,</w:t>
            </w:r>
          </w:p>
        </w:tc>
        <w:tc>
          <w:tcPr>
            <w:tcW w:w="1580" w:type="dxa"/>
            <w:vAlign w:val="bottom"/>
          </w:tcPr>
          <w:p>
            <w:pPr>
              <w:jc w:val="right"/>
              <w:ind w:right="190"/>
              <w:spacing w:after="0"/>
              <w:rPr>
                <w:sz w:val="20"/>
                <w:szCs w:val="20"/>
                <w:color w:val="auto"/>
              </w:rPr>
            </w:pPr>
            <w:r>
              <w:rPr>
                <w:rFonts w:ascii="Arial" w:cs="Arial" w:eastAsia="Arial" w:hAnsi="Arial"/>
                <w:sz w:val="18"/>
                <w:szCs w:val="18"/>
                <w:b w:val="1"/>
                <w:bCs w:val="1"/>
                <w:color w:val="auto"/>
              </w:rPr>
              <w:t>December 31,</w:t>
            </w:r>
          </w:p>
        </w:tc>
        <w:tc>
          <w:tcPr>
            <w:tcW w:w="1580" w:type="dxa"/>
            <w:vAlign w:val="bottom"/>
          </w:tcPr>
          <w:p>
            <w:pPr>
              <w:jc w:val="right"/>
              <w:ind w:right="190"/>
              <w:spacing w:after="0"/>
              <w:rPr>
                <w:sz w:val="20"/>
                <w:szCs w:val="20"/>
                <w:color w:val="auto"/>
              </w:rPr>
            </w:pPr>
            <w:r>
              <w:rPr>
                <w:rFonts w:ascii="Arial" w:cs="Arial" w:eastAsia="Arial" w:hAnsi="Arial"/>
                <w:sz w:val="18"/>
                <w:szCs w:val="18"/>
                <w:b w:val="1"/>
                <w:bCs w:val="1"/>
                <w:color w:val="auto"/>
              </w:rPr>
              <w:t>September 30,</w:t>
            </w:r>
          </w:p>
        </w:tc>
        <w:tc>
          <w:tcPr>
            <w:tcW w:w="1440" w:type="dxa"/>
            <w:vAlign w:val="bottom"/>
          </w:tcPr>
          <w:p>
            <w:pPr>
              <w:jc w:val="right"/>
              <w:ind w:right="5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Cash, Cash Equivalents and Restricted Cash</w:t>
            </w:r>
          </w:p>
        </w:tc>
        <w:tc>
          <w:tcPr>
            <w:tcW w:w="1740" w:type="dxa"/>
            <w:vAlign w:val="bottom"/>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1580" w:type="dxa"/>
            <w:vAlign w:val="bottom"/>
          </w:tcPr>
          <w:p>
            <w:pPr>
              <w:jc w:val="right"/>
              <w:ind w:right="130"/>
              <w:spacing w:after="0"/>
              <w:rPr>
                <w:sz w:val="20"/>
                <w:szCs w:val="20"/>
                <w:color w:val="auto"/>
              </w:rPr>
            </w:pPr>
            <w:r>
              <w:rPr>
                <w:rFonts w:ascii="Arial" w:cs="Arial" w:eastAsia="Arial" w:hAnsi="Arial"/>
                <w:sz w:val="18"/>
                <w:szCs w:val="18"/>
                <w:b w:val="1"/>
                <w:bCs w:val="1"/>
                <w:color w:val="auto"/>
              </w:rPr>
              <w:t>2018</w:t>
            </w:r>
          </w:p>
        </w:tc>
        <w:tc>
          <w:tcPr>
            <w:tcW w:w="1580" w:type="dxa"/>
            <w:vAlign w:val="bottom"/>
          </w:tcPr>
          <w:p>
            <w:pPr>
              <w:jc w:val="right"/>
              <w:ind w:right="130"/>
              <w:spacing w:after="0"/>
              <w:rPr>
                <w:sz w:val="20"/>
                <w:szCs w:val="20"/>
                <w:color w:val="auto"/>
              </w:rPr>
            </w:pPr>
            <w:r>
              <w:rPr>
                <w:rFonts w:ascii="Arial" w:cs="Arial" w:eastAsia="Arial" w:hAnsi="Arial"/>
                <w:sz w:val="18"/>
                <w:szCs w:val="18"/>
                <w:b w:val="1"/>
                <w:bCs w:val="1"/>
                <w:color w:val="auto"/>
              </w:rPr>
              <w:t>2018</w:t>
            </w:r>
          </w:p>
        </w:tc>
        <w:tc>
          <w:tcPr>
            <w:tcW w:w="1440" w:type="dxa"/>
            <w:vAlign w:val="bottom"/>
          </w:tcPr>
          <w:p>
            <w:pPr>
              <w:jc w:val="right"/>
              <w:ind w:right="10"/>
              <w:spacing w:after="0"/>
              <w:rPr>
                <w:sz w:val="20"/>
                <w:szCs w:val="20"/>
                <w:color w:val="auto"/>
              </w:rPr>
            </w:pPr>
            <w:r>
              <w:rPr>
                <w:rFonts w:ascii="Arial" w:cs="Arial" w:eastAsia="Arial" w:hAnsi="Arial"/>
                <w:sz w:val="18"/>
                <w:szCs w:val="18"/>
                <w:b w:val="1"/>
                <w:bCs w:val="1"/>
                <w:color w:val="auto"/>
              </w:rPr>
              <w:t>2017</w:t>
            </w:r>
          </w:p>
        </w:tc>
      </w:tr>
      <w:tr>
        <w:trPr>
          <w:trHeight w:val="27"/>
        </w:trPr>
        <w:tc>
          <w:tcPr>
            <w:tcW w:w="50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7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7"/>
        </w:trPr>
        <w:tc>
          <w:tcPr>
            <w:tcW w:w="50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7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$100.3</w:t>
            </w:r>
          </w:p>
        </w:tc>
        <w:tc>
          <w:tcPr>
            <w:tcW w:w="15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$69.1</w:t>
            </w:r>
          </w:p>
        </w:tc>
        <w:tc>
          <w:tcPr>
            <w:tcW w:w="15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$128.0</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$98.9</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Restricted Cash included in Prepayments and Other</w:t>
            </w:r>
          </w:p>
        </w:tc>
        <w:tc>
          <w:tcPr>
            <w:tcW w:w="1740" w:type="dxa"/>
            <w:vAlign w:val="bottom"/>
          </w:tcPr>
          <w:p>
            <w:pPr>
              <w:jc w:val="right"/>
              <w:ind w:right="170"/>
              <w:spacing w:after="0"/>
              <w:rPr>
                <w:sz w:val="20"/>
                <w:szCs w:val="20"/>
                <w:color w:val="auto"/>
              </w:rPr>
            </w:pPr>
            <w:r>
              <w:rPr>
                <w:rFonts w:ascii="Arial" w:cs="Arial" w:eastAsia="Arial" w:hAnsi="Arial"/>
                <w:sz w:val="18"/>
                <w:szCs w:val="18"/>
                <w:color w:val="auto"/>
              </w:rPr>
              <w:t>3.4</w:t>
            </w:r>
          </w:p>
        </w:tc>
        <w:tc>
          <w:tcPr>
            <w:tcW w:w="1580" w:type="dxa"/>
            <w:vAlign w:val="bottom"/>
          </w:tcPr>
          <w:p>
            <w:pPr>
              <w:jc w:val="right"/>
              <w:ind w:right="130"/>
              <w:spacing w:after="0"/>
              <w:rPr>
                <w:sz w:val="20"/>
                <w:szCs w:val="20"/>
                <w:color w:val="auto"/>
              </w:rPr>
            </w:pPr>
            <w:r>
              <w:rPr>
                <w:rFonts w:ascii="Arial" w:cs="Arial" w:eastAsia="Arial" w:hAnsi="Arial"/>
                <w:sz w:val="18"/>
                <w:szCs w:val="18"/>
                <w:color w:val="auto"/>
              </w:rPr>
              <w:t>1.3</w:t>
            </w:r>
          </w:p>
        </w:tc>
        <w:tc>
          <w:tcPr>
            <w:tcW w:w="1580" w:type="dxa"/>
            <w:vAlign w:val="bottom"/>
          </w:tcPr>
          <w:p>
            <w:pPr>
              <w:jc w:val="right"/>
              <w:ind w:right="130"/>
              <w:spacing w:after="0"/>
              <w:rPr>
                <w:sz w:val="20"/>
                <w:szCs w:val="20"/>
                <w:color w:val="auto"/>
              </w:rPr>
            </w:pPr>
            <w:r>
              <w:rPr>
                <w:rFonts w:ascii="Arial" w:cs="Arial" w:eastAsia="Arial" w:hAnsi="Arial"/>
                <w:sz w:val="18"/>
                <w:szCs w:val="18"/>
                <w:color w:val="auto"/>
              </w:rPr>
              <w:t>4.8</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2.6</w:t>
            </w:r>
          </w:p>
        </w:tc>
      </w:tr>
      <w:tr>
        <w:trPr>
          <w:trHeight w:val="27"/>
        </w:trPr>
        <w:tc>
          <w:tcPr>
            <w:tcW w:w="50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5"/>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Cash included in Other Non-Current Assets</w:t>
            </w:r>
          </w:p>
        </w:tc>
        <w:tc>
          <w:tcPr>
            <w:tcW w:w="17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31.5</w:t>
            </w:r>
          </w:p>
        </w:tc>
        <w:tc>
          <w:tcPr>
            <w:tcW w:w="15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8.6</w:t>
            </w:r>
          </w:p>
        </w:tc>
        <w:tc>
          <w:tcPr>
            <w:tcW w:w="15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8.7</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w:t>
            </w:r>
          </w:p>
        </w:tc>
      </w:tr>
      <w:tr>
        <w:trPr>
          <w:trHeight w:val="222"/>
        </w:trPr>
        <w:tc>
          <w:tcPr>
            <w:tcW w:w="50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5"/>
              </w:rPr>
              <w:t>Cash, Cash Equivalents and Restricted Cash on the Consolidated</w:t>
            </w:r>
          </w:p>
        </w:tc>
        <w:tc>
          <w:tcPr>
            <w:tcW w:w="174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r>
      <w:tr>
        <w:trPr>
          <w:trHeight w:val="230"/>
        </w:trPr>
        <w:tc>
          <w:tcPr>
            <w:tcW w:w="5040" w:type="dxa"/>
            <w:vAlign w:val="bottom"/>
          </w:tcPr>
          <w:p>
            <w:pPr>
              <w:ind w:left="20"/>
              <w:spacing w:after="0"/>
              <w:rPr>
                <w:sz w:val="20"/>
                <w:szCs w:val="20"/>
                <w:color w:val="auto"/>
              </w:rPr>
            </w:pPr>
            <w:r>
              <w:rPr>
                <w:rFonts w:ascii="Arial" w:cs="Arial" w:eastAsia="Arial" w:hAnsi="Arial"/>
                <w:sz w:val="18"/>
                <w:szCs w:val="18"/>
                <w:color w:val="auto"/>
              </w:rPr>
              <w:t>Statement of Cash Flows</w:t>
            </w:r>
          </w:p>
        </w:tc>
        <w:tc>
          <w:tcPr>
            <w:tcW w:w="1740" w:type="dxa"/>
            <w:vAlign w:val="bottom"/>
          </w:tcPr>
          <w:p>
            <w:pPr>
              <w:jc w:val="right"/>
              <w:ind w:right="170"/>
              <w:spacing w:after="0"/>
              <w:rPr>
                <w:sz w:val="20"/>
                <w:szCs w:val="20"/>
                <w:color w:val="auto"/>
              </w:rPr>
            </w:pPr>
            <w:r>
              <w:rPr>
                <w:rFonts w:ascii="Arial" w:cs="Arial" w:eastAsia="Arial" w:hAnsi="Arial"/>
                <w:sz w:val="18"/>
                <w:szCs w:val="18"/>
                <w:color w:val="auto"/>
              </w:rPr>
              <w:t>$135.2</w:t>
            </w:r>
          </w:p>
        </w:tc>
        <w:tc>
          <w:tcPr>
            <w:tcW w:w="1580" w:type="dxa"/>
            <w:vAlign w:val="bottom"/>
          </w:tcPr>
          <w:p>
            <w:pPr>
              <w:jc w:val="right"/>
              <w:ind w:right="130"/>
              <w:spacing w:after="0"/>
              <w:rPr>
                <w:sz w:val="20"/>
                <w:szCs w:val="20"/>
                <w:color w:val="auto"/>
              </w:rPr>
            </w:pPr>
            <w:r>
              <w:rPr>
                <w:rFonts w:ascii="Arial" w:cs="Arial" w:eastAsia="Arial" w:hAnsi="Arial"/>
                <w:sz w:val="18"/>
                <w:szCs w:val="18"/>
                <w:color w:val="auto"/>
              </w:rPr>
              <w:t>$79.0</w:t>
            </w:r>
          </w:p>
        </w:tc>
        <w:tc>
          <w:tcPr>
            <w:tcW w:w="1580" w:type="dxa"/>
            <w:vAlign w:val="bottom"/>
          </w:tcPr>
          <w:p>
            <w:pPr>
              <w:jc w:val="right"/>
              <w:ind w:right="130"/>
              <w:spacing w:after="0"/>
              <w:rPr>
                <w:sz w:val="20"/>
                <w:szCs w:val="20"/>
                <w:color w:val="auto"/>
              </w:rPr>
            </w:pPr>
            <w:r>
              <w:rPr>
                <w:rFonts w:ascii="Arial" w:cs="Arial" w:eastAsia="Arial" w:hAnsi="Arial"/>
                <w:sz w:val="18"/>
                <w:szCs w:val="18"/>
                <w:color w:val="auto"/>
              </w:rPr>
              <w:t>$141.5</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$110.1</w:t>
            </w:r>
          </w:p>
        </w:tc>
      </w:tr>
      <w:tr>
        <w:trPr>
          <w:trHeight w:val="27"/>
        </w:trPr>
        <w:tc>
          <w:tcPr>
            <w:tcW w:w="50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Inventories – Net. </w:t>
      </w:r>
      <w:r>
        <w:rPr>
          <w:rFonts w:ascii="Arial" w:cs="Arial" w:eastAsia="Arial" w:hAnsi="Arial"/>
          <w:sz w:val="18"/>
          <w:szCs w:val="18"/>
          <w:color w:val="auto"/>
        </w:rPr>
        <w:t>Inventories are stated at the lower of cost or net realizable value. Inventories in our Regulated Operations segment are carried at an</w:t>
      </w:r>
      <w:r>
        <w:rPr>
          <w:rFonts w:ascii="Arial" w:cs="Arial" w:eastAsia="Arial" w:hAnsi="Arial"/>
          <w:sz w:val="18"/>
          <w:szCs w:val="18"/>
          <w:b w:val="1"/>
          <w:bCs w:val="1"/>
          <w:color w:val="auto"/>
        </w:rPr>
        <w:t xml:space="preserve"> </w:t>
      </w:r>
      <w:r>
        <w:rPr>
          <w:rFonts w:ascii="Arial" w:cs="Arial" w:eastAsia="Arial" w:hAnsi="Arial"/>
          <w:sz w:val="18"/>
          <w:szCs w:val="18"/>
          <w:color w:val="auto"/>
        </w:rPr>
        <w:t>average cost or first-in, first-out basis. Inventories in our ALLETE Clean Energy segment and Corporate and Other businesses are carried at an average cost, first-in, first-out or specific identification basis.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60" w:type="dxa"/>
            <w:vAlign w:val="bottom"/>
          </w:tcPr>
          <w:p>
            <w:pPr>
              <w:spacing w:after="0"/>
              <w:rPr>
                <w:sz w:val="18"/>
                <w:szCs w:val="18"/>
                <w:color w:val="auto"/>
              </w:rPr>
            </w:pPr>
          </w:p>
        </w:tc>
        <w:tc>
          <w:tcPr>
            <w:tcW w:w="4620" w:type="dxa"/>
            <w:vAlign w:val="bottom"/>
          </w:tcPr>
          <w:p>
            <w:pPr>
              <w:jc w:val="right"/>
              <w:ind w:right="210"/>
              <w:spacing w:after="0"/>
              <w:rPr>
                <w:sz w:val="20"/>
                <w:szCs w:val="20"/>
                <w:color w:val="auto"/>
              </w:rPr>
            </w:pPr>
            <w:r>
              <w:rPr>
                <w:rFonts w:ascii="Arial" w:cs="Arial" w:eastAsia="Arial" w:hAnsi="Arial"/>
                <w:sz w:val="18"/>
                <w:szCs w:val="18"/>
                <w:b w:val="1"/>
                <w:bCs w:val="1"/>
                <w:color w:val="auto"/>
              </w:rPr>
              <w:t>September 30,</w:t>
            </w:r>
          </w:p>
        </w:tc>
        <w:tc>
          <w:tcPr>
            <w:tcW w:w="144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360" w:type="dxa"/>
            <w:vAlign w:val="bottom"/>
          </w:tcPr>
          <w:p>
            <w:pPr>
              <w:ind w:left="40"/>
              <w:spacing w:after="0"/>
              <w:rPr>
                <w:sz w:val="20"/>
                <w:szCs w:val="20"/>
                <w:color w:val="auto"/>
              </w:rPr>
            </w:pPr>
            <w:r>
              <w:rPr>
                <w:rFonts w:ascii="Arial" w:cs="Arial" w:eastAsia="Arial" w:hAnsi="Arial"/>
                <w:sz w:val="18"/>
                <w:szCs w:val="18"/>
                <w:b w:val="1"/>
                <w:bCs w:val="1"/>
                <w:color w:val="auto"/>
              </w:rPr>
              <w:t>Inventories – Net</w:t>
            </w:r>
          </w:p>
        </w:tc>
        <w:tc>
          <w:tcPr>
            <w:tcW w:w="4620" w:type="dxa"/>
            <w:vAlign w:val="bottom"/>
          </w:tcPr>
          <w:p>
            <w:pPr>
              <w:jc w:val="right"/>
              <w:ind w:right="150"/>
              <w:spacing w:after="0"/>
              <w:rPr>
                <w:sz w:val="20"/>
                <w:szCs w:val="20"/>
                <w:color w:val="auto"/>
              </w:rPr>
            </w:pPr>
            <w:r>
              <w:rPr>
                <w:rFonts w:ascii="Arial" w:cs="Arial" w:eastAsia="Arial" w:hAnsi="Arial"/>
                <w:sz w:val="18"/>
                <w:szCs w:val="18"/>
                <w:b w:val="1"/>
                <w:bCs w:val="1"/>
                <w:color w:val="auto"/>
              </w:rPr>
              <w:t>2019</w:t>
            </w:r>
          </w:p>
        </w:tc>
        <w:tc>
          <w:tcPr>
            <w:tcW w:w="1440" w:type="dxa"/>
            <w:vAlign w:val="bottom"/>
          </w:tcPr>
          <w:p>
            <w:pPr>
              <w:jc w:val="right"/>
              <w:ind w:right="10"/>
              <w:spacing w:after="0"/>
              <w:rPr>
                <w:sz w:val="20"/>
                <w:szCs w:val="20"/>
                <w:color w:val="auto"/>
              </w:rPr>
            </w:pPr>
            <w:r>
              <w:rPr>
                <w:rFonts w:ascii="Arial" w:cs="Arial" w:eastAsia="Arial" w:hAnsi="Arial"/>
                <w:sz w:val="18"/>
                <w:szCs w:val="18"/>
                <w:b w:val="1"/>
                <w:bCs w:val="1"/>
                <w:color w:val="auto"/>
              </w:rPr>
              <w:t>2018</w:t>
            </w:r>
          </w:p>
        </w:tc>
      </w:tr>
      <w:tr>
        <w:trPr>
          <w:trHeight w:val="27"/>
        </w:trPr>
        <w:tc>
          <w:tcPr>
            <w:tcW w:w="5360" w:type="dxa"/>
            <w:vAlign w:val="bottom"/>
            <w:tcBorders>
              <w:bottom w:val="single" w:sz="8" w:color="auto"/>
            </w:tcBorders>
          </w:tcPr>
          <w:p>
            <w:pPr>
              <w:spacing w:after="0"/>
              <w:rPr>
                <w:sz w:val="2"/>
                <w:szCs w:val="2"/>
                <w:color w:val="auto"/>
              </w:rPr>
            </w:pPr>
          </w:p>
        </w:tc>
        <w:tc>
          <w:tcPr>
            <w:tcW w:w="46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53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6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7"/>
        </w:trPr>
        <w:tc>
          <w:tcPr>
            <w:tcW w:w="536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Fuel </w:t>
            </w:r>
            <w:r>
              <w:rPr>
                <w:rFonts w:ascii="Arial" w:cs="Arial" w:eastAsia="Arial" w:hAnsi="Arial"/>
                <w:sz w:val="16"/>
                <w:szCs w:val="16"/>
                <w:i w:val="1"/>
                <w:iCs w:val="1"/>
                <w:color w:val="auto"/>
              </w:rPr>
              <w:t>(a)</w:t>
            </w:r>
          </w:p>
        </w:tc>
        <w:tc>
          <w:tcPr>
            <w:tcW w:w="46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$37.8</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Materials and Supplies</w:t>
            </w:r>
          </w:p>
        </w:tc>
        <w:tc>
          <w:tcPr>
            <w:tcW w:w="4620" w:type="dxa"/>
            <w:vAlign w:val="bottom"/>
          </w:tcPr>
          <w:p>
            <w:pPr>
              <w:jc w:val="right"/>
              <w:ind w:right="150"/>
              <w:spacing w:after="0"/>
              <w:rPr>
                <w:sz w:val="20"/>
                <w:szCs w:val="20"/>
                <w:color w:val="auto"/>
              </w:rPr>
            </w:pPr>
            <w:r>
              <w:rPr>
                <w:rFonts w:ascii="Arial" w:cs="Arial" w:eastAsia="Arial" w:hAnsi="Arial"/>
                <w:sz w:val="18"/>
                <w:szCs w:val="18"/>
                <w:color w:val="auto"/>
              </w:rPr>
              <w:t>46.8</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44.2</w:t>
            </w:r>
          </w:p>
        </w:tc>
      </w:tr>
      <w:tr>
        <w:trPr>
          <w:trHeight w:val="27"/>
        </w:trPr>
        <w:tc>
          <w:tcPr>
            <w:tcW w:w="536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Raw Materials </w:t>
            </w:r>
            <w:r>
              <w:rPr>
                <w:rFonts w:ascii="Arial" w:cs="Arial" w:eastAsia="Arial" w:hAnsi="Arial"/>
                <w:sz w:val="16"/>
                <w:szCs w:val="16"/>
                <w:i w:val="1"/>
                <w:iCs w:val="1"/>
                <w:color w:val="auto"/>
              </w:rPr>
              <w:t>(b)</w:t>
            </w:r>
          </w:p>
        </w:tc>
        <w:tc>
          <w:tcPr>
            <w:tcW w:w="46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 xml:space="preserve">Work in Progress </w:t>
            </w:r>
            <w:r>
              <w:rPr>
                <w:rFonts w:ascii="Arial" w:cs="Arial" w:eastAsia="Arial" w:hAnsi="Arial"/>
                <w:sz w:val="16"/>
                <w:szCs w:val="16"/>
                <w:i w:val="1"/>
                <w:iCs w:val="1"/>
                <w:color w:val="auto"/>
              </w:rPr>
              <w:t>(b)</w:t>
            </w:r>
          </w:p>
        </w:tc>
        <w:tc>
          <w:tcPr>
            <w:tcW w:w="46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6.1</w:t>
            </w:r>
          </w:p>
        </w:tc>
      </w:tr>
      <w:tr>
        <w:trPr>
          <w:trHeight w:val="27"/>
        </w:trPr>
        <w:tc>
          <w:tcPr>
            <w:tcW w:w="536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Finished Goods </w:t>
            </w:r>
            <w:r>
              <w:rPr>
                <w:rFonts w:ascii="Arial" w:cs="Arial" w:eastAsia="Arial" w:hAnsi="Arial"/>
                <w:sz w:val="16"/>
                <w:szCs w:val="16"/>
                <w:i w:val="1"/>
                <w:iCs w:val="1"/>
                <w:color w:val="auto"/>
              </w:rPr>
              <w:t>(b)</w:t>
            </w:r>
          </w:p>
        </w:tc>
        <w:tc>
          <w:tcPr>
            <w:tcW w:w="46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 xml:space="preserve">Reserve for Obsolescence </w:t>
            </w:r>
            <w:r>
              <w:rPr>
                <w:rFonts w:ascii="Arial" w:cs="Arial" w:eastAsia="Arial" w:hAnsi="Arial"/>
                <w:sz w:val="16"/>
                <w:szCs w:val="16"/>
                <w:i w:val="1"/>
                <w:iCs w:val="1"/>
                <w:color w:val="auto"/>
              </w:rPr>
              <w:t>(b)</w:t>
            </w:r>
          </w:p>
        </w:tc>
        <w:tc>
          <w:tcPr>
            <w:tcW w:w="46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7"/>
        </w:trPr>
        <w:tc>
          <w:tcPr>
            <w:tcW w:w="5360" w:type="dxa"/>
            <w:vAlign w:val="bottom"/>
            <w:tcBorders>
              <w:bottom w:val="single" w:sz="8" w:color="auto"/>
            </w:tcBorders>
          </w:tcPr>
          <w:p>
            <w:pPr>
              <w:spacing w:after="0"/>
              <w:rPr>
                <w:sz w:val="2"/>
                <w:szCs w:val="2"/>
                <w:color w:val="auto"/>
              </w:rPr>
            </w:pPr>
          </w:p>
        </w:tc>
        <w:tc>
          <w:tcPr>
            <w:tcW w:w="46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Inventories – Net</w:t>
            </w:r>
          </w:p>
        </w:tc>
        <w:tc>
          <w:tcPr>
            <w:tcW w:w="46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$84.6</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$86.7</w:t>
            </w:r>
          </w:p>
        </w:tc>
      </w:tr>
      <w:tr>
        <w:trPr>
          <w:trHeight w:val="20"/>
        </w:trPr>
        <w:tc>
          <w:tcPr>
            <w:tcW w:w="5360" w:type="dxa"/>
            <w:vAlign w:val="bottom"/>
            <w:shd w:val="clear" w:color="auto" w:fill="000000"/>
          </w:tcPr>
          <w:p>
            <w:pPr>
              <w:spacing w:after="0" w:line="20" w:lineRule="exact"/>
              <w:rPr>
                <w:sz w:val="1"/>
                <w:szCs w:val="1"/>
                <w:color w:val="auto"/>
              </w:rPr>
            </w:pPr>
          </w:p>
        </w:tc>
        <w:tc>
          <w:tcPr>
            <w:tcW w:w="46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r>
    </w:tbl>
    <w:p>
      <w:pPr>
        <w:spacing w:after="0" w:line="206"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Fuel consists primarily of coal inventory at Minnesota Power.</w:t>
      </w:r>
    </w:p>
    <w:p>
      <w:pPr>
        <w:spacing w:after="0" w:line="19" w:lineRule="exact"/>
        <w:rPr>
          <w:rFonts w:ascii="Arial" w:cs="Arial" w:eastAsia="Arial" w:hAnsi="Arial"/>
          <w:sz w:val="16"/>
          <w:szCs w:val="16"/>
          <w:i w:val="1"/>
          <w:iCs w:val="1"/>
          <w:color w:val="auto"/>
        </w:rPr>
      </w:pPr>
    </w:p>
    <w:p>
      <w:pPr>
        <w:ind w:left="340" w:hanging="332"/>
        <w:spacing w:after="0"/>
        <w:tabs>
          <w:tab w:leader="none" w:pos="340"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On March 26, 2019, ALLETE completed the sale of U.S. Water Services which resulted in the removal of the related inventory items from the Consolidated Balance Sheet.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2019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420"/>
          </w:cols>
          <w:pgMar w:left="240" w:top="1040"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4"/>
        </w:trPr>
        <w:tc>
          <w:tcPr>
            <w:tcW w:w="7680" w:type="dxa"/>
            <w:vAlign w:val="bottom"/>
          </w:tcPr>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tc>
        <w:tc>
          <w:tcPr>
            <w:tcW w:w="23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41"/>
        </w:trPr>
        <w:tc>
          <w:tcPr>
            <w:tcW w:w="7680" w:type="dxa"/>
            <w:vAlign w:val="bottom"/>
          </w:tcPr>
          <w:p>
            <w:pPr>
              <w:spacing w:after="0"/>
              <w:rPr>
                <w:sz w:val="24"/>
                <w:szCs w:val="24"/>
                <w:color w:val="auto"/>
              </w:rPr>
            </w:pPr>
          </w:p>
        </w:tc>
        <w:tc>
          <w:tcPr>
            <w:tcW w:w="2300" w:type="dxa"/>
            <w:vAlign w:val="bottom"/>
          </w:tcPr>
          <w:p>
            <w:pPr>
              <w:jc w:val="right"/>
              <w:ind w:right="210"/>
              <w:spacing w:after="0"/>
              <w:rPr>
                <w:sz w:val="20"/>
                <w:szCs w:val="20"/>
                <w:color w:val="auto"/>
              </w:rPr>
            </w:pPr>
            <w:r>
              <w:rPr>
                <w:rFonts w:ascii="Arial" w:cs="Arial" w:eastAsia="Arial" w:hAnsi="Arial"/>
                <w:sz w:val="18"/>
                <w:szCs w:val="18"/>
                <w:b w:val="1"/>
                <w:bCs w:val="1"/>
                <w:color w:val="auto"/>
              </w:rPr>
              <w:t>September 30,</w:t>
            </w:r>
          </w:p>
        </w:tc>
        <w:tc>
          <w:tcPr>
            <w:tcW w:w="144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7680" w:type="dxa"/>
            <w:vAlign w:val="bottom"/>
          </w:tcPr>
          <w:p>
            <w:pPr>
              <w:ind w:left="40"/>
              <w:spacing w:after="0"/>
              <w:rPr>
                <w:sz w:val="20"/>
                <w:szCs w:val="20"/>
                <w:color w:val="auto"/>
              </w:rPr>
            </w:pPr>
            <w:r>
              <w:rPr>
                <w:rFonts w:ascii="Arial" w:cs="Arial" w:eastAsia="Arial" w:hAnsi="Arial"/>
                <w:sz w:val="18"/>
                <w:szCs w:val="18"/>
                <w:b w:val="1"/>
                <w:bCs w:val="1"/>
                <w:color w:val="auto"/>
              </w:rPr>
              <w:t>Other Non-Current Assets</w:t>
            </w:r>
          </w:p>
        </w:tc>
        <w:tc>
          <w:tcPr>
            <w:tcW w:w="2300" w:type="dxa"/>
            <w:vAlign w:val="bottom"/>
          </w:tcPr>
          <w:p>
            <w:pPr>
              <w:jc w:val="right"/>
              <w:ind w:right="150"/>
              <w:spacing w:after="0"/>
              <w:rPr>
                <w:sz w:val="20"/>
                <w:szCs w:val="20"/>
                <w:color w:val="auto"/>
              </w:rPr>
            </w:pPr>
            <w:r>
              <w:rPr>
                <w:rFonts w:ascii="Arial" w:cs="Arial" w:eastAsia="Arial" w:hAnsi="Arial"/>
                <w:sz w:val="18"/>
                <w:szCs w:val="18"/>
                <w:b w:val="1"/>
                <w:bCs w:val="1"/>
                <w:color w:val="auto"/>
              </w:rPr>
              <w:t>2019</w:t>
            </w:r>
          </w:p>
        </w:tc>
        <w:tc>
          <w:tcPr>
            <w:tcW w:w="1440" w:type="dxa"/>
            <w:vAlign w:val="bottom"/>
          </w:tcPr>
          <w:p>
            <w:pPr>
              <w:jc w:val="right"/>
              <w:ind w:right="10"/>
              <w:spacing w:after="0"/>
              <w:rPr>
                <w:sz w:val="20"/>
                <w:szCs w:val="20"/>
                <w:color w:val="auto"/>
              </w:rPr>
            </w:pPr>
            <w:r>
              <w:rPr>
                <w:rFonts w:ascii="Arial" w:cs="Arial" w:eastAsia="Arial" w:hAnsi="Arial"/>
                <w:sz w:val="18"/>
                <w:szCs w:val="18"/>
                <w:b w:val="1"/>
                <w:bCs w:val="1"/>
                <w:color w:val="auto"/>
              </w:rPr>
              <w:t>2018</w:t>
            </w:r>
          </w:p>
        </w:tc>
      </w:tr>
      <w:tr>
        <w:trPr>
          <w:trHeight w:val="27"/>
        </w:trPr>
        <w:tc>
          <w:tcPr>
            <w:tcW w:w="76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76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3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7"/>
        </w:trPr>
        <w:tc>
          <w:tcPr>
            <w:tcW w:w="76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Contract Assets </w:t>
            </w:r>
            <w:r>
              <w:rPr>
                <w:rFonts w:ascii="Arial" w:cs="Arial" w:eastAsia="Arial" w:hAnsi="Arial"/>
                <w:sz w:val="16"/>
                <w:szCs w:val="16"/>
                <w:i w:val="1"/>
                <w:iCs w:val="1"/>
                <w:color w:val="auto"/>
              </w:rPr>
              <w:t>(a)</w:t>
            </w:r>
          </w:p>
        </w:tc>
        <w:tc>
          <w:tcPr>
            <w:tcW w:w="23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$28.6</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w:t>
            </w:r>
          </w:p>
        </w:tc>
      </w:tr>
      <w:tr>
        <w:trPr>
          <w:trHeight w:val="243"/>
        </w:trPr>
        <w:tc>
          <w:tcPr>
            <w:tcW w:w="7680" w:type="dxa"/>
            <w:vAlign w:val="bottom"/>
          </w:tcPr>
          <w:p>
            <w:pPr>
              <w:ind w:left="40"/>
              <w:spacing w:after="0"/>
              <w:rPr>
                <w:sz w:val="20"/>
                <w:szCs w:val="20"/>
                <w:color w:val="auto"/>
              </w:rPr>
            </w:pPr>
            <w:r>
              <w:rPr>
                <w:rFonts w:ascii="Arial" w:cs="Arial" w:eastAsia="Arial" w:hAnsi="Arial"/>
                <w:sz w:val="18"/>
                <w:szCs w:val="18"/>
                <w:color w:val="auto"/>
              </w:rPr>
              <w:t xml:space="preserve">Finance Receivable </w:t>
            </w:r>
            <w:r>
              <w:rPr>
                <w:rFonts w:ascii="Arial" w:cs="Arial" w:eastAsia="Arial" w:hAnsi="Arial"/>
                <w:sz w:val="16"/>
                <w:szCs w:val="16"/>
                <w:i w:val="1"/>
                <w:iCs w:val="1"/>
                <w:color w:val="auto"/>
              </w:rPr>
              <w:t>(b)</w:t>
            </w:r>
          </w:p>
        </w:tc>
        <w:tc>
          <w:tcPr>
            <w:tcW w:w="23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10.4</w:t>
            </w:r>
          </w:p>
        </w:tc>
      </w:tr>
      <w:tr>
        <w:trPr>
          <w:trHeight w:val="27"/>
        </w:trPr>
        <w:tc>
          <w:tcPr>
            <w:tcW w:w="76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Operating Lease Right-of-use Assets </w:t>
            </w:r>
            <w:r>
              <w:rPr>
                <w:rFonts w:ascii="Arial" w:cs="Arial" w:eastAsia="Arial" w:hAnsi="Arial"/>
                <w:sz w:val="16"/>
                <w:szCs w:val="16"/>
                <w:i w:val="1"/>
                <w:iCs w:val="1"/>
                <w:color w:val="auto"/>
              </w:rPr>
              <w:t>(c)</w:t>
            </w:r>
          </w:p>
        </w:tc>
        <w:tc>
          <w:tcPr>
            <w:tcW w:w="23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30.4</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680" w:type="dxa"/>
            <w:vAlign w:val="bottom"/>
          </w:tcPr>
          <w:p>
            <w:pPr>
              <w:ind w:left="40"/>
              <w:spacing w:after="0"/>
              <w:rPr>
                <w:sz w:val="20"/>
                <w:szCs w:val="20"/>
                <w:color w:val="auto"/>
              </w:rPr>
            </w:pPr>
            <w:r>
              <w:rPr>
                <w:rFonts w:ascii="Arial" w:cs="Arial" w:eastAsia="Arial" w:hAnsi="Arial"/>
                <w:sz w:val="18"/>
                <w:szCs w:val="18"/>
                <w:color w:val="auto"/>
              </w:rPr>
              <w:t>ALLETE Properties</w:t>
            </w:r>
          </w:p>
        </w:tc>
        <w:tc>
          <w:tcPr>
            <w:tcW w:w="2300" w:type="dxa"/>
            <w:vAlign w:val="bottom"/>
          </w:tcPr>
          <w:p>
            <w:pPr>
              <w:jc w:val="right"/>
              <w:ind w:right="150"/>
              <w:spacing w:after="0"/>
              <w:rPr>
                <w:sz w:val="20"/>
                <w:szCs w:val="20"/>
                <w:color w:val="auto"/>
              </w:rPr>
            </w:pPr>
            <w:r>
              <w:rPr>
                <w:rFonts w:ascii="Arial" w:cs="Arial" w:eastAsia="Arial" w:hAnsi="Arial"/>
                <w:sz w:val="18"/>
                <w:szCs w:val="18"/>
                <w:color w:val="auto"/>
              </w:rPr>
              <w:t>22.4</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24.4</w:t>
            </w:r>
          </w:p>
        </w:tc>
      </w:tr>
      <w:tr>
        <w:trPr>
          <w:trHeight w:val="27"/>
        </w:trPr>
        <w:tc>
          <w:tcPr>
            <w:tcW w:w="76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5"/>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3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110.2</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86.9</w:t>
            </w:r>
          </w:p>
        </w:tc>
      </w:tr>
      <w:tr>
        <w:trPr>
          <w:trHeight w:val="237"/>
        </w:trPr>
        <w:tc>
          <w:tcPr>
            <w:tcW w:w="76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Other Non-Current Assets</w:t>
            </w:r>
          </w:p>
        </w:tc>
        <w:tc>
          <w:tcPr>
            <w:tcW w:w="23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$191.6</w:t>
            </w:r>
          </w:p>
        </w:tc>
        <w:tc>
          <w:tcPr>
            <w:tcW w:w="1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$152.4</w:t>
            </w:r>
          </w:p>
        </w:tc>
      </w:tr>
      <w:tr>
        <w:trPr>
          <w:trHeight w:val="27"/>
        </w:trPr>
        <w:tc>
          <w:tcPr>
            <w:tcW w:w="76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bl>
    <w:p>
      <w:pPr>
        <w:spacing w:after="0" w:line="206" w:lineRule="exact"/>
        <w:rPr>
          <w:sz w:val="20"/>
          <w:szCs w:val="20"/>
          <w:color w:val="auto"/>
        </w:rPr>
      </w:pPr>
    </w:p>
    <w:p>
      <w:pPr>
        <w:ind w:left="340" w:hanging="332"/>
        <w:spacing w:after="0" w:line="255" w:lineRule="auto"/>
        <w:tabs>
          <w:tab w:leader="none" w:pos="34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Contract Assets consist of payments made to customers as an incentive to execute or extend service agreements. The contract payments are being amortized over the term of the respective agreements as a reduction to revenue.</w:t>
      </w:r>
    </w:p>
    <w:p>
      <w:pPr>
        <w:spacing w:after="0" w:line="1" w:lineRule="exact"/>
        <w:rPr>
          <w:rFonts w:ascii="Arial" w:cs="Arial" w:eastAsia="Arial" w:hAnsi="Arial"/>
          <w:sz w:val="16"/>
          <w:szCs w:val="16"/>
          <w:i w:val="1"/>
          <w:iCs w:val="1"/>
          <w:color w:val="auto"/>
        </w:rPr>
      </w:pPr>
    </w:p>
    <w:p>
      <w:pPr>
        <w:ind w:left="340" w:hanging="332"/>
        <w:spacing w:after="0"/>
        <w:tabs>
          <w:tab w:leader="none" w:pos="34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Finance Receivable related to the 2016 sale of Ormond Crossings and Lake Swamp, which was collected in the second quarter of 2019.</w:t>
      </w:r>
    </w:p>
    <w:p>
      <w:pPr>
        <w:spacing w:after="0" w:line="5" w:lineRule="exact"/>
        <w:rPr>
          <w:rFonts w:ascii="Arial" w:cs="Arial" w:eastAsia="Arial" w:hAnsi="Arial"/>
          <w:sz w:val="16"/>
          <w:szCs w:val="16"/>
          <w:i w:val="1"/>
          <w:iCs w:val="1"/>
          <w:color w:val="auto"/>
        </w:rPr>
      </w:pPr>
    </w:p>
    <w:p>
      <w:pPr>
        <w:ind w:left="340" w:hanging="332"/>
        <w:spacing w:after="0"/>
        <w:tabs>
          <w:tab w:leader="none" w:pos="34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See Leases.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60" w:type="dxa"/>
            <w:vAlign w:val="bottom"/>
          </w:tcPr>
          <w:p>
            <w:pPr>
              <w:spacing w:after="0"/>
              <w:rPr>
                <w:sz w:val="18"/>
                <w:szCs w:val="18"/>
                <w:color w:val="auto"/>
              </w:rPr>
            </w:pPr>
          </w:p>
        </w:tc>
        <w:tc>
          <w:tcPr>
            <w:tcW w:w="4300" w:type="dxa"/>
            <w:vAlign w:val="bottom"/>
          </w:tcPr>
          <w:p>
            <w:pPr>
              <w:jc w:val="right"/>
              <w:ind w:right="190"/>
              <w:spacing w:after="0"/>
              <w:rPr>
                <w:sz w:val="20"/>
                <w:szCs w:val="20"/>
                <w:color w:val="auto"/>
              </w:rPr>
            </w:pPr>
            <w:r>
              <w:rPr>
                <w:rFonts w:ascii="Arial" w:cs="Arial" w:eastAsia="Arial" w:hAnsi="Arial"/>
                <w:sz w:val="18"/>
                <w:szCs w:val="18"/>
                <w:b w:val="1"/>
                <w:bCs w:val="1"/>
                <w:color w:val="auto"/>
              </w:rPr>
              <w:t>September 30,</w:t>
            </w:r>
          </w:p>
        </w:tc>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660" w:type="dxa"/>
            <w:vAlign w:val="bottom"/>
          </w:tcPr>
          <w:p>
            <w:pPr>
              <w:ind w:left="40"/>
              <w:spacing w:after="0"/>
              <w:rPr>
                <w:sz w:val="20"/>
                <w:szCs w:val="20"/>
                <w:color w:val="auto"/>
              </w:rPr>
            </w:pPr>
            <w:r>
              <w:rPr>
                <w:rFonts w:ascii="Arial" w:cs="Arial" w:eastAsia="Arial" w:hAnsi="Arial"/>
                <w:sz w:val="18"/>
                <w:szCs w:val="18"/>
                <w:b w:val="1"/>
                <w:bCs w:val="1"/>
                <w:color w:val="auto"/>
              </w:rPr>
              <w:t>Other Current Liabilities</w:t>
            </w:r>
          </w:p>
        </w:tc>
        <w:tc>
          <w:tcPr>
            <w:tcW w:w="4300" w:type="dxa"/>
            <w:vAlign w:val="bottom"/>
          </w:tcPr>
          <w:p>
            <w:pPr>
              <w:jc w:val="right"/>
              <w:ind w:right="150"/>
              <w:spacing w:after="0"/>
              <w:rPr>
                <w:sz w:val="20"/>
                <w:szCs w:val="20"/>
                <w:color w:val="auto"/>
              </w:rPr>
            </w:pPr>
            <w:r>
              <w:rPr>
                <w:rFonts w:ascii="Arial" w:cs="Arial" w:eastAsia="Arial" w:hAnsi="Arial"/>
                <w:sz w:val="18"/>
                <w:szCs w:val="18"/>
                <w:b w:val="1"/>
                <w:bCs w:val="1"/>
                <w:color w:val="auto"/>
              </w:rPr>
              <w:t>2019</w:t>
            </w:r>
          </w:p>
        </w:tc>
        <w:tc>
          <w:tcPr>
            <w:tcW w:w="1460" w:type="dxa"/>
            <w:vAlign w:val="bottom"/>
          </w:tcPr>
          <w:p>
            <w:pPr>
              <w:jc w:val="right"/>
              <w:ind w:right="10"/>
              <w:spacing w:after="0"/>
              <w:rPr>
                <w:sz w:val="20"/>
                <w:szCs w:val="20"/>
                <w:color w:val="auto"/>
              </w:rPr>
            </w:pPr>
            <w:r>
              <w:rPr>
                <w:rFonts w:ascii="Arial" w:cs="Arial" w:eastAsia="Arial" w:hAnsi="Arial"/>
                <w:sz w:val="18"/>
                <w:szCs w:val="18"/>
                <w:b w:val="1"/>
                <w:bCs w:val="1"/>
                <w:color w:val="auto"/>
              </w:rPr>
              <w:t>2018</w:t>
            </w:r>
          </w:p>
        </w:tc>
      </w:tr>
      <w:tr>
        <w:trPr>
          <w:trHeight w:val="27"/>
        </w:trPr>
        <w:tc>
          <w:tcPr>
            <w:tcW w:w="5660" w:type="dxa"/>
            <w:vAlign w:val="bottom"/>
            <w:tcBorders>
              <w:bottom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56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3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7"/>
        </w:trPr>
        <w:tc>
          <w:tcPr>
            <w:tcW w:w="56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Provision for Interim Rate Refund </w:t>
            </w:r>
            <w:r>
              <w:rPr>
                <w:rFonts w:ascii="Arial" w:cs="Arial" w:eastAsia="Arial" w:hAnsi="Arial"/>
                <w:sz w:val="16"/>
                <w:szCs w:val="16"/>
                <w:i w:val="1"/>
                <w:iCs w:val="1"/>
                <w:color w:val="auto"/>
              </w:rPr>
              <w:t>(a)</w:t>
            </w:r>
          </w:p>
        </w:tc>
        <w:tc>
          <w:tcPr>
            <w:tcW w:w="43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w:t>
            </w: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PSAs</w:t>
            </w:r>
          </w:p>
        </w:tc>
        <w:tc>
          <w:tcPr>
            <w:tcW w:w="4300" w:type="dxa"/>
            <w:vAlign w:val="bottom"/>
          </w:tcPr>
          <w:p>
            <w:pPr>
              <w:jc w:val="right"/>
              <w:ind w:right="150"/>
              <w:spacing w:after="0"/>
              <w:rPr>
                <w:sz w:val="20"/>
                <w:szCs w:val="20"/>
                <w:color w:val="auto"/>
              </w:rPr>
            </w:pPr>
            <w:r>
              <w:rPr>
                <w:rFonts w:ascii="Arial" w:cs="Arial" w:eastAsia="Arial" w:hAnsi="Arial"/>
                <w:sz w:val="18"/>
                <w:szCs w:val="18"/>
                <w:color w:val="auto"/>
              </w:rPr>
              <w:t>$12.3</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12.6</w:t>
            </w:r>
          </w:p>
        </w:tc>
      </w:tr>
      <w:tr>
        <w:trPr>
          <w:trHeight w:val="27"/>
        </w:trPr>
        <w:tc>
          <w:tcPr>
            <w:tcW w:w="56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Contract Liabilities </w:t>
            </w:r>
            <w:r>
              <w:rPr>
                <w:rFonts w:ascii="Arial" w:cs="Arial" w:eastAsia="Arial" w:hAnsi="Arial"/>
                <w:sz w:val="16"/>
                <w:szCs w:val="16"/>
                <w:i w:val="1"/>
                <w:iCs w:val="1"/>
                <w:color w:val="auto"/>
              </w:rPr>
              <w:t>(b)</w:t>
            </w:r>
          </w:p>
        </w:tc>
        <w:tc>
          <w:tcPr>
            <w:tcW w:w="43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w:t>
            </w: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 xml:space="preserve">Provision for Tax Reform Refund </w:t>
            </w:r>
            <w:r>
              <w:rPr>
                <w:rFonts w:ascii="Arial" w:cs="Arial" w:eastAsia="Arial" w:hAnsi="Arial"/>
                <w:sz w:val="16"/>
                <w:szCs w:val="16"/>
                <w:i w:val="1"/>
                <w:iCs w:val="1"/>
                <w:color w:val="auto"/>
              </w:rPr>
              <w:t>(c)</w:t>
            </w:r>
          </w:p>
        </w:tc>
        <w:tc>
          <w:tcPr>
            <w:tcW w:w="4300" w:type="dxa"/>
            <w:vAlign w:val="bottom"/>
          </w:tcPr>
          <w:p>
            <w:pPr>
              <w:jc w:val="right"/>
              <w:ind w:right="150"/>
              <w:spacing w:after="0"/>
              <w:rPr>
                <w:sz w:val="20"/>
                <w:szCs w:val="20"/>
                <w:color w:val="auto"/>
              </w:rPr>
            </w:pPr>
            <w:r>
              <w:rPr>
                <w:rFonts w:ascii="Arial" w:cs="Arial" w:eastAsia="Arial" w:hAnsi="Arial"/>
                <w:sz w:val="18"/>
                <w:szCs w:val="18"/>
                <w:color w:val="auto"/>
              </w:rPr>
              <w:t>0.3</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10.7</w:t>
            </w:r>
          </w:p>
        </w:tc>
      </w:tr>
      <w:tr>
        <w:trPr>
          <w:trHeight w:val="27"/>
        </w:trPr>
        <w:tc>
          <w:tcPr>
            <w:tcW w:w="56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Contingent Consideration </w:t>
            </w:r>
            <w:r>
              <w:rPr>
                <w:rFonts w:ascii="Arial" w:cs="Arial" w:eastAsia="Arial" w:hAnsi="Arial"/>
                <w:sz w:val="16"/>
                <w:szCs w:val="16"/>
                <w:i w:val="1"/>
                <w:iCs w:val="1"/>
                <w:color w:val="auto"/>
              </w:rPr>
              <w:t>(d)</w:t>
            </w:r>
          </w:p>
        </w:tc>
        <w:tc>
          <w:tcPr>
            <w:tcW w:w="43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 xml:space="preserve">Operating Lease Liabilities </w:t>
            </w:r>
            <w:r>
              <w:rPr>
                <w:rFonts w:ascii="Arial" w:cs="Arial" w:eastAsia="Arial" w:hAnsi="Arial"/>
                <w:sz w:val="16"/>
                <w:szCs w:val="16"/>
                <w:i w:val="1"/>
                <w:iCs w:val="1"/>
                <w:color w:val="auto"/>
              </w:rPr>
              <w:t>(e)</w:t>
            </w:r>
          </w:p>
        </w:tc>
        <w:tc>
          <w:tcPr>
            <w:tcW w:w="4300" w:type="dxa"/>
            <w:vAlign w:val="bottom"/>
          </w:tcPr>
          <w:p>
            <w:pPr>
              <w:jc w:val="right"/>
              <w:ind w:right="150"/>
              <w:spacing w:after="0"/>
              <w:rPr>
                <w:sz w:val="20"/>
                <w:szCs w:val="20"/>
                <w:color w:val="auto"/>
              </w:rPr>
            </w:pPr>
            <w:r>
              <w:rPr>
                <w:rFonts w:ascii="Arial" w:cs="Arial" w:eastAsia="Arial" w:hAnsi="Arial"/>
                <w:sz w:val="18"/>
                <w:szCs w:val="18"/>
                <w:color w:val="auto"/>
              </w:rPr>
              <w:t>7.1</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6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5"/>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43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39.0</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53.8</w:t>
            </w:r>
          </w:p>
        </w:tc>
      </w:tr>
      <w:tr>
        <w:trPr>
          <w:trHeight w:val="237"/>
        </w:trPr>
        <w:tc>
          <w:tcPr>
            <w:tcW w:w="56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Other Current Liabilities</w:t>
            </w:r>
          </w:p>
        </w:tc>
        <w:tc>
          <w:tcPr>
            <w:tcW w:w="43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$58.7</w:t>
            </w: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$128.5</w:t>
            </w:r>
          </w:p>
        </w:tc>
      </w:tr>
      <w:tr>
        <w:trPr>
          <w:trHeight w:val="27"/>
        </w:trPr>
        <w:tc>
          <w:tcPr>
            <w:tcW w:w="5660" w:type="dxa"/>
            <w:vAlign w:val="bottom"/>
            <w:tcBorders>
              <w:bottom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bl>
    <w:p>
      <w:pPr>
        <w:spacing w:after="0" w:line="206"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Provision for Interim Rate Refund was refunded to Minnesota Power’s retail customers in the second quarter of 2019.</w:t>
      </w:r>
    </w:p>
    <w:p>
      <w:pPr>
        <w:spacing w:after="0" w:line="19" w:lineRule="exact"/>
        <w:rPr>
          <w:rFonts w:ascii="Arial" w:cs="Arial" w:eastAsia="Arial" w:hAnsi="Arial"/>
          <w:sz w:val="16"/>
          <w:szCs w:val="16"/>
          <w:i w:val="1"/>
          <w:iCs w:val="1"/>
          <w:color w:val="auto"/>
        </w:rPr>
      </w:pPr>
    </w:p>
    <w:p>
      <w:pPr>
        <w:ind w:left="340" w:hanging="332"/>
        <w:spacing w:after="0"/>
        <w:tabs>
          <w:tab w:leader="none" w:pos="34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Contract Liabilities consisted of deposits received as a result of entering into contracts with customers prior to completing performance obligations.</w:t>
      </w:r>
    </w:p>
    <w:p>
      <w:pPr>
        <w:spacing w:after="0" w:line="5" w:lineRule="exact"/>
        <w:rPr>
          <w:rFonts w:ascii="Arial" w:cs="Arial" w:eastAsia="Arial" w:hAnsi="Arial"/>
          <w:sz w:val="16"/>
          <w:szCs w:val="16"/>
          <w:i w:val="1"/>
          <w:iCs w:val="1"/>
          <w:color w:val="auto"/>
        </w:rPr>
      </w:pPr>
    </w:p>
    <w:p>
      <w:pPr>
        <w:ind w:left="340" w:hanging="332"/>
        <w:spacing w:after="0" w:line="246" w:lineRule="auto"/>
        <w:tabs>
          <w:tab w:leader="none" w:pos="34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Provision for Tax Reform Refund related to the income tax benefits of the TCJA in 2018 was refunded to Minnesota Power customers in the first quarter of 2019 and will be refunded to SWL&amp;P customers in 2019 and 2020.</w:t>
      </w:r>
    </w:p>
    <w:p>
      <w:pPr>
        <w:ind w:left="340" w:hanging="332"/>
        <w:spacing w:after="0"/>
        <w:tabs>
          <w:tab w:leader="none" w:pos="34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Contingent Consideration related to the earnings-based payment resulting from the U.S. Water Services acquisition was paid in the first quarter of 2019.</w:t>
      </w:r>
    </w:p>
    <w:p>
      <w:pPr>
        <w:spacing w:after="0" w:line="5" w:lineRule="exact"/>
        <w:rPr>
          <w:rFonts w:ascii="Arial" w:cs="Arial" w:eastAsia="Arial" w:hAnsi="Arial"/>
          <w:sz w:val="16"/>
          <w:szCs w:val="16"/>
          <w:i w:val="1"/>
          <w:iCs w:val="1"/>
          <w:color w:val="auto"/>
        </w:rPr>
      </w:pPr>
    </w:p>
    <w:p>
      <w:pPr>
        <w:ind w:left="340" w:hanging="332"/>
        <w:spacing w:after="0"/>
        <w:tabs>
          <w:tab w:leader="none" w:pos="34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See Leases.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80" w:type="dxa"/>
            <w:vAlign w:val="bottom"/>
          </w:tcPr>
          <w:p>
            <w:pPr>
              <w:spacing w:after="0"/>
              <w:rPr>
                <w:sz w:val="18"/>
                <w:szCs w:val="18"/>
                <w:color w:val="auto"/>
              </w:rPr>
            </w:pPr>
          </w:p>
        </w:tc>
        <w:tc>
          <w:tcPr>
            <w:tcW w:w="4380" w:type="dxa"/>
            <w:vAlign w:val="bottom"/>
          </w:tcPr>
          <w:p>
            <w:pPr>
              <w:jc w:val="right"/>
              <w:ind w:right="190"/>
              <w:spacing w:after="0"/>
              <w:rPr>
                <w:sz w:val="20"/>
                <w:szCs w:val="20"/>
                <w:color w:val="auto"/>
              </w:rPr>
            </w:pPr>
            <w:r>
              <w:rPr>
                <w:rFonts w:ascii="Arial" w:cs="Arial" w:eastAsia="Arial" w:hAnsi="Arial"/>
                <w:sz w:val="18"/>
                <w:szCs w:val="18"/>
                <w:b w:val="1"/>
                <w:bCs w:val="1"/>
                <w:color w:val="auto"/>
              </w:rPr>
              <w:t>September 30,</w:t>
            </w:r>
          </w:p>
        </w:tc>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580" w:type="dxa"/>
            <w:vAlign w:val="bottom"/>
          </w:tcPr>
          <w:p>
            <w:pPr>
              <w:ind w:left="40"/>
              <w:spacing w:after="0"/>
              <w:rPr>
                <w:sz w:val="20"/>
                <w:szCs w:val="20"/>
                <w:color w:val="auto"/>
              </w:rPr>
            </w:pPr>
            <w:r>
              <w:rPr>
                <w:rFonts w:ascii="Arial" w:cs="Arial" w:eastAsia="Arial" w:hAnsi="Arial"/>
                <w:sz w:val="18"/>
                <w:szCs w:val="18"/>
                <w:b w:val="1"/>
                <w:bCs w:val="1"/>
                <w:color w:val="auto"/>
              </w:rPr>
              <w:t>Other Non-Current Liabilities</w:t>
            </w:r>
          </w:p>
        </w:tc>
        <w:tc>
          <w:tcPr>
            <w:tcW w:w="4380" w:type="dxa"/>
            <w:vAlign w:val="bottom"/>
          </w:tcPr>
          <w:p>
            <w:pPr>
              <w:jc w:val="right"/>
              <w:ind w:right="150"/>
              <w:spacing w:after="0"/>
              <w:rPr>
                <w:sz w:val="20"/>
                <w:szCs w:val="20"/>
                <w:color w:val="auto"/>
              </w:rPr>
            </w:pPr>
            <w:r>
              <w:rPr>
                <w:rFonts w:ascii="Arial" w:cs="Arial" w:eastAsia="Arial" w:hAnsi="Arial"/>
                <w:sz w:val="18"/>
                <w:szCs w:val="18"/>
                <w:b w:val="1"/>
                <w:bCs w:val="1"/>
                <w:color w:val="auto"/>
              </w:rPr>
              <w:t>2019</w:t>
            </w:r>
          </w:p>
        </w:tc>
        <w:tc>
          <w:tcPr>
            <w:tcW w:w="1460" w:type="dxa"/>
            <w:vAlign w:val="bottom"/>
          </w:tcPr>
          <w:p>
            <w:pPr>
              <w:jc w:val="right"/>
              <w:ind w:right="10"/>
              <w:spacing w:after="0"/>
              <w:rPr>
                <w:sz w:val="20"/>
                <w:szCs w:val="20"/>
                <w:color w:val="auto"/>
              </w:rPr>
            </w:pPr>
            <w:r>
              <w:rPr>
                <w:rFonts w:ascii="Arial" w:cs="Arial" w:eastAsia="Arial" w:hAnsi="Arial"/>
                <w:sz w:val="18"/>
                <w:szCs w:val="18"/>
                <w:b w:val="1"/>
                <w:bCs w:val="1"/>
                <w:color w:val="auto"/>
              </w:rPr>
              <w:t>2018</w:t>
            </w:r>
          </w:p>
        </w:tc>
      </w:tr>
      <w:tr>
        <w:trPr>
          <w:trHeight w:val="27"/>
        </w:trPr>
        <w:tc>
          <w:tcPr>
            <w:tcW w:w="5580" w:type="dxa"/>
            <w:vAlign w:val="bottom"/>
            <w:tcBorders>
              <w:bottom w:val="single" w:sz="8" w:color="auto"/>
            </w:tcBorders>
          </w:tcPr>
          <w:p>
            <w:pPr>
              <w:spacing w:after="0"/>
              <w:rPr>
                <w:sz w:val="2"/>
                <w:szCs w:val="2"/>
                <w:color w:val="auto"/>
              </w:rPr>
            </w:pPr>
          </w:p>
        </w:tc>
        <w:tc>
          <w:tcPr>
            <w:tcW w:w="4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55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38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7"/>
        </w:trPr>
        <w:tc>
          <w:tcPr>
            <w:tcW w:w="558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Retirement Obligation</w:t>
            </w:r>
          </w:p>
        </w:tc>
        <w:tc>
          <w:tcPr>
            <w:tcW w:w="43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$157.4</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$138.6</w:t>
            </w: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PSAs</w:t>
            </w:r>
          </w:p>
        </w:tc>
        <w:tc>
          <w:tcPr>
            <w:tcW w:w="4380" w:type="dxa"/>
            <w:vAlign w:val="bottom"/>
          </w:tcPr>
          <w:p>
            <w:pPr>
              <w:jc w:val="right"/>
              <w:ind w:right="150"/>
              <w:spacing w:after="0"/>
              <w:rPr>
                <w:sz w:val="20"/>
                <w:szCs w:val="20"/>
                <w:color w:val="auto"/>
              </w:rPr>
            </w:pPr>
            <w:r>
              <w:rPr>
                <w:rFonts w:ascii="Arial" w:cs="Arial" w:eastAsia="Arial" w:hAnsi="Arial"/>
                <w:sz w:val="18"/>
                <w:szCs w:val="18"/>
                <w:color w:val="auto"/>
              </w:rPr>
              <w:t>67.7</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76.9</w:t>
            </w:r>
          </w:p>
        </w:tc>
      </w:tr>
      <w:tr>
        <w:trPr>
          <w:trHeight w:val="27"/>
        </w:trPr>
        <w:tc>
          <w:tcPr>
            <w:tcW w:w="558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Operating Lease Liabilities </w:t>
            </w:r>
            <w:r>
              <w:rPr>
                <w:rFonts w:ascii="Arial" w:cs="Arial" w:eastAsia="Arial" w:hAnsi="Arial"/>
                <w:sz w:val="16"/>
                <w:szCs w:val="16"/>
                <w:i w:val="1"/>
                <w:iCs w:val="1"/>
                <w:color w:val="auto"/>
              </w:rPr>
              <w:t>(a)</w:t>
            </w:r>
          </w:p>
        </w:tc>
        <w:tc>
          <w:tcPr>
            <w:tcW w:w="43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23.3</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Other</w:t>
            </w:r>
          </w:p>
        </w:tc>
        <w:tc>
          <w:tcPr>
            <w:tcW w:w="4380" w:type="dxa"/>
            <w:vAlign w:val="bottom"/>
          </w:tcPr>
          <w:p>
            <w:pPr>
              <w:jc w:val="right"/>
              <w:ind w:right="150"/>
              <w:spacing w:after="0"/>
              <w:rPr>
                <w:sz w:val="20"/>
                <w:szCs w:val="20"/>
                <w:color w:val="auto"/>
              </w:rPr>
            </w:pPr>
            <w:r>
              <w:rPr>
                <w:rFonts w:ascii="Arial" w:cs="Arial" w:eastAsia="Arial" w:hAnsi="Arial"/>
                <w:sz w:val="18"/>
                <w:szCs w:val="18"/>
                <w:color w:val="auto"/>
              </w:rPr>
              <w:t>44.7</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47.1</w:t>
            </w:r>
          </w:p>
        </w:tc>
      </w:tr>
      <w:tr>
        <w:trPr>
          <w:trHeight w:val="27"/>
        </w:trPr>
        <w:tc>
          <w:tcPr>
            <w:tcW w:w="5580" w:type="dxa"/>
            <w:vAlign w:val="bottom"/>
            <w:tcBorders>
              <w:bottom w:val="single" w:sz="8" w:color="auto"/>
            </w:tcBorders>
          </w:tcPr>
          <w:p>
            <w:pPr>
              <w:spacing w:after="0"/>
              <w:rPr>
                <w:sz w:val="2"/>
                <w:szCs w:val="2"/>
                <w:color w:val="auto"/>
              </w:rPr>
            </w:pPr>
          </w:p>
        </w:tc>
        <w:tc>
          <w:tcPr>
            <w:tcW w:w="4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Non-Current Liabilities</w:t>
            </w:r>
          </w:p>
        </w:tc>
        <w:tc>
          <w:tcPr>
            <w:tcW w:w="43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$293.1</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$262.6</w:t>
            </w:r>
          </w:p>
        </w:tc>
      </w:tr>
      <w:tr>
        <w:trPr>
          <w:trHeight w:val="20"/>
        </w:trPr>
        <w:tc>
          <w:tcPr>
            <w:tcW w:w="5580" w:type="dxa"/>
            <w:vAlign w:val="bottom"/>
            <w:shd w:val="clear" w:color="auto" w:fill="000000"/>
          </w:tcPr>
          <w:p>
            <w:pPr>
              <w:spacing w:after="0" w:line="20" w:lineRule="exact"/>
              <w:rPr>
                <w:sz w:val="1"/>
                <w:szCs w:val="1"/>
                <w:color w:val="auto"/>
              </w:rPr>
            </w:pPr>
          </w:p>
        </w:tc>
        <w:tc>
          <w:tcPr>
            <w:tcW w:w="438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r>
    </w:tbl>
    <w:p>
      <w:pPr>
        <w:spacing w:after="0" w:line="206"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3"/>
          <w:szCs w:val="13"/>
          <w:i w:val="1"/>
          <w:iCs w:val="1"/>
          <w:color w:val="auto"/>
        </w:rPr>
        <w:t>See Leases.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2019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420"/>
          </w:cols>
          <w:pgMar w:left="240" w:top="1040"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tc>
        <w:tc>
          <w:tcPr>
            <w:tcW w:w="19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32"/>
        </w:trPr>
        <w:tc>
          <w:tcPr>
            <w:tcW w:w="8440" w:type="dxa"/>
            <w:vAlign w:val="bottom"/>
          </w:tcPr>
          <w:p>
            <w:pPr>
              <w:spacing w:after="0"/>
              <w:rPr>
                <w:sz w:val="20"/>
                <w:szCs w:val="20"/>
                <w:color w:val="auto"/>
              </w:rPr>
            </w:pPr>
            <w:r>
              <w:rPr>
                <w:rFonts w:ascii="Arial" w:cs="Arial" w:eastAsia="Arial" w:hAnsi="Arial"/>
                <w:sz w:val="18"/>
                <w:szCs w:val="18"/>
                <w:b w:val="1"/>
                <w:bCs w:val="1"/>
                <w:color w:val="auto"/>
              </w:rPr>
              <w:t>Supplemental Statement of Cash Flows Information.</w:t>
            </w:r>
          </w:p>
        </w:tc>
        <w:tc>
          <w:tcPr>
            <w:tcW w:w="19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78"/>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Nine Months Ended September 30,</w:t>
            </w:r>
          </w:p>
        </w:tc>
        <w:tc>
          <w:tcPr>
            <w:tcW w:w="1920" w:type="dxa"/>
            <w:vAlign w:val="bottom"/>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2018</w:t>
            </w:r>
          </w:p>
        </w:tc>
      </w:tr>
      <w:tr>
        <w:trPr>
          <w:trHeight w:val="27"/>
        </w:trPr>
        <w:tc>
          <w:tcPr>
            <w:tcW w:w="84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9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84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for Interest – Net of Amounts Capitalized</w:t>
            </w:r>
          </w:p>
        </w:tc>
        <w:tc>
          <w:tcPr>
            <w:tcW w:w="19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$53.5</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$52.9</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 xml:space="preserve">Recognition of Right-of-use Assets and Lease Liabilities </w:t>
            </w:r>
            <w:r>
              <w:rPr>
                <w:rFonts w:ascii="Arial" w:cs="Arial" w:eastAsia="Arial" w:hAnsi="Arial"/>
                <w:sz w:val="16"/>
                <w:szCs w:val="16"/>
                <w:i w:val="1"/>
                <w:iCs w:val="1"/>
                <w:color w:val="auto"/>
              </w:rPr>
              <w:t>(a)</w:t>
            </w:r>
          </w:p>
        </w:tc>
        <w:tc>
          <w:tcPr>
            <w:tcW w:w="1920" w:type="dxa"/>
            <w:vAlign w:val="bottom"/>
          </w:tcPr>
          <w:p>
            <w:pPr>
              <w:jc w:val="right"/>
              <w:ind w:right="250"/>
              <w:spacing w:after="0"/>
              <w:rPr>
                <w:sz w:val="20"/>
                <w:szCs w:val="20"/>
                <w:color w:val="auto"/>
              </w:rPr>
            </w:pPr>
            <w:r>
              <w:rPr>
                <w:rFonts w:ascii="Arial" w:cs="Arial" w:eastAsia="Arial" w:hAnsi="Arial"/>
                <w:sz w:val="18"/>
                <w:szCs w:val="18"/>
                <w:color w:val="auto"/>
              </w:rPr>
              <w:t>$30.4</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4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Investing and Financing Activities</w:t>
            </w:r>
          </w:p>
        </w:tc>
        <w:tc>
          <w:tcPr>
            <w:tcW w:w="19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Increase (Decrease) in Accounts Payable for Capital Additions to Property, Plant and Equipment</w:t>
            </w:r>
          </w:p>
        </w:tc>
        <w:tc>
          <w:tcPr>
            <w:tcW w:w="1920" w:type="dxa"/>
            <w:vAlign w:val="bottom"/>
          </w:tcPr>
          <w:p>
            <w:pPr>
              <w:jc w:val="right"/>
              <w:ind w:right="250"/>
              <w:spacing w:after="0"/>
              <w:rPr>
                <w:sz w:val="20"/>
                <w:szCs w:val="20"/>
                <w:color w:val="auto"/>
              </w:rPr>
            </w:pPr>
            <w:r>
              <w:rPr>
                <w:rFonts w:ascii="Arial" w:cs="Arial" w:eastAsia="Arial" w:hAnsi="Arial"/>
                <w:sz w:val="18"/>
                <w:szCs w:val="18"/>
                <w:color w:val="auto"/>
              </w:rPr>
              <w:t>$6.3</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$(14.4)</w:t>
            </w:r>
          </w:p>
        </w:tc>
      </w:tr>
      <w:tr>
        <w:trPr>
          <w:trHeight w:val="27"/>
        </w:trPr>
        <w:tc>
          <w:tcPr>
            <w:tcW w:w="84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Reclassification of Property, Plant and Equipment to Inventory </w:t>
            </w:r>
            <w:r>
              <w:rPr>
                <w:rFonts w:ascii="Arial" w:cs="Arial" w:eastAsia="Arial" w:hAnsi="Arial"/>
                <w:sz w:val="16"/>
                <w:szCs w:val="16"/>
                <w:i w:val="1"/>
                <w:iCs w:val="1"/>
                <w:color w:val="auto"/>
              </w:rPr>
              <w:t>(b)</w:t>
            </w:r>
          </w:p>
        </w:tc>
        <w:tc>
          <w:tcPr>
            <w:tcW w:w="19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$46.3</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Capitalized Asset Retirement Costs</w:t>
            </w:r>
          </w:p>
        </w:tc>
        <w:tc>
          <w:tcPr>
            <w:tcW w:w="1920" w:type="dxa"/>
            <w:vAlign w:val="bottom"/>
          </w:tcPr>
          <w:p>
            <w:pPr>
              <w:jc w:val="right"/>
              <w:ind w:right="210"/>
              <w:spacing w:after="0"/>
              <w:rPr>
                <w:sz w:val="20"/>
                <w:szCs w:val="20"/>
                <w:color w:val="auto"/>
              </w:rPr>
            </w:pPr>
            <w:r>
              <w:rPr>
                <w:rFonts w:ascii="Arial" w:cs="Arial" w:eastAsia="Arial" w:hAnsi="Arial"/>
                <w:sz w:val="18"/>
                <w:szCs w:val="18"/>
                <w:color w:val="auto"/>
              </w:rPr>
              <w:t>$16.6</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$15.4</w:t>
            </w:r>
          </w:p>
        </w:tc>
      </w:tr>
      <w:tr>
        <w:trPr>
          <w:trHeight w:val="27"/>
        </w:trPr>
        <w:tc>
          <w:tcPr>
            <w:tcW w:w="84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AFUDC–Equity</w:t>
            </w:r>
          </w:p>
        </w:tc>
        <w:tc>
          <w:tcPr>
            <w:tcW w:w="19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$1.9</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r>
      <w:tr>
        <w:trPr>
          <w:trHeight w:val="20"/>
        </w:trPr>
        <w:tc>
          <w:tcPr>
            <w:tcW w:w="8440" w:type="dxa"/>
            <w:vAlign w:val="bottom"/>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bl>
    <w:p>
      <w:pPr>
        <w:spacing w:after="0" w:line="206"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See Leases.</w:t>
      </w:r>
    </w:p>
    <w:p>
      <w:pPr>
        <w:spacing w:after="0" w:line="19" w:lineRule="exact"/>
        <w:rPr>
          <w:rFonts w:ascii="Arial" w:cs="Arial" w:eastAsia="Arial" w:hAnsi="Arial"/>
          <w:sz w:val="16"/>
          <w:szCs w:val="16"/>
          <w:i w:val="1"/>
          <w:iCs w:val="1"/>
          <w:color w:val="auto"/>
        </w:rPr>
      </w:pPr>
    </w:p>
    <w:p>
      <w:pPr>
        <w:ind w:left="340" w:hanging="332"/>
        <w:spacing w:after="0" w:line="257" w:lineRule="auto"/>
        <w:tabs>
          <w:tab w:leader="none" w:pos="34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In February 2018, Montana-Dakota Utilities exercised its option to purchase the Thunder Spirit II wind energy facility upon completion, resulting in a reclassification from Property, Plant and Equipment – Net to Inventories – Net for project costs incurred in the prior year.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Pronouncements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Disclosure Update and Simplification</w:t>
      </w:r>
      <w:r>
        <w:rPr>
          <w:rFonts w:ascii="Arial" w:cs="Arial" w:eastAsia="Arial" w:hAnsi="Arial"/>
          <w:sz w:val="16"/>
          <w:szCs w:val="16"/>
          <w:color w:val="auto"/>
        </w:rPr>
        <w:t>. In November 2018, the SEC adopted amendments to certain disclosure requirements. The amendments adopted</w:t>
      </w:r>
      <w:r>
        <w:rPr>
          <w:rFonts w:ascii="Arial" w:cs="Arial" w:eastAsia="Arial" w:hAnsi="Arial"/>
          <w:sz w:val="16"/>
          <w:szCs w:val="16"/>
          <w:i w:val="1"/>
          <w:iCs w:val="1"/>
          <w:color w:val="auto"/>
        </w:rPr>
        <w:t xml:space="preserve"> </w:t>
      </w:r>
      <w:r>
        <w:rPr>
          <w:rFonts w:ascii="Arial" w:cs="Arial" w:eastAsia="Arial" w:hAnsi="Arial"/>
          <w:sz w:val="16"/>
          <w:szCs w:val="16"/>
          <w:color w:val="auto"/>
        </w:rPr>
        <w:t>include requirements that interim financial statements should include comparative statements for the same period in the prior financial year, except that the requirement for comparative balance sheet information may be satisfied by presenting the year-end balance sheet. It further includes a requirement analyzing the changes in each caption of shareholders’ equity either separately in a note or on the face of the financial statement. These amendments were effective for ALLETE in the first quarter of 2019. We have included the presentation of our Statement of Shareholders’ Equity to meet these requirements.</w:t>
      </w:r>
    </w:p>
    <w:p>
      <w:pPr>
        <w:spacing w:after="0" w:line="15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Leases. </w:t>
      </w:r>
      <w:r>
        <w:rPr>
          <w:rFonts w:ascii="Arial" w:cs="Arial" w:eastAsia="Arial" w:hAnsi="Arial"/>
          <w:sz w:val="17"/>
          <w:szCs w:val="17"/>
          <w:color w:val="auto"/>
        </w:rPr>
        <w:t>In 2016, the FASB issued an accounting standard update which revised the existing guidance for leases. Under the revised guidance, lessees are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required to recognize right-of-use assets and lease liabilities on the Consolidated Balance Sheet for leases with terms greater than 12 months. The new standard also requires additional qualitative and quantitative disclosures by lessees and lessors to enable users of the financial statements to assess the amount, timing and uncertainty of cash flows arising from leases. The accounting for leases by lessors and the recognition, measurement and presentation of expenses and cash flows from leases is not expected to significantly change as a result of the new guidance. The Company adopted this guidance in the first quarter of 2019 using the optional transition method and the package of practical expedients, which allowed for the adoption of the standard as of January 1, 2019, without restating previously disclosed information. Management elected the optional transition method of adoption due to the overall immateriality of the balance sheet gross up in the period of adoption. The package of practical expedients allowed management to not reassess the lease classification for leases, including those that had expired during the periods presented or that still existed at the time of adoption. We have included additional disclosures in the notes to the consolidated financial statements. (See </w:t>
      </w:r>
      <w:r>
        <w:rPr>
          <w:rFonts w:ascii="Arial" w:cs="Arial" w:eastAsia="Arial" w:hAnsi="Arial"/>
          <w:sz w:val="17"/>
          <w:szCs w:val="17"/>
          <w:i w:val="1"/>
          <w:iCs w:val="1"/>
          <w:color w:val="auto"/>
        </w:rPr>
        <w:t>Leases</w:t>
      </w:r>
      <w:r>
        <w:rPr>
          <w:rFonts w:ascii="Arial" w:cs="Arial" w:eastAsia="Arial" w:hAnsi="Arial"/>
          <w:sz w:val="17"/>
          <w:szCs w:val="17"/>
          <w:color w:val="auto"/>
        </w:rPr>
        <w:t>.)</w:t>
      </w:r>
    </w:p>
    <w:p>
      <w:pPr>
        <w:spacing w:after="0" w:line="174"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Leases. </w:t>
      </w:r>
      <w:r>
        <w:rPr>
          <w:rFonts w:ascii="Arial" w:cs="Arial" w:eastAsia="Arial" w:hAnsi="Arial"/>
          <w:sz w:val="17"/>
          <w:szCs w:val="17"/>
          <w:color w:val="auto"/>
        </w:rPr>
        <w:t>We determine if a contract is, or contains, a lease at inception and recognize a right-of-use asset and lease liability for all leases with a term greater</w:t>
      </w:r>
      <w:r>
        <w:rPr>
          <w:rFonts w:ascii="Arial" w:cs="Arial" w:eastAsia="Arial" w:hAnsi="Arial"/>
          <w:sz w:val="17"/>
          <w:szCs w:val="17"/>
          <w:b w:val="1"/>
          <w:bCs w:val="1"/>
          <w:color w:val="auto"/>
        </w:rPr>
        <w:t xml:space="preserve"> </w:t>
      </w:r>
      <w:r>
        <w:rPr>
          <w:rFonts w:ascii="Arial" w:cs="Arial" w:eastAsia="Arial" w:hAnsi="Arial"/>
          <w:sz w:val="17"/>
          <w:szCs w:val="17"/>
          <w:color w:val="auto"/>
        </w:rPr>
        <w:t>than 12 months. Our right-of-use assets and lease liabilities for operating leases are included in Other Non-Current Assets, Other Current Liabilities and Other Non-Current Liabilities, respectively, in our Consolidated Balance Sheet. We currently do not have any finance leases.</w:t>
      </w:r>
    </w:p>
    <w:p>
      <w:pPr>
        <w:spacing w:after="0" w:line="1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Right-of-use assets represent our right to use an underlying asset for the lease term and lease liabilities represent the obligation to make lease payments arising from the lease. Operating lease right-of-use assets and lease liabilities are recognized at the commencement date based on the estimated present value of lease payments over the lease term. As our leases do not provide an explicit rate, we determine the present value of future lease payments based on our estimated incremental borrowing rate using information available at the lease commencement date. The operating lease right-of-use asset includes lease payments to be made during the lease term and any lease incentives, as applicable.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2019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420"/>
          </w:cols>
          <w:pgMar w:left="240" w:top="1040"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 (Continued)</w:t>
      </w:r>
    </w:p>
    <w:p>
      <w:pPr>
        <w:spacing w:after="0" w:line="21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leases may include options to extend or buy out the lease at certain points throughout the term, and if it is reasonably certain that we will exercise that option at lease commencement, we include those rental payments in our calculation of the right-of-use asset and lease liability. Lease and rent expense is recognized on a straight-line basis over the lease term. Leases with a term of 12 months or less are not recognized on the Consolidated Balance Sheet.</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majority of our operating leases are for heavy equipment, vehicles and land with fixed monthly payments which we group into two categories: Vehicles and Equipment; and Land and Other. Our largest operating lease is for the dragline at BNI Energy which includes a termination payment at the end of the lease term if we do not exercise our purchase option. The amount of this payment is $3 million and is included in the right-of-use assets and lease liabilities recorded. None of our other leases contain residual value guarantees.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40" w:type="dxa"/>
            <w:vAlign w:val="bottom"/>
          </w:tcPr>
          <w:p>
            <w:pPr>
              <w:spacing w:after="0"/>
              <w:rPr>
                <w:sz w:val="20"/>
                <w:szCs w:val="20"/>
                <w:color w:val="auto"/>
              </w:rPr>
            </w:pPr>
            <w:r>
              <w:rPr>
                <w:rFonts w:ascii="Arial" w:cs="Arial" w:eastAsia="Arial" w:hAnsi="Arial"/>
                <w:sz w:val="18"/>
                <w:szCs w:val="18"/>
                <w:color w:val="auto"/>
              </w:rPr>
              <w:t>Additional information on the components of lease cost and presentation of cash flows were as follows:</w:t>
            </w:r>
          </w:p>
        </w:tc>
        <w:tc>
          <w:tcPr>
            <w:tcW w:w="56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59"/>
        </w:trPr>
        <w:tc>
          <w:tcPr>
            <w:tcW w:w="8840" w:type="dxa"/>
            <w:vAlign w:val="bottom"/>
          </w:tcPr>
          <w:p>
            <w:pPr>
              <w:jc w:val="center"/>
              <w:ind w:left="7550"/>
              <w:spacing w:after="0"/>
              <w:rPr>
                <w:sz w:val="20"/>
                <w:szCs w:val="20"/>
                <w:color w:val="auto"/>
              </w:rPr>
            </w:pPr>
            <w:r>
              <w:rPr>
                <w:rFonts w:ascii="Arial" w:cs="Arial" w:eastAsia="Arial" w:hAnsi="Arial"/>
                <w:sz w:val="18"/>
                <w:szCs w:val="18"/>
                <w:b w:val="1"/>
                <w:bCs w:val="1"/>
                <w:color w:val="auto"/>
                <w:w w:val="92"/>
              </w:rPr>
              <w:t>Quarter Ended</w:t>
            </w:r>
          </w:p>
        </w:tc>
        <w:tc>
          <w:tcPr>
            <w:tcW w:w="56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18"/>
                <w:szCs w:val="18"/>
                <w:b w:val="1"/>
                <w:bCs w:val="1"/>
                <w:color w:val="auto"/>
                <w:w w:val="91"/>
              </w:rPr>
              <w:t>Nine Months Ended</w:t>
            </w:r>
          </w:p>
        </w:tc>
      </w:tr>
      <w:tr>
        <w:trPr>
          <w:trHeight w:val="270"/>
        </w:trPr>
        <w:tc>
          <w:tcPr>
            <w:tcW w:w="8840" w:type="dxa"/>
            <w:vAlign w:val="bottom"/>
          </w:tcPr>
          <w:p>
            <w:pPr>
              <w:jc w:val="center"/>
              <w:ind w:left="7530"/>
              <w:spacing w:after="0"/>
              <w:rPr>
                <w:sz w:val="20"/>
                <w:szCs w:val="20"/>
                <w:color w:val="auto"/>
              </w:rPr>
            </w:pPr>
            <w:r>
              <w:rPr>
                <w:rFonts w:ascii="Arial" w:cs="Arial" w:eastAsia="Arial" w:hAnsi="Arial"/>
                <w:sz w:val="18"/>
                <w:szCs w:val="18"/>
                <w:b w:val="1"/>
                <w:bCs w:val="1"/>
                <w:color w:val="auto"/>
                <w:w w:val="89"/>
              </w:rPr>
              <w:t>September 30,</w:t>
            </w:r>
          </w:p>
        </w:tc>
        <w:tc>
          <w:tcPr>
            <w:tcW w:w="560" w:type="dxa"/>
            <w:vAlign w:val="bottom"/>
          </w:tcPr>
          <w:p>
            <w:pPr>
              <w:spacing w:after="0"/>
              <w:rPr>
                <w:sz w:val="23"/>
                <w:szCs w:val="23"/>
                <w:color w:val="auto"/>
              </w:rPr>
            </w:pPr>
          </w:p>
        </w:tc>
        <w:tc>
          <w:tcPr>
            <w:tcW w:w="2020" w:type="dxa"/>
            <w:vAlign w:val="bottom"/>
          </w:tcPr>
          <w:p>
            <w:pPr>
              <w:jc w:val="center"/>
              <w:spacing w:after="0"/>
              <w:rPr>
                <w:sz w:val="20"/>
                <w:szCs w:val="20"/>
                <w:color w:val="auto"/>
              </w:rPr>
            </w:pPr>
            <w:r>
              <w:rPr>
                <w:rFonts w:ascii="Arial" w:cs="Arial" w:eastAsia="Arial" w:hAnsi="Arial"/>
                <w:sz w:val="18"/>
                <w:szCs w:val="18"/>
                <w:b w:val="1"/>
                <w:bCs w:val="1"/>
                <w:color w:val="auto"/>
                <w:w w:val="89"/>
              </w:rPr>
              <w:t>September 30,</w:t>
            </w:r>
          </w:p>
        </w:tc>
      </w:tr>
      <w:tr>
        <w:trPr>
          <w:trHeight w:val="270"/>
        </w:trPr>
        <w:tc>
          <w:tcPr>
            <w:tcW w:w="8840" w:type="dxa"/>
            <w:vAlign w:val="bottom"/>
          </w:tcPr>
          <w:p>
            <w:pPr>
              <w:jc w:val="center"/>
              <w:ind w:left="7550"/>
              <w:spacing w:after="0"/>
              <w:rPr>
                <w:sz w:val="20"/>
                <w:szCs w:val="20"/>
                <w:color w:val="auto"/>
              </w:rPr>
            </w:pPr>
            <w:r>
              <w:rPr>
                <w:rFonts w:ascii="Arial" w:cs="Arial" w:eastAsia="Arial" w:hAnsi="Arial"/>
                <w:sz w:val="18"/>
                <w:szCs w:val="18"/>
                <w:b w:val="1"/>
                <w:bCs w:val="1"/>
                <w:color w:val="auto"/>
                <w:w w:val="89"/>
              </w:rPr>
              <w:t>2019</w:t>
            </w:r>
          </w:p>
        </w:tc>
        <w:tc>
          <w:tcPr>
            <w:tcW w:w="560" w:type="dxa"/>
            <w:vAlign w:val="bottom"/>
          </w:tcPr>
          <w:p>
            <w:pPr>
              <w:spacing w:after="0"/>
              <w:rPr>
                <w:sz w:val="23"/>
                <w:szCs w:val="23"/>
                <w:color w:val="auto"/>
              </w:rPr>
            </w:pPr>
          </w:p>
        </w:tc>
        <w:tc>
          <w:tcPr>
            <w:tcW w:w="2020" w:type="dxa"/>
            <w:vAlign w:val="bottom"/>
          </w:tcPr>
          <w:p>
            <w:pPr>
              <w:jc w:val="center"/>
              <w:spacing w:after="0"/>
              <w:rPr>
                <w:sz w:val="20"/>
                <w:szCs w:val="20"/>
                <w:color w:val="auto"/>
              </w:rPr>
            </w:pPr>
            <w:r>
              <w:rPr>
                <w:rFonts w:ascii="Arial" w:cs="Arial" w:eastAsia="Arial" w:hAnsi="Arial"/>
                <w:sz w:val="18"/>
                <w:szCs w:val="18"/>
                <w:b w:val="1"/>
                <w:bCs w:val="1"/>
                <w:color w:val="auto"/>
                <w:w w:val="89"/>
              </w:rPr>
              <w:t>2019</w:t>
            </w:r>
          </w:p>
        </w:tc>
      </w:tr>
      <w:tr>
        <w:trPr>
          <w:trHeight w:val="27"/>
        </w:trPr>
        <w:tc>
          <w:tcPr>
            <w:tcW w:w="8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37"/>
        </w:trPr>
        <w:tc>
          <w:tcPr>
            <w:tcW w:w="88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56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27"/>
        </w:trPr>
        <w:tc>
          <w:tcPr>
            <w:tcW w:w="88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8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Cost</w:t>
            </w:r>
          </w:p>
        </w:tc>
        <w:tc>
          <w:tcPr>
            <w:tcW w:w="5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85"/>
              </w:rPr>
              <w:t>$2.0</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w:t>
            </w:r>
          </w:p>
        </w:tc>
      </w:tr>
      <w:tr>
        <w:trPr>
          <w:trHeight w:val="324"/>
        </w:trPr>
        <w:tc>
          <w:tcPr>
            <w:tcW w:w="8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50"/>
        </w:trPr>
        <w:tc>
          <w:tcPr>
            <w:tcW w:w="8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Information:</w:t>
            </w:r>
          </w:p>
        </w:tc>
        <w:tc>
          <w:tcPr>
            <w:tcW w:w="5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r>
      <w:tr>
        <w:trPr>
          <w:trHeight w:val="243"/>
        </w:trPr>
        <w:tc>
          <w:tcPr>
            <w:tcW w:w="8840" w:type="dxa"/>
            <w:vAlign w:val="bottom"/>
          </w:tcPr>
          <w:p>
            <w:pPr>
              <w:ind w:left="180"/>
              <w:spacing w:after="0"/>
              <w:rPr>
                <w:sz w:val="20"/>
                <w:szCs w:val="20"/>
                <w:color w:val="auto"/>
              </w:rPr>
            </w:pPr>
            <w:r>
              <w:rPr>
                <w:rFonts w:ascii="Arial" w:cs="Arial" w:eastAsia="Arial" w:hAnsi="Arial"/>
                <w:sz w:val="18"/>
                <w:szCs w:val="18"/>
                <w:color w:val="auto"/>
              </w:rPr>
              <w:t>Operating Cash Flows From Operating Leases</w:t>
            </w:r>
          </w:p>
        </w:tc>
        <w:tc>
          <w:tcPr>
            <w:tcW w:w="560" w:type="dxa"/>
            <w:vAlign w:val="bottom"/>
          </w:tcPr>
          <w:p>
            <w:pPr>
              <w:jc w:val="right"/>
              <w:ind w:right="150"/>
              <w:spacing w:after="0"/>
              <w:rPr>
                <w:sz w:val="20"/>
                <w:szCs w:val="20"/>
                <w:color w:val="auto"/>
              </w:rPr>
            </w:pPr>
            <w:r>
              <w:rPr>
                <w:rFonts w:ascii="Arial" w:cs="Arial" w:eastAsia="Arial" w:hAnsi="Arial"/>
                <w:sz w:val="18"/>
                <w:szCs w:val="18"/>
                <w:color w:val="auto"/>
                <w:w w:val="85"/>
              </w:rPr>
              <w:t>$2.0</w:t>
            </w: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$6.7</w:t>
            </w:r>
          </w:p>
        </w:tc>
      </w:tr>
      <w:tr>
        <w:trPr>
          <w:trHeight w:val="27"/>
        </w:trPr>
        <w:tc>
          <w:tcPr>
            <w:tcW w:w="8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507"/>
        </w:trPr>
        <w:tc>
          <w:tcPr>
            <w:tcW w:w="8840" w:type="dxa"/>
            <w:vAlign w:val="bottom"/>
          </w:tcPr>
          <w:p>
            <w:pPr>
              <w:spacing w:after="0"/>
              <w:rPr>
                <w:sz w:val="20"/>
                <w:szCs w:val="20"/>
                <w:color w:val="auto"/>
              </w:rPr>
            </w:pPr>
            <w:r>
              <w:rPr>
                <w:rFonts w:ascii="Arial" w:cs="Arial" w:eastAsia="Arial" w:hAnsi="Arial"/>
                <w:sz w:val="18"/>
                <w:szCs w:val="18"/>
                <w:color w:val="auto"/>
              </w:rPr>
              <w:t>Additional information related to leases was as follows:</w:t>
            </w:r>
          </w:p>
        </w:tc>
        <w:tc>
          <w:tcPr>
            <w:tcW w:w="5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378"/>
        </w:trPr>
        <w:tc>
          <w:tcPr>
            <w:tcW w:w="8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20" w:type="dxa"/>
            <w:vAlign w:val="bottom"/>
          </w:tcPr>
          <w:p>
            <w:pPr>
              <w:jc w:val="right"/>
              <w:ind w:right="90"/>
              <w:spacing w:after="0"/>
              <w:rPr>
                <w:sz w:val="20"/>
                <w:szCs w:val="20"/>
                <w:color w:val="auto"/>
              </w:rPr>
            </w:pPr>
            <w:r>
              <w:rPr>
                <w:rFonts w:ascii="Arial" w:cs="Arial" w:eastAsia="Arial" w:hAnsi="Arial"/>
                <w:sz w:val="18"/>
                <w:szCs w:val="18"/>
                <w:b w:val="1"/>
                <w:bCs w:val="1"/>
                <w:color w:val="auto"/>
              </w:rPr>
              <w:t>September 30,</w:t>
            </w:r>
          </w:p>
        </w:tc>
      </w:tr>
      <w:tr>
        <w:trPr>
          <w:trHeight w:val="270"/>
        </w:trPr>
        <w:tc>
          <w:tcPr>
            <w:tcW w:w="88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20" w:type="dxa"/>
            <w:vAlign w:val="bottom"/>
          </w:tcPr>
          <w:p>
            <w:pPr>
              <w:jc w:val="right"/>
              <w:ind w:right="90"/>
              <w:spacing w:after="0"/>
              <w:rPr>
                <w:sz w:val="20"/>
                <w:szCs w:val="20"/>
                <w:color w:val="auto"/>
              </w:rPr>
            </w:pPr>
            <w:r>
              <w:rPr>
                <w:rFonts w:ascii="Arial" w:cs="Arial" w:eastAsia="Arial" w:hAnsi="Arial"/>
                <w:sz w:val="18"/>
                <w:szCs w:val="18"/>
                <w:b w:val="1"/>
                <w:bCs w:val="1"/>
                <w:color w:val="auto"/>
              </w:rPr>
              <w:t>2019</w:t>
            </w:r>
          </w:p>
        </w:tc>
      </w:tr>
      <w:tr>
        <w:trPr>
          <w:trHeight w:val="27"/>
        </w:trPr>
        <w:tc>
          <w:tcPr>
            <w:tcW w:w="8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8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Millions</w:t>
            </w:r>
          </w:p>
        </w:tc>
        <w:tc>
          <w:tcPr>
            <w:tcW w:w="5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r>
      <w:tr>
        <w:trPr>
          <w:trHeight w:val="243"/>
        </w:trPr>
        <w:tc>
          <w:tcPr>
            <w:tcW w:w="8840" w:type="dxa"/>
            <w:vAlign w:val="bottom"/>
          </w:tcPr>
          <w:p>
            <w:pPr>
              <w:ind w:left="40"/>
              <w:spacing w:after="0"/>
              <w:rPr>
                <w:sz w:val="20"/>
                <w:szCs w:val="20"/>
                <w:color w:val="auto"/>
              </w:rPr>
            </w:pPr>
            <w:r>
              <w:rPr>
                <w:rFonts w:ascii="Arial" w:cs="Arial" w:eastAsia="Arial" w:hAnsi="Arial"/>
                <w:sz w:val="18"/>
                <w:szCs w:val="18"/>
                <w:color w:val="auto"/>
              </w:rPr>
              <w:t>Balance Sheet Information Related to Leases:</w:t>
            </w:r>
          </w:p>
        </w:tc>
        <w:tc>
          <w:tcPr>
            <w:tcW w:w="560" w:type="dxa"/>
            <w:vAlign w:val="bottom"/>
          </w:tcPr>
          <w:p>
            <w:pPr>
              <w:spacing w:after="0"/>
              <w:rPr>
                <w:sz w:val="21"/>
                <w:szCs w:val="21"/>
                <w:color w:val="auto"/>
              </w:rPr>
            </w:pPr>
          </w:p>
        </w:tc>
        <w:tc>
          <w:tcPr>
            <w:tcW w:w="2020" w:type="dxa"/>
            <w:vAlign w:val="bottom"/>
          </w:tcPr>
          <w:p>
            <w:pPr>
              <w:spacing w:after="0"/>
              <w:rPr>
                <w:sz w:val="21"/>
                <w:szCs w:val="21"/>
                <w:color w:val="auto"/>
              </w:rPr>
            </w:pPr>
          </w:p>
        </w:tc>
      </w:tr>
      <w:tr>
        <w:trPr>
          <w:trHeight w:val="27"/>
        </w:trPr>
        <w:tc>
          <w:tcPr>
            <w:tcW w:w="88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5"/>
        </w:trPr>
        <w:tc>
          <w:tcPr>
            <w:tcW w:w="8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Non-Current Assets</w:t>
            </w:r>
          </w:p>
        </w:tc>
        <w:tc>
          <w:tcPr>
            <w:tcW w:w="5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$30.4</w:t>
            </w:r>
          </w:p>
        </w:tc>
      </w:tr>
      <w:tr>
        <w:trPr>
          <w:trHeight w:val="237"/>
        </w:trPr>
        <w:tc>
          <w:tcPr>
            <w:tcW w:w="884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Total Operating Lease Right-of-use Assets</w:t>
            </w:r>
          </w:p>
        </w:tc>
        <w:tc>
          <w:tcPr>
            <w:tcW w:w="56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$30.4</w:t>
            </w:r>
          </w:p>
        </w:tc>
      </w:tr>
      <w:tr>
        <w:trPr>
          <w:trHeight w:val="27"/>
        </w:trPr>
        <w:tc>
          <w:tcPr>
            <w:tcW w:w="88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324"/>
        </w:trPr>
        <w:tc>
          <w:tcPr>
            <w:tcW w:w="88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r>
      <w:tr>
        <w:trPr>
          <w:trHeight w:val="243"/>
        </w:trPr>
        <w:tc>
          <w:tcPr>
            <w:tcW w:w="8840" w:type="dxa"/>
            <w:vAlign w:val="bottom"/>
          </w:tcPr>
          <w:p>
            <w:pPr>
              <w:ind w:left="180"/>
              <w:spacing w:after="0"/>
              <w:rPr>
                <w:sz w:val="20"/>
                <w:szCs w:val="20"/>
                <w:color w:val="auto"/>
              </w:rPr>
            </w:pPr>
            <w:r>
              <w:rPr>
                <w:rFonts w:ascii="Arial" w:cs="Arial" w:eastAsia="Arial" w:hAnsi="Arial"/>
                <w:sz w:val="18"/>
                <w:szCs w:val="18"/>
                <w:color w:val="auto"/>
              </w:rPr>
              <w:t>Other Current Liabilities</w:t>
            </w:r>
          </w:p>
        </w:tc>
        <w:tc>
          <w:tcPr>
            <w:tcW w:w="560" w:type="dxa"/>
            <w:vAlign w:val="bottom"/>
          </w:tcPr>
          <w:p>
            <w:pPr>
              <w:spacing w:after="0"/>
              <w:rPr>
                <w:sz w:val="21"/>
                <w:szCs w:val="21"/>
                <w:color w:val="auto"/>
              </w:rPr>
            </w:pPr>
          </w:p>
        </w:tc>
        <w:tc>
          <w:tcPr>
            <w:tcW w:w="2020" w:type="dxa"/>
            <w:vAlign w:val="bottom"/>
          </w:tcPr>
          <w:p>
            <w:pPr>
              <w:jc w:val="right"/>
              <w:ind w:right="90"/>
              <w:spacing w:after="0"/>
              <w:rPr>
                <w:sz w:val="20"/>
                <w:szCs w:val="20"/>
                <w:color w:val="auto"/>
              </w:rPr>
            </w:pPr>
            <w:r>
              <w:rPr>
                <w:rFonts w:ascii="Arial" w:cs="Arial" w:eastAsia="Arial" w:hAnsi="Arial"/>
                <w:sz w:val="18"/>
                <w:szCs w:val="18"/>
                <w:color w:val="auto"/>
              </w:rPr>
              <w:t>$7.1</w:t>
            </w:r>
          </w:p>
        </w:tc>
      </w:tr>
      <w:tr>
        <w:trPr>
          <w:trHeight w:val="27"/>
        </w:trPr>
        <w:tc>
          <w:tcPr>
            <w:tcW w:w="88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5"/>
        </w:trPr>
        <w:tc>
          <w:tcPr>
            <w:tcW w:w="8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Non-Current Liabilities</w:t>
            </w:r>
          </w:p>
        </w:tc>
        <w:tc>
          <w:tcPr>
            <w:tcW w:w="5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23.3</w:t>
            </w:r>
          </w:p>
        </w:tc>
      </w:tr>
      <w:tr>
        <w:trPr>
          <w:trHeight w:val="237"/>
        </w:trPr>
        <w:tc>
          <w:tcPr>
            <w:tcW w:w="884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Total Operating Lease Liabilities</w:t>
            </w:r>
          </w:p>
        </w:tc>
        <w:tc>
          <w:tcPr>
            <w:tcW w:w="56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$30.4</w:t>
            </w:r>
          </w:p>
        </w:tc>
      </w:tr>
      <w:tr>
        <w:trPr>
          <w:trHeight w:val="27"/>
        </w:trPr>
        <w:tc>
          <w:tcPr>
            <w:tcW w:w="88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324"/>
        </w:trPr>
        <w:tc>
          <w:tcPr>
            <w:tcW w:w="88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r>
      <w:tr>
        <w:trPr>
          <w:trHeight w:val="243"/>
        </w:trPr>
        <w:tc>
          <w:tcPr>
            <w:tcW w:w="8840" w:type="dxa"/>
            <w:vAlign w:val="bottom"/>
          </w:tcPr>
          <w:p>
            <w:pPr>
              <w:ind w:left="40"/>
              <w:spacing w:after="0"/>
              <w:rPr>
                <w:sz w:val="20"/>
                <w:szCs w:val="20"/>
                <w:color w:val="auto"/>
              </w:rPr>
            </w:pPr>
            <w:r>
              <w:rPr>
                <w:rFonts w:ascii="Arial" w:cs="Arial" w:eastAsia="Arial" w:hAnsi="Arial"/>
                <w:sz w:val="18"/>
                <w:szCs w:val="18"/>
                <w:b w:val="1"/>
                <w:bCs w:val="1"/>
                <w:color w:val="auto"/>
              </w:rPr>
              <w:t>Weighted Average Remaining Lease Term (Years):</w:t>
            </w:r>
          </w:p>
        </w:tc>
        <w:tc>
          <w:tcPr>
            <w:tcW w:w="560" w:type="dxa"/>
            <w:vAlign w:val="bottom"/>
          </w:tcPr>
          <w:p>
            <w:pPr>
              <w:spacing w:after="0"/>
              <w:rPr>
                <w:sz w:val="21"/>
                <w:szCs w:val="21"/>
                <w:color w:val="auto"/>
              </w:rPr>
            </w:pPr>
          </w:p>
        </w:tc>
        <w:tc>
          <w:tcPr>
            <w:tcW w:w="2020" w:type="dxa"/>
            <w:vAlign w:val="bottom"/>
          </w:tcPr>
          <w:p>
            <w:pPr>
              <w:spacing w:after="0"/>
              <w:rPr>
                <w:sz w:val="21"/>
                <w:szCs w:val="21"/>
                <w:color w:val="auto"/>
              </w:rPr>
            </w:pPr>
          </w:p>
        </w:tc>
      </w:tr>
      <w:tr>
        <w:trPr>
          <w:trHeight w:val="27"/>
        </w:trPr>
        <w:tc>
          <w:tcPr>
            <w:tcW w:w="88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8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Leases - Vehicles and Equipment</w:t>
            </w:r>
          </w:p>
        </w:tc>
        <w:tc>
          <w:tcPr>
            <w:tcW w:w="5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w:t>
            </w:r>
          </w:p>
        </w:tc>
      </w:tr>
      <w:tr>
        <w:trPr>
          <w:trHeight w:val="243"/>
        </w:trPr>
        <w:tc>
          <w:tcPr>
            <w:tcW w:w="8840" w:type="dxa"/>
            <w:vAlign w:val="bottom"/>
          </w:tcPr>
          <w:p>
            <w:pPr>
              <w:ind w:left="180"/>
              <w:spacing w:after="0"/>
              <w:rPr>
                <w:sz w:val="20"/>
                <w:szCs w:val="20"/>
                <w:color w:val="auto"/>
              </w:rPr>
            </w:pPr>
            <w:r>
              <w:rPr>
                <w:rFonts w:ascii="Arial" w:cs="Arial" w:eastAsia="Arial" w:hAnsi="Arial"/>
                <w:sz w:val="18"/>
                <w:szCs w:val="18"/>
                <w:color w:val="auto"/>
              </w:rPr>
              <w:t>Operating Leases - Land and Other</w:t>
            </w:r>
          </w:p>
        </w:tc>
        <w:tc>
          <w:tcPr>
            <w:tcW w:w="560" w:type="dxa"/>
            <w:vAlign w:val="bottom"/>
          </w:tcPr>
          <w:p>
            <w:pPr>
              <w:spacing w:after="0"/>
              <w:rPr>
                <w:sz w:val="21"/>
                <w:szCs w:val="21"/>
                <w:color w:val="auto"/>
              </w:rPr>
            </w:pPr>
          </w:p>
        </w:tc>
        <w:tc>
          <w:tcPr>
            <w:tcW w:w="2020" w:type="dxa"/>
            <w:vAlign w:val="bottom"/>
          </w:tcPr>
          <w:p>
            <w:pPr>
              <w:jc w:val="right"/>
              <w:ind w:right="90"/>
              <w:spacing w:after="0"/>
              <w:rPr>
                <w:sz w:val="20"/>
                <w:szCs w:val="20"/>
                <w:color w:val="auto"/>
              </w:rPr>
            </w:pPr>
            <w:r>
              <w:rPr>
                <w:rFonts w:ascii="Arial" w:cs="Arial" w:eastAsia="Arial" w:hAnsi="Arial"/>
                <w:sz w:val="18"/>
                <w:szCs w:val="18"/>
                <w:color w:val="auto"/>
              </w:rPr>
              <w:t>28</w:t>
            </w:r>
          </w:p>
        </w:tc>
      </w:tr>
      <w:tr>
        <w:trPr>
          <w:trHeight w:val="27"/>
        </w:trPr>
        <w:tc>
          <w:tcPr>
            <w:tcW w:w="88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324"/>
        </w:trPr>
        <w:tc>
          <w:tcPr>
            <w:tcW w:w="88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r>
      <w:tr>
        <w:trPr>
          <w:trHeight w:val="243"/>
        </w:trPr>
        <w:tc>
          <w:tcPr>
            <w:tcW w:w="8840" w:type="dxa"/>
            <w:vAlign w:val="bottom"/>
          </w:tcPr>
          <w:p>
            <w:pPr>
              <w:ind w:left="40"/>
              <w:spacing w:after="0"/>
              <w:rPr>
                <w:sz w:val="20"/>
                <w:szCs w:val="20"/>
                <w:color w:val="auto"/>
              </w:rPr>
            </w:pPr>
            <w:r>
              <w:rPr>
                <w:rFonts w:ascii="Arial" w:cs="Arial" w:eastAsia="Arial" w:hAnsi="Arial"/>
                <w:sz w:val="18"/>
                <w:szCs w:val="18"/>
                <w:b w:val="1"/>
                <w:bCs w:val="1"/>
                <w:color w:val="auto"/>
              </w:rPr>
              <w:t>Weighted Average Discount Rate:</w:t>
            </w:r>
          </w:p>
        </w:tc>
        <w:tc>
          <w:tcPr>
            <w:tcW w:w="560" w:type="dxa"/>
            <w:vAlign w:val="bottom"/>
          </w:tcPr>
          <w:p>
            <w:pPr>
              <w:spacing w:after="0"/>
              <w:rPr>
                <w:sz w:val="21"/>
                <w:szCs w:val="21"/>
                <w:color w:val="auto"/>
              </w:rPr>
            </w:pPr>
          </w:p>
        </w:tc>
        <w:tc>
          <w:tcPr>
            <w:tcW w:w="2020" w:type="dxa"/>
            <w:vAlign w:val="bottom"/>
          </w:tcPr>
          <w:p>
            <w:pPr>
              <w:spacing w:after="0"/>
              <w:rPr>
                <w:sz w:val="21"/>
                <w:szCs w:val="21"/>
                <w:color w:val="auto"/>
              </w:rPr>
            </w:pPr>
          </w:p>
        </w:tc>
      </w:tr>
      <w:tr>
        <w:trPr>
          <w:trHeight w:val="27"/>
        </w:trPr>
        <w:tc>
          <w:tcPr>
            <w:tcW w:w="88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8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Leases - Vehicles and Equipment</w:t>
            </w:r>
          </w:p>
        </w:tc>
        <w:tc>
          <w:tcPr>
            <w:tcW w:w="5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43"/>
        </w:trPr>
        <w:tc>
          <w:tcPr>
            <w:tcW w:w="8840" w:type="dxa"/>
            <w:vAlign w:val="bottom"/>
          </w:tcPr>
          <w:p>
            <w:pPr>
              <w:ind w:left="180"/>
              <w:spacing w:after="0"/>
              <w:rPr>
                <w:sz w:val="20"/>
                <w:szCs w:val="20"/>
                <w:color w:val="auto"/>
              </w:rPr>
            </w:pPr>
            <w:r>
              <w:rPr>
                <w:rFonts w:ascii="Arial" w:cs="Arial" w:eastAsia="Arial" w:hAnsi="Arial"/>
                <w:sz w:val="18"/>
                <w:szCs w:val="18"/>
                <w:color w:val="auto"/>
              </w:rPr>
              <w:t>Operating Leases - Land and Other</w:t>
            </w:r>
          </w:p>
        </w:tc>
        <w:tc>
          <w:tcPr>
            <w:tcW w:w="56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
        </w:trPr>
        <w:tc>
          <w:tcPr>
            <w:tcW w:w="8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2019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420"/>
          </w:cols>
          <w:pgMar w:left="240" w:top="1040"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Maturities of lease liabilities were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p>
        </w:tc>
        <w:tc>
          <w:tcPr>
            <w:tcW w:w="5340" w:type="dxa"/>
            <w:vAlign w:val="bottom"/>
          </w:tcPr>
          <w:p>
            <w:pPr>
              <w:jc w:val="right"/>
              <w:ind w:right="10"/>
              <w:spacing w:after="0"/>
              <w:rPr>
                <w:sz w:val="20"/>
                <w:szCs w:val="20"/>
                <w:color w:val="auto"/>
              </w:rPr>
            </w:pPr>
            <w:r>
              <w:rPr>
                <w:rFonts w:ascii="Arial" w:cs="Arial" w:eastAsia="Arial" w:hAnsi="Arial"/>
                <w:sz w:val="18"/>
                <w:szCs w:val="18"/>
                <w:b w:val="1"/>
                <w:bCs w:val="1"/>
                <w:color w:val="auto"/>
              </w:rPr>
              <w:t>September 30, 2019</w:t>
            </w:r>
          </w:p>
        </w:tc>
      </w:tr>
      <w:tr>
        <w:trPr>
          <w:trHeight w:val="27"/>
        </w:trPr>
        <w:tc>
          <w:tcPr>
            <w:tcW w:w="6080" w:type="dxa"/>
            <w:vAlign w:val="bottom"/>
            <w:tcBorders>
              <w:bottom w:val="single" w:sz="8" w:color="auto"/>
            </w:tcBorders>
          </w:tcPr>
          <w:p>
            <w:pPr>
              <w:spacing w:after="0"/>
              <w:rPr>
                <w:sz w:val="2"/>
                <w:szCs w:val="2"/>
                <w:color w:val="auto"/>
              </w:rPr>
            </w:pPr>
          </w:p>
        </w:tc>
        <w:tc>
          <w:tcPr>
            <w:tcW w:w="5340" w:type="dxa"/>
            <w:vAlign w:val="bottom"/>
            <w:tcBorders>
              <w:bottom w:val="single" w:sz="8" w:color="auto"/>
            </w:tcBorders>
          </w:tcPr>
          <w:p>
            <w:pPr>
              <w:spacing w:after="0"/>
              <w:rPr>
                <w:sz w:val="2"/>
                <w:szCs w:val="2"/>
                <w:color w:val="auto"/>
              </w:rPr>
            </w:pPr>
          </w:p>
        </w:tc>
      </w:tr>
      <w:tr>
        <w:trPr>
          <w:trHeight w:val="237"/>
        </w:trPr>
        <w:tc>
          <w:tcPr>
            <w:tcW w:w="60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5340" w:type="dxa"/>
            <w:vAlign w:val="bottom"/>
          </w:tcPr>
          <w:p>
            <w:pPr>
              <w:spacing w:after="0"/>
              <w:rPr>
                <w:sz w:val="20"/>
                <w:szCs w:val="20"/>
                <w:color w:val="auto"/>
              </w:rPr>
            </w:pPr>
          </w:p>
        </w:tc>
      </w:tr>
      <w:tr>
        <w:trPr>
          <w:trHeight w:val="27"/>
        </w:trPr>
        <w:tc>
          <w:tcPr>
            <w:tcW w:w="6080" w:type="dxa"/>
            <w:vAlign w:val="bottom"/>
          </w:tcPr>
          <w:p>
            <w:pPr>
              <w:spacing w:after="0"/>
              <w:rPr>
                <w:sz w:val="2"/>
                <w:szCs w:val="2"/>
                <w:color w:val="auto"/>
              </w:rPr>
            </w:pPr>
          </w:p>
        </w:tc>
        <w:tc>
          <w:tcPr>
            <w:tcW w:w="534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5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2020</w:t>
            </w:r>
          </w:p>
        </w:tc>
        <w:tc>
          <w:tcPr>
            <w:tcW w:w="5340" w:type="dxa"/>
            <w:vAlign w:val="bottom"/>
          </w:tcPr>
          <w:p>
            <w:pPr>
              <w:jc w:val="right"/>
              <w:ind w:right="10"/>
              <w:spacing w:after="0"/>
              <w:rPr>
                <w:sz w:val="20"/>
                <w:szCs w:val="20"/>
                <w:color w:val="auto"/>
              </w:rPr>
            </w:pPr>
            <w:r>
              <w:rPr>
                <w:rFonts w:ascii="Arial" w:cs="Arial" w:eastAsia="Arial" w:hAnsi="Arial"/>
                <w:sz w:val="18"/>
                <w:szCs w:val="18"/>
                <w:color w:val="auto"/>
              </w:rPr>
              <w:t>7.9</w:t>
            </w:r>
          </w:p>
        </w:tc>
      </w:tr>
      <w:tr>
        <w:trPr>
          <w:trHeight w:val="27"/>
        </w:trPr>
        <w:tc>
          <w:tcPr>
            <w:tcW w:w="6080" w:type="dxa"/>
            <w:vAlign w:val="bottom"/>
          </w:tcPr>
          <w:p>
            <w:pPr>
              <w:spacing w:after="0"/>
              <w:rPr>
                <w:sz w:val="2"/>
                <w:szCs w:val="2"/>
                <w:color w:val="auto"/>
              </w:rPr>
            </w:pPr>
          </w:p>
        </w:tc>
        <w:tc>
          <w:tcPr>
            <w:tcW w:w="534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5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2022</w:t>
            </w:r>
          </w:p>
        </w:tc>
        <w:tc>
          <w:tcPr>
            <w:tcW w:w="5340" w:type="dxa"/>
            <w:vAlign w:val="bottom"/>
          </w:tcPr>
          <w:p>
            <w:pPr>
              <w:jc w:val="right"/>
              <w:ind w:right="10"/>
              <w:spacing w:after="0"/>
              <w:rPr>
                <w:sz w:val="20"/>
                <w:szCs w:val="20"/>
                <w:color w:val="auto"/>
              </w:rPr>
            </w:pPr>
            <w:r>
              <w:rPr>
                <w:rFonts w:ascii="Arial" w:cs="Arial" w:eastAsia="Arial" w:hAnsi="Arial"/>
                <w:sz w:val="18"/>
                <w:szCs w:val="18"/>
                <w:color w:val="auto"/>
              </w:rPr>
              <w:t>4.9</w:t>
            </w:r>
          </w:p>
        </w:tc>
      </w:tr>
      <w:tr>
        <w:trPr>
          <w:trHeight w:val="27"/>
        </w:trPr>
        <w:tc>
          <w:tcPr>
            <w:tcW w:w="6080" w:type="dxa"/>
            <w:vAlign w:val="bottom"/>
          </w:tcPr>
          <w:p>
            <w:pPr>
              <w:spacing w:after="0"/>
              <w:rPr>
                <w:sz w:val="2"/>
                <w:szCs w:val="2"/>
                <w:color w:val="auto"/>
              </w:rPr>
            </w:pPr>
          </w:p>
        </w:tc>
        <w:tc>
          <w:tcPr>
            <w:tcW w:w="534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5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5340" w:type="dxa"/>
            <w:vAlign w:val="bottom"/>
          </w:tcPr>
          <w:p>
            <w:pPr>
              <w:jc w:val="right"/>
              <w:ind w:right="10"/>
              <w:spacing w:after="0"/>
              <w:rPr>
                <w:sz w:val="20"/>
                <w:szCs w:val="20"/>
                <w:color w:val="auto"/>
              </w:rPr>
            </w:pPr>
            <w:r>
              <w:rPr>
                <w:rFonts w:ascii="Arial" w:cs="Arial" w:eastAsia="Arial" w:hAnsi="Arial"/>
                <w:sz w:val="18"/>
                <w:szCs w:val="18"/>
                <w:color w:val="auto"/>
              </w:rPr>
              <w:t>9.4</w:t>
            </w:r>
          </w:p>
        </w:tc>
      </w:tr>
      <w:tr>
        <w:trPr>
          <w:trHeight w:val="27"/>
        </w:trPr>
        <w:tc>
          <w:tcPr>
            <w:tcW w:w="6080" w:type="dxa"/>
            <w:vAlign w:val="bottom"/>
            <w:tcBorders>
              <w:bottom w:val="single" w:sz="8" w:color="auto"/>
            </w:tcBorders>
          </w:tcPr>
          <w:p>
            <w:pPr>
              <w:spacing w:after="0"/>
              <w:rPr>
                <w:sz w:val="2"/>
                <w:szCs w:val="2"/>
                <w:color w:val="auto"/>
              </w:rPr>
            </w:pPr>
          </w:p>
        </w:tc>
        <w:tc>
          <w:tcPr>
            <w:tcW w:w="534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Lease Payments Due</w:t>
            </w:r>
          </w:p>
        </w:tc>
        <w:tc>
          <w:tcPr>
            <w:tcW w:w="5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33.6</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Less: Imputed Interest</w:t>
            </w:r>
          </w:p>
        </w:tc>
        <w:tc>
          <w:tcPr>
            <w:tcW w:w="5340" w:type="dxa"/>
            <w:vAlign w:val="bottom"/>
          </w:tcPr>
          <w:p>
            <w:pPr>
              <w:jc w:val="right"/>
              <w:ind w:right="10"/>
              <w:spacing w:after="0"/>
              <w:rPr>
                <w:sz w:val="20"/>
                <w:szCs w:val="20"/>
                <w:color w:val="auto"/>
              </w:rPr>
            </w:pPr>
            <w:r>
              <w:rPr>
                <w:rFonts w:ascii="Arial" w:cs="Arial" w:eastAsia="Arial" w:hAnsi="Arial"/>
                <w:sz w:val="18"/>
                <w:szCs w:val="18"/>
                <w:color w:val="auto"/>
              </w:rPr>
              <w:t>3.2</w:t>
            </w:r>
          </w:p>
        </w:tc>
      </w:tr>
      <w:tr>
        <w:trPr>
          <w:trHeight w:val="27"/>
        </w:trPr>
        <w:tc>
          <w:tcPr>
            <w:tcW w:w="6080" w:type="dxa"/>
            <w:vAlign w:val="bottom"/>
            <w:tcBorders>
              <w:bottom w:val="single" w:sz="8" w:color="auto"/>
            </w:tcBorders>
          </w:tcPr>
          <w:p>
            <w:pPr>
              <w:spacing w:after="0"/>
              <w:rPr>
                <w:sz w:val="2"/>
                <w:szCs w:val="2"/>
                <w:color w:val="auto"/>
              </w:rPr>
            </w:pPr>
          </w:p>
        </w:tc>
        <w:tc>
          <w:tcPr>
            <w:tcW w:w="534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Lease Obligations</w:t>
            </w:r>
          </w:p>
        </w:tc>
        <w:tc>
          <w:tcPr>
            <w:tcW w:w="5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Less: Current Lease Obligations</w:t>
            </w:r>
          </w:p>
        </w:tc>
        <w:tc>
          <w:tcPr>
            <w:tcW w:w="5340" w:type="dxa"/>
            <w:vAlign w:val="bottom"/>
          </w:tcPr>
          <w:p>
            <w:pPr>
              <w:jc w:val="right"/>
              <w:ind w:right="10"/>
              <w:spacing w:after="0"/>
              <w:rPr>
                <w:sz w:val="20"/>
                <w:szCs w:val="20"/>
                <w:color w:val="auto"/>
              </w:rPr>
            </w:pPr>
            <w:r>
              <w:rPr>
                <w:rFonts w:ascii="Arial" w:cs="Arial" w:eastAsia="Arial" w:hAnsi="Arial"/>
                <w:sz w:val="18"/>
                <w:szCs w:val="18"/>
                <w:color w:val="auto"/>
              </w:rPr>
              <w:t>7.1</w:t>
            </w:r>
          </w:p>
        </w:tc>
      </w:tr>
      <w:tr>
        <w:trPr>
          <w:trHeight w:val="27"/>
        </w:trPr>
        <w:tc>
          <w:tcPr>
            <w:tcW w:w="6080" w:type="dxa"/>
            <w:vAlign w:val="bottom"/>
            <w:tcBorders>
              <w:bottom w:val="single" w:sz="8" w:color="auto"/>
            </w:tcBorders>
          </w:tcPr>
          <w:p>
            <w:pPr>
              <w:spacing w:after="0"/>
              <w:rPr>
                <w:sz w:val="2"/>
                <w:szCs w:val="2"/>
                <w:color w:val="auto"/>
              </w:rPr>
            </w:pPr>
          </w:p>
        </w:tc>
        <w:tc>
          <w:tcPr>
            <w:tcW w:w="534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Long-term Lease Obligations</w:t>
            </w:r>
          </w:p>
        </w:tc>
        <w:tc>
          <w:tcPr>
            <w:tcW w:w="5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w:t>
            </w:r>
          </w:p>
        </w:tc>
      </w:tr>
      <w:tr>
        <w:trPr>
          <w:trHeight w:val="20"/>
        </w:trPr>
        <w:tc>
          <w:tcPr>
            <w:tcW w:w="6080" w:type="dxa"/>
            <w:vAlign w:val="bottom"/>
            <w:shd w:val="clear" w:color="auto" w:fill="000000"/>
          </w:tcPr>
          <w:p>
            <w:pPr>
              <w:spacing w:after="0" w:line="20" w:lineRule="exact"/>
              <w:rPr>
                <w:sz w:val="1"/>
                <w:szCs w:val="1"/>
                <w:color w:val="auto"/>
              </w:rPr>
            </w:pPr>
          </w:p>
        </w:tc>
        <w:tc>
          <w:tcPr>
            <w:tcW w:w="534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Sale of U.S. Water Services. </w:t>
      </w:r>
      <w:r>
        <w:rPr>
          <w:rFonts w:ascii="Arial" w:cs="Arial" w:eastAsia="Arial" w:hAnsi="Arial"/>
          <w:sz w:val="16"/>
          <w:szCs w:val="16"/>
          <w:color w:val="auto"/>
        </w:rPr>
        <w:t>On February 8, 2019, the Company entered into a stock purchase agreement providing for the sale of U.S. Water Services to a</w:t>
      </w:r>
      <w:r>
        <w:rPr>
          <w:rFonts w:ascii="Arial" w:cs="Arial" w:eastAsia="Arial" w:hAnsi="Arial"/>
          <w:sz w:val="16"/>
          <w:szCs w:val="16"/>
          <w:b w:val="1"/>
          <w:bCs w:val="1"/>
          <w:color w:val="auto"/>
        </w:rPr>
        <w:t xml:space="preserve"> </w:t>
      </w:r>
      <w:r>
        <w:rPr>
          <w:rFonts w:ascii="Arial" w:cs="Arial" w:eastAsia="Arial" w:hAnsi="Arial"/>
          <w:sz w:val="16"/>
          <w:szCs w:val="16"/>
          <w:color w:val="auto"/>
        </w:rPr>
        <w:t>subsidiary of Kurita Water Industries Ltd. On March 26, 2019, ALLETE completed the sale and received approximately $265 million in cash at closing, net of transaction costs and cash retained. The Company recognized a gain on the sale of U.S. Water Services of $11.1 million after-tax in 2019.</w:t>
      </w:r>
    </w:p>
    <w:p>
      <w:pPr>
        <w:spacing w:after="0" w:line="14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ALLETE Clean Energy Asset Acquisition. </w:t>
      </w:r>
      <w:r>
        <w:rPr>
          <w:rFonts w:ascii="Arial" w:cs="Arial" w:eastAsia="Arial" w:hAnsi="Arial"/>
          <w:sz w:val="18"/>
          <w:szCs w:val="18"/>
          <w:color w:val="auto"/>
        </w:rPr>
        <w:t>On May 3, 2019, ALLETE Clean Energy acquired the Diamond Spring wind project in Oklahoma from Apex</w:t>
      </w:r>
      <w:r>
        <w:rPr>
          <w:rFonts w:ascii="Arial" w:cs="Arial" w:eastAsia="Arial" w:hAnsi="Arial"/>
          <w:sz w:val="18"/>
          <w:szCs w:val="18"/>
          <w:b w:val="1"/>
          <w:bCs w:val="1"/>
          <w:color w:val="auto"/>
        </w:rPr>
        <w:t xml:space="preserve"> </w:t>
      </w:r>
      <w:r>
        <w:rPr>
          <w:rFonts w:ascii="Arial" w:cs="Arial" w:eastAsia="Arial" w:hAnsi="Arial"/>
          <w:sz w:val="18"/>
          <w:szCs w:val="18"/>
          <w:color w:val="auto"/>
        </w:rPr>
        <w:t>Clean Energy. ALLETE Clean Energy will build, own and operate the approximately 300 MW wind energy facility. The Diamond Spring wind project is fully contracted to sell wind power to Walmart Inc., Smithfield Foods, Inc. and Starbucks Corporation under long-term power sales agreements. Construction is expected to begin in late 2019 and be completed in late 2020.</w:t>
      </w:r>
    </w:p>
    <w:p>
      <w:pPr>
        <w:spacing w:after="0" w:line="180"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Subsequent Events. </w:t>
      </w:r>
      <w:r>
        <w:rPr>
          <w:rFonts w:ascii="Arial" w:cs="Arial" w:eastAsia="Arial" w:hAnsi="Arial"/>
          <w:sz w:val="18"/>
          <w:szCs w:val="18"/>
          <w:color w:val="auto"/>
        </w:rPr>
        <w:t>The Company performed an evaluation of subsequent events for potential recognition and disclosure through the date of the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statements issuance.</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REGULATORY MATTERS</w:t>
      </w:r>
    </w:p>
    <w:p>
      <w:pPr>
        <w:spacing w:after="0" w:line="229" w:lineRule="exact"/>
        <w:rPr>
          <w:sz w:val="20"/>
          <w:szCs w:val="20"/>
          <w:color w:val="auto"/>
        </w:rPr>
      </w:pPr>
    </w:p>
    <w:p>
      <w:pPr>
        <w:jc w:val="both"/>
        <w:ind w:right="20"/>
        <w:spacing w:after="0" w:line="223" w:lineRule="exact"/>
        <w:rPr>
          <w:sz w:val="20"/>
          <w:szCs w:val="20"/>
          <w:color w:val="auto"/>
        </w:rPr>
      </w:pPr>
      <w:r>
        <w:rPr>
          <w:rFonts w:ascii="Arial" w:cs="Arial" w:eastAsia="Arial" w:hAnsi="Arial"/>
          <w:sz w:val="18"/>
          <w:szCs w:val="18"/>
          <w:color w:val="auto"/>
        </w:rPr>
        <w:t>Regulatory matters are summarized in Note 4. Regulatory Matters to the Consolidated Financial Statements in our 2018 Form 10</w:t>
      </w:r>
      <w:r>
        <w:rPr>
          <w:rFonts w:ascii="MS PGothic" w:cs="MS PGothic" w:eastAsia="MS PGothic" w:hAnsi="MS PGothic"/>
          <w:sz w:val="18"/>
          <w:szCs w:val="18"/>
          <w:color w:val="auto"/>
        </w:rPr>
        <w:t>‑</w:t>
      </w:r>
      <w:r>
        <w:rPr>
          <w:rFonts w:ascii="Arial" w:cs="Arial" w:eastAsia="Arial" w:hAnsi="Arial"/>
          <w:sz w:val="18"/>
          <w:szCs w:val="18"/>
          <w:color w:val="auto"/>
        </w:rPr>
        <w:t>K, with additional disclosure provided in the following paragraphs.</w:t>
      </w:r>
    </w:p>
    <w:p>
      <w:pPr>
        <w:spacing w:after="0" w:line="19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Electric Rates. </w:t>
      </w:r>
      <w:r>
        <w:rPr>
          <w:rFonts w:ascii="Arial" w:cs="Arial" w:eastAsia="Arial" w:hAnsi="Arial"/>
          <w:sz w:val="18"/>
          <w:szCs w:val="18"/>
          <w:color w:val="auto"/>
        </w:rPr>
        <w:t>Entities within our Regulated Operations segment file for periodic rate revisions with the MPUC, PSCW or FERC. As authorized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MPUC, Minnesota Power also recognizes revenue under cost recovery riders for transmission, renewable, and environmental investments and expenditures. Revenue from cost recovery riders was $24.3 million for the nine months ended September 30, 2019 ($81.2 million for nine months ended September 30, 2018). With the implementation of final rates in Minnesota Power’s general rate case, certain revenue previously recognized under cost recovery riders was incorporated into base rates. (See </w:t>
      </w:r>
      <w:r>
        <w:rPr>
          <w:rFonts w:ascii="Arial" w:cs="Arial" w:eastAsia="Arial" w:hAnsi="Arial"/>
          <w:sz w:val="18"/>
          <w:szCs w:val="18"/>
          <w:i w:val="1"/>
          <w:iCs w:val="1"/>
          <w:color w:val="auto"/>
        </w:rPr>
        <w:t>2016 Minnesota General Rate Case</w:t>
      </w:r>
      <w:r>
        <w:rPr>
          <w:rFonts w:ascii="Arial" w:cs="Arial" w:eastAsia="Arial" w:hAnsi="Arial"/>
          <w:sz w:val="18"/>
          <w:szCs w:val="18"/>
          <w:color w:val="auto"/>
        </w:rPr>
        <w: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2019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420"/>
          </w:cols>
          <w:pgMar w:left="240" w:top="1040"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2. REGULATORY MATTERS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Electric Rates (Continued)</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2016 Minnesota General Rate Case. </w:t>
      </w:r>
      <w:r>
        <w:rPr>
          <w:rFonts w:ascii="Arial" w:cs="Arial" w:eastAsia="Arial" w:hAnsi="Arial"/>
          <w:sz w:val="18"/>
          <w:szCs w:val="18"/>
          <w:color w:val="auto"/>
        </w:rPr>
        <w:t>The MPUC issued an order dated March 12, 2018, in Minnesota Power’s general rate case approving a return on</w:t>
      </w:r>
      <w:r>
        <w:rPr>
          <w:rFonts w:ascii="Arial" w:cs="Arial" w:eastAsia="Arial" w:hAnsi="Arial"/>
          <w:sz w:val="18"/>
          <w:szCs w:val="18"/>
          <w:i w:val="1"/>
          <w:iCs w:val="1"/>
          <w:color w:val="auto"/>
        </w:rPr>
        <w:t xml:space="preserve"> </w:t>
      </w:r>
      <w:r>
        <w:rPr>
          <w:rFonts w:ascii="Arial" w:cs="Arial" w:eastAsia="Arial" w:hAnsi="Arial"/>
          <w:sz w:val="18"/>
          <w:szCs w:val="18"/>
          <w:color w:val="auto"/>
        </w:rPr>
        <w:t>common equity of 9.25 percent and a 53.81 percent equity ratio. Final rates went into effect on December 1, 2018, which is expected to result in additional revenue of approximately $13 million on an annualized basis. Interim rates were collected from January 1, 2017, through November 30, 2018, which were fully offset by the recognition of a corresponding reserve for an interim rate refund, net of discounts provided to EITE customers, of $40.0 million as of December 31, 2018, which was refunded in the second quarter of 2019.</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2020 Minnesota General Rate Review. </w:t>
      </w:r>
      <w:r>
        <w:rPr>
          <w:rFonts w:ascii="Arial" w:cs="Arial" w:eastAsia="Arial" w:hAnsi="Arial"/>
          <w:sz w:val="18"/>
          <w:szCs w:val="18"/>
          <w:color w:val="auto"/>
        </w:rPr>
        <w:t>On November 1, 2019, Minnesota Power filed a retail rate increase request with the MPUC seeking an average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approximately 10.6 percent for retail customers. The rate filing seeks a return on equity of 10.05 percent and a 53.81 percent equity ratio. On an annualized basis, the requested final rate increase would generate approximately $66 million in additional revenue. Once the filing is accepted as complete, an annual interim rate increase of approximately $48 million is expected to be implemented within 60 days, subject to MPUC adjustment and authorization. We cannot predict the level of interim or final rates that may be authorized by the MPUC.</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2018 Wisconsin General Rate Case. </w:t>
      </w:r>
      <w:r>
        <w:rPr>
          <w:rFonts w:ascii="Arial" w:cs="Arial" w:eastAsia="Arial" w:hAnsi="Arial"/>
          <w:sz w:val="18"/>
          <w:szCs w:val="18"/>
          <w:color w:val="auto"/>
        </w:rPr>
        <w:t>In an order dated December 20, 2018, the PSCW approved a rate increase for SWL&amp;P including a return on equity of</w:t>
      </w:r>
      <w:r>
        <w:rPr>
          <w:rFonts w:ascii="Arial" w:cs="Arial" w:eastAsia="Arial" w:hAnsi="Arial"/>
          <w:sz w:val="18"/>
          <w:szCs w:val="18"/>
          <w:i w:val="1"/>
          <w:iCs w:val="1"/>
          <w:color w:val="auto"/>
        </w:rPr>
        <w:t xml:space="preserve"> </w:t>
      </w:r>
      <w:r>
        <w:rPr>
          <w:rFonts w:ascii="Arial" w:cs="Arial" w:eastAsia="Arial" w:hAnsi="Arial"/>
          <w:sz w:val="18"/>
          <w:szCs w:val="18"/>
          <w:color w:val="auto"/>
        </w:rPr>
        <w:t>10.4 percent and a 55.0 percent equity ratio. Final rates went into effect January 1, 2019, which is expected to result in additional revenue of approximately $1.3 million on an annualized basis.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Transmission Cost Recovery Rider</w:t>
      </w:r>
      <w:r>
        <w:rPr>
          <w:rFonts w:ascii="Arial" w:cs="Arial" w:eastAsia="Arial" w:hAnsi="Arial"/>
          <w:sz w:val="18"/>
          <w:szCs w:val="18"/>
          <w:color w:val="auto"/>
        </w:rPr>
        <w:t>. Minnesota Power has an approved cost recovery rider in place for certain transmission investments and expenditures. In a</w:t>
      </w:r>
      <w:r>
        <w:rPr>
          <w:rFonts w:ascii="Arial" w:cs="Arial" w:eastAsia="Arial" w:hAnsi="Arial"/>
          <w:sz w:val="18"/>
          <w:szCs w:val="18"/>
          <w:i w:val="1"/>
          <w:iCs w:val="1"/>
          <w:color w:val="auto"/>
        </w:rPr>
        <w:t xml:space="preserve"> </w:t>
      </w:r>
      <w:r>
        <w:rPr>
          <w:rFonts w:ascii="Arial" w:cs="Arial" w:eastAsia="Arial" w:hAnsi="Arial"/>
          <w:sz w:val="18"/>
          <w:szCs w:val="18"/>
          <w:color w:val="auto"/>
        </w:rPr>
        <w:t>2016 order, the MPUC approved Minnesota Power’s updated customer billing rates allowing Minnesota Power to charge retail customers on a current basis for the costs of constructing certain transmission facilities plus a return on the capital invested. On July 9, 2019, Minnesota Power filed a petition seeking MPUC approval to update the customer billing factor to include investments made for the GNTL.</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Renewable Cost Recovery Rider. </w:t>
      </w:r>
      <w:r>
        <w:rPr>
          <w:rFonts w:ascii="Arial" w:cs="Arial" w:eastAsia="Arial" w:hAnsi="Arial"/>
          <w:sz w:val="18"/>
          <w:szCs w:val="18"/>
          <w:color w:val="auto"/>
        </w:rPr>
        <w:t>Minnesota Power has an approved cost recovery rider for certain renewable investments and expenditures. The cost recovery</w:t>
      </w:r>
      <w:r>
        <w:rPr>
          <w:rFonts w:ascii="Arial" w:cs="Arial" w:eastAsia="Arial" w:hAnsi="Arial"/>
          <w:sz w:val="18"/>
          <w:szCs w:val="18"/>
          <w:i w:val="1"/>
          <w:iCs w:val="1"/>
          <w:color w:val="auto"/>
        </w:rPr>
        <w:t xml:space="preserve"> </w:t>
      </w:r>
      <w:r>
        <w:rPr>
          <w:rFonts w:ascii="Arial" w:cs="Arial" w:eastAsia="Arial" w:hAnsi="Arial"/>
          <w:sz w:val="18"/>
          <w:szCs w:val="18"/>
          <w:color w:val="auto"/>
        </w:rPr>
        <w:t>rider allows Minnesota Power to charge retail customers on a current basis for the costs of certain renewable investments plus a return on the capital invested. Current customer billing rates for the renewable cost recovery rider were approved by the MPUC in a November 2018 order. On August 15, 2019, Minnesota Power filed a petition seeking MPUC approval to update the customer billing factor.</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Fuel Adjustment Clause Reform</w:t>
      </w:r>
      <w:r>
        <w:rPr>
          <w:rFonts w:ascii="Arial" w:cs="Arial" w:eastAsia="Arial" w:hAnsi="Arial"/>
          <w:sz w:val="18"/>
          <w:szCs w:val="18"/>
          <w:color w:val="auto"/>
        </w:rPr>
        <w:t>. In a December 2017 order, the MPUC adopted a program to implement certain procedural reforms to Minnesota utilities’</w:t>
      </w:r>
      <w:r>
        <w:rPr>
          <w:rFonts w:ascii="Arial" w:cs="Arial" w:eastAsia="Arial" w:hAnsi="Arial"/>
          <w:sz w:val="18"/>
          <w:szCs w:val="18"/>
          <w:i w:val="1"/>
          <w:iCs w:val="1"/>
          <w:color w:val="auto"/>
        </w:rPr>
        <w:t xml:space="preserve"> </w:t>
      </w:r>
      <w:r>
        <w:rPr>
          <w:rFonts w:ascii="Arial" w:cs="Arial" w:eastAsia="Arial" w:hAnsi="Arial"/>
          <w:sz w:val="18"/>
          <w:szCs w:val="18"/>
          <w:color w:val="auto"/>
        </w:rPr>
        <w:t>automatic fuel adjustment clause (FAC) for fuel and purchased power. With this order, the method of accounting for all Minnesota electric utilities changed to a monthly budgeted, forward-looking FAC with annual prudence review and true-up to actual allowed costs. On May 1, 2019, Minnesota Power filed its fuel adjustment forecast for 2020 with the MPUC.</w:t>
      </w:r>
    </w:p>
    <w:p>
      <w:pPr>
        <w:spacing w:after="0" w:line="183"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 xml:space="preserve">Integrated Resource Plan. </w:t>
      </w:r>
      <w:r>
        <w:rPr>
          <w:rFonts w:ascii="Arial" w:cs="Arial" w:eastAsia="Arial" w:hAnsi="Arial"/>
          <w:sz w:val="16"/>
          <w:szCs w:val="16"/>
          <w:color w:val="auto"/>
        </w:rPr>
        <w:t>In a 2016 order, the MPUC approved Minnesota Power’s 2015 IRP with modifications. The order accepted Minnesota Power’s</w:t>
      </w:r>
      <w:r>
        <w:rPr>
          <w:rFonts w:ascii="Arial" w:cs="Arial" w:eastAsia="Arial" w:hAnsi="Arial"/>
          <w:sz w:val="16"/>
          <w:szCs w:val="16"/>
          <w:b w:val="1"/>
          <w:bCs w:val="1"/>
          <w:color w:val="auto"/>
        </w:rPr>
        <w:t xml:space="preserve"> </w:t>
      </w:r>
      <w:r>
        <w:rPr>
          <w:rFonts w:ascii="Arial" w:cs="Arial" w:eastAsia="Arial" w:hAnsi="Arial"/>
          <w:sz w:val="16"/>
          <w:szCs w:val="16"/>
          <w:color w:val="auto"/>
        </w:rPr>
        <w:t>plans for the economic idling of Taconite Harbor Units 1 and 2 and the ceasing of coal-fired operations at Taconite Harbor in 2020, directed Minnesota Power to retire Boswell Units 1 and 2 no later than 2022, required an analysis of generation and demand response alternatives to be filed with a natural gas resource proposal, and required Minnesota Power to conduct requests for proposal for additional wind, solar and demand response resource additions. Minnesota Power retired Boswell Units 1 and 2 in the fourth quarter of 2018. Minnesota Power’s next IRP filing is due by October 1, 2020.</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2017, Minnesota Power submitted a resource package to the MPUC requesting approval of PPAs for the output of a 250 MW wind energy facility and a 10 MW solar energy facility as well as approval of a 250 MW natural gas capacity dedication agreement. The natural gas capacity dedication agreement was subject to MPUC approval of the construction of NTEC, a 525 MW to 550 MW combined-cycle natural gas-fired generating facility which will be jointly owned by Dairyland Power Cooperative and a subsidiary of ALLETE. Minnesota Power would purchase approximately 50 percent of the facility's output starting in 2025. In an order dated January 24, 2019, the MPUC approved Minnesota Power’s request for approval of the NTEC natural gas capacity dedication agreement. Separately, the MPUC required a baseload retirement evaluation in Minnesota Power’s next IRP filing analyzing its existing fleet, including potential early retirement scenarios of Boswell Units 3 and 4, as well as a securitization plan. On January 8, 2019, an application for a certificate of public convenience and necessity for NTEC was submitted to the PSCW. A decision on the application is expected in 2020.</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2019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17</w:t>
      </w:r>
    </w:p>
    <w:p>
      <w:pPr>
        <w:sectPr>
          <w:pgSz w:w="11900" w:h="16838" w:orient="portrait"/>
          <w:cols w:equalWidth="0" w:num="1">
            <w:col w:w="11420"/>
          </w:cols>
          <w:pgMar w:left="240" w:top="1040"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NOTE 2. REGULATORY MATTERS (Continued)</w:t>
      </w:r>
    </w:p>
    <w:p>
      <w:pPr>
        <w:spacing w:after="0" w:line="225"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Conservation Improvement Program. </w:t>
      </w:r>
      <w:r>
        <w:rPr>
          <w:rFonts w:ascii="Arial" w:cs="Arial" w:eastAsia="Arial" w:hAnsi="Arial"/>
          <w:sz w:val="17"/>
          <w:szCs w:val="17"/>
          <w:color w:val="auto"/>
        </w:rPr>
        <w:t>On April 1, 2019, Minnesota Power submitted its 2018 consolidated filing, which detailed Minnesota Power’s CIP</w:t>
      </w:r>
      <w:r>
        <w:rPr>
          <w:rFonts w:ascii="Arial" w:cs="Arial" w:eastAsia="Arial" w:hAnsi="Arial"/>
          <w:sz w:val="17"/>
          <w:szCs w:val="17"/>
          <w:b w:val="1"/>
          <w:bCs w:val="1"/>
          <w:color w:val="auto"/>
        </w:rPr>
        <w:t xml:space="preserve"> </w:t>
      </w:r>
      <w:r>
        <w:rPr>
          <w:rFonts w:ascii="Arial" w:cs="Arial" w:eastAsia="Arial" w:hAnsi="Arial"/>
          <w:sz w:val="17"/>
          <w:szCs w:val="17"/>
          <w:color w:val="auto"/>
        </w:rPr>
        <w:t>program results and requested a CIP financial incentive of $2.8 million based upon MPUC procedures, which was approved by the MPUC in an order dated July 19, 2019. In 2018, the CIP financial incentive of $3.0 million was recognized in the third quarter upon approval by the MPUC of Minnesota Power’s 2017 CIP consolidated filing. CIP financial incentives are recognized in the period in which the MPUC approves the filing.</w:t>
      </w:r>
    </w:p>
    <w:p>
      <w:pPr>
        <w:spacing w:after="0" w:line="165" w:lineRule="exact"/>
        <w:rPr>
          <w:sz w:val="20"/>
          <w:szCs w:val="20"/>
          <w:color w:val="auto"/>
        </w:rPr>
      </w:pPr>
    </w:p>
    <w:p>
      <w:pPr>
        <w:jc w:val="both"/>
        <w:spacing w:after="0" w:line="295" w:lineRule="auto"/>
        <w:rPr>
          <w:sz w:val="20"/>
          <w:szCs w:val="20"/>
          <w:color w:val="auto"/>
        </w:rPr>
      </w:pPr>
      <w:r>
        <w:rPr>
          <w:rFonts w:ascii="Arial" w:cs="Arial" w:eastAsia="Arial" w:hAnsi="Arial"/>
          <w:sz w:val="16"/>
          <w:szCs w:val="16"/>
          <w:b w:val="1"/>
          <w:bCs w:val="1"/>
          <w:color w:val="auto"/>
        </w:rPr>
        <w:t xml:space="preserve">Regulatory Assets and Liabilities. </w:t>
      </w:r>
      <w:r>
        <w:rPr>
          <w:rFonts w:ascii="Arial" w:cs="Arial" w:eastAsia="Arial" w:hAnsi="Arial"/>
          <w:sz w:val="16"/>
          <w:szCs w:val="16"/>
          <w:color w:val="auto"/>
        </w:rPr>
        <w:t>Our regulated utility operations are subject to accounting guidance for the effect of certain types of regulation. Regulatory</w:t>
      </w:r>
      <w:r>
        <w:rPr>
          <w:rFonts w:ascii="Arial" w:cs="Arial" w:eastAsia="Arial" w:hAnsi="Arial"/>
          <w:sz w:val="16"/>
          <w:szCs w:val="16"/>
          <w:b w:val="1"/>
          <w:bCs w:val="1"/>
          <w:color w:val="auto"/>
        </w:rPr>
        <w:t xml:space="preserve"> </w:t>
      </w:r>
      <w:r>
        <w:rPr>
          <w:rFonts w:ascii="Arial" w:cs="Arial" w:eastAsia="Arial" w:hAnsi="Arial"/>
          <w:sz w:val="16"/>
          <w:szCs w:val="16"/>
          <w:color w:val="auto"/>
        </w:rPr>
        <w:t>assets represent incurred costs that have been deferred as they are probable for recovery in customer rates. Regulatory liabilities represent obligations to make refunds to customers and amounts collected in rates for which the related costs have not yet been incurred. The Company assesses quarterly whether regulatory assets and liabilities meet the criteria for probability of future recovery or deferral. With the exception of the regulatory asset for Boswell Units 1 and 2 net plant and equipment, no other regulatory assets are currently earning a return. The recovery, refund or credit to rates for these regulatory assets and liabilities will occur over the periods either specified by the applicable regulatory authority or over the corresponding period related to the asset or liability.</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tcPr>
          <w:p>
            <w:pPr>
              <w:spacing w:after="0"/>
              <w:rPr>
                <w:sz w:val="18"/>
                <w:szCs w:val="18"/>
                <w:color w:val="auto"/>
              </w:rPr>
            </w:pPr>
          </w:p>
        </w:tc>
        <w:tc>
          <w:tcPr>
            <w:tcW w:w="3220" w:type="dxa"/>
            <w:vAlign w:val="bottom"/>
          </w:tcPr>
          <w:p>
            <w:pPr>
              <w:jc w:val="right"/>
              <w:ind w:right="310"/>
              <w:spacing w:after="0"/>
              <w:rPr>
                <w:sz w:val="20"/>
                <w:szCs w:val="20"/>
                <w:color w:val="auto"/>
              </w:rPr>
            </w:pPr>
            <w:r>
              <w:rPr>
                <w:rFonts w:ascii="Arial" w:cs="Arial" w:eastAsia="Arial" w:hAnsi="Arial"/>
                <w:sz w:val="18"/>
                <w:szCs w:val="18"/>
                <w:b w:val="1"/>
                <w:bCs w:val="1"/>
                <w:color w:val="auto"/>
              </w:rPr>
              <w:t>September 30,</w:t>
            </w:r>
          </w:p>
        </w:tc>
        <w:tc>
          <w:tcPr>
            <w:tcW w:w="156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6640" w:type="dxa"/>
            <w:vAlign w:val="bottom"/>
          </w:tcPr>
          <w:p>
            <w:pPr>
              <w:ind w:left="40"/>
              <w:spacing w:after="0"/>
              <w:rPr>
                <w:sz w:val="20"/>
                <w:szCs w:val="20"/>
                <w:color w:val="auto"/>
              </w:rPr>
            </w:pPr>
            <w:r>
              <w:rPr>
                <w:rFonts w:ascii="Arial" w:cs="Arial" w:eastAsia="Arial" w:hAnsi="Arial"/>
                <w:sz w:val="18"/>
                <w:szCs w:val="18"/>
                <w:b w:val="1"/>
                <w:bCs w:val="1"/>
                <w:color w:val="auto"/>
              </w:rPr>
              <w:t>Regulatory Assets and Liabilities</w:t>
            </w:r>
          </w:p>
        </w:tc>
        <w:tc>
          <w:tcPr>
            <w:tcW w:w="3220" w:type="dxa"/>
            <w:vAlign w:val="bottom"/>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1560" w:type="dxa"/>
            <w:vAlign w:val="bottom"/>
          </w:tcPr>
          <w:p>
            <w:pPr>
              <w:jc w:val="right"/>
              <w:ind w:right="10"/>
              <w:spacing w:after="0"/>
              <w:rPr>
                <w:sz w:val="20"/>
                <w:szCs w:val="20"/>
                <w:color w:val="auto"/>
              </w:rPr>
            </w:pPr>
            <w:r>
              <w:rPr>
                <w:rFonts w:ascii="Arial" w:cs="Arial" w:eastAsia="Arial" w:hAnsi="Arial"/>
                <w:sz w:val="18"/>
                <w:szCs w:val="18"/>
                <w:b w:val="1"/>
                <w:bCs w:val="1"/>
                <w:color w:val="auto"/>
              </w:rPr>
              <w:t>2018</w:t>
            </w:r>
          </w:p>
        </w:tc>
      </w:tr>
      <w:tr>
        <w:trPr>
          <w:trHeight w:val="27"/>
        </w:trPr>
        <w:tc>
          <w:tcPr>
            <w:tcW w:w="664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66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2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7"/>
        </w:trPr>
        <w:tc>
          <w:tcPr>
            <w:tcW w:w="66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Non-Current Regulatory Assets</w:t>
            </w:r>
          </w:p>
        </w:tc>
        <w:tc>
          <w:tcPr>
            <w:tcW w:w="3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6640" w:type="dxa"/>
            <w:vAlign w:val="bottom"/>
          </w:tcPr>
          <w:p>
            <w:pPr>
              <w:ind w:left="280"/>
              <w:spacing w:after="0"/>
              <w:rPr>
                <w:sz w:val="20"/>
                <w:szCs w:val="20"/>
                <w:color w:val="auto"/>
              </w:rPr>
            </w:pPr>
            <w:r>
              <w:rPr>
                <w:rFonts w:ascii="Arial" w:cs="Arial" w:eastAsia="Arial" w:hAnsi="Arial"/>
                <w:sz w:val="18"/>
                <w:szCs w:val="18"/>
                <w:color w:val="auto"/>
              </w:rPr>
              <w:t>Defined Benefit Pension and Other Postretirement Benefit Plans</w:t>
            </w:r>
          </w:p>
        </w:tc>
        <w:tc>
          <w:tcPr>
            <w:tcW w:w="3220" w:type="dxa"/>
            <w:vAlign w:val="bottom"/>
          </w:tcPr>
          <w:p>
            <w:pPr>
              <w:jc w:val="right"/>
              <w:ind w:right="270"/>
              <w:spacing w:after="0"/>
              <w:rPr>
                <w:sz w:val="20"/>
                <w:szCs w:val="20"/>
                <w:color w:val="auto"/>
              </w:rPr>
            </w:pPr>
            <w:r>
              <w:rPr>
                <w:rFonts w:ascii="Arial" w:cs="Arial" w:eastAsia="Arial" w:hAnsi="Arial"/>
                <w:sz w:val="18"/>
                <w:szCs w:val="18"/>
                <w:color w:val="auto"/>
              </w:rPr>
              <w:t>$215.0</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$218.5</w:t>
            </w:r>
          </w:p>
        </w:tc>
      </w:tr>
      <w:tr>
        <w:trPr>
          <w:trHeight w:val="27"/>
        </w:trPr>
        <w:tc>
          <w:tcPr>
            <w:tcW w:w="66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Taxes</w:t>
            </w:r>
          </w:p>
        </w:tc>
        <w:tc>
          <w:tcPr>
            <w:tcW w:w="32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100.9</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105.5</w:t>
            </w:r>
          </w:p>
        </w:tc>
      </w:tr>
      <w:tr>
        <w:trPr>
          <w:trHeight w:val="243"/>
        </w:trPr>
        <w:tc>
          <w:tcPr>
            <w:tcW w:w="6640" w:type="dxa"/>
            <w:vAlign w:val="bottom"/>
          </w:tcPr>
          <w:p>
            <w:pPr>
              <w:ind w:left="280"/>
              <w:spacing w:after="0"/>
              <w:rPr>
                <w:sz w:val="20"/>
                <w:szCs w:val="20"/>
                <w:color w:val="auto"/>
              </w:rPr>
            </w:pPr>
            <w:r>
              <w:rPr>
                <w:rFonts w:ascii="Arial" w:cs="Arial" w:eastAsia="Arial" w:hAnsi="Arial"/>
                <w:sz w:val="18"/>
                <w:szCs w:val="18"/>
                <w:color w:val="auto"/>
              </w:rPr>
              <w:t>Asset Retirement Obligations</w:t>
            </w:r>
          </w:p>
        </w:tc>
        <w:tc>
          <w:tcPr>
            <w:tcW w:w="3220" w:type="dxa"/>
            <w:vAlign w:val="bottom"/>
          </w:tcPr>
          <w:p>
            <w:pPr>
              <w:jc w:val="right"/>
              <w:ind w:right="270"/>
              <w:spacing w:after="0"/>
              <w:rPr>
                <w:sz w:val="20"/>
                <w:szCs w:val="20"/>
                <w:color w:val="auto"/>
              </w:rPr>
            </w:pPr>
            <w:r>
              <w:rPr>
                <w:rFonts w:ascii="Arial" w:cs="Arial" w:eastAsia="Arial" w:hAnsi="Arial"/>
                <w:sz w:val="18"/>
                <w:szCs w:val="18"/>
                <w:color w:val="auto"/>
              </w:rPr>
              <w:t>32.1</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32.6</w:t>
            </w:r>
          </w:p>
        </w:tc>
      </w:tr>
      <w:tr>
        <w:trPr>
          <w:trHeight w:val="27"/>
        </w:trPr>
        <w:tc>
          <w:tcPr>
            <w:tcW w:w="66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Recovery Riders</w:t>
            </w:r>
          </w:p>
        </w:tc>
        <w:tc>
          <w:tcPr>
            <w:tcW w:w="32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16.8</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640" w:type="dxa"/>
            <w:vAlign w:val="bottom"/>
          </w:tcPr>
          <w:p>
            <w:pPr>
              <w:ind w:left="280"/>
              <w:spacing w:after="0"/>
              <w:rPr>
                <w:sz w:val="20"/>
                <w:szCs w:val="20"/>
                <w:color w:val="auto"/>
              </w:rPr>
            </w:pPr>
            <w:r>
              <w:rPr>
                <w:rFonts w:ascii="Arial" w:cs="Arial" w:eastAsia="Arial" w:hAnsi="Arial"/>
                <w:sz w:val="18"/>
                <w:szCs w:val="18"/>
                <w:color w:val="auto"/>
              </w:rPr>
              <w:t>Boswell 1 and 2 Net Plant and Equipment</w:t>
            </w:r>
          </w:p>
        </w:tc>
        <w:tc>
          <w:tcPr>
            <w:tcW w:w="3220" w:type="dxa"/>
            <w:vAlign w:val="bottom"/>
          </w:tcPr>
          <w:p>
            <w:pPr>
              <w:jc w:val="right"/>
              <w:ind w:right="270"/>
              <w:spacing w:after="0"/>
              <w:rPr>
                <w:sz w:val="20"/>
                <w:szCs w:val="20"/>
                <w:color w:val="auto"/>
              </w:rPr>
            </w:pPr>
            <w:r>
              <w:rPr>
                <w:rFonts w:ascii="Arial" w:cs="Arial" w:eastAsia="Arial" w:hAnsi="Arial"/>
                <w:sz w:val="18"/>
                <w:szCs w:val="18"/>
                <w:color w:val="auto"/>
              </w:rPr>
              <w:t>12.1</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16.3</w:t>
            </w:r>
          </w:p>
        </w:tc>
      </w:tr>
      <w:tr>
        <w:trPr>
          <w:trHeight w:val="27"/>
        </w:trPr>
        <w:tc>
          <w:tcPr>
            <w:tcW w:w="66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Manufactured Gas Plant</w:t>
            </w:r>
          </w:p>
        </w:tc>
        <w:tc>
          <w:tcPr>
            <w:tcW w:w="32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8.1</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w:t>
            </w:r>
          </w:p>
        </w:tc>
      </w:tr>
      <w:tr>
        <w:trPr>
          <w:trHeight w:val="243"/>
        </w:trPr>
        <w:tc>
          <w:tcPr>
            <w:tcW w:w="6640" w:type="dxa"/>
            <w:vAlign w:val="bottom"/>
          </w:tcPr>
          <w:p>
            <w:pPr>
              <w:ind w:left="280"/>
              <w:spacing w:after="0"/>
              <w:rPr>
                <w:sz w:val="20"/>
                <w:szCs w:val="20"/>
                <w:color w:val="auto"/>
              </w:rPr>
            </w:pPr>
            <w:r>
              <w:rPr>
                <w:rFonts w:ascii="Arial" w:cs="Arial" w:eastAsia="Arial" w:hAnsi="Arial"/>
                <w:sz w:val="18"/>
                <w:szCs w:val="18"/>
                <w:color w:val="auto"/>
              </w:rPr>
              <w:t>PPACA Income Tax Deferral</w:t>
            </w:r>
          </w:p>
        </w:tc>
        <w:tc>
          <w:tcPr>
            <w:tcW w:w="3220" w:type="dxa"/>
            <w:vAlign w:val="bottom"/>
          </w:tcPr>
          <w:p>
            <w:pPr>
              <w:jc w:val="right"/>
              <w:ind w:right="270"/>
              <w:spacing w:after="0"/>
              <w:rPr>
                <w:sz w:val="20"/>
                <w:szCs w:val="20"/>
                <w:color w:val="auto"/>
              </w:rPr>
            </w:pPr>
            <w:r>
              <w:rPr>
                <w:rFonts w:ascii="Arial" w:cs="Arial" w:eastAsia="Arial" w:hAnsi="Arial"/>
                <w:sz w:val="18"/>
                <w:szCs w:val="18"/>
                <w:color w:val="auto"/>
              </w:rPr>
              <w:t>4.8</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5.0</w:t>
            </w:r>
          </w:p>
        </w:tc>
      </w:tr>
      <w:tr>
        <w:trPr>
          <w:trHeight w:val="27"/>
        </w:trPr>
        <w:tc>
          <w:tcPr>
            <w:tcW w:w="66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5"/>
        </w:trPr>
        <w:tc>
          <w:tcPr>
            <w:tcW w:w="6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32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3.3</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r>
      <w:tr>
        <w:trPr>
          <w:trHeight w:val="237"/>
        </w:trPr>
        <w:tc>
          <w:tcPr>
            <w:tcW w:w="66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Non-Current Regulatory Assets</w:t>
            </w:r>
          </w:p>
        </w:tc>
        <w:tc>
          <w:tcPr>
            <w:tcW w:w="322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$393.1</w:t>
            </w:r>
          </w:p>
        </w:tc>
        <w:tc>
          <w:tcPr>
            <w:tcW w:w="1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$389.5</w:t>
            </w:r>
          </w:p>
        </w:tc>
      </w:tr>
      <w:tr>
        <w:trPr>
          <w:trHeight w:val="27"/>
        </w:trPr>
        <w:tc>
          <w:tcPr>
            <w:tcW w:w="664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4"/>
        </w:trPr>
        <w:tc>
          <w:tcPr>
            <w:tcW w:w="6640" w:type="dxa"/>
            <w:vAlign w:val="bottom"/>
            <w:shd w:val="clear" w:color="auto" w:fill="CCEEFF"/>
          </w:tcPr>
          <w:p>
            <w:pPr>
              <w:spacing w:after="0"/>
              <w:rPr>
                <w:sz w:val="22"/>
                <w:szCs w:val="22"/>
                <w:color w:val="auto"/>
              </w:rPr>
            </w:pPr>
          </w:p>
        </w:tc>
        <w:tc>
          <w:tcPr>
            <w:tcW w:w="322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b w:val="1"/>
                <w:bCs w:val="1"/>
                <w:color w:val="auto"/>
              </w:rPr>
              <w:t xml:space="preserve">Current Regulatory Liabilities </w:t>
            </w:r>
            <w:r>
              <w:rPr>
                <w:rFonts w:ascii="Arial" w:cs="Arial" w:eastAsia="Arial" w:hAnsi="Arial"/>
                <w:sz w:val="16"/>
                <w:szCs w:val="16"/>
                <w:i w:val="1"/>
                <w:iCs w:val="1"/>
                <w:color w:val="auto"/>
              </w:rPr>
              <w:t>(a)</w:t>
            </w:r>
          </w:p>
        </w:tc>
        <w:tc>
          <w:tcPr>
            <w:tcW w:w="322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66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Provision for Interim Rate Refund </w:t>
            </w:r>
            <w:r>
              <w:rPr>
                <w:rFonts w:ascii="Arial" w:cs="Arial" w:eastAsia="Arial" w:hAnsi="Arial"/>
                <w:sz w:val="16"/>
                <w:szCs w:val="16"/>
                <w:i w:val="1"/>
                <w:iCs w:val="1"/>
                <w:color w:val="auto"/>
              </w:rPr>
              <w:t>(b)</w:t>
            </w:r>
          </w:p>
        </w:tc>
        <w:tc>
          <w:tcPr>
            <w:tcW w:w="32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w:t>
            </w:r>
          </w:p>
        </w:tc>
      </w:tr>
      <w:tr>
        <w:trPr>
          <w:trHeight w:val="243"/>
        </w:trPr>
        <w:tc>
          <w:tcPr>
            <w:tcW w:w="6640" w:type="dxa"/>
            <w:vAlign w:val="bottom"/>
          </w:tcPr>
          <w:p>
            <w:pPr>
              <w:ind w:left="280"/>
              <w:spacing w:after="0"/>
              <w:rPr>
                <w:sz w:val="20"/>
                <w:szCs w:val="20"/>
                <w:color w:val="auto"/>
              </w:rPr>
            </w:pPr>
            <w:r>
              <w:rPr>
                <w:rFonts w:ascii="Arial" w:cs="Arial" w:eastAsia="Arial" w:hAnsi="Arial"/>
                <w:sz w:val="18"/>
                <w:szCs w:val="18"/>
                <w:color w:val="auto"/>
              </w:rPr>
              <w:t>Transmission Formula Rates Refund</w:t>
            </w:r>
          </w:p>
        </w:tc>
        <w:tc>
          <w:tcPr>
            <w:tcW w:w="3220" w:type="dxa"/>
            <w:vAlign w:val="bottom"/>
          </w:tcPr>
          <w:p>
            <w:pPr>
              <w:jc w:val="right"/>
              <w:ind w:right="270"/>
              <w:spacing w:after="0"/>
              <w:rPr>
                <w:sz w:val="20"/>
                <w:szCs w:val="20"/>
                <w:color w:val="auto"/>
              </w:rPr>
            </w:pPr>
            <w:r>
              <w:rPr>
                <w:rFonts w:ascii="Arial" w:cs="Arial" w:eastAsia="Arial" w:hAnsi="Arial"/>
                <w:sz w:val="18"/>
                <w:szCs w:val="18"/>
                <w:color w:val="auto"/>
              </w:rPr>
              <w:t>$2.4</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4.4</w:t>
            </w:r>
          </w:p>
        </w:tc>
      </w:tr>
      <w:tr>
        <w:trPr>
          <w:trHeight w:val="27"/>
        </w:trPr>
        <w:tc>
          <w:tcPr>
            <w:tcW w:w="66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5"/>
        </w:trPr>
        <w:tc>
          <w:tcPr>
            <w:tcW w:w="6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Provision for Tax Reform Refund </w:t>
            </w:r>
            <w:r>
              <w:rPr>
                <w:rFonts w:ascii="Arial" w:cs="Arial" w:eastAsia="Arial" w:hAnsi="Arial"/>
                <w:sz w:val="16"/>
                <w:szCs w:val="16"/>
                <w:i w:val="1"/>
                <w:iCs w:val="1"/>
                <w:color w:val="auto"/>
              </w:rPr>
              <w:t>(c)</w:t>
            </w:r>
          </w:p>
        </w:tc>
        <w:tc>
          <w:tcPr>
            <w:tcW w:w="32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0.3</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w:t>
            </w:r>
          </w:p>
        </w:tc>
      </w:tr>
      <w:tr>
        <w:trPr>
          <w:trHeight w:val="237"/>
        </w:trPr>
        <w:tc>
          <w:tcPr>
            <w:tcW w:w="664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Current Regulatory Liabilities</w:t>
            </w:r>
          </w:p>
        </w:tc>
        <w:tc>
          <w:tcPr>
            <w:tcW w:w="322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2.7</w:t>
            </w:r>
          </w:p>
        </w:tc>
        <w:tc>
          <w:tcPr>
            <w:tcW w:w="1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55.1</w:t>
            </w:r>
          </w:p>
        </w:tc>
      </w:tr>
      <w:tr>
        <w:trPr>
          <w:trHeight w:val="27"/>
        </w:trPr>
        <w:tc>
          <w:tcPr>
            <w:tcW w:w="664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Non-Current Regulatory Liabilities</w:t>
            </w:r>
          </w:p>
        </w:tc>
        <w:tc>
          <w:tcPr>
            <w:tcW w:w="3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6640" w:type="dxa"/>
            <w:vAlign w:val="bottom"/>
          </w:tcPr>
          <w:p>
            <w:pPr>
              <w:ind w:left="280"/>
              <w:spacing w:after="0"/>
              <w:rPr>
                <w:sz w:val="20"/>
                <w:szCs w:val="20"/>
                <w:color w:val="auto"/>
              </w:rPr>
            </w:pPr>
            <w:r>
              <w:rPr>
                <w:rFonts w:ascii="Arial" w:cs="Arial" w:eastAsia="Arial" w:hAnsi="Arial"/>
                <w:sz w:val="18"/>
                <w:szCs w:val="18"/>
                <w:color w:val="auto"/>
              </w:rPr>
              <w:t>Income Taxes</w:t>
            </w:r>
          </w:p>
        </w:tc>
        <w:tc>
          <w:tcPr>
            <w:tcW w:w="3220" w:type="dxa"/>
            <w:vAlign w:val="bottom"/>
          </w:tcPr>
          <w:p>
            <w:pPr>
              <w:jc w:val="right"/>
              <w:ind w:right="270"/>
              <w:spacing w:after="0"/>
              <w:rPr>
                <w:sz w:val="20"/>
                <w:szCs w:val="20"/>
                <w:color w:val="auto"/>
              </w:rPr>
            </w:pPr>
            <w:r>
              <w:rPr>
                <w:rFonts w:ascii="Arial" w:cs="Arial" w:eastAsia="Arial" w:hAnsi="Arial"/>
                <w:sz w:val="18"/>
                <w:szCs w:val="18"/>
                <w:color w:val="auto"/>
              </w:rPr>
              <w:t>382.4</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396.4</w:t>
            </w:r>
          </w:p>
        </w:tc>
      </w:tr>
      <w:tr>
        <w:trPr>
          <w:trHeight w:val="27"/>
        </w:trPr>
        <w:tc>
          <w:tcPr>
            <w:tcW w:w="66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Wholesale and Retail Contra AFUDC</w:t>
            </w:r>
          </w:p>
        </w:tc>
        <w:tc>
          <w:tcPr>
            <w:tcW w:w="32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74.7</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64.4</w:t>
            </w:r>
          </w:p>
        </w:tc>
      </w:tr>
      <w:tr>
        <w:trPr>
          <w:trHeight w:val="243"/>
        </w:trPr>
        <w:tc>
          <w:tcPr>
            <w:tcW w:w="6640" w:type="dxa"/>
            <w:vAlign w:val="bottom"/>
          </w:tcPr>
          <w:p>
            <w:pPr>
              <w:ind w:left="280"/>
              <w:spacing w:after="0"/>
              <w:rPr>
                <w:sz w:val="20"/>
                <w:szCs w:val="20"/>
                <w:color w:val="auto"/>
              </w:rPr>
            </w:pPr>
            <w:r>
              <w:rPr>
                <w:rFonts w:ascii="Arial" w:cs="Arial" w:eastAsia="Arial" w:hAnsi="Arial"/>
                <w:sz w:val="18"/>
                <w:szCs w:val="18"/>
                <w:color w:val="auto"/>
              </w:rPr>
              <w:t>Plant Removal Obligations</w:t>
            </w:r>
          </w:p>
        </w:tc>
        <w:tc>
          <w:tcPr>
            <w:tcW w:w="3220" w:type="dxa"/>
            <w:vAlign w:val="bottom"/>
          </w:tcPr>
          <w:p>
            <w:pPr>
              <w:jc w:val="right"/>
              <w:ind w:right="270"/>
              <w:spacing w:after="0"/>
              <w:rPr>
                <w:sz w:val="20"/>
                <w:szCs w:val="20"/>
                <w:color w:val="auto"/>
              </w:rPr>
            </w:pPr>
            <w:r>
              <w:rPr>
                <w:rFonts w:ascii="Arial" w:cs="Arial" w:eastAsia="Arial" w:hAnsi="Arial"/>
                <w:sz w:val="18"/>
                <w:szCs w:val="18"/>
                <w:color w:val="auto"/>
              </w:rPr>
              <w:t>32.6</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25.1</w:t>
            </w:r>
          </w:p>
        </w:tc>
      </w:tr>
      <w:tr>
        <w:trPr>
          <w:trHeight w:val="27"/>
        </w:trPr>
        <w:tc>
          <w:tcPr>
            <w:tcW w:w="66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North Dakota Investment Tax Credits</w:t>
            </w:r>
          </w:p>
        </w:tc>
        <w:tc>
          <w:tcPr>
            <w:tcW w:w="32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12.3</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w:t>
            </w:r>
          </w:p>
        </w:tc>
      </w:tr>
      <w:tr>
        <w:trPr>
          <w:trHeight w:val="243"/>
        </w:trPr>
        <w:tc>
          <w:tcPr>
            <w:tcW w:w="6640" w:type="dxa"/>
            <w:vAlign w:val="bottom"/>
          </w:tcPr>
          <w:p>
            <w:pPr>
              <w:ind w:left="280"/>
              <w:spacing w:after="0"/>
              <w:rPr>
                <w:sz w:val="20"/>
                <w:szCs w:val="20"/>
                <w:color w:val="auto"/>
              </w:rPr>
            </w:pPr>
            <w:r>
              <w:rPr>
                <w:rFonts w:ascii="Arial" w:cs="Arial" w:eastAsia="Arial" w:hAnsi="Arial"/>
                <w:sz w:val="18"/>
                <w:szCs w:val="18"/>
                <w:color w:val="auto"/>
              </w:rPr>
              <w:t>Conservation Improvement Program</w:t>
            </w:r>
          </w:p>
        </w:tc>
        <w:tc>
          <w:tcPr>
            <w:tcW w:w="3220" w:type="dxa"/>
            <w:vAlign w:val="bottom"/>
          </w:tcPr>
          <w:p>
            <w:pPr>
              <w:jc w:val="right"/>
              <w:ind w:right="270"/>
              <w:spacing w:after="0"/>
              <w:rPr>
                <w:sz w:val="20"/>
                <w:szCs w:val="20"/>
                <w:color w:val="auto"/>
              </w:rPr>
            </w:pPr>
            <w:r>
              <w:rPr>
                <w:rFonts w:ascii="Arial" w:cs="Arial" w:eastAsia="Arial" w:hAnsi="Arial"/>
                <w:sz w:val="18"/>
                <w:szCs w:val="18"/>
                <w:color w:val="auto"/>
              </w:rPr>
              <w:t>5.9</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1.5</w:t>
            </w:r>
          </w:p>
        </w:tc>
      </w:tr>
      <w:tr>
        <w:trPr>
          <w:trHeight w:val="27"/>
        </w:trPr>
        <w:tc>
          <w:tcPr>
            <w:tcW w:w="66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Transmission Formula Rates Refund</w:t>
            </w:r>
          </w:p>
        </w:tc>
        <w:tc>
          <w:tcPr>
            <w:tcW w:w="32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0.4</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r>
      <w:tr>
        <w:trPr>
          <w:trHeight w:val="243"/>
        </w:trPr>
        <w:tc>
          <w:tcPr>
            <w:tcW w:w="6640" w:type="dxa"/>
            <w:vAlign w:val="bottom"/>
          </w:tcPr>
          <w:p>
            <w:pPr>
              <w:ind w:left="280"/>
              <w:spacing w:after="0"/>
              <w:rPr>
                <w:sz w:val="20"/>
                <w:szCs w:val="20"/>
                <w:color w:val="auto"/>
              </w:rPr>
            </w:pPr>
            <w:r>
              <w:rPr>
                <w:rFonts w:ascii="Arial" w:cs="Arial" w:eastAsia="Arial" w:hAnsi="Arial"/>
                <w:sz w:val="18"/>
                <w:szCs w:val="18"/>
                <w:color w:val="auto"/>
              </w:rPr>
              <w:t>Cost Recovery Riders</w:t>
            </w:r>
          </w:p>
        </w:tc>
        <w:tc>
          <w:tcPr>
            <w:tcW w:w="32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6.9</w:t>
            </w:r>
          </w:p>
        </w:tc>
      </w:tr>
      <w:tr>
        <w:trPr>
          <w:trHeight w:val="27"/>
        </w:trPr>
        <w:tc>
          <w:tcPr>
            <w:tcW w:w="66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5"/>
        </w:trPr>
        <w:tc>
          <w:tcPr>
            <w:tcW w:w="6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32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2.1</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r>
      <w:tr>
        <w:trPr>
          <w:trHeight w:val="237"/>
        </w:trPr>
        <w:tc>
          <w:tcPr>
            <w:tcW w:w="664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Non-Current Regulatory Liabilities</w:t>
            </w:r>
          </w:p>
        </w:tc>
        <w:tc>
          <w:tcPr>
            <w:tcW w:w="322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510.4</w:t>
            </w:r>
          </w:p>
        </w:tc>
        <w:tc>
          <w:tcPr>
            <w:tcW w:w="1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512.1</w:t>
            </w:r>
          </w:p>
        </w:tc>
      </w:tr>
      <w:tr>
        <w:trPr>
          <w:trHeight w:val="27"/>
        </w:trPr>
        <w:tc>
          <w:tcPr>
            <w:tcW w:w="664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Regulatory Liabilities</w:t>
            </w:r>
          </w:p>
        </w:tc>
        <w:tc>
          <w:tcPr>
            <w:tcW w:w="32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$513.1</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$567.2</w:t>
            </w:r>
          </w:p>
        </w:tc>
      </w:tr>
      <w:tr>
        <w:trPr>
          <w:trHeight w:val="20"/>
        </w:trPr>
        <w:tc>
          <w:tcPr>
            <w:tcW w:w="6640" w:type="dxa"/>
            <w:vAlign w:val="bottom"/>
            <w:shd w:val="clear" w:color="auto" w:fill="000000"/>
          </w:tcPr>
          <w:p>
            <w:pPr>
              <w:spacing w:after="0" w:line="20" w:lineRule="exact"/>
              <w:rPr>
                <w:sz w:val="1"/>
                <w:szCs w:val="1"/>
                <w:color w:val="auto"/>
              </w:rPr>
            </w:pPr>
          </w:p>
        </w:tc>
        <w:tc>
          <w:tcPr>
            <w:tcW w:w="322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r>
    </w:tbl>
    <w:p>
      <w:pPr>
        <w:spacing w:after="0" w:line="206"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Current regulatory liabilities are presented within Other Current Liabilities on the Consolidated Balance Sheet.</w:t>
      </w:r>
    </w:p>
    <w:p>
      <w:pPr>
        <w:spacing w:after="0" w:line="19" w:lineRule="exact"/>
        <w:rPr>
          <w:rFonts w:ascii="Arial" w:cs="Arial" w:eastAsia="Arial" w:hAnsi="Arial"/>
          <w:sz w:val="16"/>
          <w:szCs w:val="16"/>
          <w:i w:val="1"/>
          <w:iCs w:val="1"/>
          <w:color w:val="auto"/>
        </w:rPr>
      </w:pPr>
    </w:p>
    <w:p>
      <w:pPr>
        <w:ind w:left="340" w:hanging="332"/>
        <w:spacing w:after="0"/>
        <w:tabs>
          <w:tab w:leader="none" w:pos="340"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This amount was refunded to Minnesota Power’s regulated retail customers in the second quarter of 2019.</w:t>
      </w:r>
    </w:p>
    <w:p>
      <w:pPr>
        <w:spacing w:after="0" w:line="5" w:lineRule="exact"/>
        <w:rPr>
          <w:rFonts w:ascii="Arial" w:cs="Arial" w:eastAsia="Arial" w:hAnsi="Arial"/>
          <w:sz w:val="16"/>
          <w:szCs w:val="16"/>
          <w:i w:val="1"/>
          <w:iCs w:val="1"/>
          <w:color w:val="auto"/>
        </w:rPr>
      </w:pPr>
    </w:p>
    <w:p>
      <w:pPr>
        <w:ind w:left="340" w:hanging="332"/>
        <w:spacing w:after="0" w:line="257" w:lineRule="auto"/>
        <w:tabs>
          <w:tab w:leader="none" w:pos="340"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Provision for Tax Reform Refund related to the income tax benefits of the TCJA in 2018 was refunded to Minnesota Power customers in the first quarter of 2019 and will be refunded to SWL&amp;P customers in 2019 and 2020.</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2019 Form 10-Q</w:t>
      </w:r>
    </w:p>
    <w:p>
      <w:pPr>
        <w:sectPr>
          <w:pgSz w:w="11900" w:h="16838" w:orient="portrait"/>
          <w:cols w:equalWidth="0" w:num="1">
            <w:col w:w="11420"/>
          </w:cols>
          <w:pgMar w:left="240" w:top="1040" w:right="239" w:bottom="1440" w:gutter="0" w:footer="0" w:header="0"/>
        </w:sectPr>
      </w:pP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18</w:t>
      </w:r>
    </w:p>
    <w:p>
      <w:pPr>
        <w:sectPr>
          <w:pgSz w:w="11900" w:h="16838" w:orient="portrait"/>
          <w:cols w:equalWidth="0" w:num="1">
            <w:col w:w="11420"/>
          </w:cols>
          <w:pgMar w:left="240" w:top="1040" w:right="2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NOTE 3. EQUITY INVESTMENTS</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Investment in ATC</w:t>
      </w:r>
      <w:r>
        <w:rPr>
          <w:rFonts w:ascii="Arial" w:cs="Arial" w:eastAsia="Arial" w:hAnsi="Arial"/>
          <w:sz w:val="18"/>
          <w:szCs w:val="18"/>
          <w:color w:val="auto"/>
        </w:rPr>
        <w:t>. Our wholly-owned subsidiary, ALLETE Transmission Holdings, owns approximately 8 percent of ATC, a Wisconsin-based utility that</w:t>
      </w:r>
      <w:r>
        <w:rPr>
          <w:rFonts w:ascii="Arial" w:cs="Arial" w:eastAsia="Arial" w:hAnsi="Arial"/>
          <w:sz w:val="18"/>
          <w:szCs w:val="18"/>
          <w:b w:val="1"/>
          <w:bCs w:val="1"/>
          <w:color w:val="auto"/>
        </w:rPr>
        <w:t xml:space="preserve"> </w:t>
      </w:r>
      <w:r>
        <w:rPr>
          <w:rFonts w:ascii="Arial" w:cs="Arial" w:eastAsia="Arial" w:hAnsi="Arial"/>
          <w:sz w:val="18"/>
          <w:szCs w:val="18"/>
          <w:color w:val="auto"/>
        </w:rPr>
        <w:t>owns and maintains electric transmission assets in portions of Wisconsin, Michigan, Minnesota and Illinois. We account for our investment in ATC under the equity method of accounting. In the nine months ended September 30, 2019, we invested $4.7 million in ATC, and on October 31, 2019, we invested an additional $1.9 million. We do not expect to make any additional investments in 2019.</w:t>
      </w:r>
    </w:p>
    <w:p>
      <w:pPr>
        <w:spacing w:after="0" w:line="2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ALLETE’s Investment in ATC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720" w:type="dxa"/>
            <w:vAlign w:val="bottom"/>
          </w:tcPr>
          <w:p>
            <w:pPr>
              <w:spacing w:after="0"/>
              <w:rPr>
                <w:sz w:val="20"/>
                <w:szCs w:val="20"/>
                <w:color w:val="auto"/>
              </w:rPr>
            </w:pPr>
          </w:p>
        </w:tc>
      </w:tr>
      <w:tr>
        <w:trPr>
          <w:trHeight w:val="27"/>
        </w:trPr>
        <w:tc>
          <w:tcPr>
            <w:tcW w:w="7700" w:type="dxa"/>
            <w:vAlign w:val="bottom"/>
          </w:tcPr>
          <w:p>
            <w:pPr>
              <w:spacing w:after="0"/>
              <w:rPr>
                <w:sz w:val="2"/>
                <w:szCs w:val="2"/>
                <w:color w:val="auto"/>
              </w:rPr>
            </w:pPr>
          </w:p>
        </w:tc>
        <w:tc>
          <w:tcPr>
            <w:tcW w:w="3720" w:type="dxa"/>
            <w:vAlign w:val="bottom"/>
          </w:tcPr>
          <w:p>
            <w:pPr>
              <w:spacing w:after="0"/>
              <w:rPr>
                <w:sz w:val="2"/>
                <w:szCs w:val="2"/>
                <w:color w:val="auto"/>
              </w:rPr>
            </w:pPr>
          </w:p>
        </w:tc>
      </w:tr>
      <w:tr>
        <w:trPr>
          <w:trHeight w:val="250"/>
        </w:trPr>
        <w:tc>
          <w:tcPr>
            <w:tcW w:w="7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 Balance as of December 31, 2018</w:t>
            </w:r>
          </w:p>
        </w:tc>
        <w:tc>
          <w:tcPr>
            <w:tcW w:w="3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$128.1</w:t>
            </w:r>
          </w:p>
        </w:tc>
      </w:tr>
      <w:tr>
        <w:trPr>
          <w:trHeight w:val="243"/>
        </w:trPr>
        <w:tc>
          <w:tcPr>
            <w:tcW w:w="7700" w:type="dxa"/>
            <w:vAlign w:val="bottom"/>
          </w:tcPr>
          <w:p>
            <w:pPr>
              <w:ind w:left="40"/>
              <w:spacing w:after="0"/>
              <w:rPr>
                <w:sz w:val="20"/>
                <w:szCs w:val="20"/>
                <w:color w:val="auto"/>
              </w:rPr>
            </w:pPr>
            <w:r>
              <w:rPr>
                <w:rFonts w:ascii="Arial" w:cs="Arial" w:eastAsia="Arial" w:hAnsi="Arial"/>
                <w:sz w:val="18"/>
                <w:szCs w:val="18"/>
                <w:color w:val="auto"/>
              </w:rPr>
              <w:t>Cash Investments</w:t>
            </w:r>
          </w:p>
        </w:tc>
        <w:tc>
          <w:tcPr>
            <w:tcW w:w="3720" w:type="dxa"/>
            <w:vAlign w:val="bottom"/>
          </w:tcPr>
          <w:p>
            <w:pPr>
              <w:jc w:val="right"/>
              <w:ind w:right="10"/>
              <w:spacing w:after="0"/>
              <w:rPr>
                <w:sz w:val="20"/>
                <w:szCs w:val="20"/>
                <w:color w:val="auto"/>
              </w:rPr>
            </w:pPr>
            <w:r>
              <w:rPr>
                <w:rFonts w:ascii="Arial" w:cs="Arial" w:eastAsia="Arial" w:hAnsi="Arial"/>
                <w:sz w:val="18"/>
                <w:szCs w:val="18"/>
                <w:color w:val="auto"/>
              </w:rPr>
              <w:t>4.7</w:t>
            </w:r>
          </w:p>
        </w:tc>
      </w:tr>
      <w:tr>
        <w:trPr>
          <w:trHeight w:val="27"/>
        </w:trPr>
        <w:tc>
          <w:tcPr>
            <w:tcW w:w="7700" w:type="dxa"/>
            <w:vAlign w:val="bottom"/>
          </w:tcPr>
          <w:p>
            <w:pPr>
              <w:spacing w:after="0"/>
              <w:rPr>
                <w:sz w:val="2"/>
                <w:szCs w:val="2"/>
                <w:color w:val="auto"/>
              </w:rPr>
            </w:pPr>
          </w:p>
        </w:tc>
        <w:tc>
          <w:tcPr>
            <w:tcW w:w="3720" w:type="dxa"/>
            <w:vAlign w:val="bottom"/>
          </w:tcPr>
          <w:p>
            <w:pPr>
              <w:spacing w:after="0"/>
              <w:rPr>
                <w:sz w:val="2"/>
                <w:szCs w:val="2"/>
                <w:color w:val="auto"/>
              </w:rPr>
            </w:pPr>
          </w:p>
        </w:tc>
      </w:tr>
      <w:tr>
        <w:trPr>
          <w:trHeight w:val="250"/>
        </w:trPr>
        <w:tc>
          <w:tcPr>
            <w:tcW w:w="7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ATC Earnings</w:t>
            </w:r>
          </w:p>
        </w:tc>
        <w:tc>
          <w:tcPr>
            <w:tcW w:w="3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w:t>
            </w:r>
          </w:p>
        </w:tc>
      </w:tr>
      <w:tr>
        <w:trPr>
          <w:trHeight w:val="243"/>
        </w:trPr>
        <w:tc>
          <w:tcPr>
            <w:tcW w:w="7700" w:type="dxa"/>
            <w:vAlign w:val="bottom"/>
          </w:tcPr>
          <w:p>
            <w:pPr>
              <w:ind w:left="40"/>
              <w:spacing w:after="0"/>
              <w:rPr>
                <w:sz w:val="20"/>
                <w:szCs w:val="20"/>
                <w:color w:val="auto"/>
              </w:rPr>
            </w:pPr>
            <w:r>
              <w:rPr>
                <w:rFonts w:ascii="Arial" w:cs="Arial" w:eastAsia="Arial" w:hAnsi="Arial"/>
                <w:sz w:val="18"/>
                <w:szCs w:val="18"/>
                <w:color w:val="auto"/>
              </w:rPr>
              <w:t>Distributed ATC Earnings</w:t>
            </w:r>
          </w:p>
        </w:tc>
        <w:tc>
          <w:tcPr>
            <w:tcW w:w="372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7"/>
        </w:trPr>
        <w:tc>
          <w:tcPr>
            <w:tcW w:w="7700" w:type="dxa"/>
            <w:vAlign w:val="bottom"/>
          </w:tcPr>
          <w:p>
            <w:pPr>
              <w:spacing w:after="0"/>
              <w:rPr>
                <w:sz w:val="2"/>
                <w:szCs w:val="2"/>
                <w:color w:val="auto"/>
              </w:rPr>
            </w:pPr>
          </w:p>
        </w:tc>
        <w:tc>
          <w:tcPr>
            <w:tcW w:w="3720" w:type="dxa"/>
            <w:vAlign w:val="bottom"/>
          </w:tcPr>
          <w:p>
            <w:pPr>
              <w:spacing w:after="0"/>
              <w:rPr>
                <w:sz w:val="2"/>
                <w:szCs w:val="2"/>
                <w:color w:val="auto"/>
              </w:rPr>
            </w:pPr>
          </w:p>
        </w:tc>
      </w:tr>
      <w:tr>
        <w:trPr>
          <w:trHeight w:val="275"/>
        </w:trPr>
        <w:tc>
          <w:tcPr>
            <w:tcW w:w="7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the Remeasurement of Deferred Income Taxes</w:t>
            </w:r>
          </w:p>
        </w:tc>
        <w:tc>
          <w:tcPr>
            <w:tcW w:w="3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r>
      <w:tr>
        <w:trPr>
          <w:trHeight w:val="237"/>
        </w:trPr>
        <w:tc>
          <w:tcPr>
            <w:tcW w:w="77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Equity Investment Balance as of September 30, 2019</w:t>
            </w:r>
          </w:p>
        </w:tc>
        <w:tc>
          <w:tcPr>
            <w:tcW w:w="3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$136.9</w:t>
            </w:r>
          </w:p>
        </w:tc>
      </w:tr>
      <w:tr>
        <w:trPr>
          <w:trHeight w:val="27"/>
        </w:trPr>
        <w:tc>
          <w:tcPr>
            <w:tcW w:w="770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ATC’s authorized return on equity is 10.32 percent, or 10.82 percent including an incentive adder for participation in a regional transmission organization.</w:t>
      </w:r>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2016, a federal administrative law judge ruled on a complaint proposing a reduction in the base return on equity to 9.70 percent, or 10.20 percent including an incentive adder for participation in a regional transmission organization, subject to approval or adjustment by the FERC. A final decision from the FERC on the administrative law judge’s recommendation is pending.</w:t>
      </w:r>
    </w:p>
    <w:p>
      <w:pPr>
        <w:spacing w:after="0" w:line="17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Investment in Nobles 2. </w:t>
      </w:r>
      <w:r>
        <w:rPr>
          <w:rFonts w:ascii="Arial" w:cs="Arial" w:eastAsia="Arial" w:hAnsi="Arial"/>
          <w:sz w:val="18"/>
          <w:szCs w:val="18"/>
          <w:color w:val="auto"/>
        </w:rPr>
        <w:t>Our wholly-owned subsidiary, ALLETE South Wind, owns 49 percent of Nobles 2, the entity that will own and operate a 250 MW</w:t>
      </w:r>
      <w:r>
        <w:rPr>
          <w:rFonts w:ascii="Arial" w:cs="Arial" w:eastAsia="Arial" w:hAnsi="Arial"/>
          <w:sz w:val="18"/>
          <w:szCs w:val="18"/>
          <w:b w:val="1"/>
          <w:bCs w:val="1"/>
          <w:color w:val="auto"/>
        </w:rPr>
        <w:t xml:space="preserve"> </w:t>
      </w:r>
      <w:r>
        <w:rPr>
          <w:rFonts w:ascii="Arial" w:cs="Arial" w:eastAsia="Arial" w:hAnsi="Arial"/>
          <w:sz w:val="18"/>
          <w:szCs w:val="18"/>
          <w:color w:val="auto"/>
        </w:rPr>
        <w:t>wind energy facility in southwestern Minnesota pursuant to a 20-year PPA with Minnesota Power. We account for our investment in Nobles 2 under the equity method of accounting. As of September 30, 2019, our equity investment in Nobles 2 was $46.4 million ($33.0 million at December 31, 2018). In the first quarter of 2019, Nobles 2 returned capital of $8.3 million based on its cash needs. We expect to make approximately $12 million in additional investments in 2019.</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GOODWILL AND INTANGIBLE ASSETS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of completing the sale of U.S. Water Services on March 26, 2019, there was no goodwill recorded as of September 30, 2019 ($148.5 million at December 31, 2018).</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80" w:type="dxa"/>
            <w:vAlign w:val="bottom"/>
          </w:tcPr>
          <w:p>
            <w:pPr>
              <w:spacing w:after="0"/>
              <w:rPr>
                <w:sz w:val="20"/>
                <w:szCs w:val="20"/>
                <w:color w:val="auto"/>
              </w:rPr>
            </w:pPr>
            <w:r>
              <w:rPr>
                <w:rFonts w:ascii="Arial" w:cs="Arial" w:eastAsia="Arial" w:hAnsi="Arial"/>
                <w:sz w:val="18"/>
                <w:szCs w:val="18"/>
                <w:color w:val="auto"/>
                <w:w w:val="90"/>
              </w:rPr>
              <w:t>The balance of intangible assets, net, as of September 30, 2019, is as follows:</w:t>
            </w:r>
          </w:p>
        </w:tc>
        <w:tc>
          <w:tcPr>
            <w:tcW w:w="15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27"/>
        </w:trPr>
        <w:tc>
          <w:tcPr>
            <w:tcW w:w="5680" w:type="dxa"/>
            <w:vAlign w:val="bottom"/>
          </w:tcPr>
          <w:p>
            <w:pPr>
              <w:spacing w:after="0"/>
              <w:rPr>
                <w:sz w:val="24"/>
                <w:szCs w:val="24"/>
                <w:color w:val="auto"/>
              </w:rPr>
            </w:pPr>
          </w:p>
        </w:tc>
        <w:tc>
          <w:tcPr>
            <w:tcW w:w="1520" w:type="dxa"/>
            <w:vAlign w:val="bottom"/>
          </w:tcPr>
          <w:p>
            <w:pPr>
              <w:jc w:val="right"/>
              <w:ind w:right="290"/>
              <w:spacing w:after="0"/>
              <w:rPr>
                <w:sz w:val="20"/>
                <w:szCs w:val="20"/>
                <w:color w:val="auto"/>
              </w:rPr>
            </w:pPr>
            <w:r>
              <w:rPr>
                <w:rFonts w:ascii="Arial" w:cs="Arial" w:eastAsia="Arial" w:hAnsi="Arial"/>
                <w:sz w:val="18"/>
                <w:szCs w:val="18"/>
                <w:b w:val="1"/>
                <w:bCs w:val="1"/>
                <w:color w:val="auto"/>
                <w:w w:val="95"/>
              </w:rPr>
              <w:t>December 31,</w:t>
            </w:r>
          </w:p>
        </w:tc>
        <w:tc>
          <w:tcPr>
            <w:tcW w:w="1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b w:val="1"/>
                <w:bCs w:val="1"/>
                <w:color w:val="auto"/>
              </w:rPr>
              <w:t>September 30,</w:t>
            </w:r>
          </w:p>
        </w:tc>
      </w:tr>
      <w:tr>
        <w:trPr>
          <w:trHeight w:val="234"/>
        </w:trPr>
        <w:tc>
          <w:tcPr>
            <w:tcW w:w="5680" w:type="dxa"/>
            <w:vAlign w:val="bottom"/>
          </w:tcPr>
          <w:p>
            <w:pPr>
              <w:spacing w:after="0"/>
              <w:rPr>
                <w:sz w:val="20"/>
                <w:szCs w:val="20"/>
                <w:color w:val="auto"/>
              </w:rPr>
            </w:pPr>
          </w:p>
        </w:tc>
        <w:tc>
          <w:tcPr>
            <w:tcW w:w="15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1520" w:type="dxa"/>
            <w:vAlign w:val="bottom"/>
          </w:tcPr>
          <w:p>
            <w:pPr>
              <w:jc w:val="right"/>
              <w:ind w:right="50"/>
              <w:spacing w:after="0"/>
              <w:rPr>
                <w:sz w:val="20"/>
                <w:szCs w:val="20"/>
                <w:color w:val="auto"/>
              </w:rPr>
            </w:pPr>
            <w:r>
              <w:rPr>
                <w:rFonts w:ascii="Arial" w:cs="Arial" w:eastAsia="Arial" w:hAnsi="Arial"/>
                <w:sz w:val="18"/>
                <w:szCs w:val="18"/>
                <w:b w:val="1"/>
                <w:bCs w:val="1"/>
                <w:color w:val="auto"/>
              </w:rPr>
              <w:t>Amortization</w:t>
            </w:r>
          </w:p>
        </w:tc>
        <w:tc>
          <w:tcPr>
            <w:tcW w:w="1220" w:type="dxa"/>
            <w:vAlign w:val="bottom"/>
          </w:tcPr>
          <w:p>
            <w:pPr>
              <w:jc w:val="right"/>
              <w:ind w:right="290"/>
              <w:spacing w:after="0"/>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6"/>
                <w:szCs w:val="16"/>
                <w:b w:val="1"/>
                <w:bCs w:val="1"/>
                <w:i w:val="1"/>
                <w:iCs w:val="1"/>
                <w:color w:val="auto"/>
              </w:rPr>
              <w:t>(b)</w:t>
            </w:r>
          </w:p>
        </w:tc>
        <w:tc>
          <w:tcPr>
            <w:tcW w:w="1480" w:type="dxa"/>
            <w:vAlign w:val="bottom"/>
          </w:tcPr>
          <w:p>
            <w:pPr>
              <w:jc w:val="right"/>
              <w:ind w:right="10"/>
              <w:spacing w:after="0"/>
              <w:rPr>
                <w:sz w:val="20"/>
                <w:szCs w:val="20"/>
                <w:color w:val="auto"/>
              </w:rPr>
            </w:pPr>
            <w:r>
              <w:rPr>
                <w:rFonts w:ascii="Arial" w:cs="Arial" w:eastAsia="Arial" w:hAnsi="Arial"/>
                <w:sz w:val="18"/>
                <w:szCs w:val="18"/>
                <w:b w:val="1"/>
                <w:bCs w:val="1"/>
                <w:color w:val="auto"/>
              </w:rPr>
              <w:t>2019</w:t>
            </w:r>
          </w:p>
        </w:tc>
      </w:tr>
      <w:tr>
        <w:trPr>
          <w:trHeight w:val="27"/>
        </w:trPr>
        <w:tc>
          <w:tcPr>
            <w:tcW w:w="56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56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5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56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15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5680" w:type="dxa"/>
            <w:vAlign w:val="bottom"/>
          </w:tcPr>
          <w:p>
            <w:pPr>
              <w:ind w:left="180"/>
              <w:spacing w:after="0"/>
              <w:rPr>
                <w:sz w:val="20"/>
                <w:szCs w:val="20"/>
                <w:color w:val="auto"/>
              </w:rPr>
            </w:pPr>
            <w:r>
              <w:rPr>
                <w:rFonts w:ascii="Arial" w:cs="Arial" w:eastAsia="Arial" w:hAnsi="Arial"/>
                <w:sz w:val="18"/>
                <w:szCs w:val="18"/>
                <w:color w:val="auto"/>
              </w:rPr>
              <w:t>Definite-Lived Intangible Assets</w:t>
            </w:r>
          </w:p>
        </w:tc>
        <w:tc>
          <w:tcPr>
            <w:tcW w:w="15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56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Customer Relationships</w:t>
            </w:r>
          </w:p>
        </w:tc>
        <w:tc>
          <w:tcPr>
            <w:tcW w:w="15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$50.7</w:t>
            </w:r>
          </w:p>
        </w:tc>
        <w:tc>
          <w:tcPr>
            <w:tcW w:w="15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w:t>
            </w: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$(49.6)</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680" w:type="dxa"/>
            <w:vAlign w:val="bottom"/>
          </w:tcPr>
          <w:p>
            <w:pPr>
              <w:ind w:left="280"/>
              <w:spacing w:after="0"/>
              <w:rPr>
                <w:sz w:val="20"/>
                <w:szCs w:val="20"/>
                <w:color w:val="auto"/>
              </w:rPr>
            </w:pPr>
            <w:r>
              <w:rPr>
                <w:rFonts w:ascii="Arial" w:cs="Arial" w:eastAsia="Arial" w:hAnsi="Arial"/>
                <w:sz w:val="18"/>
                <w:szCs w:val="18"/>
                <w:color w:val="auto"/>
              </w:rPr>
              <w:t xml:space="preserve">Developed Technology and Other </w:t>
            </w:r>
            <w:r>
              <w:rPr>
                <w:rFonts w:ascii="Arial" w:cs="Arial" w:eastAsia="Arial" w:hAnsi="Arial"/>
                <w:sz w:val="16"/>
                <w:szCs w:val="16"/>
                <w:i w:val="1"/>
                <w:iCs w:val="1"/>
                <w:color w:val="auto"/>
              </w:rPr>
              <w:t>(a)</w:t>
            </w:r>
          </w:p>
        </w:tc>
        <w:tc>
          <w:tcPr>
            <w:tcW w:w="1520" w:type="dxa"/>
            <w:vAlign w:val="bottom"/>
          </w:tcPr>
          <w:p>
            <w:pPr>
              <w:jc w:val="right"/>
              <w:ind w:right="250"/>
              <w:spacing w:after="0"/>
              <w:rPr>
                <w:sz w:val="20"/>
                <w:szCs w:val="20"/>
                <w:color w:val="auto"/>
              </w:rPr>
            </w:pPr>
            <w:r>
              <w:rPr>
                <w:rFonts w:ascii="Arial" w:cs="Arial" w:eastAsia="Arial" w:hAnsi="Arial"/>
                <w:sz w:val="18"/>
                <w:szCs w:val="18"/>
                <w:color w:val="auto"/>
              </w:rPr>
              <w:t>7.5</w:t>
            </w:r>
          </w:p>
        </w:tc>
        <w:tc>
          <w:tcPr>
            <w:tcW w:w="1520" w:type="dxa"/>
            <w:vAlign w:val="bottom"/>
          </w:tcPr>
          <w:p>
            <w:pPr>
              <w:jc w:val="right"/>
              <w:ind w:right="50"/>
              <w:spacing w:after="0"/>
              <w:rPr>
                <w:sz w:val="20"/>
                <w:szCs w:val="20"/>
                <w:color w:val="auto"/>
              </w:rPr>
            </w:pPr>
            <w:r>
              <w:rPr>
                <w:rFonts w:ascii="Arial" w:cs="Arial" w:eastAsia="Arial" w:hAnsi="Arial"/>
                <w:sz w:val="18"/>
                <w:szCs w:val="18"/>
                <w:color w:val="auto"/>
              </w:rPr>
              <w:t>(0.4)</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(6.1)</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7"/>
        </w:trPr>
        <w:tc>
          <w:tcPr>
            <w:tcW w:w="56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Definite-Lived Intangible Assets</w:t>
            </w:r>
          </w:p>
        </w:tc>
        <w:tc>
          <w:tcPr>
            <w:tcW w:w="15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58.2</w:t>
            </w:r>
          </w:p>
        </w:tc>
        <w:tc>
          <w:tcPr>
            <w:tcW w:w="15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w:t>
            </w: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(55.7)</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43"/>
        </w:trPr>
        <w:tc>
          <w:tcPr>
            <w:tcW w:w="5680" w:type="dxa"/>
            <w:vAlign w:val="bottom"/>
          </w:tcPr>
          <w:p>
            <w:pPr>
              <w:ind w:left="180"/>
              <w:spacing w:after="0"/>
              <w:rPr>
                <w:sz w:val="20"/>
                <w:szCs w:val="20"/>
                <w:color w:val="auto"/>
              </w:rPr>
            </w:pPr>
            <w:r>
              <w:rPr>
                <w:rFonts w:ascii="Arial" w:cs="Arial" w:eastAsia="Arial" w:hAnsi="Arial"/>
                <w:sz w:val="18"/>
                <w:szCs w:val="18"/>
                <w:color w:val="auto"/>
              </w:rPr>
              <w:t>Indefinite-Lived Intangible Assets</w:t>
            </w:r>
          </w:p>
        </w:tc>
        <w:tc>
          <w:tcPr>
            <w:tcW w:w="15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56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5"/>
        </w:trPr>
        <w:tc>
          <w:tcPr>
            <w:tcW w:w="5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Trademarks and Trade Names</w:t>
            </w:r>
          </w:p>
        </w:tc>
        <w:tc>
          <w:tcPr>
            <w:tcW w:w="15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16.6</w:t>
            </w:r>
          </w:p>
        </w:tc>
        <w:tc>
          <w:tcPr>
            <w:tcW w:w="15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(16.6)</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56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Intangible Assets</w:t>
            </w:r>
          </w:p>
        </w:tc>
        <w:tc>
          <w:tcPr>
            <w:tcW w:w="152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$74.8</w:t>
            </w:r>
          </w:p>
        </w:tc>
        <w:tc>
          <w:tcPr>
            <w:tcW w:w="15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$(1.5)</w:t>
            </w:r>
          </w:p>
        </w:tc>
        <w:tc>
          <w:tcPr>
            <w:tcW w:w="12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$(72.3)</w:t>
            </w: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r>
      <w:tr>
        <w:trPr>
          <w:trHeight w:val="27"/>
        </w:trPr>
        <w:tc>
          <w:tcPr>
            <w:tcW w:w="56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bl>
    <w:p>
      <w:pPr>
        <w:spacing w:after="0" w:line="206"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Developed Technology and Other includes patents, non-compete agreements, land easements and trade names with finite lives.</w:t>
      </w:r>
    </w:p>
    <w:p>
      <w:pPr>
        <w:spacing w:after="0" w:line="19" w:lineRule="exact"/>
        <w:rPr>
          <w:rFonts w:ascii="Arial" w:cs="Arial" w:eastAsia="Arial" w:hAnsi="Arial"/>
          <w:sz w:val="16"/>
          <w:szCs w:val="16"/>
          <w:i w:val="1"/>
          <w:iCs w:val="1"/>
          <w:color w:val="auto"/>
        </w:rPr>
      </w:pPr>
    </w:p>
    <w:p>
      <w:pPr>
        <w:ind w:left="340" w:hanging="332"/>
        <w:spacing w:after="0" w:line="257" w:lineRule="auto"/>
        <w:tabs>
          <w:tab w:leader="none" w:pos="340"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On March 26, 2019, ALLETE completed the sale of U.S. Water Services which resulted in the removal of the related intangible assets from the Consolidated Balance Sheet.</w:t>
      </w:r>
    </w:p>
    <w:p>
      <w:pPr>
        <w:spacing w:after="0" w:line="18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Amortization expense for intangible assets was $1.5 million for the nine months ended September 30, 2019 ($4.1 million for the nine months ended September 30, 2018). The remaining definite-lived intangible assets will continue to be amortized ratably through 2028.</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2019 Form 10-Q</w:t>
      </w:r>
    </w:p>
    <w:p>
      <w:pPr>
        <w:sectPr>
          <w:pgSz w:w="11900" w:h="16838" w:orient="portrait"/>
          <w:cols w:equalWidth="0" w:num="1">
            <w:col w:w="11420"/>
          </w:cols>
          <w:pgMar w:left="240" w:top="1040" w:right="239" w:bottom="1440" w:gutter="0" w:footer="0" w:header="0"/>
        </w:sectPr>
      </w:pP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19</w:t>
      </w:r>
    </w:p>
    <w:p>
      <w:pPr>
        <w:sectPr>
          <w:pgSz w:w="11900" w:h="16838" w:orient="portrait"/>
          <w:cols w:equalWidth="0" w:num="1">
            <w:col w:w="11420"/>
          </w:cols>
          <w:pgMar w:left="240" w:top="1040" w:right="2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NOTE 5. FAIR VALUE</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Fair value is the price that would be received to sell an asset or paid to transfer a liability in an orderly transaction between market participants at the measurement date (exit price). We utilize market data or assumptions that market participants would use in pricing the asset or liability, including assumptions about risk and the risks inherent in the inputs to the valuation technique. These inputs can be readily observable, market corroborated or generally unobservable. We primarily apply the market approach for recurring fair value measurements and endeavor to utilize the best available information. Accordingly, we utilize valuation techniques that maximize the use of observable inputs and minimize the use of unobservable inputs. These inputs, which are used to measure fair value, are prioritized through the fair value hierarchy. The hierarchy gives the highest priority to unadjusted quoted prices in active markets for identical assets or liabilities (Level 1 measurement) and the lowest priority to unobservable inputs (Level 3 measurement). Descriptions of the three levels of the fair value hierarchy are discussed in Note 9. Fair Value to the Consolidated Financial Statements in our 2018 Form 10-K.</w:t>
      </w:r>
    </w:p>
    <w:p>
      <w:pPr>
        <w:spacing w:after="0" w:line="16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following tables set forth, by level within the fair value hierarchy, our assets and liabilities that were accounted for at fair value on a recurring basis as of September 30, 2019, and December 31, 2018. Each asset and liability is classified based on the lowest level of input that is significant to the fair value measurement. Our assessment of the significance of a particular input to the fair value measurement requires judgment, which may affect the valuation of these assets and liabilities and their placement within the fair value hierarchy levels. The estimated fair value of Cash and Cash Equivalents listed on the Consolidated Balance Sheet approximates the carrying amount and therefore is excluded from the recurring fair value measures in the following tables.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00" w:type="dxa"/>
            <w:vAlign w:val="bottom"/>
          </w:tcPr>
          <w:p>
            <w:pPr>
              <w:spacing w:after="0"/>
              <w:rPr>
                <w:sz w:val="20"/>
                <w:szCs w:val="20"/>
                <w:color w:val="auto"/>
              </w:rPr>
            </w:pPr>
          </w:p>
        </w:tc>
        <w:tc>
          <w:tcPr>
            <w:tcW w:w="4340" w:type="dxa"/>
            <w:vAlign w:val="bottom"/>
            <w:gridSpan w:val="3"/>
          </w:tcPr>
          <w:p>
            <w:pPr>
              <w:jc w:val="right"/>
              <w:spacing w:after="0"/>
              <w:rPr>
                <w:sz w:val="20"/>
                <w:szCs w:val="20"/>
                <w:color w:val="auto"/>
              </w:rPr>
            </w:pPr>
            <w:r>
              <w:rPr>
                <w:rFonts w:ascii="Arial" w:cs="Arial" w:eastAsia="Arial" w:hAnsi="Arial"/>
                <w:sz w:val="18"/>
                <w:szCs w:val="18"/>
                <w:b w:val="1"/>
                <w:bCs w:val="1"/>
                <w:color w:val="auto"/>
              </w:rPr>
              <w:t>Fair Value as of September 30, 2019</w:t>
            </w:r>
          </w:p>
        </w:tc>
        <w:tc>
          <w:tcPr>
            <w:tcW w:w="780" w:type="dxa"/>
            <w:vAlign w:val="bottom"/>
          </w:tcPr>
          <w:p>
            <w:pPr>
              <w:spacing w:after="0"/>
              <w:rPr>
                <w:sz w:val="20"/>
                <w:szCs w:val="20"/>
                <w:color w:val="auto"/>
              </w:rPr>
            </w:pPr>
          </w:p>
        </w:tc>
      </w:tr>
      <w:tr>
        <w:trPr>
          <w:trHeight w:val="270"/>
        </w:trPr>
        <w:tc>
          <w:tcPr>
            <w:tcW w:w="6300" w:type="dxa"/>
            <w:vAlign w:val="bottom"/>
          </w:tcPr>
          <w:p>
            <w:pPr>
              <w:ind w:left="40"/>
              <w:spacing w:after="0"/>
              <w:rPr>
                <w:sz w:val="20"/>
                <w:szCs w:val="20"/>
                <w:color w:val="auto"/>
              </w:rPr>
            </w:pPr>
            <w:r>
              <w:rPr>
                <w:rFonts w:ascii="Arial" w:cs="Arial" w:eastAsia="Arial" w:hAnsi="Arial"/>
                <w:sz w:val="18"/>
                <w:szCs w:val="18"/>
                <w:b w:val="1"/>
                <w:bCs w:val="1"/>
                <w:color w:val="auto"/>
              </w:rPr>
              <w:t>Recurring Fair Value Measures</w:t>
            </w:r>
          </w:p>
        </w:tc>
        <w:tc>
          <w:tcPr>
            <w:tcW w:w="1880" w:type="dxa"/>
            <w:vAlign w:val="bottom"/>
          </w:tcPr>
          <w:p>
            <w:pPr>
              <w:jc w:val="right"/>
              <w:ind w:right="190"/>
              <w:spacing w:after="0"/>
              <w:rPr>
                <w:sz w:val="20"/>
                <w:szCs w:val="20"/>
                <w:color w:val="auto"/>
              </w:rPr>
            </w:pPr>
            <w:r>
              <w:rPr>
                <w:rFonts w:ascii="Arial" w:cs="Arial" w:eastAsia="Arial" w:hAnsi="Arial"/>
                <w:sz w:val="18"/>
                <w:szCs w:val="18"/>
                <w:b w:val="1"/>
                <w:bCs w:val="1"/>
                <w:color w:val="auto"/>
              </w:rPr>
              <w:t>Level 1</w:t>
            </w:r>
          </w:p>
        </w:tc>
        <w:tc>
          <w:tcPr>
            <w:tcW w:w="1180" w:type="dxa"/>
            <w:vAlign w:val="bottom"/>
          </w:tcPr>
          <w:p>
            <w:pPr>
              <w:jc w:val="right"/>
              <w:ind w:right="190"/>
              <w:spacing w:after="0"/>
              <w:rPr>
                <w:sz w:val="20"/>
                <w:szCs w:val="20"/>
                <w:color w:val="auto"/>
              </w:rPr>
            </w:pPr>
            <w:r>
              <w:rPr>
                <w:rFonts w:ascii="Arial" w:cs="Arial" w:eastAsia="Arial" w:hAnsi="Arial"/>
                <w:sz w:val="18"/>
                <w:szCs w:val="18"/>
                <w:b w:val="1"/>
                <w:bCs w:val="1"/>
                <w:color w:val="auto"/>
              </w:rPr>
              <w:t>Level 2</w:t>
            </w:r>
          </w:p>
        </w:tc>
        <w:tc>
          <w:tcPr>
            <w:tcW w:w="1280" w:type="dxa"/>
            <w:vAlign w:val="bottom"/>
          </w:tcPr>
          <w:p>
            <w:pPr>
              <w:jc w:val="right"/>
              <w:ind w:right="350"/>
              <w:spacing w:after="0"/>
              <w:rPr>
                <w:sz w:val="20"/>
                <w:szCs w:val="20"/>
                <w:color w:val="auto"/>
              </w:rPr>
            </w:pPr>
            <w:r>
              <w:rPr>
                <w:rFonts w:ascii="Arial" w:cs="Arial" w:eastAsia="Arial" w:hAnsi="Arial"/>
                <w:sz w:val="18"/>
                <w:szCs w:val="18"/>
                <w:b w:val="1"/>
                <w:bCs w:val="1"/>
                <w:color w:val="auto"/>
              </w:rPr>
              <w:t>Level 3</w:t>
            </w:r>
          </w:p>
        </w:tc>
        <w:tc>
          <w:tcPr>
            <w:tcW w:w="780" w:type="dxa"/>
            <w:vAlign w:val="bottom"/>
          </w:tcPr>
          <w:p>
            <w:pPr>
              <w:jc w:val="right"/>
              <w:ind w:right="10"/>
              <w:spacing w:after="0"/>
              <w:rPr>
                <w:sz w:val="20"/>
                <w:szCs w:val="20"/>
                <w:color w:val="auto"/>
              </w:rPr>
            </w:pPr>
            <w:r>
              <w:rPr>
                <w:rFonts w:ascii="Arial" w:cs="Arial" w:eastAsia="Arial" w:hAnsi="Arial"/>
                <w:sz w:val="18"/>
                <w:szCs w:val="18"/>
                <w:b w:val="1"/>
                <w:bCs w:val="1"/>
                <w:color w:val="auto"/>
              </w:rPr>
              <w:t>Total</w:t>
            </w:r>
          </w:p>
        </w:tc>
      </w:tr>
      <w:tr>
        <w:trPr>
          <w:trHeight w:val="27"/>
        </w:trPr>
        <w:tc>
          <w:tcPr>
            <w:tcW w:w="63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63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8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7"/>
        </w:trPr>
        <w:tc>
          <w:tcPr>
            <w:tcW w:w="6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8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 xml:space="preserve">Investments </w:t>
            </w:r>
            <w:r>
              <w:rPr>
                <w:rFonts w:ascii="Arial" w:cs="Arial" w:eastAsia="Arial" w:hAnsi="Arial"/>
                <w:sz w:val="16"/>
                <w:szCs w:val="16"/>
                <w:i w:val="1"/>
                <w:iCs w:val="1"/>
                <w:color w:val="auto"/>
              </w:rPr>
              <w:t>(a)</w:t>
            </w:r>
          </w:p>
        </w:tc>
        <w:tc>
          <w:tcPr>
            <w:tcW w:w="18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6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Available-for-sale – Equity Securities</w:t>
            </w:r>
          </w:p>
        </w:tc>
        <w:tc>
          <w:tcPr>
            <w:tcW w:w="18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$10.6</w:t>
            </w:r>
          </w:p>
        </w:tc>
        <w:tc>
          <w:tcPr>
            <w:tcW w:w="11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w:t>
            </w:r>
          </w:p>
        </w:tc>
      </w:tr>
      <w:tr>
        <w:trPr>
          <w:trHeight w:val="243"/>
        </w:trPr>
        <w:tc>
          <w:tcPr>
            <w:tcW w:w="6300" w:type="dxa"/>
            <w:vAlign w:val="bottom"/>
          </w:tcPr>
          <w:p>
            <w:pPr>
              <w:ind w:left="280"/>
              <w:spacing w:after="0"/>
              <w:rPr>
                <w:sz w:val="20"/>
                <w:szCs w:val="20"/>
                <w:color w:val="auto"/>
              </w:rPr>
            </w:pPr>
            <w:r>
              <w:rPr>
                <w:rFonts w:ascii="Arial" w:cs="Arial" w:eastAsia="Arial" w:hAnsi="Arial"/>
                <w:sz w:val="18"/>
                <w:szCs w:val="18"/>
                <w:color w:val="auto"/>
              </w:rPr>
              <w:t xml:space="preserve">Available-for-sale – Corporate and Governmental Debt Securities </w:t>
            </w:r>
            <w:r>
              <w:rPr>
                <w:rFonts w:ascii="Arial" w:cs="Arial" w:eastAsia="Arial" w:hAnsi="Arial"/>
                <w:sz w:val="16"/>
                <w:szCs w:val="16"/>
                <w:i w:val="1"/>
                <w:iCs w:val="1"/>
                <w:color w:val="auto"/>
              </w:rPr>
              <w:t>(b)</w:t>
            </w:r>
          </w:p>
        </w:tc>
        <w:tc>
          <w:tcPr>
            <w:tcW w:w="18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90"/>
              <w:spacing w:after="0"/>
              <w:rPr>
                <w:sz w:val="20"/>
                <w:szCs w:val="20"/>
                <w:color w:val="auto"/>
              </w:rPr>
            </w:pPr>
            <w:r>
              <w:rPr>
                <w:rFonts w:ascii="Arial" w:cs="Arial" w:eastAsia="Arial" w:hAnsi="Arial"/>
                <w:sz w:val="18"/>
                <w:szCs w:val="18"/>
                <w:color w:val="auto"/>
              </w:rPr>
              <w:t>$9.6</w:t>
            </w:r>
          </w:p>
        </w:tc>
        <w:tc>
          <w:tcPr>
            <w:tcW w:w="12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9.6</w:t>
            </w:r>
          </w:p>
        </w:tc>
      </w:tr>
      <w:tr>
        <w:trPr>
          <w:trHeight w:val="27"/>
        </w:trPr>
        <w:tc>
          <w:tcPr>
            <w:tcW w:w="6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5"/>
        </w:trPr>
        <w:tc>
          <w:tcPr>
            <w:tcW w:w="6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Equivalents</w:t>
            </w:r>
          </w:p>
        </w:tc>
        <w:tc>
          <w:tcPr>
            <w:tcW w:w="18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1.2</w:t>
            </w:r>
          </w:p>
        </w:tc>
        <w:tc>
          <w:tcPr>
            <w:tcW w:w="11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r>
      <w:tr>
        <w:trPr>
          <w:trHeight w:val="237"/>
        </w:trPr>
        <w:tc>
          <w:tcPr>
            <w:tcW w:w="63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Fair Value of Assets</w:t>
            </w:r>
          </w:p>
        </w:tc>
        <w:tc>
          <w:tcPr>
            <w:tcW w:w="18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$11.8</w:t>
            </w:r>
          </w:p>
        </w:tc>
        <w:tc>
          <w:tcPr>
            <w:tcW w:w="11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$9.6</w:t>
            </w:r>
          </w:p>
        </w:tc>
        <w:tc>
          <w:tcPr>
            <w:tcW w:w="128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$21.4</w:t>
            </w:r>
          </w:p>
        </w:tc>
      </w:tr>
      <w:tr>
        <w:trPr>
          <w:trHeight w:val="27"/>
        </w:trPr>
        <w:tc>
          <w:tcPr>
            <w:tcW w:w="63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77"/>
        </w:trPr>
        <w:tc>
          <w:tcPr>
            <w:tcW w:w="6300" w:type="dxa"/>
            <w:vAlign w:val="bottom"/>
            <w:shd w:val="clear" w:color="auto" w:fill="CCEEFF"/>
          </w:tcPr>
          <w:p>
            <w:pPr>
              <w:spacing w:after="0"/>
              <w:rPr>
                <w:sz w:val="24"/>
                <w:szCs w:val="24"/>
                <w:color w:val="auto"/>
              </w:rPr>
            </w:pPr>
          </w:p>
        </w:tc>
        <w:tc>
          <w:tcPr>
            <w:tcW w:w="18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18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6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5"/>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Deferred Compensation </w:t>
            </w:r>
            <w:r>
              <w:rPr>
                <w:rFonts w:ascii="Arial" w:cs="Arial" w:eastAsia="Arial" w:hAnsi="Arial"/>
                <w:sz w:val="16"/>
                <w:szCs w:val="16"/>
                <w:i w:val="1"/>
                <w:iCs w:val="1"/>
                <w:color w:val="auto"/>
              </w:rPr>
              <w:t>(c)</w:t>
            </w:r>
          </w:p>
        </w:tc>
        <w:tc>
          <w:tcPr>
            <w:tcW w:w="18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$21.6</w:t>
            </w:r>
          </w:p>
        </w:tc>
        <w:tc>
          <w:tcPr>
            <w:tcW w:w="12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w:t>
            </w:r>
          </w:p>
        </w:tc>
      </w:tr>
      <w:tr>
        <w:trPr>
          <w:trHeight w:val="237"/>
        </w:trPr>
        <w:tc>
          <w:tcPr>
            <w:tcW w:w="63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Fair Value of Liabilities</w:t>
            </w:r>
          </w:p>
        </w:tc>
        <w:tc>
          <w:tcPr>
            <w:tcW w:w="18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$21.6</w:t>
            </w:r>
          </w:p>
        </w:tc>
        <w:tc>
          <w:tcPr>
            <w:tcW w:w="128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$21.6</w:t>
            </w:r>
          </w:p>
        </w:tc>
      </w:tr>
      <w:tr>
        <w:trPr>
          <w:trHeight w:val="27"/>
        </w:trPr>
        <w:tc>
          <w:tcPr>
            <w:tcW w:w="63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Fair Value of Assets (Liabilities)</w:t>
            </w:r>
          </w:p>
        </w:tc>
        <w:tc>
          <w:tcPr>
            <w:tcW w:w="18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$11.8</w:t>
            </w:r>
          </w:p>
        </w:tc>
        <w:tc>
          <w:tcPr>
            <w:tcW w:w="11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$(12.0)</w:t>
            </w:r>
          </w:p>
        </w:tc>
        <w:tc>
          <w:tcPr>
            <w:tcW w:w="12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7"/>
              </w:rPr>
              <w:t>$(0.2)</w:t>
            </w:r>
          </w:p>
        </w:tc>
      </w:tr>
      <w:tr>
        <w:trPr>
          <w:trHeight w:val="20"/>
        </w:trPr>
        <w:tc>
          <w:tcPr>
            <w:tcW w:w="630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bl>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80" w:type="dxa"/>
            <w:vAlign w:val="bottom"/>
          </w:tcPr>
          <w:p>
            <w:pPr>
              <w:spacing w:after="0"/>
              <w:rPr>
                <w:sz w:val="20"/>
                <w:szCs w:val="20"/>
                <w:color w:val="auto"/>
              </w:rPr>
            </w:pPr>
          </w:p>
        </w:tc>
        <w:tc>
          <w:tcPr>
            <w:tcW w:w="4440" w:type="dxa"/>
            <w:vAlign w:val="bottom"/>
            <w:gridSpan w:val="3"/>
          </w:tcPr>
          <w:p>
            <w:pPr>
              <w:jc w:val="right"/>
              <w:spacing w:after="0"/>
              <w:rPr>
                <w:sz w:val="20"/>
                <w:szCs w:val="20"/>
                <w:color w:val="auto"/>
              </w:rPr>
            </w:pPr>
            <w:r>
              <w:rPr>
                <w:rFonts w:ascii="Arial" w:cs="Arial" w:eastAsia="Arial" w:hAnsi="Arial"/>
                <w:sz w:val="18"/>
                <w:szCs w:val="18"/>
                <w:b w:val="1"/>
                <w:bCs w:val="1"/>
                <w:color w:val="auto"/>
              </w:rPr>
              <w:t>Fair Value as of December 31, 2018</w:t>
            </w:r>
          </w:p>
        </w:tc>
        <w:tc>
          <w:tcPr>
            <w:tcW w:w="800" w:type="dxa"/>
            <w:vAlign w:val="bottom"/>
          </w:tcPr>
          <w:p>
            <w:pPr>
              <w:spacing w:after="0"/>
              <w:rPr>
                <w:sz w:val="20"/>
                <w:szCs w:val="20"/>
                <w:color w:val="auto"/>
              </w:rPr>
            </w:pPr>
          </w:p>
        </w:tc>
      </w:tr>
      <w:tr>
        <w:trPr>
          <w:trHeight w:val="270"/>
        </w:trPr>
        <w:tc>
          <w:tcPr>
            <w:tcW w:w="6180" w:type="dxa"/>
            <w:vAlign w:val="bottom"/>
          </w:tcPr>
          <w:p>
            <w:pPr>
              <w:ind w:left="40"/>
              <w:spacing w:after="0"/>
              <w:rPr>
                <w:sz w:val="20"/>
                <w:szCs w:val="20"/>
                <w:color w:val="auto"/>
              </w:rPr>
            </w:pPr>
            <w:r>
              <w:rPr>
                <w:rFonts w:ascii="Arial" w:cs="Arial" w:eastAsia="Arial" w:hAnsi="Arial"/>
                <w:sz w:val="18"/>
                <w:szCs w:val="18"/>
                <w:b w:val="1"/>
                <w:bCs w:val="1"/>
                <w:color w:val="auto"/>
              </w:rPr>
              <w:t>Recurring Fair Value Measures</w:t>
            </w:r>
          </w:p>
        </w:tc>
        <w:tc>
          <w:tcPr>
            <w:tcW w:w="2020" w:type="dxa"/>
            <w:vAlign w:val="bottom"/>
          </w:tcPr>
          <w:p>
            <w:pPr>
              <w:jc w:val="right"/>
              <w:ind w:right="210"/>
              <w:spacing w:after="0"/>
              <w:rPr>
                <w:sz w:val="20"/>
                <w:szCs w:val="20"/>
                <w:color w:val="auto"/>
              </w:rPr>
            </w:pPr>
            <w:r>
              <w:rPr>
                <w:rFonts w:ascii="Arial" w:cs="Arial" w:eastAsia="Arial" w:hAnsi="Arial"/>
                <w:sz w:val="18"/>
                <w:szCs w:val="18"/>
                <w:b w:val="1"/>
                <w:bCs w:val="1"/>
                <w:color w:val="auto"/>
              </w:rPr>
              <w:t>Level 1</w:t>
            </w:r>
          </w:p>
        </w:tc>
        <w:tc>
          <w:tcPr>
            <w:tcW w:w="1160" w:type="dxa"/>
            <w:vAlign w:val="bottom"/>
          </w:tcPr>
          <w:p>
            <w:pPr>
              <w:jc w:val="right"/>
              <w:ind w:right="190"/>
              <w:spacing w:after="0"/>
              <w:rPr>
                <w:sz w:val="20"/>
                <w:szCs w:val="20"/>
                <w:color w:val="auto"/>
              </w:rPr>
            </w:pPr>
            <w:r>
              <w:rPr>
                <w:rFonts w:ascii="Arial" w:cs="Arial" w:eastAsia="Arial" w:hAnsi="Arial"/>
                <w:sz w:val="18"/>
                <w:szCs w:val="18"/>
                <w:b w:val="1"/>
                <w:bCs w:val="1"/>
                <w:color w:val="auto"/>
              </w:rPr>
              <w:t>Level 2</w:t>
            </w:r>
          </w:p>
        </w:tc>
        <w:tc>
          <w:tcPr>
            <w:tcW w:w="1260" w:type="dxa"/>
            <w:vAlign w:val="bottom"/>
          </w:tcPr>
          <w:p>
            <w:pPr>
              <w:jc w:val="right"/>
              <w:ind w:right="330"/>
              <w:spacing w:after="0"/>
              <w:rPr>
                <w:sz w:val="20"/>
                <w:szCs w:val="20"/>
                <w:color w:val="auto"/>
              </w:rPr>
            </w:pPr>
            <w:r>
              <w:rPr>
                <w:rFonts w:ascii="Arial" w:cs="Arial" w:eastAsia="Arial" w:hAnsi="Arial"/>
                <w:sz w:val="18"/>
                <w:szCs w:val="18"/>
                <w:b w:val="1"/>
                <w:bCs w:val="1"/>
                <w:color w:val="auto"/>
              </w:rPr>
              <w:t>Level 3</w:t>
            </w: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Total</w:t>
            </w:r>
          </w:p>
        </w:tc>
      </w:tr>
      <w:tr>
        <w:trPr>
          <w:trHeight w:val="27"/>
        </w:trPr>
        <w:tc>
          <w:tcPr>
            <w:tcW w:w="61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61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0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61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0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 xml:space="preserve">Investments </w:t>
            </w:r>
            <w:r>
              <w:rPr>
                <w:rFonts w:ascii="Arial" w:cs="Arial" w:eastAsia="Arial" w:hAnsi="Arial"/>
                <w:sz w:val="16"/>
                <w:szCs w:val="16"/>
                <w:i w:val="1"/>
                <w:iCs w:val="1"/>
                <w:color w:val="auto"/>
              </w:rPr>
              <w:t>(a)</w:t>
            </w:r>
          </w:p>
        </w:tc>
        <w:tc>
          <w:tcPr>
            <w:tcW w:w="20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61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Available-for-sale – Equity Securities</w:t>
            </w:r>
          </w:p>
        </w:tc>
        <w:tc>
          <w:tcPr>
            <w:tcW w:w="20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$12.2</w:t>
            </w:r>
          </w:p>
        </w:tc>
        <w:tc>
          <w:tcPr>
            <w:tcW w:w="11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w:t>
            </w:r>
          </w:p>
        </w:tc>
      </w:tr>
      <w:tr>
        <w:trPr>
          <w:trHeight w:val="243"/>
        </w:trPr>
        <w:tc>
          <w:tcPr>
            <w:tcW w:w="6180" w:type="dxa"/>
            <w:vAlign w:val="bottom"/>
          </w:tcPr>
          <w:p>
            <w:pPr>
              <w:ind w:left="280"/>
              <w:spacing w:after="0"/>
              <w:rPr>
                <w:sz w:val="20"/>
                <w:szCs w:val="20"/>
                <w:color w:val="auto"/>
              </w:rPr>
            </w:pPr>
            <w:r>
              <w:rPr>
                <w:rFonts w:ascii="Arial" w:cs="Arial" w:eastAsia="Arial" w:hAnsi="Arial"/>
                <w:sz w:val="18"/>
                <w:szCs w:val="18"/>
                <w:color w:val="auto"/>
              </w:rPr>
              <w:t>Available-for-sale – Corporate and Governmental Debt Securities</w:t>
            </w:r>
          </w:p>
        </w:tc>
        <w:tc>
          <w:tcPr>
            <w:tcW w:w="20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90"/>
              <w:spacing w:after="0"/>
              <w:rPr>
                <w:sz w:val="20"/>
                <w:szCs w:val="20"/>
                <w:color w:val="auto"/>
              </w:rPr>
            </w:pPr>
            <w:r>
              <w:rPr>
                <w:rFonts w:ascii="Arial" w:cs="Arial" w:eastAsia="Arial" w:hAnsi="Arial"/>
                <w:sz w:val="18"/>
                <w:szCs w:val="18"/>
                <w:color w:val="auto"/>
              </w:rPr>
              <w:t>$8.0</w:t>
            </w:r>
          </w:p>
        </w:tc>
        <w:tc>
          <w:tcPr>
            <w:tcW w:w="12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8.0</w:t>
            </w:r>
          </w:p>
        </w:tc>
      </w:tr>
      <w:tr>
        <w:trPr>
          <w:trHeight w:val="27"/>
        </w:trPr>
        <w:tc>
          <w:tcPr>
            <w:tcW w:w="61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5"/>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Equivalents</w:t>
            </w:r>
          </w:p>
        </w:tc>
        <w:tc>
          <w:tcPr>
            <w:tcW w:w="20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1.0</w:t>
            </w:r>
          </w:p>
        </w:tc>
        <w:tc>
          <w:tcPr>
            <w:tcW w:w="11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37"/>
        </w:trPr>
        <w:tc>
          <w:tcPr>
            <w:tcW w:w="61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Fair Value of Assets</w:t>
            </w:r>
          </w:p>
        </w:tc>
        <w:tc>
          <w:tcPr>
            <w:tcW w:w="20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$13.2</w:t>
            </w:r>
          </w:p>
        </w:tc>
        <w:tc>
          <w:tcPr>
            <w:tcW w:w="116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$8.0</w:t>
            </w:r>
          </w:p>
        </w:tc>
        <w:tc>
          <w:tcPr>
            <w:tcW w:w="126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$21.2</w:t>
            </w:r>
          </w:p>
        </w:tc>
      </w:tr>
      <w:tr>
        <w:trPr>
          <w:trHeight w:val="27"/>
        </w:trPr>
        <w:tc>
          <w:tcPr>
            <w:tcW w:w="61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77"/>
        </w:trPr>
        <w:tc>
          <w:tcPr>
            <w:tcW w:w="6180" w:type="dxa"/>
            <w:vAlign w:val="bottom"/>
            <w:tcBorders>
              <w:bottom w:val="single" w:sz="8" w:color="auto"/>
            </w:tcBorders>
            <w:shd w:val="clear" w:color="auto" w:fill="CCEEFF"/>
          </w:tcPr>
          <w:p>
            <w:pPr>
              <w:spacing w:after="0"/>
              <w:rPr>
                <w:sz w:val="24"/>
                <w:szCs w:val="24"/>
                <w:color w:val="auto"/>
              </w:rPr>
            </w:pPr>
          </w:p>
        </w:tc>
        <w:tc>
          <w:tcPr>
            <w:tcW w:w="202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spacing w:after="0"/>
              <w:rPr>
                <w:sz w:val="24"/>
                <w:szCs w:val="24"/>
                <w:color w:val="auto"/>
              </w:rPr>
            </w:pPr>
          </w:p>
        </w:tc>
      </w:tr>
      <w:tr>
        <w:trPr>
          <w:trHeight w:val="237"/>
        </w:trPr>
        <w:tc>
          <w:tcPr>
            <w:tcW w:w="618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20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61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Deferred Compensation </w:t>
            </w:r>
            <w:r>
              <w:rPr>
                <w:rFonts w:ascii="Arial" w:cs="Arial" w:eastAsia="Arial" w:hAnsi="Arial"/>
                <w:sz w:val="16"/>
                <w:szCs w:val="16"/>
                <w:i w:val="1"/>
                <w:iCs w:val="1"/>
                <w:color w:val="auto"/>
              </w:rPr>
              <w:t>(c)</w:t>
            </w:r>
          </w:p>
        </w:tc>
        <w:tc>
          <w:tcPr>
            <w:tcW w:w="20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$19.8</w:t>
            </w:r>
          </w:p>
        </w:tc>
        <w:tc>
          <w:tcPr>
            <w:tcW w:w="126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 xml:space="preserve">U.S. Water Services Contingent Consideration </w:t>
            </w:r>
            <w:r>
              <w:rPr>
                <w:rFonts w:ascii="Arial" w:cs="Arial" w:eastAsia="Arial" w:hAnsi="Arial"/>
                <w:sz w:val="16"/>
                <w:szCs w:val="16"/>
                <w:i w:val="1"/>
                <w:iCs w:val="1"/>
                <w:color w:val="auto"/>
              </w:rPr>
              <w:t>(d)</w:t>
            </w:r>
          </w:p>
        </w:tc>
        <w:tc>
          <w:tcPr>
            <w:tcW w:w="20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30"/>
              <w:spacing w:after="0"/>
              <w:rPr>
                <w:sz w:val="20"/>
                <w:szCs w:val="20"/>
                <w:color w:val="auto"/>
              </w:rPr>
            </w:pPr>
            <w:r>
              <w:rPr>
                <w:rFonts w:ascii="Arial" w:cs="Arial" w:eastAsia="Arial" w:hAnsi="Arial"/>
                <w:sz w:val="18"/>
                <w:szCs w:val="18"/>
                <w:color w:val="auto"/>
              </w:rPr>
              <w:t>$3.8</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3.8</w:t>
            </w:r>
          </w:p>
        </w:tc>
      </w:tr>
      <w:tr>
        <w:trPr>
          <w:trHeight w:val="27"/>
        </w:trPr>
        <w:tc>
          <w:tcPr>
            <w:tcW w:w="61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9"/>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Fair Value of Liabilities</w:t>
            </w:r>
          </w:p>
        </w:tc>
        <w:tc>
          <w:tcPr>
            <w:tcW w:w="20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$19.8</w:t>
            </w:r>
          </w:p>
        </w:tc>
        <w:tc>
          <w:tcPr>
            <w:tcW w:w="126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$3.8</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w:t>
            </w:r>
          </w:p>
        </w:tc>
      </w:tr>
      <w:tr>
        <w:trPr>
          <w:trHeight w:val="237"/>
        </w:trPr>
        <w:tc>
          <w:tcPr>
            <w:tcW w:w="61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Net Fair Value of Assets (Liabilities)</w:t>
            </w:r>
          </w:p>
        </w:tc>
        <w:tc>
          <w:tcPr>
            <w:tcW w:w="20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$13.2</w:t>
            </w:r>
          </w:p>
        </w:tc>
        <w:tc>
          <w:tcPr>
            <w:tcW w:w="11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$(11.8)</w:t>
            </w:r>
          </w:p>
        </w:tc>
        <w:tc>
          <w:tcPr>
            <w:tcW w:w="126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$(3.8)</w:t>
            </w:r>
          </w:p>
        </w:tc>
        <w:tc>
          <w:tcPr>
            <w:tcW w:w="8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Non-Current Assets on the Consolidated Balance Sheet.</w:t>
      </w:r>
    </w:p>
    <w:p>
      <w:pPr>
        <w:spacing w:after="0" w:line="19" w:lineRule="exact"/>
        <w:rPr>
          <w:rFonts w:ascii="Arial" w:cs="Arial" w:eastAsia="Arial" w:hAnsi="Arial"/>
          <w:sz w:val="16"/>
          <w:szCs w:val="16"/>
          <w:i w:val="1"/>
          <w:iCs w:val="1"/>
          <w:color w:val="auto"/>
        </w:rPr>
      </w:pPr>
    </w:p>
    <w:p>
      <w:pPr>
        <w:ind w:left="340" w:hanging="332"/>
        <w:spacing w:after="0" w:line="263" w:lineRule="auto"/>
        <w:tabs>
          <w:tab w:leader="none" w:pos="340" w:val="left"/>
        </w:tabs>
        <w:numPr>
          <w:ilvl w:val="0"/>
          <w:numId w:val="10"/>
        </w:numPr>
        <w:rPr>
          <w:rFonts w:ascii="Arial" w:cs="Arial" w:eastAsia="Arial" w:hAnsi="Arial"/>
          <w:sz w:val="15"/>
          <w:szCs w:val="15"/>
          <w:i w:val="1"/>
          <w:iCs w:val="1"/>
          <w:color w:val="auto"/>
        </w:rPr>
      </w:pPr>
      <w:r>
        <w:rPr>
          <w:rFonts w:ascii="Arial" w:cs="Arial" w:eastAsia="Arial" w:hAnsi="Arial"/>
          <w:sz w:val="15"/>
          <w:szCs w:val="15"/>
          <w:i w:val="1"/>
          <w:iCs w:val="1"/>
          <w:color w:val="auto"/>
        </w:rPr>
        <w:t>As of September 30, 2019, the aggregate amount of available-for-sale corporate and governmental debt securities maturing in one year or less was $2.4 million, in one year to less than three years was $6.1 million, in three years to less than five years was $0.7 million and in five or more years was $0.4 million.</w:t>
      </w:r>
    </w:p>
    <w:p>
      <w:pPr>
        <w:ind w:left="340" w:hanging="332"/>
        <w:spacing w:after="0"/>
        <w:tabs>
          <w:tab w:leader="none" w:pos="34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Non-Current Liabilities on the Consolidated Balance Sheet.</w:t>
      </w:r>
    </w:p>
    <w:p>
      <w:pPr>
        <w:spacing w:after="0" w:line="5" w:lineRule="exact"/>
        <w:rPr>
          <w:rFonts w:ascii="Arial" w:cs="Arial" w:eastAsia="Arial" w:hAnsi="Arial"/>
          <w:sz w:val="16"/>
          <w:szCs w:val="16"/>
          <w:i w:val="1"/>
          <w:iCs w:val="1"/>
          <w:color w:val="auto"/>
        </w:rPr>
      </w:pPr>
    </w:p>
    <w:p>
      <w:pPr>
        <w:ind w:left="340" w:hanging="332"/>
        <w:spacing w:after="0"/>
        <w:tabs>
          <w:tab w:leader="none" w:pos="34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Current Liabilities on the Consolidated Balance Sheet.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2019 Form 10-Q</w:t>
      </w:r>
    </w:p>
    <w:p>
      <w:pPr>
        <w:sectPr>
          <w:pgSz w:w="11900" w:h="16838" w:orient="portrait"/>
          <w:cols w:equalWidth="0" w:num="1">
            <w:col w:w="11420"/>
          </w:cols>
          <w:pgMar w:left="240" w:top="1039" w:right="239" w:bottom="1440" w:gutter="0" w:footer="0" w:header="0"/>
        </w:sectPr>
      </w:pP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20</w:t>
      </w:r>
    </w:p>
    <w:p>
      <w:pPr>
        <w:sectPr>
          <w:pgSz w:w="11900" w:h="16838" w:orient="portrait"/>
          <w:cols w:equalWidth="0" w:num="1">
            <w:col w:w="11420"/>
          </w:cols>
          <w:pgMar w:left="240" w:top="1039" w:right="2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NOTE 5. FAIR VALUE (Continued)</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Level 3 liability in the preceding table is related to the contingent consideration liability that resulted from the 2015 acquisition of U.S. Water Services. Based on the terms and conditions of the acquisition agreement, a final payout of $3.8 million was made in the first quarter of 2019 for the remaining outstanding shares.</w:t>
      </w:r>
    </w:p>
    <w:p>
      <w:pPr>
        <w:spacing w:after="0" w:line="17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Fair Value of Financial Instruments. </w:t>
      </w:r>
      <w:r>
        <w:rPr>
          <w:rFonts w:ascii="Arial" w:cs="Arial" w:eastAsia="Arial" w:hAnsi="Arial"/>
          <w:sz w:val="18"/>
          <w:szCs w:val="18"/>
          <w:color w:val="auto"/>
        </w:rPr>
        <w:t>With the exception of the item listed in the following table, the estimated fair value of all financial instruments</w:t>
      </w:r>
      <w:r>
        <w:rPr>
          <w:rFonts w:ascii="Arial" w:cs="Arial" w:eastAsia="Arial" w:hAnsi="Arial"/>
          <w:sz w:val="18"/>
          <w:szCs w:val="18"/>
          <w:b w:val="1"/>
          <w:bCs w:val="1"/>
          <w:color w:val="auto"/>
        </w:rPr>
        <w:t xml:space="preserve"> </w:t>
      </w:r>
      <w:r>
        <w:rPr>
          <w:rFonts w:ascii="Arial" w:cs="Arial" w:eastAsia="Arial" w:hAnsi="Arial"/>
          <w:sz w:val="18"/>
          <w:szCs w:val="18"/>
          <w:color w:val="auto"/>
        </w:rPr>
        <w:t>approximates the carrying amount. The fair value for the item listed in the following table was based on quoted market prices for the same or similar instruments (Level 2).</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ind w:left="40"/>
              <w:spacing w:after="0"/>
              <w:rPr>
                <w:sz w:val="20"/>
                <w:szCs w:val="20"/>
                <w:color w:val="auto"/>
              </w:rPr>
            </w:pPr>
            <w:r>
              <w:rPr>
                <w:rFonts w:ascii="Arial" w:cs="Arial" w:eastAsia="Arial" w:hAnsi="Arial"/>
                <w:sz w:val="18"/>
                <w:szCs w:val="18"/>
                <w:b w:val="1"/>
                <w:bCs w:val="1"/>
                <w:color w:val="auto"/>
              </w:rPr>
              <w:t>Financial Instruments</w:t>
            </w:r>
          </w:p>
        </w:tc>
        <w:tc>
          <w:tcPr>
            <w:tcW w:w="3260" w:type="dxa"/>
            <w:vAlign w:val="bottom"/>
          </w:tcPr>
          <w:p>
            <w:pPr>
              <w:jc w:val="right"/>
              <w:ind w:right="370"/>
              <w:spacing w:after="0"/>
              <w:rPr>
                <w:sz w:val="20"/>
                <w:szCs w:val="20"/>
                <w:color w:val="auto"/>
              </w:rPr>
            </w:pPr>
            <w:r>
              <w:rPr>
                <w:rFonts w:ascii="Arial" w:cs="Arial" w:eastAsia="Arial" w:hAnsi="Arial"/>
                <w:sz w:val="18"/>
                <w:szCs w:val="18"/>
                <w:b w:val="1"/>
                <w:bCs w:val="1"/>
                <w:color w:val="auto"/>
              </w:rPr>
              <w:t>Carrying Amount</w:t>
            </w:r>
          </w:p>
        </w:tc>
        <w:tc>
          <w:tcPr>
            <w:tcW w:w="1860" w:type="dxa"/>
            <w:vAlign w:val="bottom"/>
          </w:tcPr>
          <w:p>
            <w:pPr>
              <w:jc w:val="right"/>
              <w:ind w:right="47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628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37"/>
        </w:trPr>
        <w:tc>
          <w:tcPr>
            <w:tcW w:w="62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26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27"/>
        </w:trPr>
        <w:tc>
          <w:tcPr>
            <w:tcW w:w="62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Including Long-Term Debt Due Within One Year</w:t>
            </w:r>
          </w:p>
        </w:tc>
        <w:tc>
          <w:tcPr>
            <w:tcW w:w="326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280"/>
              <w:spacing w:after="0"/>
              <w:rPr>
                <w:sz w:val="20"/>
                <w:szCs w:val="20"/>
                <w:color w:val="auto"/>
              </w:rPr>
            </w:pPr>
            <w:r>
              <w:rPr>
                <w:rFonts w:ascii="Arial" w:cs="Arial" w:eastAsia="Arial" w:hAnsi="Arial"/>
                <w:sz w:val="18"/>
                <w:szCs w:val="18"/>
                <w:color w:val="auto"/>
              </w:rPr>
              <w:t>September 30, 2019</w:t>
            </w:r>
          </w:p>
        </w:tc>
        <w:tc>
          <w:tcPr>
            <w:tcW w:w="3260" w:type="dxa"/>
            <w:vAlign w:val="bottom"/>
          </w:tcPr>
          <w:p>
            <w:pPr>
              <w:jc w:val="right"/>
              <w:ind w:right="470"/>
              <w:spacing w:after="0"/>
              <w:rPr>
                <w:sz w:val="20"/>
                <w:szCs w:val="20"/>
                <w:color w:val="auto"/>
              </w:rPr>
            </w:pPr>
            <w:r>
              <w:rPr>
                <w:rFonts w:ascii="Arial" w:cs="Arial" w:eastAsia="Arial" w:hAnsi="Arial"/>
                <w:sz w:val="18"/>
                <w:szCs w:val="18"/>
                <w:color w:val="auto"/>
              </w:rPr>
              <w:t>$1,626.7</w:t>
            </w:r>
          </w:p>
        </w:tc>
        <w:tc>
          <w:tcPr>
            <w:tcW w:w="1860" w:type="dxa"/>
            <w:vAlign w:val="bottom"/>
          </w:tcPr>
          <w:p>
            <w:pPr>
              <w:jc w:val="right"/>
              <w:ind w:right="290"/>
              <w:spacing w:after="0"/>
              <w:rPr>
                <w:sz w:val="20"/>
                <w:szCs w:val="20"/>
                <w:color w:val="auto"/>
              </w:rPr>
            </w:pPr>
            <w:r>
              <w:rPr>
                <w:rFonts w:ascii="Arial" w:cs="Arial" w:eastAsia="Arial" w:hAnsi="Arial"/>
                <w:sz w:val="18"/>
                <w:szCs w:val="18"/>
                <w:color w:val="auto"/>
              </w:rPr>
              <w:t>$1,814.1</w:t>
            </w:r>
          </w:p>
        </w:tc>
      </w:tr>
      <w:tr>
        <w:trPr>
          <w:trHeight w:val="27"/>
        </w:trPr>
        <w:tc>
          <w:tcPr>
            <w:tcW w:w="62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December 31, 2018</w:t>
            </w:r>
          </w:p>
        </w:tc>
        <w:tc>
          <w:tcPr>
            <w:tcW w:w="326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$1,495.2</w:t>
            </w:r>
          </w:p>
        </w:tc>
        <w:tc>
          <w:tcPr>
            <w:tcW w:w="18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$1,534.6</w:t>
            </w:r>
          </w:p>
        </w:tc>
      </w:tr>
      <w:tr>
        <w:trPr>
          <w:trHeight w:val="20"/>
        </w:trPr>
        <w:tc>
          <w:tcPr>
            <w:tcW w:w="6280" w:type="dxa"/>
            <w:vAlign w:val="bottom"/>
            <w:shd w:val="clear" w:color="auto" w:fill="000000"/>
          </w:tcPr>
          <w:p>
            <w:pPr>
              <w:spacing w:after="0" w:line="20" w:lineRule="exact"/>
              <w:rPr>
                <w:sz w:val="1"/>
                <w:szCs w:val="1"/>
                <w:color w:val="auto"/>
              </w:rPr>
            </w:pPr>
          </w:p>
        </w:tc>
        <w:tc>
          <w:tcPr>
            <w:tcW w:w="326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Assets and Liabilities Measured at Fair Value on a Nonrecurring Basis. </w:t>
      </w:r>
      <w:r>
        <w:rPr>
          <w:rFonts w:ascii="Arial" w:cs="Arial" w:eastAsia="Arial" w:hAnsi="Arial"/>
          <w:sz w:val="18"/>
          <w:szCs w:val="18"/>
          <w:color w:val="auto"/>
        </w:rPr>
        <w:t>Non-financial assets such as equity method investments, land inventory, and</w:t>
      </w:r>
      <w:r>
        <w:rPr>
          <w:rFonts w:ascii="Arial" w:cs="Arial" w:eastAsia="Arial" w:hAnsi="Arial"/>
          <w:sz w:val="18"/>
          <w:szCs w:val="18"/>
          <w:b w:val="1"/>
          <w:bCs w:val="1"/>
          <w:color w:val="auto"/>
        </w:rPr>
        <w:t xml:space="preserve"> </w:t>
      </w:r>
      <w:r>
        <w:rPr>
          <w:rFonts w:ascii="Arial" w:cs="Arial" w:eastAsia="Arial" w:hAnsi="Arial"/>
          <w:sz w:val="18"/>
          <w:szCs w:val="18"/>
          <w:color w:val="auto"/>
        </w:rPr>
        <w:t>property, plant and equipment are measured at fair value when there is an indicator of impairment and recorded at fair value only when an impairment is recognized. For the quarter and nine months ended September 30, 2019, and the year ended December 31, 2018, there were no triggering events or indicators of impairment for these non-financial assets.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SHORT-TERM AND LONG-TERM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Company’s short-term and long-term debt as of September 30, 2019, and December 31, 2018:</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440" w:type="dxa"/>
            <w:vAlign w:val="bottom"/>
          </w:tcPr>
          <w:p>
            <w:pPr>
              <w:jc w:val="right"/>
              <w:ind w:right="570"/>
              <w:spacing w:after="0"/>
              <w:rPr>
                <w:sz w:val="20"/>
                <w:szCs w:val="20"/>
                <w:color w:val="auto"/>
              </w:rPr>
            </w:pPr>
            <w:r>
              <w:rPr>
                <w:rFonts w:ascii="Arial" w:cs="Arial" w:eastAsia="Arial" w:hAnsi="Arial"/>
                <w:sz w:val="18"/>
                <w:szCs w:val="18"/>
                <w:b w:val="1"/>
                <w:bCs w:val="1"/>
                <w:color w:val="auto"/>
              </w:rPr>
              <w:t>Unamortized Debt</w:t>
            </w:r>
          </w:p>
        </w:tc>
        <w:tc>
          <w:tcPr>
            <w:tcW w:w="1400" w:type="dxa"/>
            <w:vAlign w:val="bottom"/>
          </w:tcPr>
          <w:p>
            <w:pPr>
              <w:spacing w:after="0"/>
              <w:rPr>
                <w:sz w:val="18"/>
                <w:szCs w:val="18"/>
                <w:color w:val="auto"/>
              </w:rPr>
            </w:pPr>
          </w:p>
        </w:tc>
      </w:tr>
      <w:tr>
        <w:trPr>
          <w:trHeight w:val="234"/>
        </w:trPr>
        <w:tc>
          <w:tcPr>
            <w:tcW w:w="4020" w:type="dxa"/>
            <w:vAlign w:val="bottom"/>
          </w:tcPr>
          <w:p>
            <w:pPr>
              <w:ind w:left="40"/>
              <w:spacing w:after="0"/>
              <w:rPr>
                <w:sz w:val="20"/>
                <w:szCs w:val="20"/>
                <w:color w:val="auto"/>
              </w:rPr>
            </w:pPr>
            <w:r>
              <w:rPr>
                <w:rFonts w:ascii="Arial" w:cs="Arial" w:eastAsia="Arial" w:hAnsi="Arial"/>
                <w:sz w:val="18"/>
                <w:szCs w:val="18"/>
                <w:b w:val="1"/>
                <w:bCs w:val="1"/>
                <w:color w:val="auto"/>
              </w:rPr>
              <w:t>September 30, 2019</w:t>
            </w:r>
          </w:p>
        </w:tc>
        <w:tc>
          <w:tcPr>
            <w:tcW w:w="3560" w:type="dxa"/>
            <w:vAlign w:val="bottom"/>
          </w:tcPr>
          <w:p>
            <w:pPr>
              <w:jc w:val="right"/>
              <w:ind w:right="270"/>
              <w:spacing w:after="0"/>
              <w:rPr>
                <w:sz w:val="20"/>
                <w:szCs w:val="20"/>
                <w:color w:val="auto"/>
              </w:rPr>
            </w:pPr>
            <w:r>
              <w:rPr>
                <w:rFonts w:ascii="Arial" w:cs="Arial" w:eastAsia="Arial" w:hAnsi="Arial"/>
                <w:sz w:val="18"/>
                <w:szCs w:val="18"/>
                <w:b w:val="1"/>
                <w:bCs w:val="1"/>
                <w:color w:val="auto"/>
              </w:rPr>
              <w:t>Principal</w:t>
            </w:r>
          </w:p>
        </w:tc>
        <w:tc>
          <w:tcPr>
            <w:tcW w:w="2440" w:type="dxa"/>
            <w:vAlign w:val="bottom"/>
          </w:tcPr>
          <w:p>
            <w:pPr>
              <w:jc w:val="right"/>
              <w:ind w:right="570"/>
              <w:spacing w:after="0"/>
              <w:rPr>
                <w:sz w:val="20"/>
                <w:szCs w:val="20"/>
                <w:color w:val="auto"/>
              </w:rPr>
            </w:pPr>
            <w:r>
              <w:rPr>
                <w:rFonts w:ascii="Arial" w:cs="Arial" w:eastAsia="Arial" w:hAnsi="Arial"/>
                <w:sz w:val="18"/>
                <w:szCs w:val="18"/>
                <w:b w:val="1"/>
                <w:bCs w:val="1"/>
                <w:color w:val="auto"/>
              </w:rPr>
              <w:t>Issuance Costs</w:t>
            </w:r>
          </w:p>
        </w:tc>
        <w:tc>
          <w:tcPr>
            <w:tcW w:w="1400" w:type="dxa"/>
            <w:vAlign w:val="bottom"/>
          </w:tcPr>
          <w:p>
            <w:pPr>
              <w:jc w:val="right"/>
              <w:ind w:right="10"/>
              <w:spacing w:after="0"/>
              <w:rPr>
                <w:sz w:val="20"/>
                <w:szCs w:val="20"/>
                <w:color w:val="auto"/>
              </w:rPr>
            </w:pPr>
            <w:r>
              <w:rPr>
                <w:rFonts w:ascii="Arial" w:cs="Arial" w:eastAsia="Arial" w:hAnsi="Arial"/>
                <w:sz w:val="18"/>
                <w:szCs w:val="18"/>
                <w:b w:val="1"/>
                <w:bCs w:val="1"/>
                <w:color w:val="auto"/>
              </w:rPr>
              <w:t>Total</w:t>
            </w:r>
          </w:p>
        </w:tc>
      </w:tr>
      <w:tr>
        <w:trPr>
          <w:trHeight w:val="27"/>
        </w:trPr>
        <w:tc>
          <w:tcPr>
            <w:tcW w:w="402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40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5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40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Debt</w:t>
            </w:r>
          </w:p>
        </w:tc>
        <w:tc>
          <w:tcPr>
            <w:tcW w:w="35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$213.1</w:t>
            </w:r>
          </w:p>
        </w:tc>
        <w:tc>
          <w:tcPr>
            <w:tcW w:w="244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$(0.4)</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$212.7</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3560" w:type="dxa"/>
            <w:vAlign w:val="bottom"/>
          </w:tcPr>
          <w:p>
            <w:pPr>
              <w:jc w:val="right"/>
              <w:ind w:right="270"/>
              <w:spacing w:after="0"/>
              <w:rPr>
                <w:sz w:val="20"/>
                <w:szCs w:val="20"/>
                <w:color w:val="auto"/>
              </w:rPr>
            </w:pPr>
            <w:r>
              <w:rPr>
                <w:rFonts w:ascii="Arial" w:cs="Arial" w:eastAsia="Arial" w:hAnsi="Arial"/>
                <w:sz w:val="18"/>
                <w:szCs w:val="18"/>
                <w:color w:val="auto"/>
              </w:rPr>
              <w:t>1,413.6</w:t>
            </w:r>
          </w:p>
        </w:tc>
        <w:tc>
          <w:tcPr>
            <w:tcW w:w="2440" w:type="dxa"/>
            <w:vAlign w:val="bottom"/>
          </w:tcPr>
          <w:p>
            <w:pPr>
              <w:jc w:val="right"/>
              <w:ind w:right="570"/>
              <w:spacing w:after="0"/>
              <w:rPr>
                <w:sz w:val="20"/>
                <w:szCs w:val="20"/>
                <w:color w:val="auto"/>
              </w:rPr>
            </w:pPr>
            <w:r>
              <w:rPr>
                <w:rFonts w:ascii="Arial" w:cs="Arial" w:eastAsia="Arial" w:hAnsi="Arial"/>
                <w:sz w:val="18"/>
                <w:szCs w:val="18"/>
                <w:color w:val="auto"/>
              </w:rPr>
              <w:t>(8.7)</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1,404.9</w:t>
            </w:r>
          </w:p>
        </w:tc>
      </w:tr>
      <w:tr>
        <w:trPr>
          <w:trHeight w:val="27"/>
        </w:trPr>
        <w:tc>
          <w:tcPr>
            <w:tcW w:w="402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Debt</w:t>
            </w:r>
          </w:p>
        </w:tc>
        <w:tc>
          <w:tcPr>
            <w:tcW w:w="35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$1,626.7</w:t>
            </w:r>
          </w:p>
        </w:tc>
        <w:tc>
          <w:tcPr>
            <w:tcW w:w="244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$(9.1)</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$1,617.6</w:t>
            </w:r>
          </w:p>
        </w:tc>
      </w:tr>
      <w:tr>
        <w:trPr>
          <w:trHeight w:val="20"/>
        </w:trPr>
        <w:tc>
          <w:tcPr>
            <w:tcW w:w="4020" w:type="dxa"/>
            <w:vAlign w:val="bottom"/>
            <w:shd w:val="clear" w:color="auto" w:fill="000000"/>
          </w:tcPr>
          <w:p>
            <w:pPr>
              <w:spacing w:after="0" w:line="20" w:lineRule="exact"/>
              <w:rPr>
                <w:sz w:val="1"/>
                <w:szCs w:val="1"/>
                <w:color w:val="auto"/>
              </w:rPr>
            </w:pPr>
          </w:p>
        </w:tc>
        <w:tc>
          <w:tcPr>
            <w:tcW w:w="3560" w:type="dxa"/>
            <w:vAlign w:val="bottom"/>
            <w:shd w:val="clear" w:color="auto" w:fill="000000"/>
          </w:tcPr>
          <w:p>
            <w:pPr>
              <w:spacing w:after="0" w:line="20" w:lineRule="exact"/>
              <w:rPr>
                <w:sz w:val="1"/>
                <w:szCs w:val="1"/>
                <w:color w:val="auto"/>
              </w:rPr>
            </w:pPr>
          </w:p>
        </w:tc>
        <w:tc>
          <w:tcPr>
            <w:tcW w:w="24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440" w:type="dxa"/>
            <w:vAlign w:val="bottom"/>
          </w:tcPr>
          <w:p>
            <w:pPr>
              <w:jc w:val="right"/>
              <w:ind w:right="570"/>
              <w:spacing w:after="0"/>
              <w:rPr>
                <w:sz w:val="20"/>
                <w:szCs w:val="20"/>
                <w:color w:val="auto"/>
              </w:rPr>
            </w:pPr>
            <w:r>
              <w:rPr>
                <w:rFonts w:ascii="Arial" w:cs="Arial" w:eastAsia="Arial" w:hAnsi="Arial"/>
                <w:sz w:val="18"/>
                <w:szCs w:val="18"/>
                <w:b w:val="1"/>
                <w:bCs w:val="1"/>
                <w:color w:val="auto"/>
              </w:rPr>
              <w:t>Unamortized Debt</w:t>
            </w:r>
          </w:p>
        </w:tc>
        <w:tc>
          <w:tcPr>
            <w:tcW w:w="1400" w:type="dxa"/>
            <w:vAlign w:val="bottom"/>
          </w:tcPr>
          <w:p>
            <w:pPr>
              <w:spacing w:after="0"/>
              <w:rPr>
                <w:sz w:val="18"/>
                <w:szCs w:val="18"/>
                <w:color w:val="auto"/>
              </w:rPr>
            </w:pPr>
          </w:p>
        </w:tc>
      </w:tr>
      <w:tr>
        <w:trPr>
          <w:trHeight w:val="234"/>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December 31, 2018</w:t>
            </w:r>
          </w:p>
        </w:tc>
        <w:tc>
          <w:tcPr>
            <w:tcW w:w="3580" w:type="dxa"/>
            <w:vAlign w:val="bottom"/>
          </w:tcPr>
          <w:p>
            <w:pPr>
              <w:jc w:val="right"/>
              <w:ind w:right="270"/>
              <w:spacing w:after="0"/>
              <w:rPr>
                <w:sz w:val="20"/>
                <w:szCs w:val="20"/>
                <w:color w:val="auto"/>
              </w:rPr>
            </w:pPr>
            <w:r>
              <w:rPr>
                <w:rFonts w:ascii="Arial" w:cs="Arial" w:eastAsia="Arial" w:hAnsi="Arial"/>
                <w:sz w:val="18"/>
                <w:szCs w:val="18"/>
                <w:b w:val="1"/>
                <w:bCs w:val="1"/>
                <w:color w:val="auto"/>
              </w:rPr>
              <w:t>Principal</w:t>
            </w:r>
          </w:p>
        </w:tc>
        <w:tc>
          <w:tcPr>
            <w:tcW w:w="2440" w:type="dxa"/>
            <w:vAlign w:val="bottom"/>
          </w:tcPr>
          <w:p>
            <w:pPr>
              <w:jc w:val="right"/>
              <w:ind w:right="570"/>
              <w:spacing w:after="0"/>
              <w:rPr>
                <w:sz w:val="20"/>
                <w:szCs w:val="20"/>
                <w:color w:val="auto"/>
              </w:rPr>
            </w:pPr>
            <w:r>
              <w:rPr>
                <w:rFonts w:ascii="Arial" w:cs="Arial" w:eastAsia="Arial" w:hAnsi="Arial"/>
                <w:sz w:val="18"/>
                <w:szCs w:val="18"/>
                <w:b w:val="1"/>
                <w:bCs w:val="1"/>
                <w:color w:val="auto"/>
              </w:rPr>
              <w:t>Issuance Costs</w:t>
            </w:r>
          </w:p>
        </w:tc>
        <w:tc>
          <w:tcPr>
            <w:tcW w:w="1400" w:type="dxa"/>
            <w:vAlign w:val="bottom"/>
          </w:tcPr>
          <w:p>
            <w:pPr>
              <w:jc w:val="right"/>
              <w:ind w:right="10"/>
              <w:spacing w:after="0"/>
              <w:rPr>
                <w:sz w:val="20"/>
                <w:szCs w:val="20"/>
                <w:color w:val="auto"/>
              </w:rPr>
            </w:pPr>
            <w:r>
              <w:rPr>
                <w:rFonts w:ascii="Arial" w:cs="Arial" w:eastAsia="Arial" w:hAnsi="Arial"/>
                <w:sz w:val="18"/>
                <w:szCs w:val="18"/>
                <w:b w:val="1"/>
                <w:bCs w:val="1"/>
                <w:color w:val="auto"/>
              </w:rPr>
              <w:t>Total</w:t>
            </w:r>
          </w:p>
        </w:tc>
      </w:tr>
      <w:tr>
        <w:trPr>
          <w:trHeight w:val="27"/>
        </w:trPr>
        <w:tc>
          <w:tcPr>
            <w:tcW w:w="400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5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400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Debt</w:t>
            </w:r>
          </w:p>
        </w:tc>
        <w:tc>
          <w:tcPr>
            <w:tcW w:w="35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$57.9</w:t>
            </w:r>
          </w:p>
        </w:tc>
        <w:tc>
          <w:tcPr>
            <w:tcW w:w="244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$(0.4)</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$57.5</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3580" w:type="dxa"/>
            <w:vAlign w:val="bottom"/>
          </w:tcPr>
          <w:p>
            <w:pPr>
              <w:jc w:val="right"/>
              <w:ind w:right="270"/>
              <w:spacing w:after="0"/>
              <w:rPr>
                <w:sz w:val="20"/>
                <w:szCs w:val="20"/>
                <w:color w:val="auto"/>
              </w:rPr>
            </w:pPr>
            <w:r>
              <w:rPr>
                <w:rFonts w:ascii="Arial" w:cs="Arial" w:eastAsia="Arial" w:hAnsi="Arial"/>
                <w:sz w:val="18"/>
                <w:szCs w:val="18"/>
                <w:color w:val="auto"/>
              </w:rPr>
              <w:t>1,437.3</w:t>
            </w:r>
          </w:p>
        </w:tc>
        <w:tc>
          <w:tcPr>
            <w:tcW w:w="2440" w:type="dxa"/>
            <w:vAlign w:val="bottom"/>
          </w:tcPr>
          <w:p>
            <w:pPr>
              <w:jc w:val="right"/>
              <w:ind w:right="570"/>
              <w:spacing w:after="0"/>
              <w:rPr>
                <w:sz w:val="20"/>
                <w:szCs w:val="20"/>
                <w:color w:val="auto"/>
              </w:rPr>
            </w:pPr>
            <w:r>
              <w:rPr>
                <w:rFonts w:ascii="Arial" w:cs="Arial" w:eastAsia="Arial" w:hAnsi="Arial"/>
                <w:sz w:val="18"/>
                <w:szCs w:val="18"/>
                <w:color w:val="auto"/>
              </w:rPr>
              <w:t>(8.8)</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1,428.5</w:t>
            </w:r>
          </w:p>
        </w:tc>
      </w:tr>
      <w:tr>
        <w:trPr>
          <w:trHeight w:val="27"/>
        </w:trPr>
        <w:tc>
          <w:tcPr>
            <w:tcW w:w="400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Debt</w:t>
            </w:r>
          </w:p>
        </w:tc>
        <w:tc>
          <w:tcPr>
            <w:tcW w:w="35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$1,495.2</w:t>
            </w:r>
          </w:p>
        </w:tc>
        <w:tc>
          <w:tcPr>
            <w:tcW w:w="244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$(9.2)</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$1,486.0</w:t>
            </w:r>
          </w:p>
        </w:tc>
      </w:tr>
      <w:tr>
        <w:trPr>
          <w:trHeight w:val="20"/>
        </w:trPr>
        <w:tc>
          <w:tcPr>
            <w:tcW w:w="4000" w:type="dxa"/>
            <w:vAlign w:val="bottom"/>
            <w:shd w:val="clear" w:color="auto" w:fill="000000"/>
          </w:tcPr>
          <w:p>
            <w:pPr>
              <w:spacing w:after="0" w:line="20" w:lineRule="exact"/>
              <w:rPr>
                <w:sz w:val="1"/>
                <w:szCs w:val="1"/>
                <w:color w:val="auto"/>
              </w:rPr>
            </w:pPr>
          </w:p>
        </w:tc>
        <w:tc>
          <w:tcPr>
            <w:tcW w:w="3580" w:type="dxa"/>
            <w:vAlign w:val="bottom"/>
            <w:shd w:val="clear" w:color="auto" w:fill="000000"/>
          </w:tcPr>
          <w:p>
            <w:pPr>
              <w:spacing w:after="0" w:line="20" w:lineRule="exact"/>
              <w:rPr>
                <w:sz w:val="1"/>
                <w:szCs w:val="1"/>
                <w:color w:val="auto"/>
              </w:rPr>
            </w:pPr>
          </w:p>
        </w:tc>
        <w:tc>
          <w:tcPr>
            <w:tcW w:w="24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10, 2019, ALLETE entered into an amended and restated $400 million credit agreement, as amended (Credit Agreement). The Credit Agreement is unsecured, has a variable interest rate and will expire in January 2024. At ALLETE’s request and subject to certain conditions, the Credit Agreement may be increased by up to $150 million and ALLETE may make two requests to extend the maturity date, each for a one-year extension. Advances may be used by ALLETE for general corporate purposes, to provide liquidity in support of ALLETE’s commercial paper program and to issue up to $100 million in letters of credit.</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had $60.1 million outstanding in standby letters of credit and no outstanding draws under our lines of credit as of September 30, 2019 ($18.4 million in standby letters of credit and no outstanding draws as of December 31,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On March 1, 2019, ALLETE issued and sold the following First Mortgage Bonds (the Bonds):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152400</wp:posOffset>
            </wp:positionV>
            <wp:extent cx="72034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24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680" w:type="dxa"/>
            <w:vAlign w:val="bottom"/>
          </w:tcPr>
          <w:p>
            <w:pPr>
              <w:jc w:val="center"/>
              <w:spacing w:after="0"/>
              <w:rPr>
                <w:sz w:val="20"/>
                <w:szCs w:val="20"/>
                <w:color w:val="auto"/>
              </w:rPr>
            </w:pPr>
            <w:r>
              <w:rPr>
                <w:rFonts w:ascii="Arial" w:cs="Arial" w:eastAsia="Arial" w:hAnsi="Arial"/>
                <w:sz w:val="18"/>
                <w:szCs w:val="18"/>
                <w:b w:val="1"/>
                <w:bCs w:val="1"/>
                <w:color w:val="auto"/>
                <w:w w:val="98"/>
              </w:rPr>
              <w:t>Maturity Date</w:t>
            </w:r>
          </w:p>
        </w:tc>
        <w:tc>
          <w:tcPr>
            <w:tcW w:w="394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 Amount</w:t>
            </w:r>
          </w:p>
        </w:tc>
        <w:tc>
          <w:tcPr>
            <w:tcW w:w="374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Interest Rate</w:t>
            </w:r>
          </w:p>
        </w:tc>
      </w:tr>
      <w:tr>
        <w:trPr>
          <w:trHeight w:val="27"/>
        </w:trPr>
        <w:tc>
          <w:tcPr>
            <w:tcW w:w="3680" w:type="dxa"/>
            <w:vAlign w:val="bottom"/>
            <w:tcBorders>
              <w:bottom w:val="single" w:sz="8" w:color="auto"/>
            </w:tcBorders>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r>
      <w:tr>
        <w:trPr>
          <w:trHeight w:val="244"/>
        </w:trPr>
        <w:tc>
          <w:tcPr>
            <w:tcW w:w="3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March 1, 2029</w:t>
            </w:r>
          </w:p>
        </w:tc>
        <w:tc>
          <w:tcPr>
            <w:tcW w:w="3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$70 Million</w:t>
            </w:r>
          </w:p>
        </w:tc>
        <w:tc>
          <w:tcPr>
            <w:tcW w:w="3740" w:type="dxa"/>
            <w:vAlign w:val="bottom"/>
            <w:tcBorders>
              <w:bottom w:val="single" w:sz="8" w:color="CCEEFF"/>
            </w:tcBorders>
            <w:shd w:val="clear" w:color="auto" w:fill="CCEEFF"/>
          </w:tcPr>
          <w:p>
            <w:pPr>
              <w:jc w:val="center"/>
              <w:ind w:right="50"/>
              <w:spacing w:after="0"/>
              <w:rPr>
                <w:sz w:val="20"/>
                <w:szCs w:val="20"/>
                <w:color w:val="auto"/>
              </w:rPr>
            </w:pPr>
            <w:r>
              <w:rPr>
                <w:rFonts w:ascii="Arial" w:cs="Arial" w:eastAsia="Arial" w:hAnsi="Arial"/>
                <w:sz w:val="18"/>
                <w:szCs w:val="18"/>
                <w:color w:val="auto"/>
                <w:w w:val="93"/>
              </w:rPr>
              <w:t>4.08%</w:t>
            </w:r>
          </w:p>
        </w:tc>
      </w:tr>
      <w:tr>
        <w:trPr>
          <w:trHeight w:val="243"/>
        </w:trPr>
        <w:tc>
          <w:tcPr>
            <w:tcW w:w="3680" w:type="dxa"/>
            <w:vAlign w:val="bottom"/>
          </w:tcPr>
          <w:p>
            <w:pPr>
              <w:jc w:val="center"/>
              <w:spacing w:after="0"/>
              <w:rPr>
                <w:sz w:val="20"/>
                <w:szCs w:val="20"/>
                <w:color w:val="auto"/>
              </w:rPr>
            </w:pPr>
            <w:r>
              <w:rPr>
                <w:rFonts w:ascii="Arial" w:cs="Arial" w:eastAsia="Arial" w:hAnsi="Arial"/>
                <w:sz w:val="18"/>
                <w:szCs w:val="18"/>
                <w:color w:val="auto"/>
                <w:w w:val="90"/>
              </w:rPr>
              <w:t>March 1, 2049</w:t>
            </w:r>
          </w:p>
        </w:tc>
        <w:tc>
          <w:tcPr>
            <w:tcW w:w="3940" w:type="dxa"/>
            <w:vAlign w:val="bottom"/>
          </w:tcPr>
          <w:p>
            <w:pPr>
              <w:jc w:val="center"/>
              <w:spacing w:after="0"/>
              <w:rPr>
                <w:sz w:val="20"/>
                <w:szCs w:val="20"/>
                <w:color w:val="auto"/>
              </w:rPr>
            </w:pPr>
            <w:r>
              <w:rPr>
                <w:rFonts w:ascii="Arial" w:cs="Arial" w:eastAsia="Arial" w:hAnsi="Arial"/>
                <w:sz w:val="18"/>
                <w:szCs w:val="18"/>
                <w:color w:val="auto"/>
                <w:w w:val="99"/>
              </w:rPr>
              <w:t>$30 Million</w:t>
            </w:r>
          </w:p>
        </w:tc>
        <w:tc>
          <w:tcPr>
            <w:tcW w:w="3740" w:type="dxa"/>
            <w:vAlign w:val="bottom"/>
          </w:tcPr>
          <w:p>
            <w:pPr>
              <w:jc w:val="center"/>
              <w:ind w:right="50"/>
              <w:spacing w:after="0"/>
              <w:rPr>
                <w:sz w:val="20"/>
                <w:szCs w:val="20"/>
                <w:color w:val="auto"/>
              </w:rPr>
            </w:pPr>
            <w:r>
              <w:rPr>
                <w:rFonts w:ascii="Arial" w:cs="Arial" w:eastAsia="Arial" w:hAnsi="Arial"/>
                <w:sz w:val="18"/>
                <w:szCs w:val="18"/>
                <w:color w:val="auto"/>
                <w:w w:val="93"/>
              </w:rPr>
              <w:t>4.47%</w:t>
            </w:r>
          </w:p>
        </w:tc>
      </w:tr>
      <w:tr>
        <w:trPr>
          <w:trHeight w:val="27"/>
        </w:trPr>
        <w:tc>
          <w:tcPr>
            <w:tcW w:w="3680" w:type="dxa"/>
            <w:vAlign w:val="bottom"/>
            <w:tcBorders>
              <w:bottom w:val="single" w:sz="8" w:color="auto"/>
            </w:tcBorders>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2019 Form 10-Q</w:t>
      </w:r>
    </w:p>
    <w:p>
      <w:pPr>
        <w:sectPr>
          <w:pgSz w:w="11900" w:h="16838" w:orient="portrait"/>
          <w:cols w:equalWidth="0" w:num="1">
            <w:col w:w="11420"/>
          </w:cols>
          <w:pgMar w:left="240" w:top="1040" w:right="239" w:bottom="1025" w:gutter="0" w:footer="0" w:header="0"/>
        </w:sectPr>
      </w:pP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21</w:t>
      </w:r>
    </w:p>
    <w:p>
      <w:pPr>
        <w:sectPr>
          <w:pgSz w:w="11900" w:h="16838" w:orient="portrait"/>
          <w:cols w:equalWidth="0" w:num="1">
            <w:col w:w="11420"/>
          </w:cols>
          <w:pgMar w:left="240" w:top="1040" w:right="239" w:bottom="1025"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NOTE 6. SHORT-TERM AND LONG-TERM DEBT (Continued)</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ALLETE has the option to prepay all or a portion of the Bonds at its discretion, subject to a make-whole provision. The Bonds are subject to additional terms and conditions which are customary for these types of transactions. ALLETE used the proceeds from the sale of the Bonds to fund utility capital investment and for general corporate purposes. The Bonds were sold in reliance on an exemption from registration under Section 4(a)(2) of the Securities Act of 1933, as amended, to institutional accredited investors.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August 14, 2019, ALLETE entered into an amended and restated $110.0 million term loan agreement (Term Loan). The Term Loan is unsecured and due on August 25, 2020, and may be prepaid at any time, subject to a make-whole provision. Interest on the Term Loan is payable quarterly at a rate per annum equal to LIBOR plus 1.025 percent. Proceeds from the Term Loan were used for construction related expenditures.</w:t>
      </w:r>
    </w:p>
    <w:p>
      <w:pPr>
        <w:spacing w:after="0" w:line="16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auto"/>
        </w:rPr>
        <w:t xml:space="preserve">Financial Covenants. </w:t>
      </w:r>
      <w:r>
        <w:rPr>
          <w:rFonts w:ascii="Arial" w:cs="Arial" w:eastAsia="Arial" w:hAnsi="Arial"/>
          <w:sz w:val="17"/>
          <w:szCs w:val="17"/>
          <w:color w:val="auto"/>
        </w:rPr>
        <w:t>Our long-term debt arrangements contain customary covenants. In addition, our lines of credit and letters of credit supporting certain</w:t>
      </w:r>
      <w:r>
        <w:rPr>
          <w:rFonts w:ascii="Arial" w:cs="Arial" w:eastAsia="Arial" w:hAnsi="Arial"/>
          <w:sz w:val="17"/>
          <w:szCs w:val="17"/>
          <w:b w:val="1"/>
          <w:bCs w:val="1"/>
          <w:color w:val="auto"/>
        </w:rPr>
        <w:t xml:space="preserve"> </w:t>
      </w:r>
      <w:r>
        <w:rPr>
          <w:rFonts w:ascii="Arial" w:cs="Arial" w:eastAsia="Arial" w:hAnsi="Arial"/>
          <w:sz w:val="17"/>
          <w:szCs w:val="17"/>
          <w:color w:val="auto"/>
        </w:rPr>
        <w:t>long-term debt arrangements contain financial covenants. Our compliance with financial covenants is not dependent on debt ratings. The most restrictive financial covenant requires ALLETE to maintain a ratio of indebtedness to total capitalization (as the amounts are calculated in accordance with the respective long-term debt arrangements) of less than or equal to 0.65 to 1.00, measured quarterly. As of September 30, 2019, our ratio was approximately 0.43 to 1.00. Failure to meet this covenant would give rise to an event of default if not cured after notice from the lender, in which event ALLETE may need to pursue alternative sources of funding. Some of ALLETE’s debt arrangements contain “cross-default” provisions that would result in an event of default if there is a failure under other financing arrangements to meet payment terms or to observe other covenants that would result in an acceleration of payments due. ALLETE has no significant restrictions on its ability to pay dividends from retained earnings or net income. As of September 30, 2019, ALLETE was in compliance with its financial covenants.</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COMMITMENTS, GUARANTEES AND CONTINGENCIES</w:t>
      </w:r>
    </w:p>
    <w:p>
      <w:pPr>
        <w:spacing w:after="0" w:line="225"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Power Purchase Agreements. </w:t>
      </w:r>
      <w:r>
        <w:rPr>
          <w:rFonts w:ascii="Arial" w:cs="Arial" w:eastAsia="Arial" w:hAnsi="Arial"/>
          <w:sz w:val="16"/>
          <w:szCs w:val="16"/>
          <w:color w:val="auto"/>
        </w:rPr>
        <w:t>Our long-term PPAs have been evaluated under the accounting guidance for variable interest entities. We have determined that</w:t>
      </w:r>
      <w:r>
        <w:rPr>
          <w:rFonts w:ascii="Arial" w:cs="Arial" w:eastAsia="Arial" w:hAnsi="Arial"/>
          <w:sz w:val="16"/>
          <w:szCs w:val="16"/>
          <w:b w:val="1"/>
          <w:bCs w:val="1"/>
          <w:color w:val="auto"/>
        </w:rPr>
        <w:t xml:space="preserve"> </w:t>
      </w:r>
      <w:r>
        <w:rPr>
          <w:rFonts w:ascii="Arial" w:cs="Arial" w:eastAsia="Arial" w:hAnsi="Arial"/>
          <w:sz w:val="16"/>
          <w:szCs w:val="16"/>
          <w:color w:val="auto"/>
        </w:rPr>
        <w:t>either we have no variable interest in the PPAs or, where we do have variable interests, we are not the primary beneficiary; therefore, consolidation is not required. These conclusions are based on the fact that we do not have both control over activities that are most significant to the entity and an obligation to absorb losses or receive benefits from the entity’s performance. Our financial exposure relating to these PPAs is limited to our capacity and energy payments.</w:t>
      </w:r>
    </w:p>
    <w:p>
      <w:pPr>
        <w:spacing w:after="0" w:line="15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PPAs are summarized in Note 11. Commitments, Guarantees and Contingencies to the Consolidated Financial Statements in our 2018 Form 10-K, with additional disclosure provided in the following paragraphs.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Square Butte PPA. </w:t>
      </w:r>
      <w:r>
        <w:rPr>
          <w:rFonts w:ascii="Arial" w:cs="Arial" w:eastAsia="Arial" w:hAnsi="Arial"/>
          <w:sz w:val="17"/>
          <w:szCs w:val="17"/>
          <w:color w:val="auto"/>
        </w:rPr>
        <w:t>As of September 30, 2019, Square Butte had total debt outstanding of $295.9 million. Fuel expenses are recoverable through Minnesota</w:t>
      </w:r>
      <w:r>
        <w:rPr>
          <w:rFonts w:ascii="Arial" w:cs="Arial" w:eastAsia="Arial" w:hAnsi="Arial"/>
          <w:sz w:val="17"/>
          <w:szCs w:val="17"/>
          <w:i w:val="1"/>
          <w:iCs w:val="1"/>
          <w:color w:val="auto"/>
        </w:rPr>
        <w:t xml:space="preserve"> </w:t>
      </w:r>
      <w:r>
        <w:rPr>
          <w:rFonts w:ascii="Arial" w:cs="Arial" w:eastAsia="Arial" w:hAnsi="Arial"/>
          <w:sz w:val="17"/>
          <w:szCs w:val="17"/>
          <w:color w:val="auto"/>
        </w:rPr>
        <w:t>Power’s fuel adjustment clause and include the cost of coal purchased from BNI Energy under a long-term contract. Minnesota Power’s cost of power purchased from Square Butte during the nine months ended September 30, 2019, was $61.3 million ($57.9 million for the same period in 2018). This reflects Minnesota Power’s pro rata share of total Square Butte costs based on the 50 percent output entitlement. Included in this amount was Minnesota Power’s pro rata share of interest expense of $6.3 million ($6.9 million for the same period in 2018). Minnesota Power’s payments to Square Butte are approved as a purchased power expense for ratemaking purposes by both the MPUC and the FERC.</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Minnkota Power PSA. </w:t>
      </w:r>
      <w:r>
        <w:rPr>
          <w:rFonts w:ascii="Arial" w:cs="Arial" w:eastAsia="Arial" w:hAnsi="Arial"/>
          <w:sz w:val="18"/>
          <w:szCs w:val="18"/>
          <w:color w:val="auto"/>
        </w:rPr>
        <w:t>Minnesota Power has a PSA with Minnkota Power, which commenced in 2014. Under the PSA, Minnesota Power is selling a portion</w:t>
      </w:r>
      <w:r>
        <w:rPr>
          <w:rFonts w:ascii="Arial" w:cs="Arial" w:eastAsia="Arial" w:hAnsi="Arial"/>
          <w:sz w:val="18"/>
          <w:szCs w:val="18"/>
          <w:i w:val="1"/>
          <w:iCs w:val="1"/>
          <w:color w:val="auto"/>
        </w:rPr>
        <w:t xml:space="preserve"> </w:t>
      </w:r>
      <w:r>
        <w:rPr>
          <w:rFonts w:ascii="Arial" w:cs="Arial" w:eastAsia="Arial" w:hAnsi="Arial"/>
          <w:sz w:val="18"/>
          <w:szCs w:val="18"/>
          <w:color w:val="auto"/>
        </w:rPr>
        <w:t>of its entitlement from Square Butte to Minnkota Power, resulting in Minnkota Power’s net entitlement increasing and Minnesota Power’s net entitlement decreasing until Minnesota Power’s share is eliminated at the end of 2025. Of Minnesota Power’s 50 percent output entitlement, it sold to Minnkota Power approximately 28 percent in 2019 and in 2018.</w:t>
      </w:r>
    </w:p>
    <w:p>
      <w:pPr>
        <w:spacing w:after="0" w:line="183"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Coal, Rail and Shipping Contracts. </w:t>
      </w:r>
      <w:r>
        <w:rPr>
          <w:rFonts w:ascii="Arial" w:cs="Arial" w:eastAsia="Arial" w:hAnsi="Arial"/>
          <w:sz w:val="17"/>
          <w:szCs w:val="17"/>
          <w:color w:val="auto"/>
        </w:rPr>
        <w:t>Minnesota Power has coal supply agreements providing for the purchase of a significant portion of its coal requirements</w:t>
      </w:r>
      <w:r>
        <w:rPr>
          <w:rFonts w:ascii="Arial" w:cs="Arial" w:eastAsia="Arial" w:hAnsi="Arial"/>
          <w:sz w:val="17"/>
          <w:szCs w:val="17"/>
          <w:b w:val="1"/>
          <w:bCs w:val="1"/>
          <w:color w:val="auto"/>
        </w:rPr>
        <w:t xml:space="preserve"> </w:t>
      </w:r>
      <w:r>
        <w:rPr>
          <w:rFonts w:ascii="Arial" w:cs="Arial" w:eastAsia="Arial" w:hAnsi="Arial"/>
          <w:sz w:val="17"/>
          <w:szCs w:val="17"/>
          <w:color w:val="auto"/>
        </w:rPr>
        <w:t>through December 2019 and a portion of its coal requirements through December 2021. Minnesota Power also has coal transportation agreements in place for the delivery of a significant portion of its coal requirements through December 2021. The costs of fuel and related transportation costs for Minnesota Power’s generation are recoverable from Minnesota Power’s utility customers through the fuel adjustment clause.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2019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1420"/>
          </w:cols>
          <w:pgMar w:left="240" w:top="1040"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NOTE 7. COMMITMENTS, GUARANTEES AND CONTINGENCIES (Continued)</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Transmission. </w:t>
      </w:r>
      <w:r>
        <w:rPr>
          <w:rFonts w:ascii="Arial" w:cs="Arial" w:eastAsia="Arial" w:hAnsi="Arial"/>
          <w:sz w:val="17"/>
          <w:szCs w:val="17"/>
          <w:color w:val="auto"/>
        </w:rPr>
        <w:t>We continue to make investments in transmission opportunities that strengthen or enhance the transmission grid or take advantage of our</w:t>
      </w:r>
      <w:r>
        <w:rPr>
          <w:rFonts w:ascii="Arial" w:cs="Arial" w:eastAsia="Arial" w:hAnsi="Arial"/>
          <w:sz w:val="17"/>
          <w:szCs w:val="17"/>
          <w:b w:val="1"/>
          <w:bCs w:val="1"/>
          <w:color w:val="auto"/>
        </w:rPr>
        <w:t xml:space="preserve"> </w:t>
      </w:r>
      <w:r>
        <w:rPr>
          <w:rFonts w:ascii="Arial" w:cs="Arial" w:eastAsia="Arial" w:hAnsi="Arial"/>
          <w:sz w:val="17"/>
          <w:szCs w:val="17"/>
          <w:color w:val="auto"/>
        </w:rPr>
        <w:t>geographical location between sources of renewable energy and end users. These include the GNTL, investments to enhance our own transmission facilities, investments in other transmission assets (individually or in combination with others) and our investment in ATC.</w:t>
      </w:r>
    </w:p>
    <w:p>
      <w:pPr>
        <w:spacing w:after="0" w:line="162"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i w:val="1"/>
          <w:iCs w:val="1"/>
          <w:color w:val="auto"/>
        </w:rPr>
        <w:t xml:space="preserve">Great Northern Transmission Line. </w:t>
      </w:r>
      <w:r>
        <w:rPr>
          <w:rFonts w:ascii="Arial" w:cs="Arial" w:eastAsia="Arial" w:hAnsi="Arial"/>
          <w:sz w:val="18"/>
          <w:szCs w:val="18"/>
          <w:color w:val="auto"/>
        </w:rPr>
        <w:t>As a condition of the 250-MW long-term PPA entered into with Manitoba Hydro, construction of additional transmission</w:t>
      </w:r>
      <w:r>
        <w:rPr>
          <w:rFonts w:ascii="Arial" w:cs="Arial" w:eastAsia="Arial" w:hAnsi="Arial"/>
          <w:sz w:val="18"/>
          <w:szCs w:val="18"/>
          <w:i w:val="1"/>
          <w:iCs w:val="1"/>
          <w:color w:val="auto"/>
        </w:rPr>
        <w:t xml:space="preserve"> </w:t>
      </w:r>
      <w:r>
        <w:rPr>
          <w:rFonts w:ascii="Arial" w:cs="Arial" w:eastAsia="Arial" w:hAnsi="Arial"/>
          <w:sz w:val="18"/>
          <w:szCs w:val="18"/>
          <w:color w:val="auto"/>
        </w:rPr>
        <w:t>capacity is required. As a result, Minnesota Power is constructing the GNTL, an approximately 220</w:t>
      </w:r>
      <w:r>
        <w:rPr>
          <w:rFonts w:ascii="MS PGothic" w:cs="MS PGothic" w:eastAsia="MS PGothic" w:hAnsi="MS PGothic"/>
          <w:sz w:val="18"/>
          <w:szCs w:val="18"/>
          <w:color w:val="auto"/>
        </w:rPr>
        <w:t>‑</w:t>
      </w:r>
      <w:r>
        <w:rPr>
          <w:rFonts w:ascii="Arial" w:cs="Arial" w:eastAsia="Arial" w:hAnsi="Arial"/>
          <w:sz w:val="18"/>
          <w:szCs w:val="18"/>
          <w:color w:val="auto"/>
        </w:rPr>
        <w:t>mile 500-kV transmission line between Manitoba and Minnesota’s Iron Range that was proposed by Minnesota Power and Manitoba Hydro in order to strengthen the electric grid, enhance regional reliability and promote a greater exchange of sustainable energy.</w:t>
      </w:r>
    </w:p>
    <w:p>
      <w:pPr>
        <w:spacing w:after="0" w:line="20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 2016 order, the MPUC approved the route permit for the GNTL, and in 2016, the U.S. Department of Energy issued a presidential permit to cross the U.S.-Canadian border, which was the final major regulatory approval needed before construction in the U.S. could begin. Construction activities commenced in the first quarter of 2017, and Minnesota Power expects the GNTL to be complete and in-service by mid-2020. The total project cost in the U.S., including substation work, is estimated to be approximately $700 million, of which Minnesota Power’s portion is expected to be approximately $325 million; the difference will be recovered from a subsidiary of Manitoba Hydro as non-shareholder contributions to capital. Total project costs of $581.6 million have been incurred through September 30, 2019, of which $310.4 million has been recovered from a subsidiary of Manitoba Hydro.</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2015, Manitoba Hydro submitted the final preferred route and EIS for the MMTP to the Manitoba Conservation and Water Stewardship for siting and environmental approval, which was received on April 4, 2019. In 2016, Manitoba Hydro filed an application with the Canadian National Energy Board (NEB) requesting authorization to construct and operate the MMTP, which was recommended for approval on November 15, 2018. On June 14, 2019, Manitoba Hydro announced Canada’s federal government approved the MMTP project and on August 22, 2019, the NEB granted final pre-construction approvals. Construction on the MMTP commenced in the third quarter of 2019.</w:t>
      </w:r>
    </w:p>
    <w:p>
      <w:pPr>
        <w:spacing w:after="0" w:line="188"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color w:val="auto"/>
        </w:rPr>
        <w:t>The MMTP is subject to legal and regulatory challenges which Minnesota Power is actively monitoring. Manitoba Hydro has informed Minnesota Power that it continues to work towards completing the MMTP on schedule. In order to meet the transmission in</w:t>
      </w:r>
      <w:r>
        <w:rPr>
          <w:rFonts w:ascii="MS PGothic" w:cs="MS PGothic" w:eastAsia="MS PGothic" w:hAnsi="MS PGothic"/>
          <w:sz w:val="18"/>
          <w:szCs w:val="18"/>
          <w:color w:val="auto"/>
        </w:rPr>
        <w:t>‑</w:t>
      </w:r>
      <w:r>
        <w:rPr>
          <w:rFonts w:ascii="Arial" w:cs="Arial" w:eastAsia="Arial" w:hAnsi="Arial"/>
          <w:sz w:val="18"/>
          <w:szCs w:val="18"/>
          <w:color w:val="auto"/>
        </w:rPr>
        <w:t>service requirements in PPAs with Minnesota Power, Manitoba Hydro has indicated that it would need to start construction of the MMTP by September 2019. We are unable to predict the outcome of the Canadian regulatory review process, including the timing thereof or whether any onerous conditions may be imposed, or the timing of the completion of the MMTP, including the impact of any delays that may result in construction schedule adjustments. In the event the MMTP is delayed and not in-service by June 1, 2020, Minnesota Power has construction and related agreements in place with Manitoba Hydro and a Manitoba Hydro subsidiary that will protect Minnesota Power and its customers.</w:t>
      </w:r>
    </w:p>
    <w:p>
      <w:pPr>
        <w:spacing w:after="0" w:line="20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Construction of Manitoba Hydro’s Keeyask hydroelectric generation facility, which will provide the power to be sold under PPAs with Minnesota Power and transmitted on the MMTP and the GNTL, commenced in 2014 and is anticipated to be in service by early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businesses are subject to regulation of environmental matters by various federal, state and local authorities. A number of regulatory changes to the Clean Air Act, the Clean Water Act and various waste management requirements have been promulgated by both the EPA and state authorities over the past several years. Minnesota Power’s facilities are subject to additional requirements under many of these regulations. Minnesota Power is reshaping its generation portfolio, over time, to reduce its reliance on coal, has installed cost-effective emission control technology, and advocates for sound science and policy during rulemaking implementation.</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consider our businesses to be in substantial compliance with currently applicable environmental regulations and believe all necessary permits have been obtained. We anticipate that with many state and federal environmental regulations and requirements finalized, or to be finalized in the near future, potential expenditures for future environmental matters may be material and require significant capital investments. Minnesota Power has evaluated various environmental compliance scenarios using possible outcomes of environmental regulations to project power supply trends and impacts on customers.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2019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1420"/>
          </w:cols>
          <w:pgMar w:left="240" w:top="1039"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NOTE 7.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review environmental matters on a quarterly basis. Accruals for environmental matters are recorded when it is probable that a liability has been incurred and the amount of the liability can be reasonably estimated based on current law and existing technologies. Accruals are adjusted as assessment and remediation efforts progress, or as additional technical or legal information becomes available. Accruals for environmental liabilities are included in the Consolidated Balance Sheet at undiscounted amounts and exclude claims for recoveries from insurance or other third parties. Costs related to environmental contamination treatment and cleanup are expensed unless recoverable in rates from customers.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Air. </w:t>
      </w:r>
      <w:r>
        <w:rPr>
          <w:rFonts w:ascii="Arial" w:cs="Arial" w:eastAsia="Arial" w:hAnsi="Arial"/>
          <w:sz w:val="18"/>
          <w:szCs w:val="18"/>
          <w:color w:val="auto"/>
        </w:rPr>
        <w:t>The electric utility industry is regulated both at the federal and state level to address air emissions. Minnesota Power’s generating facilities mainly burn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low-sulfur western sub-bituminous coal. All of Minnesota Power’s coal-fired generating facilities are equipped with pollution control equipment such as scrubbers, baghouses and low NO</w:t>
      </w:r>
      <w:r>
        <w:rPr>
          <w:rFonts w:ascii="Arial" w:cs="Arial" w:eastAsia="Arial" w:hAnsi="Arial"/>
          <w:sz w:val="12"/>
          <w:szCs w:val="12"/>
          <w:color w:val="auto"/>
        </w:rPr>
        <w:t>X</w:t>
      </w:r>
      <w:r>
        <w:rPr>
          <w:rFonts w:ascii="Arial" w:cs="Arial" w:eastAsia="Arial" w:hAnsi="Arial"/>
          <w:sz w:val="18"/>
          <w:szCs w:val="18"/>
          <w:color w:val="auto"/>
        </w:rPr>
        <w:t xml:space="preserve"> technologies. Under currently applicable environmental regulations, these facilities are substantially compliant with emission requirements.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Cross-State Air Pollution Rule (CSAPR). </w:t>
      </w:r>
      <w:r>
        <w:rPr>
          <w:rFonts w:ascii="Arial" w:cs="Arial" w:eastAsia="Arial" w:hAnsi="Arial"/>
          <w:sz w:val="18"/>
          <w:szCs w:val="18"/>
          <w:color w:val="auto"/>
        </w:rPr>
        <w:t>The CSAPR requires certain states in the eastern half of the U.S., including Minnesota, to reduce power plant</w:t>
      </w:r>
      <w:r>
        <w:rPr>
          <w:rFonts w:ascii="Arial" w:cs="Arial" w:eastAsia="Arial" w:hAnsi="Arial"/>
          <w:sz w:val="18"/>
          <w:szCs w:val="18"/>
          <w:i w:val="1"/>
          <w:iCs w:val="1"/>
          <w:color w:val="auto"/>
        </w:rPr>
        <w:t xml:space="preserve"> </w:t>
      </w:r>
      <w:r>
        <w:rPr>
          <w:rFonts w:ascii="Arial" w:cs="Arial" w:eastAsia="Arial" w:hAnsi="Arial"/>
          <w:sz w:val="18"/>
          <w:szCs w:val="18"/>
          <w:color w:val="auto"/>
        </w:rPr>
        <w:t>emissions that contribute to ozone or fine particulate pollution in other states. The CSAPR does not require installation of controls but does require facilities have sufficient allowances to cover their emissions on an annual basis. These allowances are allocated to facilities from each state’s annual budget, and can be bought and sold. Based on our review of the NO</w:t>
      </w:r>
      <w:r>
        <w:rPr>
          <w:rFonts w:ascii="Arial" w:cs="Arial" w:eastAsia="Arial" w:hAnsi="Arial"/>
          <w:sz w:val="12"/>
          <w:szCs w:val="12"/>
          <w:color w:val="auto"/>
        </w:rPr>
        <w:t>x</w:t>
      </w:r>
      <w:r>
        <w:rPr>
          <w:rFonts w:ascii="Arial" w:cs="Arial" w:eastAsia="Arial" w:hAnsi="Arial"/>
          <w:sz w:val="18"/>
          <w:szCs w:val="18"/>
          <w:color w:val="auto"/>
        </w:rPr>
        <w:t xml:space="preserve"> and SO</w:t>
      </w:r>
      <w:r>
        <w:rPr>
          <w:rFonts w:ascii="Arial" w:cs="Arial" w:eastAsia="Arial" w:hAnsi="Arial"/>
          <w:sz w:val="12"/>
          <w:szCs w:val="12"/>
          <w:color w:val="auto"/>
        </w:rPr>
        <w:t>2</w:t>
      </w:r>
      <w:r>
        <w:rPr>
          <w:rFonts w:ascii="Arial" w:cs="Arial" w:eastAsia="Arial" w:hAnsi="Arial"/>
          <w:sz w:val="18"/>
          <w:szCs w:val="18"/>
          <w:color w:val="auto"/>
        </w:rPr>
        <w:t xml:space="preserve"> allowances issued and pending issuance, we currently expect generation levels and emission rates will result in continued compliance with the CSAPR.</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National Ambient Air Quality Standards (NAAQS). </w:t>
      </w:r>
      <w:r>
        <w:rPr>
          <w:rFonts w:ascii="Arial" w:cs="Arial" w:eastAsia="Arial" w:hAnsi="Arial"/>
          <w:sz w:val="18"/>
          <w:szCs w:val="18"/>
          <w:color w:val="auto"/>
        </w:rPr>
        <w:t>The EPA is required to review the NAAQS every five years. If the EPA determines that a state’s air</w:t>
      </w:r>
      <w:r>
        <w:rPr>
          <w:rFonts w:ascii="Arial" w:cs="Arial" w:eastAsia="Arial" w:hAnsi="Arial"/>
          <w:sz w:val="18"/>
          <w:szCs w:val="18"/>
          <w:i w:val="1"/>
          <w:iCs w:val="1"/>
          <w:color w:val="auto"/>
        </w:rPr>
        <w:t xml:space="preserve"> </w:t>
      </w:r>
      <w:r>
        <w:rPr>
          <w:rFonts w:ascii="Arial" w:cs="Arial" w:eastAsia="Arial" w:hAnsi="Arial"/>
          <w:sz w:val="18"/>
          <w:szCs w:val="18"/>
          <w:color w:val="auto"/>
        </w:rPr>
        <w:t>quality is not in compliance with the NAAQS, the state is required to adopt plans describing how it will reduce emissions to attain the NAAQS. None of the compliance costs for proposed or current NAAQS revisions are expected to be material.</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Climate Change. </w:t>
      </w:r>
      <w:r>
        <w:rPr>
          <w:rFonts w:ascii="Arial" w:cs="Arial" w:eastAsia="Arial" w:hAnsi="Arial"/>
          <w:sz w:val="18"/>
          <w:szCs w:val="18"/>
          <w:color w:val="auto"/>
        </w:rPr>
        <w:t>The scientific community generally accepts that emissions of GHG are linked to global climate change which creates physical and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risks. Physical risks could include, but are not limited to: increased or decreased precipitation and water levels in lakes and rivers; increased temperatures; and changes in the intensity and frequency of extreme weather events. These all have the potential to affect the Company’s business and operations. We are addressing climate change by taking the following steps that also ensure reliable and environmentally compliant generation resources to meet our customers’ requirements:</w:t>
      </w:r>
    </w:p>
    <w:p>
      <w:pPr>
        <w:spacing w:after="0" w:line="188"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Expanding renewable power supply for both our operations and the operations of others;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Providing energy conservation initiatives for our customers and engaging in other demand side management efforts;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Improving efficiency of our generating facilities;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Supporting research of technologies to reduce carbon emissions from generating facilities and carbon sequestration efforts;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Evaluating and developing less carbon intensive future generating assets such as efficient and flexible natural gas-fired generating facilities;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Managing vegetation on right-of-way corridors to reduce potential wildfire or storm damage risks; and</w:t>
      </w:r>
    </w:p>
    <w:p>
      <w:pPr>
        <w:spacing w:after="0" w:line="9"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Practicing sound forestry management in our service territories to create landscapes more resilient to disruption from climate-related changes, including planting and managing long-lived conifer species.</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EPA Regulation of GHG Emissions. </w:t>
      </w:r>
      <w:r>
        <w:rPr>
          <w:rFonts w:ascii="Arial" w:cs="Arial" w:eastAsia="Arial" w:hAnsi="Arial"/>
          <w:sz w:val="18"/>
          <w:szCs w:val="18"/>
          <w:color w:val="auto"/>
        </w:rPr>
        <w:t>On June 19, 2019, the EPA finalized several separate rulemakings regarding regulating carbon emissions from electric</w:t>
      </w:r>
      <w:r>
        <w:rPr>
          <w:rFonts w:ascii="Arial" w:cs="Arial" w:eastAsia="Arial" w:hAnsi="Arial"/>
          <w:sz w:val="18"/>
          <w:szCs w:val="18"/>
          <w:i w:val="1"/>
          <w:iCs w:val="1"/>
          <w:color w:val="auto"/>
        </w:rPr>
        <w:t xml:space="preserve"> </w:t>
      </w:r>
      <w:r>
        <w:rPr>
          <w:rFonts w:ascii="Arial" w:cs="Arial" w:eastAsia="Arial" w:hAnsi="Arial"/>
          <w:sz w:val="18"/>
          <w:szCs w:val="18"/>
          <w:color w:val="auto"/>
        </w:rPr>
        <w:t>utility generating units.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EPA repealed the Clean Power Plan (CPP), following a determination by the EPA that the CPP exceeded the EPA’s statutory authority under the Clean Air Act (CAA). The primary reason for this was that the CPP attempted to regulate electric generating unit’s carbon emissions through measures outside of the affected unit’s direct control. The CPP was first announced as a proposed rule under Section 111(d) of the Clean Air Act for existing power plants entitled “Carbon Pollution Emission Guidelines for Existing Stationary Sources: Electric Generating Units”.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 the repeal of the CPP, the Affordable Clean Energy Rule was finalized. The rule establishes emissions guidelines for states to use when developing plans to limit carbon dioxide at coal-fired power plants. The rule identifies heat rate improvements made at individual units as the best system of emission reduction. Affected facilities for Minnesota Power include Boswell Units 3 and 4. Based on our initial review of the rule, many of the candidate heat rate improvements are already installed on Boswell Units 3 and 4.</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2019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1420"/>
          </w:cols>
          <w:pgMar w:left="240" w:top="1040"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NOTE 7.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Additionally, the EPA finalized new regulations for the state implementation of the Affordable Clean Energy Rule and any future emission guidelines issued under CAA Section 111(d). States will have three years to submit State Implementation Plans (SIP), and the EPA has 12 months to review and approve those plans. Since the Affordable Clean Energy Rule allows states considerable flexibility in how to best implement its requirements, Minnesota Power plans to work closely with the MPCA and the Minnesota Department of Commerce, who are currently co-reviewing the rule as the state develops its SIP. If a state does not submit a SIP or submits a SIP that is unacceptable to the EPA, the EPA will develop a Federal Implementation Plan. We currently anticipate that the MPCA will develop a SIP for the Affordable Clean Energy Rule.</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Minnesota had already initiated several measures consistent with those called for under the now repealed CPP and finalized Affordable Clean Energy Rule. Minnesota Power continues implementing its </w:t>
      </w:r>
      <w:r>
        <w:rPr>
          <w:rFonts w:ascii="Arial" w:cs="Arial" w:eastAsia="Arial" w:hAnsi="Arial"/>
          <w:sz w:val="18"/>
          <w:szCs w:val="18"/>
          <w:i w:val="1"/>
          <w:iCs w:val="1"/>
          <w:color w:val="auto"/>
        </w:rPr>
        <w:t>EnergyForward</w:t>
      </w:r>
      <w:r>
        <w:rPr>
          <w:rFonts w:ascii="Arial" w:cs="Arial" w:eastAsia="Arial" w:hAnsi="Arial"/>
          <w:sz w:val="18"/>
          <w:szCs w:val="18"/>
          <w:color w:val="auto"/>
        </w:rPr>
        <w:t xml:space="preserve"> strategic plan that provides for significant emission reductions and diversifying its electricity generation mix to include more renewable and natural gas energy. (See Note 2. Regulatory Matters.) We are unable to predict the GHG emission compliance costs we might incur as a result of the Affordable Clean Energy Rule and the resulting SIP; however, the costs could be material. Minnesota Power would seek recovery of additional costs through a rate proceeding.</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Water. </w:t>
      </w:r>
      <w:r>
        <w:rPr>
          <w:rFonts w:ascii="Arial" w:cs="Arial" w:eastAsia="Arial" w:hAnsi="Arial"/>
          <w:sz w:val="18"/>
          <w:szCs w:val="18"/>
          <w:color w:val="auto"/>
        </w:rPr>
        <w:t>The Clean Water Act requires NPDES permits be obtained from the EPA (or, when delegated, from individual state pollution control agencies) for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wastewater discharged into navigable waters. We have obtained all necessary NPDES permits, including NPDES storm water permits for applicable facilities, to conduct our operations.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Steam Electric Power Generating Effluent Limitations Guidelines. </w:t>
      </w:r>
      <w:r>
        <w:rPr>
          <w:rFonts w:ascii="Arial" w:cs="Arial" w:eastAsia="Arial" w:hAnsi="Arial"/>
          <w:sz w:val="18"/>
          <w:szCs w:val="18"/>
          <w:color w:val="auto"/>
        </w:rPr>
        <w:t>In 2015, the EPA issued revised federal effluent limitation guidelines (ELG) for steam</w:t>
      </w:r>
      <w:r>
        <w:rPr>
          <w:rFonts w:ascii="Arial" w:cs="Arial" w:eastAsia="Arial" w:hAnsi="Arial"/>
          <w:sz w:val="18"/>
          <w:szCs w:val="18"/>
          <w:i w:val="1"/>
          <w:iCs w:val="1"/>
          <w:color w:val="auto"/>
        </w:rPr>
        <w:t xml:space="preserve"> </w:t>
      </w:r>
      <w:r>
        <w:rPr>
          <w:rFonts w:ascii="Arial" w:cs="Arial" w:eastAsia="Arial" w:hAnsi="Arial"/>
          <w:sz w:val="18"/>
          <w:szCs w:val="18"/>
          <w:color w:val="auto"/>
        </w:rPr>
        <w:t>electric power generating stations under the Clean Water Act. It set effluent limits and prescribed BACT for several wastewater streams, including flue gas desulphurization (FGD) water, bottom ash transport water and coal combustion landfill leachate. In 2017, the EPA announced a two-year postponement of the ELG compliance date of November 1, 2018, to November 1, 2020, while the agency reconsiders the bottom ash transport water and FGD wastewater provisions. On April 12, 2019, the U.S. Court of Appeals for the Fifth Circuit vacated and remanded back to the EPA portions of the ELG that allowed for continued discharge of legacy wastewater and leachate.</w:t>
      </w:r>
    </w:p>
    <w:p>
      <w:pPr>
        <w:spacing w:after="0" w:line="19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ELG's potential impact on Minnesota Power operations is primarily at Boswell. Boswell currently discharges bottom ash contact water through its NPDES permit, and also has a closed-loop FGD system that does not discharge to surface waters, but may do so in the future. Under the ELG rule, bottom ash transport water discharge to surface waters must cease no later than December 31, 2023. Bottom ash contact water will either need to be re-used in a closed-loop process, routed to a FGD scrubber, or the bottom ash handling system will need to be converted to a dry process. If FGD wastewater is discharged in the future, it will require additional wastewater treatment. The ELG rule provision regarding these two waste-streams are being reconsidered and may change prior to November 1, 2020. Efforts have been underway at Boswell to reduce the amount of water discharged and evaluate potential re-use options in its plant processes. The EPA’s additional reconsideration of legacy wastewater discharge requirements have the potential to reduce time lines for dewatering Boswell’s existing bottom ash pond. The timing of a draft rule addressing legacy wastewater and leachate is currently unknown.</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this time, we cannot estimate what compliance costs we might incur related to these or other potential future water discharge regulations; however, the costs could be material, including costs associated with retrofits for bottom ash handling, pond dewatering, pond closure, and wastewater treatment and re-use. Minnesota Power would seek recovery of additional costs through a rate proceeding.</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Solid and Hazardous Waste. </w:t>
      </w:r>
      <w:r>
        <w:rPr>
          <w:rFonts w:ascii="Arial" w:cs="Arial" w:eastAsia="Arial" w:hAnsi="Arial"/>
          <w:sz w:val="16"/>
          <w:szCs w:val="16"/>
          <w:color w:val="auto"/>
        </w:rPr>
        <w:t>The Resource Conservation and Recovery Act of 1976 regulates the management and disposal of solid and hazardous wastes.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We are required to notify the EPA of hazardous waste activity and, consequently, routinely submit reports to the EPA.</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Coal Ash Management Facilities. </w:t>
      </w:r>
      <w:r>
        <w:rPr>
          <w:rFonts w:ascii="Arial" w:cs="Arial" w:eastAsia="Arial" w:hAnsi="Arial"/>
          <w:sz w:val="18"/>
          <w:szCs w:val="18"/>
          <w:color w:val="auto"/>
        </w:rPr>
        <w:t>Minnesota Power stores or disposes coal ash at four of its electric generating facilities by the following methods: storing</w:t>
      </w:r>
      <w:r>
        <w:rPr>
          <w:rFonts w:ascii="Arial" w:cs="Arial" w:eastAsia="Arial" w:hAnsi="Arial"/>
          <w:sz w:val="18"/>
          <w:szCs w:val="18"/>
          <w:i w:val="1"/>
          <w:iCs w:val="1"/>
          <w:color w:val="auto"/>
        </w:rPr>
        <w:t xml:space="preserve"> </w:t>
      </w:r>
      <w:r>
        <w:rPr>
          <w:rFonts w:ascii="Arial" w:cs="Arial" w:eastAsia="Arial" w:hAnsi="Arial"/>
          <w:sz w:val="18"/>
          <w:szCs w:val="18"/>
          <w:color w:val="auto"/>
        </w:rPr>
        <w:t>ash in clay-lined onsite impoundments (ash ponds), disposing of dry ash in a lined dry ash landfill, applying ash to land as an approved beneficial use and trucking ash to state permitted landfills.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2019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25</w:t>
      </w:r>
    </w:p>
    <w:p>
      <w:pPr>
        <w:sectPr>
          <w:pgSz w:w="11900" w:h="16838" w:orient="portrait"/>
          <w:cols w:equalWidth="0" w:num="1">
            <w:col w:w="11420"/>
          </w:cols>
          <w:pgMar w:left="240" w:top="1040"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NOTE 7.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1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 xml:space="preserve">Coal Combustion Residuals from Electric Utilities (CCR). </w:t>
      </w:r>
      <w:r>
        <w:rPr>
          <w:rFonts w:ascii="Arial" w:cs="Arial" w:eastAsia="Arial" w:hAnsi="Arial"/>
          <w:sz w:val="16"/>
          <w:szCs w:val="16"/>
          <w:color w:val="auto"/>
        </w:rPr>
        <w:t>In 2015, the EPA published the final rule regulating CCR as nonhazardous waste under Subtitle D</w:t>
      </w:r>
      <w:r>
        <w:rPr>
          <w:rFonts w:ascii="Arial" w:cs="Arial" w:eastAsia="Arial" w:hAnsi="Arial"/>
          <w:sz w:val="16"/>
          <w:szCs w:val="16"/>
          <w:i w:val="1"/>
          <w:iCs w:val="1"/>
          <w:color w:val="auto"/>
        </w:rPr>
        <w:t xml:space="preserve"> </w:t>
      </w:r>
      <w:r>
        <w:rPr>
          <w:rFonts w:ascii="Arial" w:cs="Arial" w:eastAsia="Arial" w:hAnsi="Arial"/>
          <w:sz w:val="16"/>
          <w:szCs w:val="16"/>
          <w:color w:val="auto"/>
        </w:rPr>
        <w:t>of the Resource Conservation and Recovery Act (RCRA) in the Federal Register. The rule includes additional requirements for new landfill and impoundment construction as well as closure activities related to certain existing impoundments. Costs of compliance for Boswell and Laskin are expected to occur primarily over the next 15 years and be between approximately $65 million and $120 million. The EPA has indicated to Minnesota Power that the landfill at Taconite Harbor, which has been idled and has a temporary landfill cover in place, is a CCR unit based on the EPA’s interpretation of the CCR rule.</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Minnesota Power has agreed to post the required CCR information for the Taconite Harbor landfill on Minnesota Power’s website while the CCR issue is resolved. Compliance costs for CCR at Taconite Harbor are not expected to be material. Minnesota Power would seek recovery of additional costs through a rate proceeding.</w:t>
      </w:r>
    </w:p>
    <w:p>
      <w:pPr>
        <w:spacing w:after="0" w:line="181" w:lineRule="exact"/>
        <w:rPr>
          <w:sz w:val="20"/>
          <w:szCs w:val="20"/>
          <w:color w:val="auto"/>
        </w:rPr>
      </w:pPr>
    </w:p>
    <w:p>
      <w:pPr>
        <w:jc w:val="both"/>
        <w:spacing w:after="0" w:line="218" w:lineRule="exact"/>
        <w:rPr>
          <w:sz w:val="20"/>
          <w:szCs w:val="20"/>
          <w:color w:val="auto"/>
        </w:rPr>
      </w:pPr>
      <w:r>
        <w:rPr>
          <w:rFonts w:ascii="Arial" w:cs="Arial" w:eastAsia="Arial" w:hAnsi="Arial"/>
          <w:sz w:val="16"/>
          <w:szCs w:val="16"/>
          <w:color w:val="auto"/>
        </w:rPr>
        <w:t>Minnesota Power continues to work on minimizing costs through evaluation of beneficial re-use and recycling of CCR and CCR</w:t>
      </w:r>
      <w:r>
        <w:rPr>
          <w:rFonts w:ascii="MS PGothic" w:cs="MS PGothic" w:eastAsia="MS PGothic" w:hAnsi="MS PGothic"/>
          <w:sz w:val="16"/>
          <w:szCs w:val="16"/>
          <w:color w:val="auto"/>
        </w:rPr>
        <w:t>‑</w:t>
      </w:r>
      <w:r>
        <w:rPr>
          <w:rFonts w:ascii="Arial" w:cs="Arial" w:eastAsia="Arial" w:hAnsi="Arial"/>
          <w:sz w:val="16"/>
          <w:szCs w:val="16"/>
          <w:color w:val="auto"/>
        </w:rPr>
        <w:t>related waters. In 2017, the EPA announced its intention to formally reconsider the CCR rule under Subtitle D of the RCRA and in March 2018, published the first phase of the proposed rule revisions in the Federal Register. In July 2018, the EPA finalized revisions to elements of the CCR rule, including extending certain deadlines by two years, the establishment of alternative groundwater protection standards for certain constituents and the potential for risk-based management options at facilities based on site characteristics. In August 2018, a U.S. District Court for the District of Columbia decision vacated specific provisions of the CCR rule. The court decision changes the status of three existing impoundments at Boswell that must now be considered unlined. Compliance costs at Boswell due to the court decision are unknown at this time. Minnesota Power would seek recovery of additional costs through a rate proceeding.</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Environmental Matters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Manufactured Gas Plant Site. </w:t>
      </w:r>
      <w:r>
        <w:rPr>
          <w:rFonts w:ascii="Arial" w:cs="Arial" w:eastAsia="Arial" w:hAnsi="Arial"/>
          <w:sz w:val="18"/>
          <w:szCs w:val="18"/>
          <w:color w:val="auto"/>
        </w:rPr>
        <w:t>We are reviewing and addressing environmental conditions at a former manufactured gas plant site located in Superior,</w:t>
      </w:r>
      <w:r>
        <w:rPr>
          <w:rFonts w:ascii="Arial" w:cs="Arial" w:eastAsia="Arial" w:hAnsi="Arial"/>
          <w:sz w:val="18"/>
          <w:szCs w:val="18"/>
          <w:i w:val="1"/>
          <w:iCs w:val="1"/>
          <w:color w:val="auto"/>
        </w:rPr>
        <w:t xml:space="preserve"> </w:t>
      </w:r>
      <w:r>
        <w:rPr>
          <w:rFonts w:ascii="Arial" w:cs="Arial" w:eastAsia="Arial" w:hAnsi="Arial"/>
          <w:sz w:val="18"/>
          <w:szCs w:val="18"/>
          <w:color w:val="auto"/>
        </w:rPr>
        <w:t>Wisconsin. SWL&amp;P has been working with the Wisconsin Department of Natural Resources (WDNR) in determining the extent of contamination at the site and surrounding properties. In December 2017, the WDNR authorized SWL&amp;P to transition from site investigation into the remedial design process. As of September 30, 2019, we have recorded a liability of approximately $7 million for remediation costs at this site (approximately $7 million as of December 31, 2018). SWL&amp;P has also recorded an associated regulatory asset as we expect recovery of these remediation costs to be allowed by the PSCW. Remediation costs are expected to be incurred through 2023.</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2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ALLETE Clean Energy. </w:t>
      </w:r>
      <w:r>
        <w:rPr>
          <w:rFonts w:ascii="Arial" w:cs="Arial" w:eastAsia="Arial" w:hAnsi="Arial"/>
          <w:sz w:val="18"/>
          <w:szCs w:val="18"/>
          <w:color w:val="auto"/>
        </w:rPr>
        <w:t>ALLETE Clean Energy’s wind energy facilities have PSAs in place for their entire output and expire in various years between 2020</w:t>
      </w:r>
      <w:r>
        <w:rPr>
          <w:rFonts w:ascii="Arial" w:cs="Arial" w:eastAsia="Arial" w:hAnsi="Arial"/>
          <w:sz w:val="18"/>
          <w:szCs w:val="18"/>
          <w:b w:val="1"/>
          <w:bCs w:val="1"/>
          <w:color w:val="auto"/>
        </w:rPr>
        <w:t xml:space="preserve"> </w:t>
      </w:r>
      <w:r>
        <w:rPr>
          <w:rFonts w:ascii="Arial" w:cs="Arial" w:eastAsia="Arial" w:hAnsi="Arial"/>
          <w:sz w:val="18"/>
          <w:szCs w:val="18"/>
          <w:color w:val="auto"/>
        </w:rPr>
        <w:t>and 2032. As of September 30, 2019, ALLETE Clean Energy has $60.8 million outstanding in standby letters of credit.</w:t>
      </w:r>
    </w:p>
    <w:p>
      <w:pPr>
        <w:spacing w:after="0" w:line="16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BNI Energy. </w:t>
      </w:r>
      <w:r>
        <w:rPr>
          <w:rFonts w:ascii="Arial" w:cs="Arial" w:eastAsia="Arial" w:hAnsi="Arial"/>
          <w:sz w:val="18"/>
          <w:szCs w:val="18"/>
          <w:color w:val="auto"/>
        </w:rPr>
        <w:t>As of September 30, 2019, BNI Energy had surety bonds outstanding of $67.7 million related to the reclamation liability for closing costs</w:t>
      </w:r>
      <w:r>
        <w:rPr>
          <w:rFonts w:ascii="Arial" w:cs="Arial" w:eastAsia="Arial" w:hAnsi="Arial"/>
          <w:sz w:val="18"/>
          <w:szCs w:val="18"/>
          <w:b w:val="1"/>
          <w:bCs w:val="1"/>
          <w:color w:val="auto"/>
        </w:rPr>
        <w:t xml:space="preserve"> </w:t>
      </w:r>
      <w:r>
        <w:rPr>
          <w:rFonts w:ascii="Arial" w:cs="Arial" w:eastAsia="Arial" w:hAnsi="Arial"/>
          <w:sz w:val="18"/>
          <w:szCs w:val="18"/>
          <w:color w:val="auto"/>
        </w:rPr>
        <w:t>associated with its mine and mine facilities. Although its coal supply agreements obligate the customers to provide for the closing costs, additional assurance is required by federal and state regulations. BNI Energy’s total reclamation liability is currently estimated at $67.3 million. BNI Energy does not believe it is likely that any of these outstanding surety bonds will be drawn upon.</w:t>
      </w:r>
    </w:p>
    <w:p>
      <w:pPr>
        <w:spacing w:after="0" w:line="180"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ALLETE Properties. </w:t>
      </w:r>
      <w:r>
        <w:rPr>
          <w:rFonts w:ascii="Arial" w:cs="Arial" w:eastAsia="Arial" w:hAnsi="Arial"/>
          <w:sz w:val="17"/>
          <w:szCs w:val="17"/>
          <w:color w:val="auto"/>
        </w:rPr>
        <w:t>As of September 30, 2019, ALLETE Properties had surety bonds outstanding and letters of credit to governmental entities totaling</w:t>
      </w:r>
      <w:r>
        <w:rPr>
          <w:rFonts w:ascii="Arial" w:cs="Arial" w:eastAsia="Arial" w:hAnsi="Arial"/>
          <w:sz w:val="17"/>
          <w:szCs w:val="17"/>
          <w:b w:val="1"/>
          <w:bCs w:val="1"/>
          <w:color w:val="auto"/>
        </w:rPr>
        <w:t xml:space="preserve"> </w:t>
      </w:r>
      <w:r>
        <w:rPr>
          <w:rFonts w:ascii="Arial" w:cs="Arial" w:eastAsia="Arial" w:hAnsi="Arial"/>
          <w:sz w:val="17"/>
          <w:szCs w:val="17"/>
          <w:color w:val="auto"/>
        </w:rPr>
        <w:t>$4.8 million primarily related to development and maintenance obligations for various projects. The estimated cost of the remaining development work is $2.3 million. ALLETE Properties does not believe it is likely that any of these outstanding surety bonds or letters of credit will be drawn upon.</w:t>
      </w:r>
    </w:p>
    <w:p>
      <w:pPr>
        <w:spacing w:after="0" w:line="15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Community Development District Obligations. </w:t>
      </w:r>
      <w:r>
        <w:rPr>
          <w:rFonts w:ascii="Arial" w:cs="Arial" w:eastAsia="Arial" w:hAnsi="Arial"/>
          <w:sz w:val="18"/>
          <w:szCs w:val="18"/>
          <w:color w:val="auto"/>
        </w:rPr>
        <w:t>As of September 30, 2019, we owned 66 percent of the assessable land in the Town Center District (68</w:t>
      </w:r>
      <w:r>
        <w:rPr>
          <w:rFonts w:ascii="Arial" w:cs="Arial" w:eastAsia="Arial" w:hAnsi="Arial"/>
          <w:sz w:val="18"/>
          <w:szCs w:val="18"/>
          <w:b w:val="1"/>
          <w:bCs w:val="1"/>
          <w:color w:val="auto"/>
        </w:rPr>
        <w:t xml:space="preserve"> </w:t>
      </w:r>
      <w:r>
        <w:rPr>
          <w:rFonts w:ascii="Arial" w:cs="Arial" w:eastAsia="Arial" w:hAnsi="Arial"/>
          <w:sz w:val="18"/>
          <w:szCs w:val="18"/>
          <w:color w:val="auto"/>
        </w:rPr>
        <w:t>percent as of December 31, 2018) and 12 percent of the assessable land in the Palm Coast Park District (19 percent as of December 31, 2018). As of September 30, 2019, ownership levels, our annual assessments related to capital improvement and special assessment bonds for the ALLETE Properties projects within these districts are approximately $1.4 million for Town Center at Palm Coast and $0.6 million for Palm Coast Park. As we sell property at these projects, the obligation to pay special assessments will pass to the new landowners. In accordance with accounting guidance, these bonds are not reflected as debt on our Consolidated Balance Sheet.</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2019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1420"/>
          </w:cols>
          <w:pgMar w:left="240" w:top="1040"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NOTE 7. COMMITMENTS, GUARANTEES AND CONTINGENCIES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involved in litigation arising in the normal course of business. Also in the normal course of business, we are involved in tax, regulatory and other governmental audits, inspections, investigations and other proceedings that involve state and federal taxes, safety, and compliance with regulations, rate base and cost of service issues, among other things. We do not expect the outcome of these matters to have a material effect on our financial position, results of operations or cash flows.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EARNINGS PER SHARE AND COMMON STOCK</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compute basic earnings per share using the weighted average number of shares of common stock outstanding during each period. The difference between basic and diluted earnings per share, if any, arises from non-vested restricted stock units and performance share awards granted under our Executive Long-Term Incentive Compensation Plan.</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9"/>
              </w:rPr>
              <w:t>2019</w:t>
            </w: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3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Reconciliation of Basic and Diluted</w:t>
            </w:r>
          </w:p>
        </w:tc>
        <w:tc>
          <w:tcPr>
            <w:tcW w:w="1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vMerge w:val="continue"/>
          </w:tcPr>
          <w:p>
            <w:pPr>
              <w:spacing w:after="0"/>
              <w:rPr>
                <w:sz w:val="20"/>
                <w:szCs w:val="20"/>
                <w:color w:val="auto"/>
              </w:rPr>
            </w:pPr>
          </w:p>
        </w:tc>
        <w:tc>
          <w:tcPr>
            <w:tcW w:w="128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5"/>
              </w:rPr>
              <w:t>Dilutive</w:t>
            </w: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300" w:type="dxa"/>
            <w:vAlign w:val="bottom"/>
          </w:tcPr>
          <w:p>
            <w:pPr>
              <w:jc w:val="right"/>
              <w:ind w:right="270"/>
              <w:spacing w:after="0"/>
              <w:rPr>
                <w:sz w:val="20"/>
                <w:szCs w:val="20"/>
                <w:color w:val="auto"/>
              </w:rPr>
            </w:pPr>
            <w:r>
              <w:rPr>
                <w:rFonts w:ascii="Arial" w:cs="Arial" w:eastAsia="Arial" w:hAnsi="Arial"/>
                <w:sz w:val="18"/>
                <w:szCs w:val="18"/>
                <w:b w:val="1"/>
                <w:bCs w:val="1"/>
                <w:color w:val="auto"/>
              </w:rPr>
              <w:t>Dilutive</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Earnings Per Share</w:t>
            </w:r>
          </w:p>
        </w:tc>
        <w:tc>
          <w:tcPr>
            <w:tcW w:w="1280" w:type="dxa"/>
            <w:vAlign w:val="bottom"/>
          </w:tcPr>
          <w:p>
            <w:pPr>
              <w:jc w:val="right"/>
              <w:ind w:right="390"/>
              <w:spacing w:after="0"/>
              <w:rPr>
                <w:sz w:val="20"/>
                <w:szCs w:val="20"/>
                <w:color w:val="auto"/>
              </w:rPr>
            </w:pPr>
            <w:r>
              <w:rPr>
                <w:rFonts w:ascii="Arial" w:cs="Arial" w:eastAsia="Arial" w:hAnsi="Arial"/>
                <w:sz w:val="18"/>
                <w:szCs w:val="18"/>
                <w:b w:val="1"/>
                <w:bCs w:val="1"/>
                <w:color w:val="auto"/>
              </w:rPr>
              <w:t>Basic</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5"/>
              </w:rPr>
              <w:t>Securities</w:t>
            </w:r>
          </w:p>
        </w:tc>
        <w:tc>
          <w:tcPr>
            <w:tcW w:w="1320" w:type="dxa"/>
            <w:vAlign w:val="bottom"/>
            <w:gridSpan w:val="2"/>
          </w:tcPr>
          <w:p>
            <w:pPr>
              <w:ind w:left="360"/>
              <w:spacing w:after="0"/>
              <w:rPr>
                <w:sz w:val="20"/>
                <w:szCs w:val="20"/>
                <w:color w:val="auto"/>
              </w:rPr>
            </w:pPr>
            <w:r>
              <w:rPr>
                <w:rFonts w:ascii="Arial" w:cs="Arial" w:eastAsia="Arial" w:hAnsi="Arial"/>
                <w:sz w:val="18"/>
                <w:szCs w:val="18"/>
                <w:b w:val="1"/>
                <w:bCs w:val="1"/>
                <w:color w:val="auto"/>
              </w:rPr>
              <w:t>Diluted</w:t>
            </w:r>
          </w:p>
        </w:tc>
        <w:tc>
          <w:tcPr>
            <w:tcW w:w="1160" w:type="dxa"/>
            <w:vAlign w:val="bottom"/>
          </w:tcPr>
          <w:p>
            <w:pPr>
              <w:jc w:val="right"/>
              <w:ind w:right="290"/>
              <w:spacing w:after="0"/>
              <w:rPr>
                <w:sz w:val="20"/>
                <w:szCs w:val="20"/>
                <w:color w:val="auto"/>
              </w:rPr>
            </w:pPr>
            <w:r>
              <w:rPr>
                <w:rFonts w:ascii="Arial" w:cs="Arial" w:eastAsia="Arial" w:hAnsi="Arial"/>
                <w:sz w:val="18"/>
                <w:szCs w:val="18"/>
                <w:b w:val="1"/>
                <w:bCs w:val="1"/>
                <w:color w:val="auto"/>
              </w:rPr>
              <w:t>Basic</w:t>
            </w:r>
          </w:p>
        </w:tc>
        <w:tc>
          <w:tcPr>
            <w:tcW w:w="1300" w:type="dxa"/>
            <w:vAlign w:val="bottom"/>
          </w:tcPr>
          <w:p>
            <w:pPr>
              <w:jc w:val="right"/>
              <w:ind w:right="190"/>
              <w:spacing w:after="0"/>
              <w:rPr>
                <w:sz w:val="20"/>
                <w:szCs w:val="20"/>
                <w:color w:val="auto"/>
              </w:rPr>
            </w:pPr>
            <w:r>
              <w:rPr>
                <w:rFonts w:ascii="Arial" w:cs="Arial" w:eastAsia="Arial" w:hAnsi="Arial"/>
                <w:sz w:val="18"/>
                <w:szCs w:val="18"/>
                <w:b w:val="1"/>
                <w:bCs w:val="1"/>
                <w:color w:val="auto"/>
              </w:rPr>
              <w:t>Securities</w:t>
            </w:r>
          </w:p>
        </w:tc>
        <w:tc>
          <w:tcPr>
            <w:tcW w:w="1140" w:type="dxa"/>
            <w:vAlign w:val="bottom"/>
          </w:tcPr>
          <w:p>
            <w:pPr>
              <w:ind w:left="300"/>
              <w:spacing w:after="0"/>
              <w:rPr>
                <w:sz w:val="20"/>
                <w:szCs w:val="20"/>
                <w:color w:val="auto"/>
              </w:rPr>
            </w:pPr>
            <w:r>
              <w:rPr>
                <w:rFonts w:ascii="Arial" w:cs="Arial" w:eastAsia="Arial" w:hAnsi="Arial"/>
                <w:sz w:val="18"/>
                <w:szCs w:val="18"/>
                <w:b w:val="1"/>
                <w:bCs w:val="1"/>
                <w:color w:val="auto"/>
              </w:rPr>
              <w:t>Diluted</w:t>
            </w:r>
          </w:p>
        </w:tc>
        <w:tc>
          <w:tcPr>
            <w:tcW w:w="0" w:type="dxa"/>
            <w:vAlign w:val="bottom"/>
          </w:tcPr>
          <w:p>
            <w:pPr>
              <w:spacing w:after="0"/>
              <w:rPr>
                <w:sz w:val="1"/>
                <w:szCs w:val="1"/>
                <w:color w:val="auto"/>
              </w:rPr>
            </w:pPr>
          </w:p>
        </w:tc>
      </w:tr>
      <w:tr>
        <w:trPr>
          <w:trHeight w:val="27"/>
        </w:trPr>
        <w:tc>
          <w:tcPr>
            <w:tcW w:w="40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Millions Except Per Share Amounts</w:t>
            </w:r>
          </w:p>
        </w:tc>
        <w:tc>
          <w:tcPr>
            <w:tcW w:w="1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Quarter ended September 30,</w:t>
            </w:r>
          </w:p>
        </w:tc>
        <w:tc>
          <w:tcPr>
            <w:tcW w:w="1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$31.2</w:t>
            </w:r>
          </w:p>
        </w:tc>
        <w:tc>
          <w:tcPr>
            <w:tcW w:w="12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$30.7</w:t>
            </w:r>
          </w:p>
        </w:tc>
        <w:tc>
          <w:tcPr>
            <w:tcW w:w="13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Common Shares</w:t>
            </w: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51.7</w:t>
            </w: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0.1</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51.8</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51.4</w:t>
            </w:r>
          </w:p>
        </w:tc>
        <w:tc>
          <w:tcPr>
            <w:tcW w:w="1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0.2</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Earnings Per Share</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$0.60</w:t>
            </w:r>
          </w:p>
        </w:tc>
        <w:tc>
          <w:tcPr>
            <w:tcW w:w="12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$0.60</w:t>
            </w:r>
          </w:p>
        </w:tc>
        <w:tc>
          <w:tcPr>
            <w:tcW w:w="10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$0.59</w:t>
            </w:r>
          </w:p>
        </w:tc>
        <w:tc>
          <w:tcPr>
            <w:tcW w:w="13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$0.59</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Nine Months Ended September 30,</w:t>
            </w:r>
          </w:p>
        </w:tc>
        <w:tc>
          <w:tcPr>
            <w:tcW w:w="1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$135.9</w:t>
            </w:r>
          </w:p>
        </w:tc>
        <w:tc>
          <w:tcPr>
            <w:tcW w:w="12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$135.9</w:t>
            </w:r>
          </w:p>
        </w:tc>
        <w:tc>
          <w:tcPr>
            <w:tcW w:w="10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$113.0</w:t>
            </w:r>
          </w:p>
        </w:tc>
        <w:tc>
          <w:tcPr>
            <w:tcW w:w="13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$113.0</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Common Shares</w:t>
            </w: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51.6</w:t>
            </w: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0.1</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51.7</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51.3</w:t>
            </w:r>
          </w:p>
        </w:tc>
        <w:tc>
          <w:tcPr>
            <w:tcW w:w="1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0.2</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Earnings Per Share</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$2.63</w:t>
            </w:r>
          </w:p>
        </w:tc>
        <w:tc>
          <w:tcPr>
            <w:tcW w:w="12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$2.20</w:t>
            </w:r>
          </w:p>
        </w:tc>
        <w:tc>
          <w:tcPr>
            <w:tcW w:w="13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7"/>
        </w:trPr>
        <w:tc>
          <w:tcPr>
            <w:tcW w:w="40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58"/>
        </w:trPr>
        <w:tc>
          <w:tcPr>
            <w:tcW w:w="4000" w:type="dxa"/>
            <w:vAlign w:val="bottom"/>
          </w:tcPr>
          <w:p>
            <w:pPr>
              <w:spacing w:after="0"/>
              <w:rPr>
                <w:sz w:val="20"/>
                <w:szCs w:val="20"/>
                <w:color w:val="auto"/>
              </w:rPr>
            </w:pPr>
            <w:r>
              <w:rPr>
                <w:rFonts w:ascii="Arial" w:cs="Arial" w:eastAsia="Arial" w:hAnsi="Arial"/>
                <w:sz w:val="18"/>
                <w:szCs w:val="18"/>
                <w:b w:val="1"/>
                <w:bCs w:val="1"/>
                <w:color w:val="auto"/>
              </w:rPr>
              <w:t>NOTE 9. INCOME TAX EXPENSE</w:t>
            </w:r>
          </w:p>
        </w:tc>
        <w:tc>
          <w:tcPr>
            <w:tcW w:w="1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0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80" w:type="dxa"/>
            <w:vAlign w:val="bottom"/>
            <w:gridSpan w:val="3"/>
          </w:tcPr>
          <w:p>
            <w:pPr>
              <w:jc w:val="right"/>
              <w:ind w:right="710"/>
              <w:spacing w:after="0"/>
              <w:rPr>
                <w:sz w:val="20"/>
                <w:szCs w:val="20"/>
                <w:color w:val="auto"/>
              </w:rPr>
            </w:pPr>
            <w:r>
              <w:rPr>
                <w:rFonts w:ascii="Arial" w:cs="Arial" w:eastAsia="Arial" w:hAnsi="Arial"/>
                <w:sz w:val="18"/>
                <w:szCs w:val="18"/>
                <w:b w:val="1"/>
                <w:bCs w:val="1"/>
                <w:color w:val="auto"/>
              </w:rPr>
              <w:t>Quarter Ended</w:t>
            </w:r>
          </w:p>
        </w:tc>
        <w:tc>
          <w:tcPr>
            <w:tcW w:w="244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70"/>
        </w:trPr>
        <w:tc>
          <w:tcPr>
            <w:tcW w:w="40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480" w:type="dxa"/>
            <w:vAlign w:val="bottom"/>
            <w:gridSpan w:val="3"/>
          </w:tcPr>
          <w:p>
            <w:pPr>
              <w:jc w:val="right"/>
              <w:ind w:right="750"/>
              <w:spacing w:after="0"/>
              <w:rPr>
                <w:sz w:val="20"/>
                <w:szCs w:val="20"/>
                <w:color w:val="auto"/>
              </w:rPr>
            </w:pPr>
            <w:r>
              <w:rPr>
                <w:rFonts w:ascii="Arial" w:cs="Arial" w:eastAsia="Arial" w:hAnsi="Arial"/>
                <w:sz w:val="18"/>
                <w:szCs w:val="18"/>
                <w:b w:val="1"/>
                <w:bCs w:val="1"/>
                <w:color w:val="auto"/>
              </w:rPr>
              <w:t>September 30,</w:t>
            </w:r>
          </w:p>
        </w:tc>
        <w:tc>
          <w:tcPr>
            <w:tcW w:w="2440" w:type="dxa"/>
            <w:vAlign w:val="bottom"/>
            <w:gridSpan w:val="2"/>
          </w:tcPr>
          <w:p>
            <w:pPr>
              <w:jc w:val="right"/>
              <w:ind w:right="63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70"/>
        </w:trPr>
        <w:tc>
          <w:tcPr>
            <w:tcW w:w="40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2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3"/>
                <w:szCs w:val="23"/>
                <w:color w:val="auto"/>
              </w:rPr>
            </w:pPr>
          </w:p>
        </w:tc>
        <w:tc>
          <w:tcPr>
            <w:tcW w:w="116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300" w:type="dxa"/>
            <w:vAlign w:val="bottom"/>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11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40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Current Income Tax Expense </w:t>
            </w:r>
            <w:r>
              <w:rPr>
                <w:rFonts w:ascii="Arial" w:cs="Arial" w:eastAsia="Arial" w:hAnsi="Arial"/>
                <w:sz w:val="16"/>
                <w:szCs w:val="16"/>
                <w:i w:val="1"/>
                <w:iCs w:val="1"/>
                <w:color w:val="auto"/>
              </w:rPr>
              <w:t>(a)</w:t>
            </w:r>
          </w:p>
        </w:tc>
        <w:tc>
          <w:tcPr>
            <w:tcW w:w="1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Federal</w:t>
            </w:r>
          </w:p>
        </w:tc>
        <w:tc>
          <w:tcPr>
            <w:tcW w:w="1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w:t>
            </w:r>
          </w:p>
        </w:tc>
        <w:tc>
          <w:tcPr>
            <w:tcW w:w="1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$0.2</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7"/>
        </w:trPr>
        <w:tc>
          <w:tcPr>
            <w:tcW w:w="400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Current Income Tax Expense</w:t>
            </w:r>
          </w:p>
        </w:tc>
        <w:tc>
          <w:tcPr>
            <w:tcW w:w="1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gridSpan w:val="2"/>
          </w:tcPr>
          <w:p>
            <w:pPr>
              <w:jc w:val="right"/>
              <w:ind w:right="54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$0.2</w:t>
            </w:r>
          </w:p>
        </w:tc>
        <w:tc>
          <w:tcPr>
            <w:tcW w:w="11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40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Expense (Benefit)</w:t>
            </w:r>
          </w:p>
        </w:tc>
        <w:tc>
          <w:tcPr>
            <w:tcW w:w="1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 xml:space="preserve">Federal </w:t>
            </w:r>
            <w:r>
              <w:rPr>
                <w:rFonts w:ascii="Arial" w:cs="Arial" w:eastAsia="Arial" w:hAnsi="Arial"/>
                <w:sz w:val="16"/>
                <w:szCs w:val="16"/>
                <w:i w:val="1"/>
                <w:iCs w:val="1"/>
                <w:color w:val="auto"/>
              </w:rPr>
              <w:t>(b)</w:t>
            </w:r>
          </w:p>
        </w:tc>
        <w:tc>
          <w:tcPr>
            <w:tcW w:w="1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160" w:type="dxa"/>
            <w:vAlign w:val="bottom"/>
          </w:tcPr>
          <w:p>
            <w:pPr>
              <w:ind w:left="80"/>
              <w:spacing w:after="0"/>
              <w:rPr>
                <w:sz w:val="20"/>
                <w:szCs w:val="20"/>
                <w:color w:val="auto"/>
              </w:rPr>
            </w:pPr>
            <w:r>
              <w:rPr>
                <w:rFonts w:ascii="Arial" w:cs="Arial" w:eastAsia="Arial" w:hAnsi="Arial"/>
                <w:sz w:val="18"/>
                <w:szCs w:val="18"/>
                <w:color w:val="auto"/>
              </w:rPr>
              <w:t>$(2.2)</w:t>
            </w:r>
          </w:p>
        </w:tc>
        <w:tc>
          <w:tcPr>
            <w:tcW w:w="1300" w:type="dxa"/>
            <w:vAlign w:val="bottom"/>
          </w:tcPr>
          <w:p>
            <w:pPr>
              <w:jc w:val="right"/>
              <w:ind w:right="550"/>
              <w:spacing w:after="0"/>
              <w:rPr>
                <w:sz w:val="20"/>
                <w:szCs w:val="20"/>
                <w:color w:val="auto"/>
              </w:rPr>
            </w:pPr>
            <w:r>
              <w:rPr>
                <w:rFonts w:ascii="Arial" w:cs="Arial" w:eastAsia="Arial" w:hAnsi="Arial"/>
                <w:sz w:val="18"/>
                <w:szCs w:val="18"/>
                <w:color w:val="auto"/>
              </w:rPr>
              <w:t>$(21.8)</w:t>
            </w:r>
          </w:p>
        </w:tc>
        <w:tc>
          <w:tcPr>
            <w:tcW w:w="1140" w:type="dxa"/>
            <w:vAlign w:val="bottom"/>
          </w:tcPr>
          <w:p>
            <w:pPr>
              <w:jc w:val="right"/>
              <w:ind w:right="35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State </w:t>
            </w:r>
            <w:r>
              <w:rPr>
                <w:rFonts w:ascii="Arial" w:cs="Arial" w:eastAsia="Arial" w:hAnsi="Arial"/>
                <w:sz w:val="16"/>
                <w:szCs w:val="16"/>
                <w:i w:val="1"/>
                <w:iCs w:val="1"/>
                <w:color w:val="auto"/>
              </w:rPr>
              <w:t>(c)</w:t>
            </w:r>
          </w:p>
        </w:tc>
        <w:tc>
          <w:tcPr>
            <w:tcW w:w="1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2.8</w:t>
            </w:r>
          </w:p>
        </w:tc>
        <w:tc>
          <w:tcPr>
            <w:tcW w:w="13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17.7</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Investment Tax Credit Amortization</w:t>
            </w:r>
          </w:p>
        </w:tc>
        <w:tc>
          <w:tcPr>
            <w:tcW w:w="1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20" w:type="dxa"/>
            <w:vAlign w:val="bottom"/>
          </w:tcPr>
          <w:p>
            <w:pPr>
              <w:jc w:val="right"/>
              <w:ind w:right="29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color w:val="auto"/>
              </w:rPr>
              <w:t>(0.2)</w:t>
            </w:r>
          </w:p>
        </w:tc>
        <w:tc>
          <w:tcPr>
            <w:tcW w:w="1300" w:type="dxa"/>
            <w:vAlign w:val="bottom"/>
          </w:tcPr>
          <w:p>
            <w:pPr>
              <w:jc w:val="right"/>
              <w:ind w:right="270"/>
              <w:spacing w:after="0"/>
              <w:rPr>
                <w:sz w:val="20"/>
                <w:szCs w:val="20"/>
                <w:color w:val="auto"/>
              </w:rPr>
            </w:pPr>
            <w:r>
              <w:rPr>
                <w:rFonts w:ascii="Arial" w:cs="Arial" w:eastAsia="Arial" w:hAnsi="Arial"/>
                <w:sz w:val="18"/>
                <w:szCs w:val="18"/>
                <w:color w:val="auto"/>
              </w:rPr>
              <w:t>(0.4)</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40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w w:val="96"/>
              </w:rPr>
              <w:t>Total Deferred Income Tax Expense (Benefit)</w:t>
            </w:r>
          </w:p>
        </w:tc>
        <w:tc>
          <w:tcPr>
            <w:tcW w:w="1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$0.4</w:t>
            </w:r>
          </w:p>
        </w:tc>
        <w:tc>
          <w:tcPr>
            <w:tcW w:w="13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$(4.5)</w:t>
            </w:r>
          </w:p>
        </w:tc>
        <w:tc>
          <w:tcPr>
            <w:tcW w:w="1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37"/>
        </w:trPr>
        <w:tc>
          <w:tcPr>
            <w:tcW w:w="40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Income Tax Expense (Benefit)</w:t>
            </w:r>
          </w:p>
        </w:tc>
        <w:tc>
          <w:tcPr>
            <w:tcW w:w="1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color w:val="auto"/>
              </w:rPr>
              <w:t>$(2.4)</w:t>
            </w:r>
          </w:p>
        </w:tc>
        <w:tc>
          <w:tcPr>
            <w:tcW w:w="1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$0.4</w:t>
            </w:r>
          </w:p>
        </w:tc>
        <w:tc>
          <w:tcPr>
            <w:tcW w:w="130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$(4.3)</w:t>
            </w:r>
          </w:p>
        </w:tc>
        <w:tc>
          <w:tcPr>
            <w:tcW w:w="114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7"/>
        </w:trPr>
        <w:tc>
          <w:tcPr>
            <w:tcW w:w="40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jc w:val="both"/>
        <w:ind w:left="340" w:hanging="332"/>
        <w:spacing w:after="0" w:line="252" w:lineRule="auto"/>
        <w:tabs>
          <w:tab w:leader="none" w:pos="340"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For each of the nine months ended September 30, 2019, and 2018, the federal and state current tax expense was minimal due to NOLs which resulted from the bonus depreciation provisions of the Protecting Americans from Tax Hikes Act of 2015, the Tax Increase Prevention Act of 2014 and the American Taxpayer Relief Act of 2012. Federal and state NOLs are being carried forward to offset current and future taxable income.</w:t>
      </w:r>
    </w:p>
    <w:p>
      <w:pPr>
        <w:spacing w:after="0" w:line="1" w:lineRule="exact"/>
        <w:rPr>
          <w:rFonts w:ascii="Arial" w:cs="Arial" w:eastAsia="Arial" w:hAnsi="Arial"/>
          <w:sz w:val="16"/>
          <w:szCs w:val="16"/>
          <w:i w:val="1"/>
          <w:iCs w:val="1"/>
          <w:color w:val="auto"/>
        </w:rPr>
      </w:pPr>
    </w:p>
    <w:p>
      <w:pPr>
        <w:ind w:left="340" w:hanging="332"/>
        <w:spacing w:after="0"/>
        <w:tabs>
          <w:tab w:leader="none" w:pos="340"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For each of the nine months ended September 30, 2019, and 2018, the federal income tax benefit is primarily due to production tax credits.</w:t>
      </w:r>
    </w:p>
    <w:p>
      <w:pPr>
        <w:spacing w:after="0" w:line="5" w:lineRule="exact"/>
        <w:rPr>
          <w:rFonts w:ascii="Arial" w:cs="Arial" w:eastAsia="Arial" w:hAnsi="Arial"/>
          <w:sz w:val="16"/>
          <w:szCs w:val="16"/>
          <w:i w:val="1"/>
          <w:iCs w:val="1"/>
          <w:color w:val="auto"/>
        </w:rPr>
      </w:pPr>
    </w:p>
    <w:p>
      <w:pPr>
        <w:ind w:left="340" w:hanging="332"/>
        <w:spacing w:after="0"/>
        <w:tabs>
          <w:tab w:leader="none" w:pos="340"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For the nine months ended September 30, 2019, the state income tax expense is primarily due to the sale of U.S. Water Services.</w:t>
      </w:r>
    </w:p>
    <w:p>
      <w:pPr>
        <w:spacing w:after="0" w:line="20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tax provision for interim periods is determined using an estimate of its annual effective tax rate, adjusted for discrete items arising in that quarter. In each quarter, the Company updates its estimate of the annual effective tax rate and if the estimated annual effective tax rate changes, the Company would make a cumulative adjustment in that quarter.</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2019 Form 10-Q</w:t>
      </w:r>
    </w:p>
    <w:p>
      <w:pPr>
        <w:sectPr>
          <w:pgSz w:w="11900" w:h="16838" w:orient="portrait"/>
          <w:cols w:equalWidth="0" w:num="1">
            <w:col w:w="11420"/>
          </w:cols>
          <w:pgMar w:left="240" w:top="1040" w:right="239" w:bottom="958" w:gutter="0" w:footer="0" w:header="0"/>
        </w:sectPr>
      </w:pP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27</w:t>
      </w:r>
    </w:p>
    <w:p>
      <w:pPr>
        <w:sectPr>
          <w:pgSz w:w="11900" w:h="16838" w:orient="portrait"/>
          <w:cols w:equalWidth="0" w:num="1">
            <w:col w:w="11420"/>
          </w:cols>
          <w:pgMar w:left="240" w:top="1040" w:right="239" w:bottom="958" w:gutter="0" w:footer="0" w:header="0"/>
          <w:type w:val="continuous"/>
        </w:sectPr>
      </w:pPr>
    </w:p>
    <w:bookmarkStart w:id="27" w:name="page28"/>
    <w:bookmarkEnd w:id="27"/>
    <w:tbl>
      <w:tblPr>
        <w:tblLayout w:type="fixed"/>
        <w:tblInd w:w="0" w:type="dxa"/>
        <w:tblCellMar>
          <w:top w:w="0" w:type="dxa"/>
          <w:left w:w="0" w:type="dxa"/>
          <w:bottom w:w="0" w:type="dxa"/>
          <w:right w:w="0" w:type="dxa"/>
        </w:tblCellMar>
      </w:tblPr>
      <w:tr>
        <w:trPr>
          <w:trHeight w:val="234"/>
        </w:trPr>
        <w:tc>
          <w:tcPr>
            <w:tcW w:w="5640" w:type="dxa"/>
            <w:vAlign w:val="bottom"/>
          </w:tcPr>
          <w:p>
            <w:pPr>
              <w:spacing w:after="0"/>
              <w:rPr>
                <w:sz w:val="20"/>
                <w:szCs w:val="20"/>
                <w:color w:val="auto"/>
              </w:rPr>
            </w:pPr>
            <w:r>
              <w:rPr>
                <w:rFonts w:ascii="Arial" w:cs="Arial" w:eastAsia="Arial" w:hAnsi="Arial"/>
                <w:sz w:val="18"/>
                <w:szCs w:val="18"/>
                <w:b w:val="1"/>
                <w:bCs w:val="1"/>
                <w:color w:val="auto"/>
              </w:rPr>
              <w:t>NOTE 9. INCOME TAX EXPENSE (Continued)</w:t>
            </w:r>
          </w:p>
        </w:tc>
        <w:tc>
          <w:tcPr>
            <w:tcW w:w="2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59"/>
        </w:trPr>
        <w:tc>
          <w:tcPr>
            <w:tcW w:w="5640" w:type="dxa"/>
            <w:vAlign w:val="bottom"/>
          </w:tcPr>
          <w:p>
            <w:pPr>
              <w:spacing w:after="0"/>
              <w:rPr>
                <w:sz w:val="24"/>
                <w:szCs w:val="24"/>
                <w:color w:val="auto"/>
              </w:rPr>
            </w:pPr>
          </w:p>
        </w:tc>
        <w:tc>
          <w:tcPr>
            <w:tcW w:w="3440" w:type="dxa"/>
            <w:vAlign w:val="bottom"/>
            <w:gridSpan w:val="2"/>
          </w:tcPr>
          <w:p>
            <w:pPr>
              <w:jc w:val="right"/>
              <w:ind w:right="630"/>
              <w:spacing w:after="0"/>
              <w:rPr>
                <w:sz w:val="20"/>
                <w:szCs w:val="20"/>
                <w:color w:val="auto"/>
              </w:rPr>
            </w:pPr>
            <w:r>
              <w:rPr>
                <w:rFonts w:ascii="Arial" w:cs="Arial" w:eastAsia="Arial" w:hAnsi="Arial"/>
                <w:sz w:val="18"/>
                <w:szCs w:val="18"/>
                <w:b w:val="1"/>
                <w:bCs w:val="1"/>
                <w:color w:val="auto"/>
              </w:rPr>
              <w:t>Quarter Ended</w:t>
            </w:r>
          </w:p>
        </w:tc>
        <w:tc>
          <w:tcPr>
            <w:tcW w:w="234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Nine Months Ended</w:t>
            </w:r>
          </w:p>
        </w:tc>
      </w:tr>
      <w:tr>
        <w:trPr>
          <w:trHeight w:val="270"/>
        </w:trPr>
        <w:tc>
          <w:tcPr>
            <w:tcW w:w="5640" w:type="dxa"/>
            <w:vAlign w:val="bottom"/>
          </w:tcPr>
          <w:p>
            <w:pPr>
              <w:ind w:left="40"/>
              <w:spacing w:after="0"/>
              <w:rPr>
                <w:sz w:val="20"/>
                <w:szCs w:val="20"/>
                <w:color w:val="auto"/>
              </w:rPr>
            </w:pPr>
            <w:r>
              <w:rPr>
                <w:rFonts w:ascii="Arial" w:cs="Arial" w:eastAsia="Arial" w:hAnsi="Arial"/>
                <w:sz w:val="18"/>
                <w:szCs w:val="18"/>
                <w:b w:val="1"/>
                <w:bCs w:val="1"/>
                <w:color w:val="auto"/>
              </w:rPr>
              <w:t>Reconciliation of Taxes from Federal Statutory</w:t>
            </w:r>
          </w:p>
        </w:tc>
        <w:tc>
          <w:tcPr>
            <w:tcW w:w="3440" w:type="dxa"/>
            <w:vAlign w:val="bottom"/>
            <w:gridSpan w:val="2"/>
          </w:tcPr>
          <w:p>
            <w:pPr>
              <w:jc w:val="right"/>
              <w:ind w:right="650"/>
              <w:spacing w:after="0"/>
              <w:rPr>
                <w:sz w:val="20"/>
                <w:szCs w:val="20"/>
                <w:color w:val="auto"/>
              </w:rPr>
            </w:pPr>
            <w:r>
              <w:rPr>
                <w:rFonts w:ascii="Arial" w:cs="Arial" w:eastAsia="Arial" w:hAnsi="Arial"/>
                <w:sz w:val="18"/>
                <w:szCs w:val="18"/>
                <w:b w:val="1"/>
                <w:bCs w:val="1"/>
                <w:color w:val="auto"/>
              </w:rPr>
              <w:t>September 30,</w:t>
            </w:r>
          </w:p>
        </w:tc>
        <w:tc>
          <w:tcPr>
            <w:tcW w:w="2340" w:type="dxa"/>
            <w:vAlign w:val="bottom"/>
            <w:gridSpan w:val="2"/>
          </w:tcPr>
          <w:p>
            <w:pPr>
              <w:jc w:val="right"/>
              <w:ind w:right="610"/>
              <w:spacing w:after="0"/>
              <w:rPr>
                <w:sz w:val="20"/>
                <w:szCs w:val="20"/>
                <w:color w:val="auto"/>
              </w:rPr>
            </w:pPr>
            <w:r>
              <w:rPr>
                <w:rFonts w:ascii="Arial" w:cs="Arial" w:eastAsia="Arial" w:hAnsi="Arial"/>
                <w:sz w:val="18"/>
                <w:szCs w:val="18"/>
                <w:b w:val="1"/>
                <w:bCs w:val="1"/>
                <w:color w:val="auto"/>
              </w:rPr>
              <w:t>September 30,</w:t>
            </w:r>
          </w:p>
        </w:tc>
      </w:tr>
      <w:tr>
        <w:trPr>
          <w:trHeight w:val="270"/>
        </w:trPr>
        <w:tc>
          <w:tcPr>
            <w:tcW w:w="5640" w:type="dxa"/>
            <w:vAlign w:val="bottom"/>
          </w:tcPr>
          <w:p>
            <w:pPr>
              <w:ind w:left="40"/>
              <w:spacing w:after="0"/>
              <w:rPr>
                <w:sz w:val="20"/>
                <w:szCs w:val="20"/>
                <w:color w:val="auto"/>
              </w:rPr>
            </w:pPr>
            <w:r>
              <w:rPr>
                <w:rFonts w:ascii="Arial" w:cs="Arial" w:eastAsia="Arial" w:hAnsi="Arial"/>
                <w:sz w:val="18"/>
                <w:szCs w:val="18"/>
                <w:b w:val="1"/>
                <w:bCs w:val="1"/>
                <w:color w:val="auto"/>
              </w:rPr>
              <w:t>Rate to Total Income Tax Expense</w:t>
            </w:r>
          </w:p>
        </w:tc>
        <w:tc>
          <w:tcPr>
            <w:tcW w:w="23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280" w:type="dxa"/>
            <w:vAlign w:val="bottom"/>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1060" w:type="dxa"/>
            <w:vAlign w:val="bottom"/>
          </w:tcPr>
          <w:p>
            <w:pPr>
              <w:jc w:val="right"/>
              <w:ind w:right="330"/>
              <w:spacing w:after="0"/>
              <w:rPr>
                <w:sz w:val="20"/>
                <w:szCs w:val="20"/>
                <w:color w:val="auto"/>
              </w:rPr>
            </w:pPr>
            <w:r>
              <w:rPr>
                <w:rFonts w:ascii="Arial" w:cs="Arial" w:eastAsia="Arial" w:hAnsi="Arial"/>
                <w:sz w:val="18"/>
                <w:szCs w:val="18"/>
                <w:b w:val="1"/>
                <w:bCs w:val="1"/>
                <w:color w:val="auto"/>
              </w:rPr>
              <w:t>2018</w:t>
            </w:r>
          </w:p>
        </w:tc>
      </w:tr>
      <w:tr>
        <w:trPr>
          <w:trHeight w:val="27"/>
        </w:trPr>
        <w:tc>
          <w:tcPr>
            <w:tcW w:w="564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6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56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3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$28.8</w:t>
            </w:r>
          </w:p>
        </w:tc>
        <w:tc>
          <w:tcPr>
            <w:tcW w:w="11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$31.1</w:t>
            </w:r>
          </w:p>
        </w:tc>
        <w:tc>
          <w:tcPr>
            <w:tcW w:w="12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$131.6</w:t>
            </w: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$104.3</w:t>
            </w:r>
          </w:p>
        </w:tc>
      </w:tr>
      <w:tr>
        <w:trPr>
          <w:trHeight w:val="243"/>
        </w:trPr>
        <w:tc>
          <w:tcPr>
            <w:tcW w:w="5640" w:type="dxa"/>
            <w:vAlign w:val="bottom"/>
          </w:tcPr>
          <w:p>
            <w:pPr>
              <w:ind w:left="40"/>
              <w:spacing w:after="0"/>
              <w:rPr>
                <w:sz w:val="20"/>
                <w:szCs w:val="20"/>
                <w:color w:val="auto"/>
              </w:rPr>
            </w:pPr>
            <w:r>
              <w:rPr>
                <w:rFonts w:ascii="Arial" w:cs="Arial" w:eastAsia="Arial" w:hAnsi="Arial"/>
                <w:sz w:val="18"/>
                <w:szCs w:val="18"/>
                <w:color w:val="auto"/>
              </w:rPr>
              <w:t>Statutory Federal Income Tax Rate</w:t>
            </w:r>
          </w:p>
        </w:tc>
        <w:tc>
          <w:tcPr>
            <w:tcW w:w="2300" w:type="dxa"/>
            <w:vAlign w:val="bottom"/>
          </w:tcPr>
          <w:p>
            <w:pPr>
              <w:jc w:val="right"/>
              <w:ind w:right="170"/>
              <w:spacing w:after="0"/>
              <w:rPr>
                <w:sz w:val="20"/>
                <w:szCs w:val="20"/>
                <w:color w:val="auto"/>
              </w:rPr>
            </w:pPr>
            <w:r>
              <w:rPr>
                <w:rFonts w:ascii="Arial" w:cs="Arial" w:eastAsia="Arial" w:hAnsi="Arial"/>
                <w:sz w:val="18"/>
                <w:szCs w:val="18"/>
                <w:color w:val="auto"/>
              </w:rPr>
              <w:t>21%</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21%</w:t>
            </w:r>
          </w:p>
        </w:tc>
        <w:tc>
          <w:tcPr>
            <w:tcW w:w="1280" w:type="dxa"/>
            <w:vAlign w:val="bottom"/>
          </w:tcPr>
          <w:p>
            <w:pPr>
              <w:jc w:val="right"/>
              <w:ind w:right="190"/>
              <w:spacing w:after="0"/>
              <w:rPr>
                <w:sz w:val="20"/>
                <w:szCs w:val="20"/>
                <w:color w:val="auto"/>
              </w:rPr>
            </w:pPr>
            <w:r>
              <w:rPr>
                <w:rFonts w:ascii="Arial" w:cs="Arial" w:eastAsia="Arial" w:hAnsi="Arial"/>
                <w:sz w:val="18"/>
                <w:szCs w:val="18"/>
                <w:color w:val="auto"/>
              </w:rPr>
              <w:t>21%</w:t>
            </w:r>
          </w:p>
        </w:tc>
        <w:tc>
          <w:tcPr>
            <w:tcW w:w="10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564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 Computed at Statutory Federal Rate</w:t>
            </w:r>
          </w:p>
        </w:tc>
        <w:tc>
          <w:tcPr>
            <w:tcW w:w="23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$6.0</w:t>
            </w:r>
          </w:p>
        </w:tc>
        <w:tc>
          <w:tcPr>
            <w:tcW w:w="11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$6.5</w:t>
            </w:r>
          </w:p>
        </w:tc>
        <w:tc>
          <w:tcPr>
            <w:tcW w:w="12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$27.6</w:t>
            </w: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$21.9</w:t>
            </w:r>
          </w:p>
        </w:tc>
      </w:tr>
      <w:tr>
        <w:trPr>
          <w:trHeight w:val="243"/>
        </w:trPr>
        <w:tc>
          <w:tcPr>
            <w:tcW w:w="5640" w:type="dxa"/>
            <w:vAlign w:val="bottom"/>
          </w:tcPr>
          <w:p>
            <w:pPr>
              <w:ind w:left="40"/>
              <w:spacing w:after="0"/>
              <w:rPr>
                <w:sz w:val="20"/>
                <w:szCs w:val="20"/>
                <w:color w:val="auto"/>
              </w:rPr>
            </w:pPr>
            <w:r>
              <w:rPr>
                <w:rFonts w:ascii="Arial" w:cs="Arial" w:eastAsia="Arial" w:hAnsi="Arial"/>
                <w:sz w:val="18"/>
                <w:szCs w:val="18"/>
                <w:color w:val="auto"/>
              </w:rPr>
              <w:t>Increase (Decrease) in Income Tax Due to:</w:t>
            </w:r>
          </w:p>
        </w:tc>
        <w:tc>
          <w:tcPr>
            <w:tcW w:w="2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6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 Income Taxes – Net of Federal Income Tax Benefit</w:t>
            </w:r>
          </w:p>
        </w:tc>
        <w:tc>
          <w:tcPr>
            <w:tcW w:w="23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2.1</w:t>
            </w:r>
          </w:p>
        </w:tc>
        <w:tc>
          <w:tcPr>
            <w:tcW w:w="11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2.2</w:t>
            </w:r>
          </w:p>
        </w:tc>
        <w:tc>
          <w:tcPr>
            <w:tcW w:w="12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14.1</w:t>
            </w: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6.4</w:t>
            </w:r>
          </w:p>
        </w:tc>
      </w:tr>
      <w:tr>
        <w:trPr>
          <w:trHeight w:val="243"/>
        </w:trPr>
        <w:tc>
          <w:tcPr>
            <w:tcW w:w="5640" w:type="dxa"/>
            <w:vAlign w:val="bottom"/>
          </w:tcPr>
          <w:p>
            <w:pPr>
              <w:ind w:left="280"/>
              <w:spacing w:after="0"/>
              <w:rPr>
                <w:sz w:val="20"/>
                <w:szCs w:val="20"/>
                <w:color w:val="auto"/>
              </w:rPr>
            </w:pPr>
            <w:r>
              <w:rPr>
                <w:rFonts w:ascii="Arial" w:cs="Arial" w:eastAsia="Arial" w:hAnsi="Arial"/>
                <w:sz w:val="18"/>
                <w:szCs w:val="18"/>
                <w:color w:val="auto"/>
              </w:rPr>
              <w:t>Production Tax Credits</w:t>
            </w:r>
          </w:p>
        </w:tc>
        <w:tc>
          <w:tcPr>
            <w:tcW w:w="2300" w:type="dxa"/>
            <w:vAlign w:val="bottom"/>
          </w:tcPr>
          <w:p>
            <w:pPr>
              <w:jc w:val="right"/>
              <w:ind w:right="250"/>
              <w:spacing w:after="0"/>
              <w:rPr>
                <w:sz w:val="20"/>
                <w:szCs w:val="20"/>
                <w:color w:val="auto"/>
              </w:rPr>
            </w:pPr>
            <w:r>
              <w:rPr>
                <w:rFonts w:ascii="Arial" w:cs="Arial" w:eastAsia="Arial" w:hAnsi="Arial"/>
                <w:sz w:val="18"/>
                <w:szCs w:val="18"/>
                <w:color w:val="auto"/>
              </w:rPr>
              <w:t>(9.6)</w:t>
            </w:r>
          </w:p>
        </w:tc>
        <w:tc>
          <w:tcPr>
            <w:tcW w:w="1140" w:type="dxa"/>
            <w:vAlign w:val="bottom"/>
          </w:tcPr>
          <w:p>
            <w:pPr>
              <w:jc w:val="right"/>
              <w:ind w:right="210"/>
              <w:spacing w:after="0"/>
              <w:rPr>
                <w:sz w:val="20"/>
                <w:szCs w:val="20"/>
                <w:color w:val="auto"/>
              </w:rPr>
            </w:pPr>
            <w:r>
              <w:rPr>
                <w:rFonts w:ascii="Arial" w:cs="Arial" w:eastAsia="Arial" w:hAnsi="Arial"/>
                <w:sz w:val="18"/>
                <w:szCs w:val="18"/>
                <w:color w:val="auto"/>
              </w:rPr>
              <w:t>(9.4)</w:t>
            </w:r>
          </w:p>
        </w:tc>
        <w:tc>
          <w:tcPr>
            <w:tcW w:w="1280" w:type="dxa"/>
            <w:vAlign w:val="bottom"/>
          </w:tcPr>
          <w:p>
            <w:pPr>
              <w:jc w:val="right"/>
              <w:ind w:right="290"/>
              <w:spacing w:after="0"/>
              <w:rPr>
                <w:sz w:val="20"/>
                <w:szCs w:val="20"/>
                <w:color w:val="auto"/>
              </w:rPr>
            </w:pPr>
            <w:r>
              <w:rPr>
                <w:rFonts w:ascii="Arial" w:cs="Arial" w:eastAsia="Arial" w:hAnsi="Arial"/>
                <w:sz w:val="18"/>
                <w:szCs w:val="18"/>
                <w:color w:val="auto"/>
              </w:rPr>
              <w:t>(35.7)</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(35.0)</w:t>
            </w:r>
          </w:p>
        </w:tc>
      </w:tr>
      <w:tr>
        <w:trPr>
          <w:trHeight w:val="27"/>
        </w:trPr>
        <w:tc>
          <w:tcPr>
            <w:tcW w:w="56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Regulatory Differences – Excess Deferred Tax</w:t>
            </w:r>
          </w:p>
        </w:tc>
        <w:tc>
          <w:tcPr>
            <w:tcW w:w="23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(1.7)</w:t>
            </w:r>
          </w:p>
        </w:tc>
        <w:tc>
          <w:tcPr>
            <w:tcW w:w="11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(1.1)</w:t>
            </w:r>
          </w:p>
        </w:tc>
        <w:tc>
          <w:tcPr>
            <w:tcW w:w="12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(6.5)</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w:t>
            </w:r>
          </w:p>
        </w:tc>
      </w:tr>
      <w:tr>
        <w:trPr>
          <w:trHeight w:val="243"/>
        </w:trPr>
        <w:tc>
          <w:tcPr>
            <w:tcW w:w="5640" w:type="dxa"/>
            <w:vAlign w:val="bottom"/>
          </w:tcPr>
          <w:p>
            <w:pPr>
              <w:ind w:left="280"/>
              <w:spacing w:after="0"/>
              <w:rPr>
                <w:sz w:val="20"/>
                <w:szCs w:val="20"/>
                <w:color w:val="auto"/>
              </w:rPr>
            </w:pPr>
            <w:r>
              <w:rPr>
                <w:rFonts w:ascii="Arial" w:cs="Arial" w:eastAsia="Arial" w:hAnsi="Arial"/>
                <w:sz w:val="18"/>
                <w:szCs w:val="18"/>
                <w:color w:val="auto"/>
              </w:rPr>
              <w:t>U.S. Water Services Sale of Stock Basis Difference</w:t>
            </w:r>
          </w:p>
        </w:tc>
        <w:tc>
          <w:tcPr>
            <w:tcW w:w="2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50"/>
              <w:spacing w:after="0"/>
              <w:rPr>
                <w:sz w:val="20"/>
                <w:szCs w:val="20"/>
                <w:color w:val="auto"/>
              </w:rPr>
            </w:pPr>
            <w:r>
              <w:rPr>
                <w:rFonts w:ascii="Arial" w:cs="Arial" w:eastAsia="Arial" w:hAnsi="Arial"/>
                <w:sz w:val="18"/>
                <w:szCs w:val="18"/>
                <w:color w:val="auto"/>
              </w:rPr>
              <w:t>1.7</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56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Share-Based Compensation</w:t>
            </w:r>
          </w:p>
        </w:tc>
        <w:tc>
          <w:tcPr>
            <w:tcW w:w="23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(0.9)</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w:t>
            </w:r>
          </w:p>
        </w:tc>
      </w:tr>
      <w:tr>
        <w:trPr>
          <w:trHeight w:val="243"/>
        </w:trPr>
        <w:tc>
          <w:tcPr>
            <w:tcW w:w="5640" w:type="dxa"/>
            <w:vAlign w:val="bottom"/>
          </w:tcPr>
          <w:p>
            <w:pPr>
              <w:ind w:left="280"/>
              <w:spacing w:after="0"/>
              <w:rPr>
                <w:sz w:val="20"/>
                <w:szCs w:val="20"/>
                <w:color w:val="auto"/>
              </w:rPr>
            </w:pPr>
            <w:r>
              <w:rPr>
                <w:rFonts w:ascii="Arial" w:cs="Arial" w:eastAsia="Arial" w:hAnsi="Arial"/>
                <w:sz w:val="18"/>
                <w:szCs w:val="18"/>
                <w:color w:val="auto"/>
              </w:rPr>
              <w:t>Other</w:t>
            </w:r>
          </w:p>
        </w:tc>
        <w:tc>
          <w:tcPr>
            <w:tcW w:w="2300" w:type="dxa"/>
            <w:vAlign w:val="bottom"/>
          </w:tcPr>
          <w:p>
            <w:pPr>
              <w:jc w:val="right"/>
              <w:ind w:right="310"/>
              <w:spacing w:after="0"/>
              <w:rPr>
                <w:sz w:val="20"/>
                <w:szCs w:val="20"/>
                <w:color w:val="auto"/>
              </w:rPr>
            </w:pPr>
            <w:r>
              <w:rPr>
                <w:rFonts w:ascii="Arial" w:cs="Arial" w:eastAsia="Arial" w:hAnsi="Arial"/>
                <w:sz w:val="18"/>
                <w:szCs w:val="18"/>
                <w:color w:val="auto"/>
              </w:rPr>
              <w:t>0.8</w:t>
            </w:r>
          </w:p>
        </w:tc>
        <w:tc>
          <w:tcPr>
            <w:tcW w:w="1140" w:type="dxa"/>
            <w:vAlign w:val="bottom"/>
          </w:tcPr>
          <w:p>
            <w:pPr>
              <w:jc w:val="right"/>
              <w:ind w:right="270"/>
              <w:spacing w:after="0"/>
              <w:rPr>
                <w:sz w:val="20"/>
                <w:szCs w:val="20"/>
                <w:color w:val="auto"/>
              </w:rPr>
            </w:pPr>
            <w:r>
              <w:rPr>
                <w:rFonts w:ascii="Arial" w:cs="Arial" w:eastAsia="Arial" w:hAnsi="Arial"/>
                <w:sz w:val="18"/>
                <w:szCs w:val="18"/>
                <w:color w:val="auto"/>
              </w:rPr>
              <w:t>2.2</w:t>
            </w:r>
          </w:p>
        </w:tc>
        <w:tc>
          <w:tcPr>
            <w:tcW w:w="1280" w:type="dxa"/>
            <w:vAlign w:val="bottom"/>
          </w:tcPr>
          <w:p>
            <w:pPr>
              <w:jc w:val="right"/>
              <w:ind w:right="290"/>
              <w:spacing w:after="0"/>
              <w:rPr>
                <w:sz w:val="20"/>
                <w:szCs w:val="20"/>
                <w:color w:val="auto"/>
              </w:rPr>
            </w:pPr>
            <w:r>
              <w:rPr>
                <w:rFonts w:ascii="Arial" w:cs="Arial" w:eastAsia="Arial" w:hAnsi="Arial"/>
                <w:sz w:val="18"/>
                <w:szCs w:val="18"/>
                <w:color w:val="auto"/>
              </w:rPr>
              <w:t>(4.6)</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4.0</w:t>
            </w:r>
          </w:p>
        </w:tc>
      </w:tr>
      <w:tr>
        <w:trPr>
          <w:trHeight w:val="27"/>
        </w:trPr>
        <w:tc>
          <w:tcPr>
            <w:tcW w:w="564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Income Tax Expense (Benefit)</w:t>
            </w:r>
          </w:p>
        </w:tc>
        <w:tc>
          <w:tcPr>
            <w:tcW w:w="230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$(2.4)</w:t>
            </w:r>
          </w:p>
        </w:tc>
        <w:tc>
          <w:tcPr>
            <w:tcW w:w="114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$0.4</w:t>
            </w:r>
          </w:p>
        </w:tc>
        <w:tc>
          <w:tcPr>
            <w:tcW w:w="128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$(4.3)</w:t>
            </w: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$(8.7)</w:t>
            </w:r>
          </w:p>
        </w:tc>
      </w:tr>
      <w:tr>
        <w:trPr>
          <w:trHeight w:val="20"/>
        </w:trPr>
        <w:tc>
          <w:tcPr>
            <w:tcW w:w="5640" w:type="dxa"/>
            <w:vAlign w:val="bottom"/>
            <w:shd w:val="clear" w:color="auto" w:fill="000000"/>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nine months ended September 30, 2019, the effective tax rate was a benefit of 3.3 percent (benefit of 8.3 percent for the nine months ended September 30, 2018). The effective tax rate for 2019 was a lower benefit primarily due to a higher tax rate on, and higher pre-tax income resulting from the gain on, the sale of U.S. Water Services.</w:t>
      </w:r>
    </w:p>
    <w:p>
      <w:pPr>
        <w:spacing w:after="0" w:line="17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Uncertain Tax Positions. </w:t>
      </w:r>
      <w:r>
        <w:rPr>
          <w:rFonts w:ascii="Arial" w:cs="Arial" w:eastAsia="Arial" w:hAnsi="Arial"/>
          <w:sz w:val="18"/>
          <w:szCs w:val="18"/>
          <w:color w:val="auto"/>
        </w:rPr>
        <w:t>As of September 30, 2019, we had gross unrecognized tax benefits of $1.3 million ($1.6 million as of December 31, 2018). Of the</w:t>
      </w:r>
      <w:r>
        <w:rPr>
          <w:rFonts w:ascii="Arial" w:cs="Arial" w:eastAsia="Arial" w:hAnsi="Arial"/>
          <w:sz w:val="18"/>
          <w:szCs w:val="18"/>
          <w:b w:val="1"/>
          <w:bCs w:val="1"/>
          <w:color w:val="auto"/>
        </w:rPr>
        <w:t xml:space="preserve"> </w:t>
      </w:r>
      <w:r>
        <w:rPr>
          <w:rFonts w:ascii="Arial" w:cs="Arial" w:eastAsia="Arial" w:hAnsi="Arial"/>
          <w:sz w:val="18"/>
          <w:szCs w:val="18"/>
          <w:color w:val="auto"/>
        </w:rPr>
        <w:t>total gross unrecognized tax benefits, $0.6 million represents the amount of unrecognized tax benefits included on the Consolidated Balance Sheet that, if recognized, would favorably impact the effective income tax rate. The unrecognized tax benefit amounts have been presented as reductions to the tax benefits associated with NOL and tax credit carryforwards on the Consolidated Balance Sheet.</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ALLETE and its subsidiaries file a consolidated federal income tax return as well as combined and separate state income tax returns in various jurisdictions.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ALLETE has no open federal or state audits, and is no longer subject to federal examination for years before 2016, or state examination for years before 2015.</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2019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1420"/>
          </w:cols>
          <w:pgMar w:left="240" w:top="1040"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4"/>
        </w:trPr>
        <w:tc>
          <w:tcPr>
            <w:tcW w:w="6480" w:type="dxa"/>
            <w:vAlign w:val="bottom"/>
          </w:tcPr>
          <w:p>
            <w:pPr>
              <w:spacing w:after="0"/>
              <w:rPr>
                <w:sz w:val="20"/>
                <w:szCs w:val="20"/>
                <w:color w:val="auto"/>
              </w:rPr>
            </w:pPr>
            <w:r>
              <w:rPr>
                <w:rFonts w:ascii="Arial" w:cs="Arial" w:eastAsia="Arial" w:hAnsi="Arial"/>
                <w:sz w:val="18"/>
                <w:szCs w:val="18"/>
                <w:b w:val="1"/>
                <w:bCs w:val="1"/>
                <w:color w:val="auto"/>
              </w:rPr>
              <w:t>NOTE 10. PENSION AND OTHER POSTRETIREMENT BENEFIT PLANS</w:t>
            </w:r>
          </w:p>
        </w:tc>
        <w:tc>
          <w:tcPr>
            <w:tcW w:w="16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41"/>
        </w:trPr>
        <w:tc>
          <w:tcPr>
            <w:tcW w:w="64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0" w:type="dxa"/>
            <w:vAlign w:val="bottom"/>
          </w:tcPr>
          <w:p>
            <w:pPr>
              <w:jc w:val="right"/>
              <w:ind w:right="850"/>
              <w:spacing w:after="0"/>
              <w:rPr>
                <w:sz w:val="20"/>
                <w:szCs w:val="20"/>
                <w:color w:val="auto"/>
              </w:rPr>
            </w:pPr>
            <w:r>
              <w:rPr>
                <w:rFonts w:ascii="Arial" w:cs="Arial" w:eastAsia="Arial" w:hAnsi="Arial"/>
                <w:sz w:val="18"/>
                <w:szCs w:val="18"/>
                <w:b w:val="1"/>
                <w:bCs w:val="1"/>
                <w:color w:val="auto"/>
                <w:w w:val="91"/>
              </w:rPr>
              <w:t>Other</w:t>
            </w:r>
          </w:p>
        </w:tc>
      </w:tr>
      <w:tr>
        <w:trPr>
          <w:trHeight w:val="234"/>
        </w:trPr>
        <w:tc>
          <w:tcPr>
            <w:tcW w:w="64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b w:val="1"/>
                <w:bCs w:val="1"/>
                <w:color w:val="auto"/>
              </w:rPr>
              <w:t>Pension</w:t>
            </w:r>
          </w:p>
        </w:tc>
        <w:tc>
          <w:tcPr>
            <w:tcW w:w="920" w:type="dxa"/>
            <w:vAlign w:val="bottom"/>
          </w:tcPr>
          <w:p>
            <w:pPr>
              <w:spacing w:after="0"/>
              <w:rPr>
                <w:sz w:val="20"/>
                <w:szCs w:val="20"/>
                <w:color w:val="auto"/>
              </w:rPr>
            </w:pPr>
          </w:p>
        </w:tc>
        <w:tc>
          <w:tcPr>
            <w:tcW w:w="2360" w:type="dxa"/>
            <w:vAlign w:val="bottom"/>
            <w:gridSpan w:val="2"/>
          </w:tcPr>
          <w:p>
            <w:pPr>
              <w:jc w:val="right"/>
              <w:ind w:right="510"/>
              <w:spacing w:after="0"/>
              <w:rPr>
                <w:sz w:val="20"/>
                <w:szCs w:val="20"/>
                <w:color w:val="auto"/>
              </w:rPr>
            </w:pPr>
            <w:r>
              <w:rPr>
                <w:rFonts w:ascii="Arial" w:cs="Arial" w:eastAsia="Arial" w:hAnsi="Arial"/>
                <w:sz w:val="18"/>
                <w:szCs w:val="18"/>
                <w:b w:val="1"/>
                <w:bCs w:val="1"/>
                <w:color w:val="auto"/>
              </w:rPr>
              <w:t>Postretirement</w:t>
            </w:r>
          </w:p>
        </w:tc>
      </w:tr>
      <w:tr>
        <w:trPr>
          <w:trHeight w:val="270"/>
        </w:trPr>
        <w:tc>
          <w:tcPr>
            <w:tcW w:w="6480" w:type="dxa"/>
            <w:vAlign w:val="bottom"/>
          </w:tcPr>
          <w:p>
            <w:pPr>
              <w:ind w:left="40"/>
              <w:spacing w:after="0"/>
              <w:rPr>
                <w:sz w:val="20"/>
                <w:szCs w:val="20"/>
                <w:color w:val="auto"/>
              </w:rPr>
            </w:pPr>
            <w:r>
              <w:rPr>
                <w:rFonts w:ascii="Arial" w:cs="Arial" w:eastAsia="Arial" w:hAnsi="Arial"/>
                <w:sz w:val="18"/>
                <w:szCs w:val="18"/>
                <w:b w:val="1"/>
                <w:bCs w:val="1"/>
                <w:color w:val="auto"/>
              </w:rPr>
              <w:t>Components of Net Periodic Benefit Cost (Credit)</w:t>
            </w:r>
          </w:p>
        </w:tc>
        <w:tc>
          <w:tcPr>
            <w:tcW w:w="1660" w:type="dxa"/>
            <w:vAlign w:val="bottom"/>
          </w:tcPr>
          <w:p>
            <w:pPr>
              <w:jc w:val="right"/>
              <w:ind w:right="710"/>
              <w:spacing w:after="0"/>
              <w:rPr>
                <w:sz w:val="20"/>
                <w:szCs w:val="20"/>
                <w:color w:val="auto"/>
              </w:rPr>
            </w:pPr>
            <w:r>
              <w:rPr>
                <w:rFonts w:ascii="Arial" w:cs="Arial" w:eastAsia="Arial" w:hAnsi="Arial"/>
                <w:sz w:val="18"/>
                <w:szCs w:val="18"/>
                <w:b w:val="1"/>
                <w:bCs w:val="1"/>
                <w:color w:val="auto"/>
              </w:rPr>
              <w:t>2019</w:t>
            </w:r>
          </w:p>
        </w:tc>
        <w:tc>
          <w:tcPr>
            <w:tcW w:w="920" w:type="dxa"/>
            <w:vAlign w:val="bottom"/>
          </w:tcPr>
          <w:p>
            <w:pPr>
              <w:jc w:val="right"/>
              <w:ind w:right="410"/>
              <w:spacing w:after="0"/>
              <w:rPr>
                <w:sz w:val="20"/>
                <w:szCs w:val="20"/>
                <w:color w:val="auto"/>
              </w:rPr>
            </w:pPr>
            <w:r>
              <w:rPr>
                <w:rFonts w:ascii="Arial" w:cs="Arial" w:eastAsia="Arial" w:hAnsi="Arial"/>
                <w:sz w:val="18"/>
                <w:szCs w:val="18"/>
                <w:b w:val="1"/>
                <w:bCs w:val="1"/>
                <w:color w:val="auto"/>
                <w:w w:val="99"/>
              </w:rPr>
              <w:t>2018</w:t>
            </w:r>
          </w:p>
        </w:tc>
        <w:tc>
          <w:tcPr>
            <w:tcW w:w="960" w:type="dxa"/>
            <w:vAlign w:val="bottom"/>
          </w:tcPr>
          <w:p>
            <w:pPr>
              <w:jc w:val="right"/>
              <w:ind w:right="130"/>
              <w:spacing w:after="0"/>
              <w:rPr>
                <w:sz w:val="20"/>
                <w:szCs w:val="20"/>
                <w:color w:val="auto"/>
              </w:rPr>
            </w:pPr>
            <w:r>
              <w:rPr>
                <w:rFonts w:ascii="Arial" w:cs="Arial" w:eastAsia="Arial" w:hAnsi="Arial"/>
                <w:sz w:val="18"/>
                <w:szCs w:val="18"/>
                <w:b w:val="1"/>
                <w:bCs w:val="1"/>
                <w:color w:val="auto"/>
              </w:rPr>
              <w:t>2019</w:t>
            </w:r>
          </w:p>
        </w:tc>
        <w:tc>
          <w:tcPr>
            <w:tcW w:w="14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r>
      <w:tr>
        <w:trPr>
          <w:trHeight w:val="27"/>
        </w:trPr>
        <w:tc>
          <w:tcPr>
            <w:tcW w:w="64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64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6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64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9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Quarter Ended September 30,</w:t>
            </w:r>
          </w:p>
        </w:tc>
        <w:tc>
          <w:tcPr>
            <w:tcW w:w="16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6480" w:type="dxa"/>
            <w:vAlign w:val="bottom"/>
          </w:tcPr>
          <w:p>
            <w:pPr>
              <w:ind w:left="40"/>
              <w:spacing w:after="0"/>
              <w:rPr>
                <w:sz w:val="20"/>
                <w:szCs w:val="20"/>
                <w:color w:val="auto"/>
              </w:rPr>
            </w:pPr>
            <w:r>
              <w:rPr>
                <w:rFonts w:ascii="Arial" w:cs="Arial" w:eastAsia="Arial" w:hAnsi="Arial"/>
                <w:sz w:val="18"/>
                <w:szCs w:val="18"/>
                <w:color w:val="auto"/>
              </w:rPr>
              <w:t>Service Cost</w:t>
            </w:r>
          </w:p>
        </w:tc>
        <w:tc>
          <w:tcPr>
            <w:tcW w:w="1660" w:type="dxa"/>
            <w:vAlign w:val="bottom"/>
          </w:tcPr>
          <w:p>
            <w:pPr>
              <w:jc w:val="right"/>
              <w:ind w:right="550"/>
              <w:spacing w:after="0"/>
              <w:rPr>
                <w:sz w:val="20"/>
                <w:szCs w:val="20"/>
                <w:color w:val="auto"/>
              </w:rPr>
            </w:pPr>
            <w:r>
              <w:rPr>
                <w:rFonts w:ascii="Arial" w:cs="Arial" w:eastAsia="Arial" w:hAnsi="Arial"/>
                <w:sz w:val="18"/>
                <w:szCs w:val="18"/>
                <w:color w:val="auto"/>
              </w:rPr>
              <w:t>$2.3</w:t>
            </w:r>
          </w:p>
        </w:tc>
        <w:tc>
          <w:tcPr>
            <w:tcW w:w="920" w:type="dxa"/>
            <w:vAlign w:val="bottom"/>
          </w:tcPr>
          <w:p>
            <w:pPr>
              <w:jc w:val="right"/>
              <w:ind w:right="250"/>
              <w:spacing w:after="0"/>
              <w:rPr>
                <w:sz w:val="20"/>
                <w:szCs w:val="20"/>
                <w:color w:val="auto"/>
              </w:rPr>
            </w:pPr>
            <w:r>
              <w:rPr>
                <w:rFonts w:ascii="Arial" w:cs="Arial" w:eastAsia="Arial" w:hAnsi="Arial"/>
                <w:sz w:val="18"/>
                <w:szCs w:val="18"/>
                <w:color w:val="auto"/>
              </w:rPr>
              <w:t>$2.7</w:t>
            </w: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$1.2</w:t>
            </w:r>
          </w:p>
        </w:tc>
      </w:tr>
      <w:tr>
        <w:trPr>
          <w:trHeight w:val="27"/>
        </w:trPr>
        <w:tc>
          <w:tcPr>
            <w:tcW w:w="64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9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Non-Service Cost Components </w:t>
            </w:r>
            <w:r>
              <w:rPr>
                <w:rFonts w:ascii="Arial" w:cs="Arial" w:eastAsia="Arial" w:hAnsi="Arial"/>
                <w:sz w:val="16"/>
                <w:szCs w:val="16"/>
                <w:i w:val="1"/>
                <w:iCs w:val="1"/>
                <w:color w:val="auto"/>
              </w:rPr>
              <w:t>(a)</w:t>
            </w:r>
          </w:p>
        </w:tc>
        <w:tc>
          <w:tcPr>
            <w:tcW w:w="16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6480" w:type="dxa"/>
            <w:vAlign w:val="bottom"/>
          </w:tcPr>
          <w:p>
            <w:pPr>
              <w:ind w:left="180"/>
              <w:spacing w:after="0"/>
              <w:rPr>
                <w:sz w:val="20"/>
                <w:szCs w:val="20"/>
                <w:color w:val="auto"/>
              </w:rPr>
            </w:pPr>
            <w:r>
              <w:rPr>
                <w:rFonts w:ascii="Arial" w:cs="Arial" w:eastAsia="Arial" w:hAnsi="Arial"/>
                <w:sz w:val="18"/>
                <w:szCs w:val="18"/>
                <w:color w:val="auto"/>
              </w:rPr>
              <w:t>Interest Cost</w:t>
            </w:r>
          </w:p>
        </w:tc>
        <w:tc>
          <w:tcPr>
            <w:tcW w:w="1660" w:type="dxa"/>
            <w:vAlign w:val="bottom"/>
          </w:tcPr>
          <w:p>
            <w:pPr>
              <w:jc w:val="right"/>
              <w:ind w:right="550"/>
              <w:spacing w:after="0"/>
              <w:rPr>
                <w:sz w:val="20"/>
                <w:szCs w:val="20"/>
                <w:color w:val="auto"/>
              </w:rPr>
            </w:pPr>
            <w:r>
              <w:rPr>
                <w:rFonts w:ascii="Arial" w:cs="Arial" w:eastAsia="Arial" w:hAnsi="Arial"/>
                <w:sz w:val="18"/>
                <w:szCs w:val="18"/>
                <w:color w:val="auto"/>
              </w:rPr>
              <w:t>7.9</w:t>
            </w:r>
          </w:p>
        </w:tc>
        <w:tc>
          <w:tcPr>
            <w:tcW w:w="920" w:type="dxa"/>
            <w:vAlign w:val="bottom"/>
          </w:tcPr>
          <w:p>
            <w:pPr>
              <w:jc w:val="right"/>
              <w:ind w:right="250"/>
              <w:spacing w:after="0"/>
              <w:rPr>
                <w:sz w:val="20"/>
                <w:szCs w:val="20"/>
                <w:color w:val="auto"/>
              </w:rPr>
            </w:pPr>
            <w:r>
              <w:rPr>
                <w:rFonts w:ascii="Arial" w:cs="Arial" w:eastAsia="Arial" w:hAnsi="Arial"/>
                <w:sz w:val="18"/>
                <w:szCs w:val="18"/>
                <w:color w:val="auto"/>
              </w:rPr>
              <w:t>7.4</w:t>
            </w:r>
          </w:p>
        </w:tc>
        <w:tc>
          <w:tcPr>
            <w:tcW w:w="960" w:type="dxa"/>
            <w:vAlign w:val="bottom"/>
          </w:tcPr>
          <w:p>
            <w:pPr>
              <w:jc w:val="right"/>
              <w:spacing w:after="0"/>
              <w:rPr>
                <w:sz w:val="20"/>
                <w:szCs w:val="20"/>
                <w:color w:val="auto"/>
              </w:rPr>
            </w:pPr>
            <w:r>
              <w:rPr>
                <w:rFonts w:ascii="Arial" w:cs="Arial" w:eastAsia="Arial" w:hAnsi="Arial"/>
                <w:sz w:val="18"/>
                <w:szCs w:val="18"/>
                <w:color w:val="auto"/>
              </w:rPr>
              <w:t>1.9</w:t>
            </w: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1.8</w:t>
            </w:r>
          </w:p>
        </w:tc>
      </w:tr>
      <w:tr>
        <w:trPr>
          <w:trHeight w:val="27"/>
        </w:trPr>
        <w:tc>
          <w:tcPr>
            <w:tcW w:w="64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9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Expected Return on Plan Assets</w:t>
            </w:r>
          </w:p>
        </w:tc>
        <w:tc>
          <w:tcPr>
            <w:tcW w:w="166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(11.0)</w:t>
            </w:r>
          </w:p>
        </w:tc>
        <w:tc>
          <w:tcPr>
            <w:tcW w:w="9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(11.1)</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w:t>
            </w:r>
          </w:p>
        </w:tc>
      </w:tr>
      <w:tr>
        <w:trPr>
          <w:trHeight w:val="243"/>
        </w:trPr>
        <w:tc>
          <w:tcPr>
            <w:tcW w:w="6480" w:type="dxa"/>
            <w:vAlign w:val="bottom"/>
          </w:tcPr>
          <w:p>
            <w:pPr>
              <w:ind w:left="180"/>
              <w:spacing w:after="0"/>
              <w:rPr>
                <w:sz w:val="20"/>
                <w:szCs w:val="20"/>
                <w:color w:val="auto"/>
              </w:rPr>
            </w:pPr>
            <w:r>
              <w:rPr>
                <w:rFonts w:ascii="Arial" w:cs="Arial" w:eastAsia="Arial" w:hAnsi="Arial"/>
                <w:sz w:val="18"/>
                <w:szCs w:val="18"/>
                <w:color w:val="auto"/>
              </w:rPr>
              <w:t>Amortization of Prior Service Credits</w:t>
            </w:r>
          </w:p>
        </w:tc>
        <w:tc>
          <w:tcPr>
            <w:tcW w:w="166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(0.4)</w:t>
            </w: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(0.4)</w:t>
            </w:r>
          </w:p>
        </w:tc>
      </w:tr>
      <w:tr>
        <w:trPr>
          <w:trHeight w:val="27"/>
        </w:trPr>
        <w:tc>
          <w:tcPr>
            <w:tcW w:w="64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9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5"/>
        </w:trPr>
        <w:tc>
          <w:tcPr>
            <w:tcW w:w="6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Net Loss</w:t>
            </w:r>
          </w:p>
        </w:tc>
        <w:tc>
          <w:tcPr>
            <w:tcW w:w="16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1.9</w:t>
            </w:r>
          </w:p>
        </w:tc>
        <w:tc>
          <w:tcPr>
            <w:tcW w:w="9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3.0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0.2</w:t>
            </w:r>
          </w:p>
        </w:tc>
      </w:tr>
      <w:tr>
        <w:trPr>
          <w:trHeight w:val="237"/>
        </w:trPr>
        <w:tc>
          <w:tcPr>
            <w:tcW w:w="64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Periodic Benefit Cost</w:t>
            </w:r>
          </w:p>
        </w:tc>
        <w:tc>
          <w:tcPr>
            <w:tcW w:w="166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rPr>
              <w:t>$1.1</w:t>
            </w:r>
          </w:p>
        </w:tc>
        <w:tc>
          <w:tcPr>
            <w:tcW w:w="92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$2.0</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$0.1</w:t>
            </w:r>
          </w:p>
        </w:tc>
      </w:tr>
      <w:tr>
        <w:trPr>
          <w:trHeight w:val="27"/>
        </w:trPr>
        <w:tc>
          <w:tcPr>
            <w:tcW w:w="64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4"/>
        </w:trPr>
        <w:tc>
          <w:tcPr>
            <w:tcW w:w="6480" w:type="dxa"/>
            <w:vAlign w:val="bottom"/>
            <w:shd w:val="clear" w:color="auto" w:fill="CCEEFF"/>
          </w:tcPr>
          <w:p>
            <w:pPr>
              <w:spacing w:after="0"/>
              <w:rPr>
                <w:sz w:val="22"/>
                <w:szCs w:val="22"/>
                <w:color w:val="auto"/>
              </w:rPr>
            </w:pPr>
          </w:p>
        </w:tc>
        <w:tc>
          <w:tcPr>
            <w:tcW w:w="16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r>
      <w:tr>
        <w:trPr>
          <w:trHeight w:val="243"/>
        </w:trPr>
        <w:tc>
          <w:tcPr>
            <w:tcW w:w="6480" w:type="dxa"/>
            <w:vAlign w:val="bottom"/>
          </w:tcPr>
          <w:p>
            <w:pPr>
              <w:ind w:left="40"/>
              <w:spacing w:after="0"/>
              <w:rPr>
                <w:sz w:val="20"/>
                <w:szCs w:val="20"/>
                <w:color w:val="auto"/>
              </w:rPr>
            </w:pPr>
            <w:r>
              <w:rPr>
                <w:rFonts w:ascii="Arial" w:cs="Arial" w:eastAsia="Arial" w:hAnsi="Arial"/>
                <w:sz w:val="18"/>
                <w:szCs w:val="18"/>
                <w:b w:val="1"/>
                <w:bCs w:val="1"/>
                <w:color w:val="auto"/>
              </w:rPr>
              <w:t>Nine Months Ended September 30,</w:t>
            </w:r>
          </w:p>
        </w:tc>
        <w:tc>
          <w:tcPr>
            <w:tcW w:w="16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64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9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16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$7.0</w:t>
            </w:r>
          </w:p>
        </w:tc>
        <w:tc>
          <w:tcPr>
            <w:tcW w:w="9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$8.2</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$3.7</w:t>
            </w:r>
          </w:p>
        </w:tc>
      </w:tr>
      <w:tr>
        <w:trPr>
          <w:trHeight w:val="243"/>
        </w:trPr>
        <w:tc>
          <w:tcPr>
            <w:tcW w:w="6480" w:type="dxa"/>
            <w:vAlign w:val="bottom"/>
          </w:tcPr>
          <w:p>
            <w:pPr>
              <w:ind w:left="40"/>
              <w:spacing w:after="0"/>
              <w:rPr>
                <w:sz w:val="20"/>
                <w:szCs w:val="20"/>
                <w:color w:val="auto"/>
              </w:rPr>
            </w:pPr>
            <w:r>
              <w:rPr>
                <w:rFonts w:ascii="Arial" w:cs="Arial" w:eastAsia="Arial" w:hAnsi="Arial"/>
                <w:sz w:val="18"/>
                <w:szCs w:val="18"/>
                <w:color w:val="auto"/>
              </w:rPr>
              <w:t xml:space="preserve">Non-Service Cost Components </w:t>
            </w:r>
            <w:r>
              <w:rPr>
                <w:rFonts w:ascii="Arial" w:cs="Arial" w:eastAsia="Arial" w:hAnsi="Arial"/>
                <w:sz w:val="16"/>
                <w:szCs w:val="16"/>
                <w:i w:val="1"/>
                <w:iCs w:val="1"/>
                <w:color w:val="auto"/>
              </w:rPr>
              <w:t>(a)</w:t>
            </w:r>
          </w:p>
        </w:tc>
        <w:tc>
          <w:tcPr>
            <w:tcW w:w="16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64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9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Cost</w:t>
            </w:r>
          </w:p>
        </w:tc>
        <w:tc>
          <w:tcPr>
            <w:tcW w:w="16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23.9</w:t>
            </w:r>
          </w:p>
        </w:tc>
        <w:tc>
          <w:tcPr>
            <w:tcW w:w="9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22.2</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5.4</w:t>
            </w:r>
          </w:p>
        </w:tc>
      </w:tr>
      <w:tr>
        <w:trPr>
          <w:trHeight w:val="243"/>
        </w:trPr>
        <w:tc>
          <w:tcPr>
            <w:tcW w:w="6480" w:type="dxa"/>
            <w:vAlign w:val="bottom"/>
          </w:tcPr>
          <w:p>
            <w:pPr>
              <w:ind w:left="180"/>
              <w:spacing w:after="0"/>
              <w:rPr>
                <w:sz w:val="20"/>
                <w:szCs w:val="20"/>
                <w:color w:val="auto"/>
              </w:rPr>
            </w:pPr>
            <w:r>
              <w:rPr>
                <w:rFonts w:ascii="Arial" w:cs="Arial" w:eastAsia="Arial" w:hAnsi="Arial"/>
                <w:sz w:val="18"/>
                <w:szCs w:val="18"/>
                <w:color w:val="auto"/>
              </w:rPr>
              <w:t>Expected Return on Plan Assets</w:t>
            </w:r>
          </w:p>
        </w:tc>
        <w:tc>
          <w:tcPr>
            <w:tcW w:w="1660" w:type="dxa"/>
            <w:vAlign w:val="bottom"/>
          </w:tcPr>
          <w:p>
            <w:pPr>
              <w:jc w:val="right"/>
              <w:ind w:right="510"/>
              <w:spacing w:after="0"/>
              <w:rPr>
                <w:sz w:val="20"/>
                <w:szCs w:val="20"/>
                <w:color w:val="auto"/>
              </w:rPr>
            </w:pPr>
            <w:r>
              <w:rPr>
                <w:rFonts w:ascii="Arial" w:cs="Arial" w:eastAsia="Arial" w:hAnsi="Arial"/>
                <w:sz w:val="18"/>
                <w:szCs w:val="18"/>
                <w:color w:val="auto"/>
              </w:rPr>
              <w:t>(33.3)</w:t>
            </w:r>
          </w:p>
        </w:tc>
        <w:tc>
          <w:tcPr>
            <w:tcW w:w="920" w:type="dxa"/>
            <w:vAlign w:val="bottom"/>
          </w:tcPr>
          <w:p>
            <w:pPr>
              <w:jc w:val="right"/>
              <w:ind w:right="190"/>
              <w:spacing w:after="0"/>
              <w:rPr>
                <w:sz w:val="20"/>
                <w:szCs w:val="20"/>
                <w:color w:val="auto"/>
              </w:rPr>
            </w:pPr>
            <w:r>
              <w:rPr>
                <w:rFonts w:ascii="Arial" w:cs="Arial" w:eastAsia="Arial" w:hAnsi="Arial"/>
                <w:sz w:val="18"/>
                <w:szCs w:val="18"/>
                <w:color w:val="auto"/>
              </w:rPr>
              <w:t>(33.2)</w:t>
            </w:r>
          </w:p>
        </w:tc>
        <w:tc>
          <w:tcPr>
            <w:tcW w:w="960" w:type="dxa"/>
            <w:vAlign w:val="bottom"/>
          </w:tcPr>
          <w:p>
            <w:pPr>
              <w:jc w:val="right"/>
              <w:spacing w:after="0"/>
              <w:rPr>
                <w:sz w:val="20"/>
                <w:szCs w:val="20"/>
                <w:color w:val="auto"/>
              </w:rPr>
            </w:pPr>
            <w:r>
              <w:rPr>
                <w:rFonts w:ascii="Arial" w:cs="Arial" w:eastAsia="Arial" w:hAnsi="Arial"/>
                <w:sz w:val="18"/>
                <w:szCs w:val="18"/>
                <w:color w:val="auto"/>
              </w:rPr>
              <w:t>(7.9)</w:t>
            </w: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(8.2)</w:t>
            </w:r>
          </w:p>
        </w:tc>
      </w:tr>
      <w:tr>
        <w:trPr>
          <w:trHeight w:val="27"/>
        </w:trPr>
        <w:tc>
          <w:tcPr>
            <w:tcW w:w="64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9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Prior Service Credits</w:t>
            </w:r>
          </w:p>
        </w:tc>
        <w:tc>
          <w:tcPr>
            <w:tcW w:w="166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(0.2)</w:t>
            </w:r>
          </w:p>
        </w:tc>
        <w:tc>
          <w:tcPr>
            <w:tcW w:w="9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w:t>
            </w:r>
          </w:p>
        </w:tc>
      </w:tr>
      <w:tr>
        <w:trPr>
          <w:trHeight w:val="243"/>
        </w:trPr>
        <w:tc>
          <w:tcPr>
            <w:tcW w:w="6480" w:type="dxa"/>
            <w:vAlign w:val="bottom"/>
          </w:tcPr>
          <w:p>
            <w:pPr>
              <w:ind w:left="180"/>
              <w:spacing w:after="0"/>
              <w:rPr>
                <w:sz w:val="20"/>
                <w:szCs w:val="20"/>
                <w:color w:val="auto"/>
              </w:rPr>
            </w:pPr>
            <w:r>
              <w:rPr>
                <w:rFonts w:ascii="Arial" w:cs="Arial" w:eastAsia="Arial" w:hAnsi="Arial"/>
                <w:sz w:val="18"/>
                <w:szCs w:val="18"/>
                <w:color w:val="auto"/>
              </w:rPr>
              <w:t>Amortization of Net Loss</w:t>
            </w:r>
          </w:p>
        </w:tc>
        <w:tc>
          <w:tcPr>
            <w:tcW w:w="1660" w:type="dxa"/>
            <w:vAlign w:val="bottom"/>
          </w:tcPr>
          <w:p>
            <w:pPr>
              <w:jc w:val="right"/>
              <w:ind w:right="550"/>
              <w:spacing w:after="0"/>
              <w:rPr>
                <w:sz w:val="20"/>
                <w:szCs w:val="20"/>
                <w:color w:val="auto"/>
              </w:rPr>
            </w:pPr>
            <w:r>
              <w:rPr>
                <w:rFonts w:ascii="Arial" w:cs="Arial" w:eastAsia="Arial" w:hAnsi="Arial"/>
                <w:sz w:val="18"/>
                <w:szCs w:val="18"/>
                <w:color w:val="auto"/>
              </w:rPr>
              <w:t>5.1</w:t>
            </w:r>
          </w:p>
        </w:tc>
        <w:tc>
          <w:tcPr>
            <w:tcW w:w="920" w:type="dxa"/>
            <w:vAlign w:val="bottom"/>
          </w:tcPr>
          <w:p>
            <w:pPr>
              <w:jc w:val="right"/>
              <w:ind w:right="250"/>
              <w:spacing w:after="0"/>
              <w:rPr>
                <w:sz w:val="20"/>
                <w:szCs w:val="20"/>
                <w:color w:val="auto"/>
              </w:rPr>
            </w:pPr>
            <w:r>
              <w:rPr>
                <w:rFonts w:ascii="Arial" w:cs="Arial" w:eastAsia="Arial" w:hAnsi="Arial"/>
                <w:sz w:val="18"/>
                <w:szCs w:val="18"/>
                <w:color w:val="auto"/>
              </w:rPr>
              <w:t>9.0</w:t>
            </w:r>
          </w:p>
        </w:tc>
        <w:tc>
          <w:tcPr>
            <w:tcW w:w="960" w:type="dxa"/>
            <w:vAlign w:val="bottom"/>
          </w:tcPr>
          <w:p>
            <w:pPr>
              <w:jc w:val="right"/>
              <w:spacing w:after="0"/>
              <w:rPr>
                <w:sz w:val="20"/>
                <w:szCs w:val="20"/>
                <w:color w:val="auto"/>
              </w:rPr>
            </w:pPr>
            <w:r>
              <w:rPr>
                <w:rFonts w:ascii="Arial" w:cs="Arial" w:eastAsia="Arial" w:hAnsi="Arial"/>
                <w:sz w:val="18"/>
                <w:szCs w:val="18"/>
                <w:color w:val="auto"/>
              </w:rPr>
              <w:t>0.2</w:t>
            </w: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0.6</w:t>
            </w:r>
          </w:p>
        </w:tc>
      </w:tr>
      <w:tr>
        <w:trPr>
          <w:trHeight w:val="27"/>
        </w:trPr>
        <w:tc>
          <w:tcPr>
            <w:tcW w:w="64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6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Periodic Benefit Cost (Credit)</w:t>
            </w:r>
          </w:p>
        </w:tc>
        <w:tc>
          <w:tcPr>
            <w:tcW w:w="16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$2.5</w:t>
            </w:r>
          </w:p>
        </w:tc>
        <w:tc>
          <w:tcPr>
            <w:tcW w:w="9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$6.2</w:t>
            </w:r>
          </w:p>
        </w:tc>
        <w:tc>
          <w:tcPr>
            <w:tcW w:w="9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$(0.7)</w:t>
            </w:r>
          </w:p>
        </w:tc>
        <w:tc>
          <w:tcPr>
            <w:tcW w:w="1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$0.2</w:t>
            </w:r>
          </w:p>
        </w:tc>
      </w:tr>
      <w:tr>
        <w:trPr>
          <w:trHeight w:val="20"/>
        </w:trPr>
        <w:tc>
          <w:tcPr>
            <w:tcW w:w="648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r>
    </w:tbl>
    <w:p>
      <w:pPr>
        <w:spacing w:after="0" w:line="206"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These components of net periodic benefit cost (credit) are included in the line item “Other” under Other Income (Expense) on the Consolidated Statement of Income.</w:t>
      </w:r>
    </w:p>
    <w:p>
      <w:pPr>
        <w:spacing w:after="0" w:line="18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Employer Contributions. </w:t>
      </w:r>
      <w:r>
        <w:rPr>
          <w:rFonts w:ascii="Arial" w:cs="Arial" w:eastAsia="Arial" w:hAnsi="Arial"/>
          <w:sz w:val="18"/>
          <w:szCs w:val="18"/>
          <w:color w:val="auto"/>
        </w:rPr>
        <w:t>For the nine months ended September 30, 2019, we contributed $10.4 million in cash to the defined benefit pension plans</w:t>
      </w:r>
      <w:r>
        <w:rPr>
          <w:rFonts w:ascii="Arial" w:cs="Arial" w:eastAsia="Arial" w:hAnsi="Arial"/>
          <w:sz w:val="18"/>
          <w:szCs w:val="18"/>
          <w:b w:val="1"/>
          <w:bCs w:val="1"/>
          <w:color w:val="auto"/>
        </w:rPr>
        <w:t xml:space="preserve"> </w:t>
      </w:r>
      <w:r>
        <w:rPr>
          <w:rFonts w:ascii="Arial" w:cs="Arial" w:eastAsia="Arial" w:hAnsi="Arial"/>
          <w:sz w:val="18"/>
          <w:szCs w:val="18"/>
          <w:color w:val="auto"/>
        </w:rPr>
        <w:t>($15.0 million for the nine months ended September 30, 2018); we do not expect to make additional contributions to our defined benefit pension plans in 2019. For the nine months ended September 30, 2019, and 2018, we made no contributions to our other postretirement benefit plans; we do not expect to make any contributions to our other postretirement benefit plans in 2019.</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BUSINESS SEGMENTS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present three reportable segments: Regulated Operations, ALLETE Clean Energy and U.S. Water Services. We measure performance of our operations through budgeting and monitoring of contributions to consolidated net income by each business segment.</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Regulated Operations includes three operating segments which consist of our regulated utilities, Minnesota Power and SWL&amp;P, as well as our investment in ATC. ALLETE Clean Energy is our business focused on developing, acquiring and operating clean and renewable energy projects. U.S. Water Services was our integrated water management company, which reflects operating results until the closing date of its sale on March 26, 2019. The ALLETE Clean Energy and U.S. Water Services reportable segments comprise our Energy Infrastructure and Related Services businesses. We also present Corporate and Other which includes two operating segments, BNI Energy, our coal mining operations in North Dakota, and ALLETE Properties, our legacy Florida real estate investment, along with our investment in Nobles 2, other business development and corporate expenditures, unallocated interest expense, a small amount of non-rate base generation, approximately 4,000 acres of land in Minnesota, and earnings on cash and investments.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2019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1420"/>
          </w:cols>
          <w:pgMar w:left="240" w:top="1040"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4"/>
        </w:trPr>
        <w:tc>
          <w:tcPr>
            <w:tcW w:w="5540" w:type="dxa"/>
            <w:vAlign w:val="bottom"/>
          </w:tcPr>
          <w:p>
            <w:pPr>
              <w:spacing w:after="0"/>
              <w:rPr>
                <w:sz w:val="20"/>
                <w:szCs w:val="20"/>
                <w:color w:val="auto"/>
              </w:rPr>
            </w:pPr>
            <w:r>
              <w:rPr>
                <w:rFonts w:ascii="Arial" w:cs="Arial" w:eastAsia="Arial" w:hAnsi="Arial"/>
                <w:sz w:val="18"/>
                <w:szCs w:val="18"/>
                <w:b w:val="1"/>
                <w:bCs w:val="1"/>
                <w:color w:val="auto"/>
              </w:rPr>
              <w:t>NOTE 11. BUSINESS SEGMENTS (Continued)</w:t>
            </w:r>
          </w:p>
        </w:tc>
        <w:tc>
          <w:tcPr>
            <w:tcW w:w="25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32"/>
        </w:trPr>
        <w:tc>
          <w:tcPr>
            <w:tcW w:w="5540" w:type="dxa"/>
            <w:vAlign w:val="bottom"/>
          </w:tcPr>
          <w:p>
            <w:pPr>
              <w:spacing w:after="0"/>
              <w:rPr>
                <w:sz w:val="24"/>
                <w:szCs w:val="24"/>
                <w:color w:val="auto"/>
              </w:rPr>
            </w:pPr>
          </w:p>
        </w:tc>
        <w:tc>
          <w:tcPr>
            <w:tcW w:w="3680" w:type="dxa"/>
            <w:vAlign w:val="bottom"/>
            <w:gridSpan w:val="2"/>
          </w:tcPr>
          <w:p>
            <w:pPr>
              <w:jc w:val="right"/>
              <w:ind w:right="510"/>
              <w:spacing w:after="0"/>
              <w:rPr>
                <w:sz w:val="20"/>
                <w:szCs w:val="20"/>
                <w:color w:val="auto"/>
              </w:rPr>
            </w:pPr>
            <w:r>
              <w:rPr>
                <w:rFonts w:ascii="Arial" w:cs="Arial" w:eastAsia="Arial" w:hAnsi="Arial"/>
                <w:sz w:val="18"/>
                <w:szCs w:val="18"/>
                <w:b w:val="1"/>
                <w:bCs w:val="1"/>
                <w:color w:val="auto"/>
              </w:rPr>
              <w:t>Quarter Ended</w:t>
            </w:r>
          </w:p>
        </w:tc>
        <w:tc>
          <w:tcPr>
            <w:tcW w:w="220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Nine Months Ended</w:t>
            </w:r>
          </w:p>
        </w:tc>
      </w:tr>
      <w:tr>
        <w:trPr>
          <w:trHeight w:val="270"/>
        </w:trPr>
        <w:tc>
          <w:tcPr>
            <w:tcW w:w="5540" w:type="dxa"/>
            <w:vAlign w:val="bottom"/>
          </w:tcPr>
          <w:p>
            <w:pPr>
              <w:spacing w:after="0"/>
              <w:rPr>
                <w:sz w:val="23"/>
                <w:szCs w:val="23"/>
                <w:color w:val="auto"/>
              </w:rPr>
            </w:pPr>
          </w:p>
        </w:tc>
        <w:tc>
          <w:tcPr>
            <w:tcW w:w="3680" w:type="dxa"/>
            <w:vAlign w:val="bottom"/>
            <w:gridSpan w:val="2"/>
          </w:tcPr>
          <w:p>
            <w:pPr>
              <w:jc w:val="right"/>
              <w:ind w:right="550"/>
              <w:spacing w:after="0"/>
              <w:rPr>
                <w:sz w:val="20"/>
                <w:szCs w:val="20"/>
                <w:color w:val="auto"/>
              </w:rPr>
            </w:pPr>
            <w:r>
              <w:rPr>
                <w:rFonts w:ascii="Arial" w:cs="Arial" w:eastAsia="Arial" w:hAnsi="Arial"/>
                <w:sz w:val="18"/>
                <w:szCs w:val="18"/>
                <w:b w:val="1"/>
                <w:bCs w:val="1"/>
                <w:color w:val="auto"/>
              </w:rPr>
              <w:t>September 30,</w:t>
            </w:r>
          </w:p>
        </w:tc>
        <w:tc>
          <w:tcPr>
            <w:tcW w:w="2200" w:type="dxa"/>
            <w:vAlign w:val="bottom"/>
            <w:gridSpan w:val="2"/>
          </w:tcPr>
          <w:p>
            <w:pPr>
              <w:jc w:val="right"/>
              <w:ind w:right="470"/>
              <w:spacing w:after="0"/>
              <w:rPr>
                <w:sz w:val="20"/>
                <w:szCs w:val="20"/>
                <w:color w:val="auto"/>
              </w:rPr>
            </w:pPr>
            <w:r>
              <w:rPr>
                <w:rFonts w:ascii="Arial" w:cs="Arial" w:eastAsia="Arial" w:hAnsi="Arial"/>
                <w:sz w:val="18"/>
                <w:szCs w:val="18"/>
                <w:b w:val="1"/>
                <w:bCs w:val="1"/>
                <w:color w:val="auto"/>
              </w:rPr>
              <w:t>September 30,</w:t>
            </w:r>
          </w:p>
        </w:tc>
      </w:tr>
      <w:tr>
        <w:trPr>
          <w:trHeight w:val="270"/>
        </w:trPr>
        <w:tc>
          <w:tcPr>
            <w:tcW w:w="5540" w:type="dxa"/>
            <w:vAlign w:val="bottom"/>
          </w:tcPr>
          <w:p>
            <w:pPr>
              <w:spacing w:after="0"/>
              <w:rPr>
                <w:sz w:val="23"/>
                <w:szCs w:val="23"/>
                <w:color w:val="auto"/>
              </w:rPr>
            </w:pPr>
          </w:p>
        </w:tc>
        <w:tc>
          <w:tcPr>
            <w:tcW w:w="25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1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2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r>
      <w:tr>
        <w:trPr>
          <w:trHeight w:val="27"/>
        </w:trPr>
        <w:tc>
          <w:tcPr>
            <w:tcW w:w="554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55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5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55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w:t>
            </w:r>
          </w:p>
        </w:tc>
        <w:tc>
          <w:tcPr>
            <w:tcW w:w="25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5540" w:type="dxa"/>
            <w:vAlign w:val="bottom"/>
          </w:tcPr>
          <w:p>
            <w:pPr>
              <w:ind w:left="180"/>
              <w:spacing w:after="0"/>
              <w:rPr>
                <w:sz w:val="20"/>
                <w:szCs w:val="20"/>
                <w:color w:val="auto"/>
              </w:rPr>
            </w:pPr>
            <w:r>
              <w:rPr>
                <w:rFonts w:ascii="Arial" w:cs="Arial" w:eastAsia="Arial" w:hAnsi="Arial"/>
                <w:sz w:val="18"/>
                <w:szCs w:val="18"/>
                <w:color w:val="auto"/>
              </w:rPr>
              <w:t>Regulated Operations</w:t>
            </w:r>
          </w:p>
        </w:tc>
        <w:tc>
          <w:tcPr>
            <w:tcW w:w="25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55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Residential</w:t>
            </w:r>
          </w:p>
        </w:tc>
        <w:tc>
          <w:tcPr>
            <w:tcW w:w="25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$29.8</w:t>
            </w:r>
          </w:p>
        </w:tc>
        <w:tc>
          <w:tcPr>
            <w:tcW w:w="11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$30.8</w:t>
            </w:r>
          </w:p>
        </w:tc>
        <w:tc>
          <w:tcPr>
            <w:tcW w:w="12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$104.2</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$102.2</w:t>
            </w:r>
          </w:p>
        </w:tc>
      </w:tr>
      <w:tr>
        <w:trPr>
          <w:trHeight w:val="243"/>
        </w:trPr>
        <w:tc>
          <w:tcPr>
            <w:tcW w:w="5540" w:type="dxa"/>
            <w:vAlign w:val="bottom"/>
          </w:tcPr>
          <w:p>
            <w:pPr>
              <w:ind w:left="280"/>
              <w:spacing w:after="0"/>
              <w:rPr>
                <w:sz w:val="20"/>
                <w:szCs w:val="20"/>
                <w:color w:val="auto"/>
              </w:rPr>
            </w:pPr>
            <w:r>
              <w:rPr>
                <w:rFonts w:ascii="Arial" w:cs="Arial" w:eastAsia="Arial" w:hAnsi="Arial"/>
                <w:sz w:val="18"/>
                <w:szCs w:val="18"/>
                <w:color w:val="auto"/>
              </w:rPr>
              <w:t>Commercial</w:t>
            </w:r>
          </w:p>
        </w:tc>
        <w:tc>
          <w:tcPr>
            <w:tcW w:w="2580" w:type="dxa"/>
            <w:vAlign w:val="bottom"/>
          </w:tcPr>
          <w:p>
            <w:pPr>
              <w:jc w:val="right"/>
              <w:ind w:right="130"/>
              <w:spacing w:after="0"/>
              <w:rPr>
                <w:sz w:val="20"/>
                <w:szCs w:val="20"/>
                <w:color w:val="auto"/>
              </w:rPr>
            </w:pPr>
            <w:r>
              <w:rPr>
                <w:rFonts w:ascii="Arial" w:cs="Arial" w:eastAsia="Arial" w:hAnsi="Arial"/>
                <w:sz w:val="18"/>
                <w:szCs w:val="18"/>
                <w:color w:val="auto"/>
              </w:rPr>
              <w:t>36.8</w:t>
            </w:r>
          </w:p>
        </w:tc>
        <w:tc>
          <w:tcPr>
            <w:tcW w:w="1100" w:type="dxa"/>
            <w:vAlign w:val="bottom"/>
          </w:tcPr>
          <w:p>
            <w:pPr>
              <w:jc w:val="right"/>
              <w:ind w:right="310"/>
              <w:spacing w:after="0"/>
              <w:rPr>
                <w:sz w:val="20"/>
                <w:szCs w:val="20"/>
                <w:color w:val="auto"/>
              </w:rPr>
            </w:pPr>
            <w:r>
              <w:rPr>
                <w:rFonts w:ascii="Arial" w:cs="Arial" w:eastAsia="Arial" w:hAnsi="Arial"/>
                <w:sz w:val="18"/>
                <w:szCs w:val="18"/>
                <w:color w:val="auto"/>
              </w:rPr>
              <w:t>38.1</w:t>
            </w: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110.6</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110.9</w:t>
            </w:r>
          </w:p>
        </w:tc>
      </w:tr>
      <w:tr>
        <w:trPr>
          <w:trHeight w:val="27"/>
        </w:trPr>
        <w:tc>
          <w:tcPr>
            <w:tcW w:w="55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Municipal</w:t>
            </w:r>
          </w:p>
        </w:tc>
        <w:tc>
          <w:tcPr>
            <w:tcW w:w="25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11.8</w:t>
            </w:r>
          </w:p>
        </w:tc>
        <w:tc>
          <w:tcPr>
            <w:tcW w:w="11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14.2</w:t>
            </w:r>
          </w:p>
        </w:tc>
        <w:tc>
          <w:tcPr>
            <w:tcW w:w="12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39.4</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41.9</w:t>
            </w:r>
          </w:p>
        </w:tc>
      </w:tr>
      <w:tr>
        <w:trPr>
          <w:trHeight w:val="243"/>
        </w:trPr>
        <w:tc>
          <w:tcPr>
            <w:tcW w:w="5540" w:type="dxa"/>
            <w:vAlign w:val="bottom"/>
          </w:tcPr>
          <w:p>
            <w:pPr>
              <w:ind w:left="280"/>
              <w:spacing w:after="0"/>
              <w:rPr>
                <w:sz w:val="20"/>
                <w:szCs w:val="20"/>
                <w:color w:val="auto"/>
              </w:rPr>
            </w:pPr>
            <w:r>
              <w:rPr>
                <w:rFonts w:ascii="Arial" w:cs="Arial" w:eastAsia="Arial" w:hAnsi="Arial"/>
                <w:sz w:val="18"/>
                <w:szCs w:val="18"/>
                <w:color w:val="auto"/>
              </w:rPr>
              <w:t>Industrial</w:t>
            </w:r>
          </w:p>
        </w:tc>
        <w:tc>
          <w:tcPr>
            <w:tcW w:w="2580" w:type="dxa"/>
            <w:vAlign w:val="bottom"/>
          </w:tcPr>
          <w:p>
            <w:pPr>
              <w:jc w:val="right"/>
              <w:ind w:right="130"/>
              <w:spacing w:after="0"/>
              <w:rPr>
                <w:sz w:val="20"/>
                <w:szCs w:val="20"/>
                <w:color w:val="auto"/>
              </w:rPr>
            </w:pPr>
            <w:r>
              <w:rPr>
                <w:rFonts w:ascii="Arial" w:cs="Arial" w:eastAsia="Arial" w:hAnsi="Arial"/>
                <w:sz w:val="18"/>
                <w:szCs w:val="18"/>
                <w:color w:val="auto"/>
              </w:rPr>
              <w:t>115.6</w:t>
            </w:r>
          </w:p>
        </w:tc>
        <w:tc>
          <w:tcPr>
            <w:tcW w:w="1100" w:type="dxa"/>
            <w:vAlign w:val="bottom"/>
          </w:tcPr>
          <w:p>
            <w:pPr>
              <w:jc w:val="right"/>
              <w:ind w:right="310"/>
              <w:spacing w:after="0"/>
              <w:rPr>
                <w:sz w:val="20"/>
                <w:szCs w:val="20"/>
                <w:color w:val="auto"/>
              </w:rPr>
            </w:pPr>
            <w:r>
              <w:rPr>
                <w:rFonts w:ascii="Arial" w:cs="Arial" w:eastAsia="Arial" w:hAnsi="Arial"/>
                <w:sz w:val="18"/>
                <w:szCs w:val="18"/>
                <w:color w:val="auto"/>
              </w:rPr>
              <w:t>117.3</w:t>
            </w: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357.5</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347.5</w:t>
            </w:r>
          </w:p>
        </w:tc>
      </w:tr>
      <w:tr>
        <w:trPr>
          <w:trHeight w:val="27"/>
        </w:trPr>
        <w:tc>
          <w:tcPr>
            <w:tcW w:w="55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Power Suppliers</w:t>
            </w:r>
          </w:p>
        </w:tc>
        <w:tc>
          <w:tcPr>
            <w:tcW w:w="25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37.3</w:t>
            </w:r>
          </w:p>
        </w:tc>
        <w:tc>
          <w:tcPr>
            <w:tcW w:w="11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40.9</w:t>
            </w:r>
          </w:p>
        </w:tc>
        <w:tc>
          <w:tcPr>
            <w:tcW w:w="12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111.9</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127.3</w:t>
            </w:r>
          </w:p>
        </w:tc>
      </w:tr>
      <w:tr>
        <w:trPr>
          <w:trHeight w:val="243"/>
        </w:trPr>
        <w:tc>
          <w:tcPr>
            <w:tcW w:w="5540" w:type="dxa"/>
            <w:vAlign w:val="bottom"/>
          </w:tcPr>
          <w:p>
            <w:pPr>
              <w:ind w:left="280"/>
              <w:spacing w:after="0"/>
              <w:rPr>
                <w:sz w:val="20"/>
                <w:szCs w:val="20"/>
                <w:color w:val="auto"/>
              </w:rPr>
            </w:pPr>
            <w:r>
              <w:rPr>
                <w:rFonts w:ascii="Arial" w:cs="Arial" w:eastAsia="Arial" w:hAnsi="Arial"/>
                <w:sz w:val="18"/>
                <w:szCs w:val="18"/>
                <w:color w:val="auto"/>
              </w:rPr>
              <w:t xml:space="preserve">CIP Financial Incentive </w:t>
            </w:r>
            <w:r>
              <w:rPr>
                <w:rFonts w:ascii="Arial" w:cs="Arial" w:eastAsia="Arial" w:hAnsi="Arial"/>
                <w:sz w:val="16"/>
                <w:szCs w:val="16"/>
                <w:i w:val="1"/>
                <w:iCs w:val="1"/>
                <w:color w:val="auto"/>
              </w:rPr>
              <w:t>(a)</w:t>
            </w:r>
          </w:p>
        </w:tc>
        <w:tc>
          <w:tcPr>
            <w:tcW w:w="2580" w:type="dxa"/>
            <w:vAlign w:val="bottom"/>
          </w:tcPr>
          <w:p>
            <w:pPr>
              <w:jc w:val="right"/>
              <w:ind w:right="130"/>
              <w:spacing w:after="0"/>
              <w:rPr>
                <w:sz w:val="20"/>
                <w:szCs w:val="20"/>
                <w:color w:val="auto"/>
              </w:rPr>
            </w:pPr>
            <w:r>
              <w:rPr>
                <w:rFonts w:ascii="Arial" w:cs="Arial" w:eastAsia="Arial" w:hAnsi="Arial"/>
                <w:sz w:val="18"/>
                <w:szCs w:val="18"/>
                <w:color w:val="auto"/>
              </w:rPr>
              <w:t>2.8</w:t>
            </w:r>
          </w:p>
        </w:tc>
        <w:tc>
          <w:tcPr>
            <w:tcW w:w="1100" w:type="dxa"/>
            <w:vAlign w:val="bottom"/>
          </w:tcPr>
          <w:p>
            <w:pPr>
              <w:jc w:val="right"/>
              <w:ind w:right="310"/>
              <w:spacing w:after="0"/>
              <w:rPr>
                <w:sz w:val="20"/>
                <w:szCs w:val="20"/>
                <w:color w:val="auto"/>
              </w:rPr>
            </w:pPr>
            <w:r>
              <w:rPr>
                <w:rFonts w:ascii="Arial" w:cs="Arial" w:eastAsia="Arial" w:hAnsi="Arial"/>
                <w:sz w:val="18"/>
                <w:szCs w:val="18"/>
                <w:color w:val="auto"/>
              </w:rPr>
              <w:t>3.0</w:t>
            </w: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2.8</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3.0</w:t>
            </w:r>
          </w:p>
        </w:tc>
      </w:tr>
      <w:tr>
        <w:trPr>
          <w:trHeight w:val="27"/>
        </w:trPr>
        <w:tc>
          <w:tcPr>
            <w:tcW w:w="55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5"/>
        </w:trPr>
        <w:tc>
          <w:tcPr>
            <w:tcW w:w="5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25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20.0</w:t>
            </w:r>
          </w:p>
        </w:tc>
        <w:tc>
          <w:tcPr>
            <w:tcW w:w="11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17.0</w:t>
            </w:r>
          </w:p>
        </w:tc>
        <w:tc>
          <w:tcPr>
            <w:tcW w:w="12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59.7</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56.5</w:t>
            </w:r>
          </w:p>
        </w:tc>
      </w:tr>
      <w:tr>
        <w:trPr>
          <w:trHeight w:val="237"/>
        </w:trPr>
        <w:tc>
          <w:tcPr>
            <w:tcW w:w="554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Total Regulated Operations</w:t>
            </w:r>
          </w:p>
        </w:tc>
        <w:tc>
          <w:tcPr>
            <w:tcW w:w="25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254.1</w:t>
            </w:r>
          </w:p>
        </w:tc>
        <w:tc>
          <w:tcPr>
            <w:tcW w:w="11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261.3</w:t>
            </w:r>
          </w:p>
        </w:tc>
        <w:tc>
          <w:tcPr>
            <w:tcW w:w="12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786.1</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789.3</w:t>
            </w:r>
          </w:p>
        </w:tc>
      </w:tr>
      <w:tr>
        <w:trPr>
          <w:trHeight w:val="27"/>
        </w:trPr>
        <w:tc>
          <w:tcPr>
            <w:tcW w:w="554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5540" w:type="dxa"/>
            <w:vAlign w:val="bottom"/>
            <w:shd w:val="clear" w:color="auto" w:fill="CCEEFF"/>
          </w:tcPr>
          <w:p>
            <w:pPr>
              <w:spacing w:after="0"/>
              <w:rPr>
                <w:sz w:val="22"/>
                <w:szCs w:val="22"/>
                <w:color w:val="auto"/>
              </w:rPr>
            </w:pPr>
          </w:p>
        </w:tc>
        <w:tc>
          <w:tcPr>
            <w:tcW w:w="25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Energy Infrastructure and Related Services</w:t>
            </w:r>
          </w:p>
        </w:tc>
        <w:tc>
          <w:tcPr>
            <w:tcW w:w="25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55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540" w:type="dxa"/>
            <w:vAlign w:val="bottom"/>
            <w:shd w:val="clear" w:color="auto" w:fill="CCEEFF"/>
          </w:tcPr>
          <w:p>
            <w:pPr>
              <w:spacing w:after="0"/>
              <w:rPr>
                <w:sz w:val="23"/>
                <w:szCs w:val="23"/>
                <w:color w:val="auto"/>
              </w:rPr>
            </w:pPr>
          </w:p>
        </w:tc>
        <w:tc>
          <w:tcPr>
            <w:tcW w:w="25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43"/>
        </w:trPr>
        <w:tc>
          <w:tcPr>
            <w:tcW w:w="5540" w:type="dxa"/>
            <w:vAlign w:val="bottom"/>
          </w:tcPr>
          <w:p>
            <w:pPr>
              <w:ind w:left="180"/>
              <w:spacing w:after="0"/>
              <w:rPr>
                <w:sz w:val="20"/>
                <w:szCs w:val="20"/>
                <w:color w:val="auto"/>
              </w:rPr>
            </w:pPr>
            <w:r>
              <w:rPr>
                <w:rFonts w:ascii="Arial" w:cs="Arial" w:eastAsia="Arial" w:hAnsi="Arial"/>
                <w:sz w:val="18"/>
                <w:szCs w:val="18"/>
                <w:color w:val="auto"/>
              </w:rPr>
              <w:t>ALLETE Clean Energy</w:t>
            </w:r>
          </w:p>
        </w:tc>
        <w:tc>
          <w:tcPr>
            <w:tcW w:w="25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55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Long-term PSA</w:t>
            </w:r>
          </w:p>
        </w:tc>
        <w:tc>
          <w:tcPr>
            <w:tcW w:w="25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7.5</w:t>
            </w:r>
          </w:p>
        </w:tc>
        <w:tc>
          <w:tcPr>
            <w:tcW w:w="11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9.0</w:t>
            </w:r>
          </w:p>
        </w:tc>
        <w:tc>
          <w:tcPr>
            <w:tcW w:w="12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34.6</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w:t>
            </w:r>
          </w:p>
        </w:tc>
      </w:tr>
      <w:tr>
        <w:trPr>
          <w:trHeight w:val="243"/>
        </w:trPr>
        <w:tc>
          <w:tcPr>
            <w:tcW w:w="5540" w:type="dxa"/>
            <w:vAlign w:val="bottom"/>
          </w:tcPr>
          <w:p>
            <w:pPr>
              <w:ind w:left="280"/>
              <w:spacing w:after="0"/>
              <w:rPr>
                <w:sz w:val="20"/>
                <w:szCs w:val="20"/>
                <w:color w:val="auto"/>
              </w:rPr>
            </w:pPr>
            <w:r>
              <w:rPr>
                <w:rFonts w:ascii="Arial" w:cs="Arial" w:eastAsia="Arial" w:hAnsi="Arial"/>
                <w:sz w:val="18"/>
                <w:szCs w:val="18"/>
                <w:color w:val="auto"/>
              </w:rPr>
              <w:t>Other</w:t>
            </w:r>
          </w:p>
        </w:tc>
        <w:tc>
          <w:tcPr>
            <w:tcW w:w="2580" w:type="dxa"/>
            <w:vAlign w:val="bottom"/>
          </w:tcPr>
          <w:p>
            <w:pPr>
              <w:jc w:val="right"/>
              <w:ind w:right="130"/>
              <w:spacing w:after="0"/>
              <w:rPr>
                <w:sz w:val="20"/>
                <w:szCs w:val="20"/>
                <w:color w:val="auto"/>
              </w:rPr>
            </w:pPr>
            <w:r>
              <w:rPr>
                <w:rFonts w:ascii="Arial" w:cs="Arial" w:eastAsia="Arial" w:hAnsi="Arial"/>
                <w:sz w:val="18"/>
                <w:szCs w:val="18"/>
                <w:color w:val="auto"/>
              </w:rPr>
              <w:t>2.9</w:t>
            </w:r>
          </w:p>
        </w:tc>
        <w:tc>
          <w:tcPr>
            <w:tcW w:w="1100" w:type="dxa"/>
            <w:vAlign w:val="bottom"/>
          </w:tcPr>
          <w:p>
            <w:pPr>
              <w:jc w:val="right"/>
              <w:ind w:right="310"/>
              <w:spacing w:after="0"/>
              <w:rPr>
                <w:sz w:val="20"/>
                <w:szCs w:val="20"/>
                <w:color w:val="auto"/>
              </w:rPr>
            </w:pPr>
            <w:r>
              <w:rPr>
                <w:rFonts w:ascii="Arial" w:cs="Arial" w:eastAsia="Arial" w:hAnsi="Arial"/>
                <w:sz w:val="18"/>
                <w:szCs w:val="18"/>
                <w:color w:val="auto"/>
              </w:rPr>
              <w:t>6.0</w:t>
            </w: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8.7</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17.9</w:t>
            </w:r>
          </w:p>
        </w:tc>
      </w:tr>
      <w:tr>
        <w:trPr>
          <w:trHeight w:val="27"/>
        </w:trPr>
        <w:tc>
          <w:tcPr>
            <w:tcW w:w="554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5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ALLETE Clean Energy</w:t>
            </w:r>
          </w:p>
        </w:tc>
        <w:tc>
          <w:tcPr>
            <w:tcW w:w="25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10.4</w:t>
            </w:r>
          </w:p>
        </w:tc>
        <w:tc>
          <w:tcPr>
            <w:tcW w:w="11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15.0</w:t>
            </w:r>
          </w:p>
        </w:tc>
        <w:tc>
          <w:tcPr>
            <w:tcW w:w="12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43.3</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57.9</w:t>
            </w:r>
          </w:p>
        </w:tc>
      </w:tr>
      <w:tr>
        <w:trPr>
          <w:trHeight w:val="264"/>
        </w:trPr>
        <w:tc>
          <w:tcPr>
            <w:tcW w:w="5540" w:type="dxa"/>
            <w:vAlign w:val="bottom"/>
            <w:tcBorders>
              <w:top w:val="single" w:sz="8" w:color="auto"/>
            </w:tcBorders>
          </w:tcPr>
          <w:p>
            <w:pPr>
              <w:spacing w:after="0"/>
              <w:rPr>
                <w:sz w:val="22"/>
                <w:szCs w:val="22"/>
                <w:color w:val="auto"/>
              </w:rPr>
            </w:pPr>
          </w:p>
        </w:tc>
        <w:tc>
          <w:tcPr>
            <w:tcW w:w="258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r>
      <w:tr>
        <w:trPr>
          <w:trHeight w:val="250"/>
        </w:trPr>
        <w:tc>
          <w:tcPr>
            <w:tcW w:w="5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 xml:space="preserve">U.S. Water Services </w:t>
            </w:r>
            <w:r>
              <w:rPr>
                <w:rFonts w:ascii="Arial" w:cs="Arial" w:eastAsia="Arial" w:hAnsi="Arial"/>
                <w:sz w:val="16"/>
                <w:szCs w:val="16"/>
                <w:i w:val="1"/>
                <w:iCs w:val="1"/>
                <w:color w:val="auto"/>
              </w:rPr>
              <w:t>(b)</w:t>
            </w:r>
          </w:p>
        </w:tc>
        <w:tc>
          <w:tcPr>
            <w:tcW w:w="25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5540" w:type="dxa"/>
            <w:vAlign w:val="bottom"/>
          </w:tcPr>
          <w:p>
            <w:pPr>
              <w:ind w:left="280"/>
              <w:spacing w:after="0"/>
              <w:rPr>
                <w:sz w:val="20"/>
                <w:szCs w:val="20"/>
                <w:color w:val="auto"/>
              </w:rPr>
            </w:pPr>
            <w:r>
              <w:rPr>
                <w:rFonts w:ascii="Arial" w:cs="Arial" w:eastAsia="Arial" w:hAnsi="Arial"/>
                <w:sz w:val="18"/>
                <w:szCs w:val="18"/>
                <w:color w:val="auto"/>
              </w:rPr>
              <w:t>Point-in-Time</w:t>
            </w:r>
          </w:p>
        </w:tc>
        <w:tc>
          <w:tcPr>
            <w:tcW w:w="25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10"/>
              <w:spacing w:after="0"/>
              <w:rPr>
                <w:sz w:val="20"/>
                <w:szCs w:val="20"/>
                <w:color w:val="auto"/>
              </w:rPr>
            </w:pPr>
            <w:r>
              <w:rPr>
                <w:rFonts w:ascii="Arial" w:cs="Arial" w:eastAsia="Arial" w:hAnsi="Arial"/>
                <w:sz w:val="18"/>
                <w:szCs w:val="18"/>
                <w:color w:val="auto"/>
              </w:rPr>
              <w:t>29.0</w:t>
            </w: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19.0</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77.0</w:t>
            </w:r>
          </w:p>
        </w:tc>
      </w:tr>
      <w:tr>
        <w:trPr>
          <w:trHeight w:val="27"/>
        </w:trPr>
        <w:tc>
          <w:tcPr>
            <w:tcW w:w="55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Contract</w:t>
            </w:r>
          </w:p>
        </w:tc>
        <w:tc>
          <w:tcPr>
            <w:tcW w:w="25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9.7</w:t>
            </w:r>
          </w:p>
        </w:tc>
        <w:tc>
          <w:tcPr>
            <w:tcW w:w="12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9.2</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w:t>
            </w:r>
          </w:p>
        </w:tc>
      </w:tr>
      <w:tr>
        <w:trPr>
          <w:trHeight w:val="243"/>
        </w:trPr>
        <w:tc>
          <w:tcPr>
            <w:tcW w:w="5540" w:type="dxa"/>
            <w:vAlign w:val="bottom"/>
          </w:tcPr>
          <w:p>
            <w:pPr>
              <w:ind w:left="280"/>
              <w:spacing w:after="0"/>
              <w:rPr>
                <w:sz w:val="20"/>
                <w:szCs w:val="20"/>
                <w:color w:val="auto"/>
              </w:rPr>
            </w:pPr>
            <w:r>
              <w:rPr>
                <w:rFonts w:ascii="Arial" w:cs="Arial" w:eastAsia="Arial" w:hAnsi="Arial"/>
                <w:sz w:val="18"/>
                <w:szCs w:val="18"/>
                <w:color w:val="auto"/>
              </w:rPr>
              <w:t>Capital Project</w:t>
            </w:r>
          </w:p>
        </w:tc>
        <w:tc>
          <w:tcPr>
            <w:tcW w:w="25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10"/>
              <w:spacing w:after="0"/>
              <w:rPr>
                <w:sz w:val="20"/>
                <w:szCs w:val="20"/>
                <w:color w:val="auto"/>
              </w:rPr>
            </w:pPr>
            <w:r>
              <w:rPr>
                <w:rFonts w:ascii="Arial" w:cs="Arial" w:eastAsia="Arial" w:hAnsi="Arial"/>
                <w:sz w:val="18"/>
                <w:szCs w:val="18"/>
                <w:color w:val="auto"/>
              </w:rPr>
              <w:t>6.3</w:t>
            </w: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5.2</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19.0</w:t>
            </w:r>
          </w:p>
        </w:tc>
      </w:tr>
      <w:tr>
        <w:trPr>
          <w:trHeight w:val="27"/>
        </w:trPr>
        <w:tc>
          <w:tcPr>
            <w:tcW w:w="554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5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U.S. Water Services</w:t>
            </w:r>
          </w:p>
        </w:tc>
        <w:tc>
          <w:tcPr>
            <w:tcW w:w="25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45.0</w:t>
            </w:r>
          </w:p>
        </w:tc>
        <w:tc>
          <w:tcPr>
            <w:tcW w:w="12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33.4</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124.7</w:t>
            </w:r>
          </w:p>
        </w:tc>
      </w:tr>
      <w:tr>
        <w:trPr>
          <w:trHeight w:val="264"/>
        </w:trPr>
        <w:tc>
          <w:tcPr>
            <w:tcW w:w="5540" w:type="dxa"/>
            <w:vAlign w:val="bottom"/>
            <w:tcBorders>
              <w:top w:val="single" w:sz="8" w:color="auto"/>
            </w:tcBorders>
          </w:tcPr>
          <w:p>
            <w:pPr>
              <w:spacing w:after="0"/>
              <w:rPr>
                <w:sz w:val="22"/>
                <w:szCs w:val="22"/>
                <w:color w:val="auto"/>
              </w:rPr>
            </w:pPr>
          </w:p>
        </w:tc>
        <w:tc>
          <w:tcPr>
            <w:tcW w:w="258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r>
      <w:tr>
        <w:trPr>
          <w:trHeight w:val="250"/>
        </w:trPr>
        <w:tc>
          <w:tcPr>
            <w:tcW w:w="5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and Other</w:t>
            </w:r>
          </w:p>
        </w:tc>
        <w:tc>
          <w:tcPr>
            <w:tcW w:w="25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5540" w:type="dxa"/>
            <w:vAlign w:val="bottom"/>
          </w:tcPr>
          <w:p>
            <w:pPr>
              <w:ind w:left="280"/>
              <w:spacing w:after="0"/>
              <w:rPr>
                <w:sz w:val="20"/>
                <w:szCs w:val="20"/>
                <w:color w:val="auto"/>
              </w:rPr>
            </w:pPr>
            <w:r>
              <w:rPr>
                <w:rFonts w:ascii="Arial" w:cs="Arial" w:eastAsia="Arial" w:hAnsi="Arial"/>
                <w:sz w:val="18"/>
                <w:szCs w:val="18"/>
                <w:color w:val="auto"/>
              </w:rPr>
              <w:t>Long-term Contract</w:t>
            </w:r>
          </w:p>
        </w:tc>
        <w:tc>
          <w:tcPr>
            <w:tcW w:w="2580" w:type="dxa"/>
            <w:vAlign w:val="bottom"/>
          </w:tcPr>
          <w:p>
            <w:pPr>
              <w:jc w:val="right"/>
              <w:ind w:right="130"/>
              <w:spacing w:after="0"/>
              <w:rPr>
                <w:sz w:val="20"/>
                <w:szCs w:val="20"/>
                <w:color w:val="auto"/>
              </w:rPr>
            </w:pPr>
            <w:r>
              <w:rPr>
                <w:rFonts w:ascii="Arial" w:cs="Arial" w:eastAsia="Arial" w:hAnsi="Arial"/>
                <w:sz w:val="18"/>
                <w:szCs w:val="18"/>
                <w:color w:val="auto"/>
              </w:rPr>
              <w:t>20.5</w:t>
            </w:r>
          </w:p>
        </w:tc>
        <w:tc>
          <w:tcPr>
            <w:tcW w:w="1100" w:type="dxa"/>
            <w:vAlign w:val="bottom"/>
          </w:tcPr>
          <w:p>
            <w:pPr>
              <w:jc w:val="right"/>
              <w:ind w:right="310"/>
              <w:spacing w:after="0"/>
              <w:rPr>
                <w:sz w:val="20"/>
                <w:szCs w:val="20"/>
                <w:color w:val="auto"/>
              </w:rPr>
            </w:pPr>
            <w:r>
              <w:rPr>
                <w:rFonts w:ascii="Arial" w:cs="Arial" w:eastAsia="Arial" w:hAnsi="Arial"/>
                <w:sz w:val="18"/>
                <w:szCs w:val="18"/>
                <w:color w:val="auto"/>
              </w:rPr>
              <w:t>21.2</w:t>
            </w: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61.9</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63.9</w:t>
            </w:r>
          </w:p>
        </w:tc>
      </w:tr>
      <w:tr>
        <w:trPr>
          <w:trHeight w:val="27"/>
        </w:trPr>
        <w:tc>
          <w:tcPr>
            <w:tcW w:w="55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5"/>
        </w:trPr>
        <w:tc>
          <w:tcPr>
            <w:tcW w:w="5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25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3.3</w:t>
            </w:r>
          </w:p>
        </w:tc>
        <w:tc>
          <w:tcPr>
            <w:tcW w:w="11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5.5</w:t>
            </w:r>
          </w:p>
        </w:tc>
        <w:tc>
          <w:tcPr>
            <w:tcW w:w="12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11.2</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w:t>
            </w:r>
          </w:p>
        </w:tc>
      </w:tr>
      <w:tr>
        <w:trPr>
          <w:trHeight w:val="237"/>
        </w:trPr>
        <w:tc>
          <w:tcPr>
            <w:tcW w:w="554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Total Corporate and Other</w:t>
            </w:r>
          </w:p>
        </w:tc>
        <w:tc>
          <w:tcPr>
            <w:tcW w:w="25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23.8</w:t>
            </w:r>
          </w:p>
        </w:tc>
        <w:tc>
          <w:tcPr>
            <w:tcW w:w="11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26.7</w:t>
            </w:r>
          </w:p>
        </w:tc>
        <w:tc>
          <w:tcPr>
            <w:tcW w:w="12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73.1</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78.4</w:t>
            </w:r>
          </w:p>
        </w:tc>
      </w:tr>
      <w:tr>
        <w:trPr>
          <w:trHeight w:val="27"/>
        </w:trPr>
        <w:tc>
          <w:tcPr>
            <w:tcW w:w="554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55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Operating Revenue</w:t>
            </w:r>
          </w:p>
        </w:tc>
        <w:tc>
          <w:tcPr>
            <w:tcW w:w="25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$288.3</w:t>
            </w:r>
          </w:p>
        </w:tc>
        <w:tc>
          <w:tcPr>
            <w:tcW w:w="11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$348.0</w:t>
            </w:r>
          </w:p>
        </w:tc>
        <w:tc>
          <w:tcPr>
            <w:tcW w:w="12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$935.9</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$1,050.3</w:t>
            </w:r>
          </w:p>
        </w:tc>
      </w:tr>
      <w:tr>
        <w:trPr>
          <w:trHeight w:val="237"/>
        </w:trPr>
        <w:tc>
          <w:tcPr>
            <w:tcW w:w="55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Income (Loss)</w:t>
            </w:r>
          </w:p>
        </w:tc>
        <w:tc>
          <w:tcPr>
            <w:tcW w:w="25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r>
      <w:tr>
        <w:trPr>
          <w:trHeight w:val="27"/>
        </w:trPr>
        <w:tc>
          <w:tcPr>
            <w:tcW w:w="55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Regulated Operations</w:t>
            </w:r>
          </w:p>
        </w:tc>
        <w:tc>
          <w:tcPr>
            <w:tcW w:w="25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$32.4</w:t>
            </w:r>
          </w:p>
        </w:tc>
        <w:tc>
          <w:tcPr>
            <w:tcW w:w="11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$29.8</w:t>
            </w:r>
          </w:p>
        </w:tc>
        <w:tc>
          <w:tcPr>
            <w:tcW w:w="12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$114.2</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$99.7</w:t>
            </w:r>
          </w:p>
        </w:tc>
      </w:tr>
      <w:tr>
        <w:trPr>
          <w:trHeight w:val="270"/>
        </w:trPr>
        <w:tc>
          <w:tcPr>
            <w:tcW w:w="554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50"/>
        </w:trPr>
        <w:tc>
          <w:tcPr>
            <w:tcW w:w="5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Energy Infrastructure and Related Services</w:t>
            </w:r>
          </w:p>
        </w:tc>
        <w:tc>
          <w:tcPr>
            <w:tcW w:w="25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5540" w:type="dxa"/>
            <w:vAlign w:val="bottom"/>
          </w:tcPr>
          <w:p>
            <w:pPr>
              <w:ind w:left="280"/>
              <w:spacing w:after="0"/>
              <w:rPr>
                <w:sz w:val="20"/>
                <w:szCs w:val="20"/>
                <w:color w:val="auto"/>
              </w:rPr>
            </w:pPr>
            <w:r>
              <w:rPr>
                <w:rFonts w:ascii="Arial" w:cs="Arial" w:eastAsia="Arial" w:hAnsi="Arial"/>
                <w:sz w:val="18"/>
                <w:szCs w:val="18"/>
                <w:color w:val="auto"/>
              </w:rPr>
              <w:t>ALLETE Clean Energy</w:t>
            </w:r>
          </w:p>
        </w:tc>
        <w:tc>
          <w:tcPr>
            <w:tcW w:w="2580" w:type="dxa"/>
            <w:vAlign w:val="bottom"/>
          </w:tcPr>
          <w:p>
            <w:pPr>
              <w:jc w:val="right"/>
              <w:ind w:right="70"/>
              <w:spacing w:after="0"/>
              <w:rPr>
                <w:sz w:val="20"/>
                <w:szCs w:val="20"/>
                <w:color w:val="auto"/>
              </w:rPr>
            </w:pPr>
            <w:r>
              <w:rPr>
                <w:rFonts w:ascii="Arial" w:cs="Arial" w:eastAsia="Arial" w:hAnsi="Arial"/>
                <w:sz w:val="18"/>
                <w:szCs w:val="18"/>
                <w:color w:val="auto"/>
              </w:rPr>
              <w:t>(1.2)</w:t>
            </w:r>
          </w:p>
        </w:tc>
        <w:tc>
          <w:tcPr>
            <w:tcW w:w="1100" w:type="dxa"/>
            <w:vAlign w:val="bottom"/>
          </w:tcPr>
          <w:p>
            <w:pPr>
              <w:jc w:val="right"/>
              <w:ind w:right="310"/>
              <w:spacing w:after="0"/>
              <w:rPr>
                <w:sz w:val="20"/>
                <w:szCs w:val="20"/>
                <w:color w:val="auto"/>
              </w:rPr>
            </w:pPr>
            <w:r>
              <w:rPr>
                <w:rFonts w:ascii="Arial" w:cs="Arial" w:eastAsia="Arial" w:hAnsi="Arial"/>
                <w:sz w:val="18"/>
                <w:szCs w:val="18"/>
                <w:color w:val="auto"/>
              </w:rPr>
              <w:t>1.0</w:t>
            </w: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6.5</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15.9</w:t>
            </w:r>
          </w:p>
        </w:tc>
      </w:tr>
      <w:tr>
        <w:trPr>
          <w:trHeight w:val="27"/>
        </w:trPr>
        <w:tc>
          <w:tcPr>
            <w:tcW w:w="55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U.S. Water Services </w:t>
            </w:r>
            <w:r>
              <w:rPr>
                <w:rFonts w:ascii="Arial" w:cs="Arial" w:eastAsia="Arial" w:hAnsi="Arial"/>
                <w:sz w:val="16"/>
                <w:szCs w:val="16"/>
                <w:i w:val="1"/>
                <w:iCs w:val="1"/>
                <w:color w:val="auto"/>
              </w:rPr>
              <w:t>(b)</w:t>
            </w:r>
          </w:p>
        </w:tc>
        <w:tc>
          <w:tcPr>
            <w:tcW w:w="25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1.7</w:t>
            </w:r>
          </w:p>
        </w:tc>
        <w:tc>
          <w:tcPr>
            <w:tcW w:w="12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(1.1)</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r>
      <w:tr>
        <w:trPr>
          <w:trHeight w:val="270"/>
        </w:trPr>
        <w:tc>
          <w:tcPr>
            <w:tcW w:w="554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75"/>
        </w:trPr>
        <w:tc>
          <w:tcPr>
            <w:tcW w:w="5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16"/>
                <w:szCs w:val="16"/>
                <w:i w:val="1"/>
                <w:iCs w:val="1"/>
                <w:color w:val="auto"/>
              </w:rPr>
              <w:t>(b)</w:t>
            </w:r>
          </w:p>
        </w:tc>
        <w:tc>
          <w:tcPr>
            <w:tcW w:w="25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(1.8)</w:t>
            </w:r>
          </w:p>
        </w:tc>
        <w:tc>
          <w:tcPr>
            <w:tcW w:w="12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16.3</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37"/>
        </w:trPr>
        <w:tc>
          <w:tcPr>
            <w:tcW w:w="5540" w:type="dxa"/>
            <w:vAlign w:val="bottom"/>
            <w:tcBorders>
              <w:top w:val="single" w:sz="8" w:color="auto"/>
            </w:tcBorders>
          </w:tcPr>
          <w:p>
            <w:pPr>
              <w:ind w:left="380"/>
              <w:spacing w:after="0"/>
              <w:rPr>
                <w:sz w:val="20"/>
                <w:szCs w:val="20"/>
                <w:color w:val="auto"/>
              </w:rPr>
            </w:pPr>
            <w:r>
              <w:rPr>
                <w:rFonts w:ascii="Arial" w:cs="Arial" w:eastAsia="Arial" w:hAnsi="Arial"/>
                <w:sz w:val="18"/>
                <w:szCs w:val="18"/>
                <w:b w:val="1"/>
                <w:bCs w:val="1"/>
                <w:color w:val="auto"/>
              </w:rPr>
              <w:t>Total Net Income</w:t>
            </w:r>
          </w:p>
        </w:tc>
        <w:tc>
          <w:tcPr>
            <w:tcW w:w="25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$31.2</w:t>
            </w:r>
          </w:p>
        </w:tc>
        <w:tc>
          <w:tcPr>
            <w:tcW w:w="11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$30.7</w:t>
            </w:r>
          </w:p>
        </w:tc>
        <w:tc>
          <w:tcPr>
            <w:tcW w:w="12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$135.9</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$113.0</w:t>
            </w:r>
          </w:p>
        </w:tc>
      </w:tr>
      <w:tr>
        <w:trPr>
          <w:trHeight w:val="27"/>
        </w:trPr>
        <w:tc>
          <w:tcPr>
            <w:tcW w:w="554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206"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6"/>
          <w:szCs w:val="16"/>
          <w:i w:val="1"/>
          <w:iCs w:val="1"/>
          <w:color w:val="auto"/>
        </w:rPr>
      </w:pPr>
      <w:r>
        <w:rPr>
          <w:rFonts w:ascii="Arial" w:cs="Arial" w:eastAsia="Arial" w:hAnsi="Arial"/>
          <w:sz w:val="16"/>
          <w:szCs w:val="16"/>
          <w:i w:val="1"/>
          <w:iCs w:val="1"/>
          <w:color w:val="auto"/>
        </w:rPr>
        <w:t>See Note 2. Regulatory Matters.</w:t>
      </w:r>
    </w:p>
    <w:p>
      <w:pPr>
        <w:spacing w:after="0" w:line="19" w:lineRule="exact"/>
        <w:rPr>
          <w:rFonts w:ascii="Arial" w:cs="Arial" w:eastAsia="Arial" w:hAnsi="Arial"/>
          <w:sz w:val="16"/>
          <w:szCs w:val="16"/>
          <w:i w:val="1"/>
          <w:iCs w:val="1"/>
          <w:color w:val="auto"/>
        </w:rPr>
      </w:pPr>
    </w:p>
    <w:p>
      <w:pPr>
        <w:ind w:left="340" w:hanging="332"/>
        <w:spacing w:after="0" w:line="257" w:lineRule="auto"/>
        <w:tabs>
          <w:tab w:leader="none" w:pos="340" w:val="left"/>
        </w:tabs>
        <w:numPr>
          <w:ilvl w:val="0"/>
          <w:numId w:val="13"/>
        </w:numPr>
        <w:rPr>
          <w:rFonts w:ascii="Arial" w:cs="Arial" w:eastAsia="Arial" w:hAnsi="Arial"/>
          <w:sz w:val="16"/>
          <w:szCs w:val="16"/>
          <w:i w:val="1"/>
          <w:iCs w:val="1"/>
          <w:color w:val="auto"/>
        </w:rPr>
      </w:pPr>
      <w:r>
        <w:rPr>
          <w:rFonts w:ascii="Arial" w:cs="Arial" w:eastAsia="Arial" w:hAnsi="Arial"/>
          <w:sz w:val="16"/>
          <w:szCs w:val="16"/>
          <w:i w:val="1"/>
          <w:iCs w:val="1"/>
          <w:color w:val="auto"/>
        </w:rPr>
        <w:t>On March 26, 2019, ALLETE completed the sale of U.S. Water Services. The Company recognized a gain on the sale of $11.1 million after-tax reflected in Corporate and Other in 2019. (See Note 1. Operations and Significant Accounting Policies.)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2019 Form 10-Q</w:t>
      </w:r>
    </w:p>
    <w:p>
      <w:pPr>
        <w:sectPr>
          <w:pgSz w:w="11900" w:h="16838" w:orient="portrait"/>
          <w:cols w:equalWidth="0" w:num="1">
            <w:col w:w="11420"/>
          </w:cols>
          <w:pgMar w:left="240" w:top="1040" w:right="239" w:bottom="1440" w:gutter="0" w:footer="0" w:header="0"/>
        </w:sectPr>
      </w:pP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30</w:t>
      </w:r>
    </w:p>
    <w:p>
      <w:pPr>
        <w:sectPr>
          <w:pgSz w:w="11900" w:h="16838" w:orient="portrait"/>
          <w:cols w:equalWidth="0" w:num="1">
            <w:col w:w="11420"/>
          </w:cols>
          <w:pgMar w:left="240" w:top="1040" w:right="239" w:bottom="1440" w:gutter="0" w:footer="0" w:header="0"/>
          <w:type w:val="continuous"/>
        </w:sectPr>
      </w:pPr>
    </w:p>
    <w:bookmarkStart w:id="30" w:name="page31"/>
    <w:bookmarkEnd w:id="30"/>
    <w:tbl>
      <w:tblPr>
        <w:tblLayout w:type="fixed"/>
        <w:tblInd w:w="0"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r>
              <w:rPr>
                <w:rFonts w:ascii="Arial" w:cs="Arial" w:eastAsia="Arial" w:hAnsi="Arial"/>
                <w:sz w:val="18"/>
                <w:szCs w:val="18"/>
                <w:b w:val="1"/>
                <w:bCs w:val="1"/>
                <w:color w:val="auto"/>
              </w:rPr>
              <w:t>NOTE 11. BUSINESS SEGMENTS (Continued)</w:t>
            </w:r>
          </w:p>
        </w:tc>
        <w:tc>
          <w:tcPr>
            <w:tcW w:w="384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60"/>
        </w:trPr>
        <w:tc>
          <w:tcPr>
            <w:tcW w:w="6200" w:type="dxa"/>
            <w:vAlign w:val="bottom"/>
          </w:tcPr>
          <w:p>
            <w:pPr>
              <w:spacing w:after="0"/>
              <w:rPr>
                <w:sz w:val="24"/>
                <w:szCs w:val="24"/>
                <w:color w:val="auto"/>
              </w:rPr>
            </w:pPr>
          </w:p>
        </w:tc>
        <w:tc>
          <w:tcPr>
            <w:tcW w:w="3840" w:type="dxa"/>
            <w:vAlign w:val="bottom"/>
          </w:tcPr>
          <w:p>
            <w:pPr>
              <w:jc w:val="right"/>
              <w:ind w:right="150"/>
              <w:spacing w:after="0"/>
              <w:rPr>
                <w:sz w:val="20"/>
                <w:szCs w:val="20"/>
                <w:color w:val="auto"/>
              </w:rPr>
            </w:pPr>
            <w:r>
              <w:rPr>
                <w:rFonts w:ascii="Arial" w:cs="Arial" w:eastAsia="Arial" w:hAnsi="Arial"/>
                <w:sz w:val="18"/>
                <w:szCs w:val="18"/>
                <w:b w:val="1"/>
                <w:bCs w:val="1"/>
                <w:color w:val="auto"/>
              </w:rPr>
              <w:t>September 30,</w:t>
            </w:r>
          </w:p>
        </w:tc>
        <w:tc>
          <w:tcPr>
            <w:tcW w:w="138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6200" w:type="dxa"/>
            <w:vAlign w:val="bottom"/>
          </w:tcPr>
          <w:p>
            <w:pPr>
              <w:spacing w:after="0"/>
              <w:rPr>
                <w:sz w:val="20"/>
                <w:szCs w:val="20"/>
                <w:color w:val="auto"/>
              </w:rPr>
            </w:pPr>
          </w:p>
        </w:tc>
        <w:tc>
          <w:tcPr>
            <w:tcW w:w="3840" w:type="dxa"/>
            <w:vAlign w:val="bottom"/>
          </w:tcPr>
          <w:p>
            <w:pPr>
              <w:jc w:val="right"/>
              <w:ind w:right="110"/>
              <w:spacing w:after="0"/>
              <w:rPr>
                <w:sz w:val="20"/>
                <w:szCs w:val="20"/>
                <w:color w:val="auto"/>
              </w:rPr>
            </w:pPr>
            <w:r>
              <w:rPr>
                <w:rFonts w:ascii="Arial" w:cs="Arial" w:eastAsia="Arial" w:hAnsi="Arial"/>
                <w:sz w:val="18"/>
                <w:szCs w:val="18"/>
                <w:b w:val="1"/>
                <w:bCs w:val="1"/>
                <w:color w:val="auto"/>
              </w:rPr>
              <w:t>2019</w:t>
            </w:r>
          </w:p>
        </w:tc>
        <w:tc>
          <w:tcPr>
            <w:tcW w:w="1380" w:type="dxa"/>
            <w:vAlign w:val="bottom"/>
          </w:tcPr>
          <w:p>
            <w:pPr>
              <w:jc w:val="right"/>
              <w:ind w:right="10"/>
              <w:spacing w:after="0"/>
              <w:rPr>
                <w:sz w:val="20"/>
                <w:szCs w:val="20"/>
                <w:color w:val="auto"/>
              </w:rPr>
            </w:pPr>
            <w:r>
              <w:rPr>
                <w:rFonts w:ascii="Arial" w:cs="Arial" w:eastAsia="Arial" w:hAnsi="Arial"/>
                <w:sz w:val="18"/>
                <w:szCs w:val="18"/>
                <w:b w:val="1"/>
                <w:bCs w:val="1"/>
                <w:color w:val="auto"/>
              </w:rPr>
              <w:t>2018</w:t>
            </w:r>
          </w:p>
        </w:tc>
      </w:tr>
      <w:tr>
        <w:trPr>
          <w:trHeight w:val="27"/>
        </w:trPr>
        <w:tc>
          <w:tcPr>
            <w:tcW w:w="620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62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84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
        </w:trPr>
        <w:tc>
          <w:tcPr>
            <w:tcW w:w="620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8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6200" w:type="dxa"/>
            <w:vAlign w:val="bottom"/>
          </w:tcPr>
          <w:p>
            <w:pPr>
              <w:ind w:left="280"/>
              <w:spacing w:after="0"/>
              <w:rPr>
                <w:sz w:val="20"/>
                <w:szCs w:val="20"/>
                <w:color w:val="auto"/>
              </w:rPr>
            </w:pPr>
            <w:r>
              <w:rPr>
                <w:rFonts w:ascii="Arial" w:cs="Arial" w:eastAsia="Arial" w:hAnsi="Arial"/>
                <w:sz w:val="18"/>
                <w:szCs w:val="18"/>
                <w:color w:val="auto"/>
              </w:rPr>
              <w:t>Regulated Operations</w:t>
            </w:r>
          </w:p>
        </w:tc>
        <w:tc>
          <w:tcPr>
            <w:tcW w:w="3840" w:type="dxa"/>
            <w:vAlign w:val="bottom"/>
          </w:tcPr>
          <w:p>
            <w:pPr>
              <w:jc w:val="right"/>
              <w:ind w:right="110"/>
              <w:spacing w:after="0"/>
              <w:rPr>
                <w:sz w:val="20"/>
                <w:szCs w:val="20"/>
                <w:color w:val="auto"/>
              </w:rPr>
            </w:pPr>
            <w:r>
              <w:rPr>
                <w:rFonts w:ascii="Arial" w:cs="Arial" w:eastAsia="Arial" w:hAnsi="Arial"/>
                <w:sz w:val="18"/>
                <w:szCs w:val="18"/>
                <w:color w:val="auto"/>
              </w:rPr>
              <w:t>$4,045.2</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$3,952.5</w:t>
            </w:r>
          </w:p>
        </w:tc>
      </w:tr>
      <w:tr>
        <w:trPr>
          <w:trHeight w:val="27"/>
        </w:trPr>
        <w:tc>
          <w:tcPr>
            <w:tcW w:w="620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6200" w:type="dxa"/>
            <w:vAlign w:val="bottom"/>
            <w:shd w:val="clear" w:color="auto" w:fill="CCEEFF"/>
          </w:tcPr>
          <w:p>
            <w:pPr>
              <w:spacing w:after="0"/>
              <w:rPr>
                <w:sz w:val="23"/>
                <w:szCs w:val="23"/>
                <w:color w:val="auto"/>
              </w:rPr>
            </w:pPr>
          </w:p>
        </w:tc>
        <w:tc>
          <w:tcPr>
            <w:tcW w:w="384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43"/>
        </w:trPr>
        <w:tc>
          <w:tcPr>
            <w:tcW w:w="6200" w:type="dxa"/>
            <w:vAlign w:val="bottom"/>
          </w:tcPr>
          <w:p>
            <w:pPr>
              <w:ind w:left="180"/>
              <w:spacing w:after="0"/>
              <w:rPr>
                <w:sz w:val="20"/>
                <w:szCs w:val="20"/>
                <w:color w:val="auto"/>
              </w:rPr>
            </w:pPr>
            <w:r>
              <w:rPr>
                <w:rFonts w:ascii="Arial" w:cs="Arial" w:eastAsia="Arial" w:hAnsi="Arial"/>
                <w:sz w:val="18"/>
                <w:szCs w:val="18"/>
                <w:color w:val="auto"/>
              </w:rPr>
              <w:t>Energy Infrastructure and Related Services</w:t>
            </w:r>
          </w:p>
        </w:tc>
        <w:tc>
          <w:tcPr>
            <w:tcW w:w="384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620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ALLETE Clean Energy</w:t>
            </w:r>
          </w:p>
        </w:tc>
        <w:tc>
          <w:tcPr>
            <w:tcW w:w="38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839.8</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606.6</w:t>
            </w:r>
          </w:p>
        </w:tc>
      </w:tr>
      <w:tr>
        <w:trPr>
          <w:trHeight w:val="243"/>
        </w:trPr>
        <w:tc>
          <w:tcPr>
            <w:tcW w:w="6200" w:type="dxa"/>
            <w:vAlign w:val="bottom"/>
          </w:tcPr>
          <w:p>
            <w:pPr>
              <w:ind w:left="280"/>
              <w:spacing w:after="0"/>
              <w:rPr>
                <w:sz w:val="20"/>
                <w:szCs w:val="20"/>
                <w:color w:val="auto"/>
              </w:rPr>
            </w:pPr>
            <w:r>
              <w:rPr>
                <w:rFonts w:ascii="Arial" w:cs="Arial" w:eastAsia="Arial" w:hAnsi="Arial"/>
                <w:sz w:val="18"/>
                <w:szCs w:val="18"/>
                <w:color w:val="auto"/>
              </w:rPr>
              <w:t xml:space="preserve">U.S. Water Services </w:t>
            </w:r>
            <w:r>
              <w:rPr>
                <w:rFonts w:ascii="Arial" w:cs="Arial" w:eastAsia="Arial" w:hAnsi="Arial"/>
                <w:sz w:val="16"/>
                <w:szCs w:val="16"/>
                <w:i w:val="1"/>
                <w:iCs w:val="1"/>
                <w:color w:val="auto"/>
              </w:rPr>
              <w:t>(a)</w:t>
            </w:r>
          </w:p>
        </w:tc>
        <w:tc>
          <w:tcPr>
            <w:tcW w:w="38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295.8</w:t>
            </w:r>
          </w:p>
        </w:tc>
      </w:tr>
      <w:tr>
        <w:trPr>
          <w:trHeight w:val="27"/>
        </w:trPr>
        <w:tc>
          <w:tcPr>
            <w:tcW w:w="620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6200" w:type="dxa"/>
            <w:vAlign w:val="bottom"/>
            <w:shd w:val="clear" w:color="auto" w:fill="CCEEFF"/>
          </w:tcPr>
          <w:p>
            <w:pPr>
              <w:spacing w:after="0"/>
              <w:rPr>
                <w:sz w:val="23"/>
                <w:szCs w:val="23"/>
                <w:color w:val="auto"/>
              </w:rPr>
            </w:pPr>
          </w:p>
        </w:tc>
        <w:tc>
          <w:tcPr>
            <w:tcW w:w="384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43"/>
        </w:trPr>
        <w:tc>
          <w:tcPr>
            <w:tcW w:w="6200" w:type="dxa"/>
            <w:vAlign w:val="bottom"/>
          </w:tcPr>
          <w:p>
            <w:pPr>
              <w:ind w:left="280"/>
              <w:spacing w:after="0"/>
              <w:rPr>
                <w:sz w:val="20"/>
                <w:szCs w:val="20"/>
                <w:color w:val="auto"/>
              </w:rPr>
            </w:pPr>
            <w:r>
              <w:rPr>
                <w:rFonts w:ascii="Arial" w:cs="Arial" w:eastAsia="Arial" w:hAnsi="Arial"/>
                <w:sz w:val="18"/>
                <w:szCs w:val="18"/>
                <w:color w:val="auto"/>
              </w:rPr>
              <w:t>Corporate and Other</w:t>
            </w:r>
          </w:p>
        </w:tc>
        <w:tc>
          <w:tcPr>
            <w:tcW w:w="3840" w:type="dxa"/>
            <w:vAlign w:val="bottom"/>
          </w:tcPr>
          <w:p>
            <w:pPr>
              <w:jc w:val="right"/>
              <w:ind w:right="110"/>
              <w:spacing w:after="0"/>
              <w:rPr>
                <w:sz w:val="20"/>
                <w:szCs w:val="20"/>
                <w:color w:val="auto"/>
              </w:rPr>
            </w:pPr>
            <w:r>
              <w:rPr>
                <w:rFonts w:ascii="Arial" w:cs="Arial" w:eastAsia="Arial" w:hAnsi="Arial"/>
                <w:sz w:val="18"/>
                <w:szCs w:val="18"/>
                <w:color w:val="auto"/>
              </w:rPr>
              <w:t>390.8</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310.1</w:t>
            </w:r>
          </w:p>
        </w:tc>
      </w:tr>
      <w:tr>
        <w:trPr>
          <w:trHeight w:val="27"/>
        </w:trPr>
        <w:tc>
          <w:tcPr>
            <w:tcW w:w="620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6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Total Assets</w:t>
            </w:r>
          </w:p>
        </w:tc>
        <w:tc>
          <w:tcPr>
            <w:tcW w:w="38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$5,275.8</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$5,165.0</w:t>
            </w:r>
          </w:p>
        </w:tc>
      </w:tr>
      <w:tr>
        <w:trPr>
          <w:trHeight w:val="20"/>
        </w:trPr>
        <w:tc>
          <w:tcPr>
            <w:tcW w:w="6200" w:type="dxa"/>
            <w:vAlign w:val="bottom"/>
            <w:shd w:val="clear" w:color="auto" w:fill="000000"/>
          </w:tcPr>
          <w:p>
            <w:pPr>
              <w:spacing w:after="0" w:line="20" w:lineRule="exact"/>
              <w:rPr>
                <w:sz w:val="1"/>
                <w:szCs w:val="1"/>
                <w:color w:val="auto"/>
              </w:rPr>
            </w:pPr>
          </w:p>
        </w:tc>
        <w:tc>
          <w:tcPr>
            <w:tcW w:w="38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r>
    </w:tbl>
    <w:p>
      <w:pPr>
        <w:spacing w:after="0" w:line="206"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On March 26, 2019, ALLETE completed the sale of U.S. Water Services. (See Note 1. Operations and Significant Accounting Policies.)</w:t>
      </w: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w:t>
      </w:r>
    </w:p>
    <w:p>
      <w:pPr>
        <w:spacing w:after="0" w:line="27"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CONDITION AND RESULTS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following discussion should be read in conjunction with our Consolidated Financial Statements and notes to those statements, Management’s Discussion and Analysis of Financial Condition and Results of Operations from our 2018 Form 10-K, and the other financial information appearing elsewhere in this report. In addition to historical information, the following discussion and other parts of this Form 10-Q contain forward-looking information that involves risks and uncertainties. Readers are cautioned that forward-looking statements should be read in conjunction with our disclosures in this Form 10-Q and our 2018 Form 10-K under the headings: “Forward-Looking Statements” located on page 6 and “Risk Factors” located in Part I, Item 1A, beginning on page 23 of our 2018 Form 10-K. The risks and uncertainties described in this Form 10-Q and our 2018 Form 10-K are not the only risks facing our Company. Additional risks and uncertainties that we are not presently aware of, or that we currently consider immaterial, may also affect our business operations. Our business, financial condition or results of operations could suffer if the risks are realized.</w:t>
      </w:r>
    </w:p>
    <w:p>
      <w:pPr>
        <w:spacing w:after="0" w:line="175" w:lineRule="exact"/>
        <w:rPr>
          <w:sz w:val="20"/>
          <w:szCs w:val="20"/>
          <w:color w:val="auto"/>
        </w:rPr>
      </w:pPr>
    </w:p>
    <w:p>
      <w:pPr>
        <w:jc w:val="both"/>
        <w:spacing w:after="0" w:line="295" w:lineRule="auto"/>
        <w:rPr>
          <w:sz w:val="20"/>
          <w:szCs w:val="20"/>
          <w:color w:val="auto"/>
        </w:rPr>
      </w:pPr>
      <w:r>
        <w:rPr>
          <w:rFonts w:ascii="Arial" w:cs="Arial" w:eastAsia="Arial" w:hAnsi="Arial"/>
          <w:sz w:val="16"/>
          <w:szCs w:val="16"/>
          <w:b w:val="1"/>
          <w:bCs w:val="1"/>
          <w:color w:val="auto"/>
        </w:rPr>
        <w:t xml:space="preserve">Regulated Operations </w:t>
      </w:r>
      <w:r>
        <w:rPr>
          <w:rFonts w:ascii="Arial" w:cs="Arial" w:eastAsia="Arial" w:hAnsi="Arial"/>
          <w:sz w:val="16"/>
          <w:szCs w:val="16"/>
          <w:color w:val="auto"/>
        </w:rPr>
        <w:t>includes our regulated utilities, Minnesota Power and SWL&amp;P, as well as our investment in ATC, a Wisconsin-based regulated utility</w:t>
      </w:r>
      <w:r>
        <w:rPr>
          <w:rFonts w:ascii="Arial" w:cs="Arial" w:eastAsia="Arial" w:hAnsi="Arial"/>
          <w:sz w:val="16"/>
          <w:szCs w:val="16"/>
          <w:b w:val="1"/>
          <w:bCs w:val="1"/>
          <w:color w:val="auto"/>
        </w:rPr>
        <w:t xml:space="preserve"> </w:t>
      </w:r>
      <w:r>
        <w:rPr>
          <w:rFonts w:ascii="Arial" w:cs="Arial" w:eastAsia="Arial" w:hAnsi="Arial"/>
          <w:sz w:val="16"/>
          <w:szCs w:val="16"/>
          <w:color w:val="auto"/>
        </w:rPr>
        <w:t>that owns and maintains electric transmission assets in portions of Wisconsin, Michigan, Minnesota and Illinois. Minnesota Power provides regulated utility electric service in northeastern Minnesota to approximately 145,000 retail customers. Minnesota Power also has 15 non-affiliated municipal customers in Minnesota. SWL&amp;P is a Wisconsin utility and a wholesale customer of Minnesota Power. SWL&amp;P provides regulated utility electric, natural gas and water service in northwestern Wisconsin to approximately 15,000 electric customers, 13,000 natural gas customers and 10,000 water customers. Our regulated utility operations include retail and wholesale activities under the jurisdiction of state and federal regulatory authorities</w:t>
      </w:r>
      <w:r>
        <w:rPr>
          <w:rFonts w:ascii="Arial" w:cs="Arial" w:eastAsia="Arial" w:hAnsi="Arial"/>
          <w:sz w:val="16"/>
          <w:szCs w:val="16"/>
          <w:i w:val="1"/>
          <w:iCs w:val="1"/>
          <w:color w:val="auto"/>
        </w:rPr>
        <w:t>.</w:t>
      </w:r>
      <w:r>
        <w:rPr>
          <w:rFonts w:ascii="Arial" w:cs="Arial" w:eastAsia="Arial" w:hAnsi="Arial"/>
          <w:sz w:val="16"/>
          <w:szCs w:val="16"/>
          <w:color w:val="auto"/>
        </w:rPr>
        <w:t xml:space="preserve"> (See Note 2. Regulatory Matters.)</w:t>
      </w:r>
    </w:p>
    <w:p>
      <w:pPr>
        <w:spacing w:after="0" w:line="15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ALLETE Clean Energy </w:t>
      </w:r>
      <w:r>
        <w:rPr>
          <w:rFonts w:ascii="Arial" w:cs="Arial" w:eastAsia="Arial" w:hAnsi="Arial"/>
          <w:sz w:val="18"/>
          <w:szCs w:val="18"/>
          <w:color w:val="auto"/>
        </w:rPr>
        <w:t>focuses on developing, acquiring, and operating clean and renewable energy projects. ALLETE Clean Energy currently owns and</w:t>
      </w:r>
      <w:r>
        <w:rPr>
          <w:rFonts w:ascii="Arial" w:cs="Arial" w:eastAsia="Arial" w:hAnsi="Arial"/>
          <w:sz w:val="18"/>
          <w:szCs w:val="18"/>
          <w:b w:val="1"/>
          <w:bCs w:val="1"/>
          <w:color w:val="auto"/>
        </w:rPr>
        <w:t xml:space="preserve"> </w:t>
      </w:r>
      <w:r>
        <w:rPr>
          <w:rFonts w:ascii="Arial" w:cs="Arial" w:eastAsia="Arial" w:hAnsi="Arial"/>
          <w:sz w:val="18"/>
          <w:szCs w:val="18"/>
          <w:color w:val="auto"/>
        </w:rPr>
        <w:t>operates, in four states, approximately 555 MW of nameplate capacity wind energy generation that is contracted under PSAs of various durations. In addition, ALLETE Clean Energy currently has approximately 480 MW of wind energy facilities under construction that it will own and operate with long-term PSAs in place. ALLETE Clean Energy also engages in the development of wind energy facilities to operate under long-term PSAs or for sale to others upon completion.</w:t>
      </w:r>
    </w:p>
    <w:p>
      <w:pPr>
        <w:spacing w:after="0" w:line="18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U.S. Water Services </w:t>
      </w:r>
      <w:r>
        <w:rPr>
          <w:rFonts w:ascii="Arial" w:cs="Arial" w:eastAsia="Arial" w:hAnsi="Arial"/>
          <w:sz w:val="18"/>
          <w:szCs w:val="18"/>
          <w:color w:val="auto"/>
        </w:rPr>
        <w:t>provided integrated water management for industry by combining chemical, equipment, engineering and service for customized</w:t>
      </w:r>
      <w:r>
        <w:rPr>
          <w:rFonts w:ascii="Arial" w:cs="Arial" w:eastAsia="Arial" w:hAnsi="Arial"/>
          <w:sz w:val="18"/>
          <w:szCs w:val="18"/>
          <w:b w:val="1"/>
          <w:bCs w:val="1"/>
          <w:color w:val="auto"/>
        </w:rPr>
        <w:t xml:space="preserve"> </w:t>
      </w:r>
      <w:r>
        <w:rPr>
          <w:rFonts w:ascii="Arial" w:cs="Arial" w:eastAsia="Arial" w:hAnsi="Arial"/>
          <w:sz w:val="18"/>
          <w:szCs w:val="18"/>
          <w:color w:val="auto"/>
        </w:rPr>
        <w:t>solutions to reduce water and energy usage, and improve efficiency. On February 8, 2019, the Company entered into a stock purchase agreement providing for the sale of U.S. Water Services to a subsidiary of Kurita Water Industries Ltd. On March 26, 2019, ALLETE completed the sale and received approximately $265 million in cash at closing, net of transaction costs and cash retained.</w:t>
      </w:r>
    </w:p>
    <w:p>
      <w:pPr>
        <w:spacing w:after="0" w:line="19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Corporate and Other </w:t>
      </w:r>
      <w:r>
        <w:rPr>
          <w:rFonts w:ascii="Arial" w:cs="Arial" w:eastAsia="Arial" w:hAnsi="Arial"/>
          <w:sz w:val="18"/>
          <w:szCs w:val="18"/>
          <w:color w:val="auto"/>
        </w:rPr>
        <w:t>is comprised of BNI Energy, our coal mining operations in North Dakota, ALLETE Properties, our legacy Florida real estate</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 our investment in Nobles 2, other business development and corporate expenditures, unallocated interest expense, a small amount of non-rate base generation, approximately 4,000 acres of land in Minnesota, and earnings on cash and investments.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2019 Form 10-Q</w:t>
      </w:r>
    </w:p>
    <w:p>
      <w:pPr>
        <w:sectPr>
          <w:pgSz w:w="11900" w:h="16838" w:orient="portrait"/>
          <w:cols w:equalWidth="0" w:num="1">
            <w:col w:w="11420"/>
          </w:cols>
          <w:pgMar w:left="240" w:top="1040" w:right="239" w:bottom="1440" w:gutter="0" w:footer="0" w:header="0"/>
        </w:sectPr>
      </w:pP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31</w:t>
      </w:r>
    </w:p>
    <w:p>
      <w:pPr>
        <w:sectPr>
          <w:pgSz w:w="11900" w:h="16838" w:orient="portrait"/>
          <w:cols w:equalWidth="0" w:num="1">
            <w:col w:w="11420"/>
          </w:cols>
          <w:pgMar w:left="240" w:top="1040" w:right="2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ITEM 2. MANAGEMENT’S DISCUSSION AND ANALYSIS OF FINANCIAL</w:t>
      </w:r>
    </w:p>
    <w:p>
      <w:pPr>
        <w:spacing w:after="0" w:line="27"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CONDITION AND RESULTS OF OPERATIONS (Continued)</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ALLETE is incorporated under the laws of Minnesota. Our corporate headquarters are in Duluth, Minnesota. Statistical information is presented as of September 30, 2019, unless otherwise indicated. All subsidiaries are wholly-owned unless otherwise specifically indicated. References in this report to “we,” “us” and “our” are to ALLETE and its subsidiaries, collectively.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net income discussion summarizes a comparison of the nine months ended September 30, 2019, to the nine months ended September 30, 2018.</w:t>
      </w:r>
    </w:p>
    <w:p>
      <w:pPr>
        <w:spacing w:after="0" w:line="24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Net income for the nine months ended September 30, 2019, was $135.9 million, or $2.63 per diluted share, compared to $113.0 million, or $2.19 per diluted share, for the same period in 2018. Net income in 2019 included the gain on sale of U.S. Water Services of $11.1 million after-tax, or $0.22 per share. Earnings per share dilution was $0.01 due to additional shares of common stock outstanding as of September 30, 2019.</w:t>
      </w:r>
    </w:p>
    <w:p>
      <w:pPr>
        <w:spacing w:after="0" w:line="162"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Regulated Operations </w:t>
      </w:r>
      <w:r>
        <w:rPr>
          <w:rFonts w:ascii="Arial" w:cs="Arial" w:eastAsia="Arial" w:hAnsi="Arial"/>
          <w:sz w:val="16"/>
          <w:szCs w:val="16"/>
          <w:color w:val="auto"/>
        </w:rPr>
        <w:t>net income was $114.2 million for the nine months ended September 30, 2019, compared to $99.7 million for the same period in</w:t>
      </w:r>
      <w:r>
        <w:rPr>
          <w:rFonts w:ascii="Arial" w:cs="Arial" w:eastAsia="Arial" w:hAnsi="Arial"/>
          <w:sz w:val="16"/>
          <w:szCs w:val="16"/>
          <w:b w:val="1"/>
          <w:bCs w:val="1"/>
          <w:color w:val="auto"/>
        </w:rPr>
        <w:t xml:space="preserve"> </w:t>
      </w:r>
      <w:r>
        <w:rPr>
          <w:rFonts w:ascii="Arial" w:cs="Arial" w:eastAsia="Arial" w:hAnsi="Arial"/>
          <w:sz w:val="16"/>
          <w:szCs w:val="16"/>
          <w:color w:val="auto"/>
        </w:rPr>
        <w:t>2018. Net income at Minnesota Power was higher than 2018 primarily due to lower operating and maintenance and property tax expenses, increased cost recovery rider revenue and the timing of fuel adjustment clause recoveries. These increases were partially offset by lower kWh sales. Net income at SWL&amp;P was higher than 2018 primarily due to higher rates. Our after-tax equity earnings in ATC were higher than 2018 primarily due to additional investments.</w:t>
      </w:r>
    </w:p>
    <w:p>
      <w:pPr>
        <w:spacing w:after="0" w:line="15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ALLETE Clean Energy </w:t>
      </w:r>
      <w:r>
        <w:rPr>
          <w:rFonts w:ascii="Arial" w:cs="Arial" w:eastAsia="Arial" w:hAnsi="Arial"/>
          <w:sz w:val="18"/>
          <w:szCs w:val="18"/>
          <w:color w:val="auto"/>
        </w:rPr>
        <w:t>net income was $6.5 million for the nine months ended September 30, 2019, compared to $15.9 million for the same period in 2018.</w:t>
      </w:r>
      <w:r>
        <w:rPr>
          <w:rFonts w:ascii="Arial" w:cs="Arial" w:eastAsia="Arial" w:hAnsi="Arial"/>
          <w:sz w:val="18"/>
          <w:szCs w:val="18"/>
          <w:b w:val="1"/>
          <w:bCs w:val="1"/>
          <w:color w:val="auto"/>
        </w:rPr>
        <w:t xml:space="preserve"> </w:t>
      </w:r>
      <w:r>
        <w:rPr>
          <w:rFonts w:ascii="Arial" w:cs="Arial" w:eastAsia="Arial" w:hAnsi="Arial"/>
          <w:sz w:val="18"/>
          <w:szCs w:val="18"/>
          <w:color w:val="auto"/>
        </w:rPr>
        <w:t>Net income in 2018 included $2.7 million of production tax credits that resulted from the retrospective qualification of additional wind turbine generators in 2016 and 2017. Net income in 2019 included lower revenue resulting from lower wind resources and availability as well as lower non-cash amortization related to the expiration of power sales agreements, and higher depreciation expense. These decreases were partially offset by $3.2 million of additional production tax credits generated in 2019 compared to production tax credits generated in 2018 as ALLETE Clean Energy continues to execute its refurbishment strategy.</w:t>
      </w:r>
    </w:p>
    <w:p>
      <w:pPr>
        <w:spacing w:after="0" w:line="18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U.S. Water Services </w:t>
      </w:r>
      <w:r>
        <w:rPr>
          <w:rFonts w:ascii="Arial" w:cs="Arial" w:eastAsia="Arial" w:hAnsi="Arial"/>
          <w:sz w:val="18"/>
          <w:szCs w:val="18"/>
          <w:color w:val="auto"/>
        </w:rPr>
        <w:t>net loss was $1.1 million for the nine months ended September 30, 2019, compared to net income of $0.5 million for the same period in</w:t>
      </w:r>
      <w:r>
        <w:rPr>
          <w:rFonts w:ascii="Arial" w:cs="Arial" w:eastAsia="Arial" w:hAnsi="Arial"/>
          <w:sz w:val="18"/>
          <w:szCs w:val="18"/>
          <w:b w:val="1"/>
          <w:bCs w:val="1"/>
          <w:color w:val="auto"/>
        </w:rPr>
        <w:t xml:space="preserve"> </w:t>
      </w:r>
      <w:r>
        <w:rPr>
          <w:rFonts w:ascii="Arial" w:cs="Arial" w:eastAsia="Arial" w:hAnsi="Arial"/>
          <w:sz w:val="18"/>
          <w:szCs w:val="18"/>
          <w:color w:val="auto"/>
        </w:rPr>
        <w:t>2018. ALLETE completed the sale of U.S. Water Services in the first quarter of 2019.</w:t>
      </w:r>
    </w:p>
    <w:p>
      <w:pPr>
        <w:spacing w:after="0" w:line="16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Corporate and Other </w:t>
      </w:r>
      <w:r>
        <w:rPr>
          <w:rFonts w:ascii="Arial" w:cs="Arial" w:eastAsia="Arial" w:hAnsi="Arial"/>
          <w:sz w:val="18"/>
          <w:szCs w:val="18"/>
          <w:color w:val="auto"/>
        </w:rPr>
        <w:t>net income was $16.3 million for the nine months ended September 30, 2019, compared to a net loss of $3.1 million for the same</w:t>
      </w:r>
      <w:r>
        <w:rPr>
          <w:rFonts w:ascii="Arial" w:cs="Arial" w:eastAsia="Arial" w:hAnsi="Arial"/>
          <w:sz w:val="18"/>
          <w:szCs w:val="18"/>
          <w:b w:val="1"/>
          <w:bCs w:val="1"/>
          <w:color w:val="auto"/>
        </w:rPr>
        <w:t xml:space="preserve"> </w:t>
      </w:r>
      <w:r>
        <w:rPr>
          <w:rFonts w:ascii="Arial" w:cs="Arial" w:eastAsia="Arial" w:hAnsi="Arial"/>
          <w:sz w:val="18"/>
          <w:szCs w:val="18"/>
          <w:color w:val="auto"/>
        </w:rPr>
        <w:t>period in 2018. Net income in 2019 included the gain on sale of U.S. Water Services of $11.1 million after-tax. Net income in 2019 also included additional income tax benefit recorded in 2019 as GAAP requires the recognition of income tax expense at the estimated annual effective tax rate, and higher earnings on cash and short-term investments.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2019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1420"/>
          </w:cols>
          <w:pgMar w:left="240" w:top="1040" w:right="2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4"/>
        </w:trPr>
        <w:tc>
          <w:tcPr>
            <w:tcW w:w="8040" w:type="dxa"/>
            <w:vAlign w:val="bottom"/>
            <w:gridSpan w:val="2"/>
          </w:tcPr>
          <w:p>
            <w:pPr>
              <w:spacing w:after="0"/>
              <w:rPr>
                <w:sz w:val="20"/>
                <w:szCs w:val="20"/>
                <w:color w:val="auto"/>
              </w:rPr>
            </w:pPr>
            <w:r>
              <w:rPr>
                <w:rFonts w:ascii="Arial" w:cs="Arial" w:eastAsia="Arial" w:hAnsi="Arial"/>
                <w:sz w:val="18"/>
                <w:szCs w:val="18"/>
                <w:b w:val="1"/>
                <w:bCs w:val="1"/>
                <w:color w:val="auto"/>
              </w:rPr>
              <w:t>COMPARISON OF THE QUARTERS ENDED SEPTEMBER 30, 2019 AND 2018</w:t>
            </w:r>
          </w:p>
        </w:tc>
        <w:tc>
          <w:tcPr>
            <w:tcW w:w="25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32"/>
        </w:trPr>
        <w:tc>
          <w:tcPr>
            <w:tcW w:w="8040" w:type="dxa"/>
            <w:vAlign w:val="bottom"/>
            <w:gridSpan w:val="2"/>
          </w:tcPr>
          <w:p>
            <w:pPr>
              <w:spacing w:after="0"/>
              <w:rPr>
                <w:sz w:val="20"/>
                <w:szCs w:val="20"/>
                <w:color w:val="auto"/>
              </w:rPr>
            </w:pPr>
            <w:r>
              <w:rPr>
                <w:rFonts w:ascii="Arial" w:cs="Arial" w:eastAsia="Arial" w:hAnsi="Arial"/>
                <w:sz w:val="18"/>
                <w:szCs w:val="18"/>
                <w:color w:val="auto"/>
              </w:rPr>
              <w:t>(See Note 11. Business Segments for financial results by segment.)</w:t>
            </w:r>
          </w:p>
        </w:tc>
        <w:tc>
          <w:tcPr>
            <w:tcW w:w="25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78"/>
        </w:trPr>
        <w:tc>
          <w:tcPr>
            <w:tcW w:w="8040" w:type="dxa"/>
            <w:vAlign w:val="bottom"/>
            <w:gridSpan w:val="2"/>
          </w:tcPr>
          <w:p>
            <w:pPr>
              <w:spacing w:after="0"/>
              <w:rPr>
                <w:sz w:val="20"/>
                <w:szCs w:val="20"/>
                <w:color w:val="auto"/>
              </w:rPr>
            </w:pPr>
            <w:r>
              <w:rPr>
                <w:rFonts w:ascii="Arial" w:cs="Arial" w:eastAsia="Arial" w:hAnsi="Arial"/>
                <w:sz w:val="18"/>
                <w:szCs w:val="18"/>
                <w:b w:val="1"/>
                <w:bCs w:val="1"/>
                <w:color w:val="auto"/>
              </w:rPr>
              <w:t>Regulated Operations</w:t>
            </w:r>
          </w:p>
        </w:tc>
        <w:tc>
          <w:tcPr>
            <w:tcW w:w="25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46"/>
        </w:trPr>
        <w:tc>
          <w:tcPr>
            <w:tcW w:w="440" w:type="dxa"/>
            <w:vAlign w:val="bottom"/>
          </w:tcPr>
          <w:p>
            <w:pPr>
              <w:spacing w:after="0"/>
              <w:rPr>
                <w:sz w:val="24"/>
                <w:szCs w:val="24"/>
                <w:color w:val="auto"/>
              </w:rPr>
            </w:pPr>
          </w:p>
        </w:tc>
        <w:tc>
          <w:tcPr>
            <w:tcW w:w="7600" w:type="dxa"/>
            <w:vAlign w:val="bottom"/>
          </w:tcPr>
          <w:p>
            <w:pPr>
              <w:ind w:left="20"/>
              <w:spacing w:after="0"/>
              <w:rPr>
                <w:sz w:val="20"/>
                <w:szCs w:val="20"/>
                <w:color w:val="auto"/>
              </w:rPr>
            </w:pPr>
            <w:r>
              <w:rPr>
                <w:rFonts w:ascii="Arial" w:cs="Arial" w:eastAsia="Arial" w:hAnsi="Arial"/>
                <w:sz w:val="18"/>
                <w:szCs w:val="18"/>
                <w:b w:val="1"/>
                <w:bCs w:val="1"/>
                <w:color w:val="auto"/>
              </w:rPr>
              <w:t>Quarter Ended September 30,</w:t>
            </w:r>
          </w:p>
        </w:tc>
        <w:tc>
          <w:tcPr>
            <w:tcW w:w="25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2018</w:t>
            </w:r>
          </w:p>
        </w:tc>
      </w:tr>
      <w:tr>
        <w:trPr>
          <w:trHeight w:val="27"/>
        </w:trPr>
        <w:tc>
          <w:tcPr>
            <w:tcW w:w="440" w:type="dxa"/>
            <w:vAlign w:val="bottom"/>
          </w:tcPr>
          <w:p>
            <w:pPr>
              <w:spacing w:after="0"/>
              <w:rPr>
                <w:sz w:val="2"/>
                <w:szCs w:val="2"/>
                <w:color w:val="auto"/>
              </w:rPr>
            </w:pPr>
          </w:p>
        </w:tc>
        <w:tc>
          <w:tcPr>
            <w:tcW w:w="760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440" w:type="dxa"/>
            <w:vAlign w:val="bottom"/>
          </w:tcPr>
          <w:p>
            <w:pPr>
              <w:spacing w:after="0"/>
              <w:rPr>
                <w:sz w:val="20"/>
                <w:szCs w:val="20"/>
                <w:color w:val="auto"/>
              </w:rPr>
            </w:pPr>
          </w:p>
        </w:tc>
        <w:tc>
          <w:tcPr>
            <w:tcW w:w="760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5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440" w:type="dxa"/>
            <w:vAlign w:val="bottom"/>
          </w:tcPr>
          <w:p>
            <w:pPr>
              <w:spacing w:after="0"/>
              <w:rPr>
                <w:sz w:val="2"/>
                <w:szCs w:val="2"/>
                <w:color w:val="auto"/>
              </w:rPr>
            </w:pPr>
          </w:p>
        </w:tc>
        <w:tc>
          <w:tcPr>
            <w:tcW w:w="76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40" w:type="dxa"/>
            <w:vAlign w:val="bottom"/>
          </w:tcPr>
          <w:p>
            <w:pPr>
              <w:spacing w:after="0"/>
              <w:rPr>
                <w:sz w:val="21"/>
                <w:szCs w:val="21"/>
                <w:color w:val="auto"/>
              </w:rPr>
            </w:pPr>
          </w:p>
        </w:tc>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 – Utility</w:t>
            </w:r>
          </w:p>
        </w:tc>
        <w:tc>
          <w:tcPr>
            <w:tcW w:w="2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$254.1</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$261.3</w:t>
            </w:r>
          </w:p>
        </w:tc>
      </w:tr>
      <w:tr>
        <w:trPr>
          <w:trHeight w:val="243"/>
        </w:trPr>
        <w:tc>
          <w:tcPr>
            <w:tcW w:w="440" w:type="dxa"/>
            <w:vAlign w:val="bottom"/>
          </w:tcPr>
          <w:p>
            <w:pPr>
              <w:spacing w:after="0"/>
              <w:rPr>
                <w:sz w:val="21"/>
                <w:szCs w:val="21"/>
                <w:color w:val="auto"/>
              </w:rPr>
            </w:pPr>
          </w:p>
        </w:tc>
        <w:tc>
          <w:tcPr>
            <w:tcW w:w="7600" w:type="dxa"/>
            <w:vAlign w:val="bottom"/>
          </w:tcPr>
          <w:p>
            <w:pPr>
              <w:ind w:left="20"/>
              <w:spacing w:after="0"/>
              <w:rPr>
                <w:sz w:val="20"/>
                <w:szCs w:val="20"/>
                <w:color w:val="auto"/>
              </w:rPr>
            </w:pPr>
            <w:r>
              <w:rPr>
                <w:rFonts w:ascii="Arial" w:cs="Arial" w:eastAsia="Arial" w:hAnsi="Arial"/>
                <w:sz w:val="18"/>
                <w:szCs w:val="18"/>
                <w:color w:val="auto"/>
              </w:rPr>
              <w:t>Fuel, Purchased Power and Gas – Utility</w:t>
            </w:r>
          </w:p>
        </w:tc>
        <w:tc>
          <w:tcPr>
            <w:tcW w:w="2500" w:type="dxa"/>
            <w:vAlign w:val="bottom"/>
          </w:tcPr>
          <w:p>
            <w:pPr>
              <w:jc w:val="right"/>
              <w:ind w:right="230"/>
              <w:spacing w:after="0"/>
              <w:rPr>
                <w:sz w:val="20"/>
                <w:szCs w:val="20"/>
                <w:color w:val="auto"/>
              </w:rPr>
            </w:pPr>
            <w:r>
              <w:rPr>
                <w:rFonts w:ascii="Arial" w:cs="Arial" w:eastAsia="Arial" w:hAnsi="Arial"/>
                <w:sz w:val="18"/>
                <w:szCs w:val="18"/>
                <w:color w:val="auto"/>
              </w:rPr>
              <w:t>98.2</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103.2</w:t>
            </w:r>
          </w:p>
        </w:tc>
      </w:tr>
      <w:tr>
        <w:trPr>
          <w:trHeight w:val="27"/>
        </w:trPr>
        <w:tc>
          <w:tcPr>
            <w:tcW w:w="440" w:type="dxa"/>
            <w:vAlign w:val="bottom"/>
          </w:tcPr>
          <w:p>
            <w:pPr>
              <w:spacing w:after="0"/>
              <w:rPr>
                <w:sz w:val="2"/>
                <w:szCs w:val="2"/>
                <w:color w:val="auto"/>
              </w:rPr>
            </w:pPr>
          </w:p>
        </w:tc>
        <w:tc>
          <w:tcPr>
            <w:tcW w:w="76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40" w:type="dxa"/>
            <w:vAlign w:val="bottom"/>
          </w:tcPr>
          <w:p>
            <w:pPr>
              <w:spacing w:after="0"/>
              <w:rPr>
                <w:sz w:val="21"/>
                <w:szCs w:val="21"/>
                <w:color w:val="auto"/>
              </w:rPr>
            </w:pPr>
          </w:p>
        </w:tc>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Transmission Services – Utility</w:t>
            </w:r>
          </w:p>
        </w:tc>
        <w:tc>
          <w:tcPr>
            <w:tcW w:w="2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18.3</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w:t>
            </w:r>
          </w:p>
        </w:tc>
      </w:tr>
      <w:tr>
        <w:trPr>
          <w:trHeight w:val="243"/>
        </w:trPr>
        <w:tc>
          <w:tcPr>
            <w:tcW w:w="440" w:type="dxa"/>
            <w:vAlign w:val="bottom"/>
          </w:tcPr>
          <w:p>
            <w:pPr>
              <w:spacing w:after="0"/>
              <w:rPr>
                <w:sz w:val="21"/>
                <w:szCs w:val="21"/>
                <w:color w:val="auto"/>
              </w:rPr>
            </w:pPr>
          </w:p>
        </w:tc>
        <w:tc>
          <w:tcPr>
            <w:tcW w:w="7600" w:type="dxa"/>
            <w:vAlign w:val="bottom"/>
          </w:tcPr>
          <w:p>
            <w:pPr>
              <w:ind w:left="20"/>
              <w:spacing w:after="0"/>
              <w:rPr>
                <w:sz w:val="20"/>
                <w:szCs w:val="20"/>
                <w:color w:val="auto"/>
              </w:rPr>
            </w:pPr>
            <w:r>
              <w:rPr>
                <w:rFonts w:ascii="Arial" w:cs="Arial" w:eastAsia="Arial" w:hAnsi="Arial"/>
                <w:sz w:val="18"/>
                <w:szCs w:val="18"/>
                <w:color w:val="auto"/>
              </w:rPr>
              <w:t>Operating and Maintenance</w:t>
            </w:r>
          </w:p>
        </w:tc>
        <w:tc>
          <w:tcPr>
            <w:tcW w:w="2500" w:type="dxa"/>
            <w:vAlign w:val="bottom"/>
          </w:tcPr>
          <w:p>
            <w:pPr>
              <w:jc w:val="right"/>
              <w:ind w:right="230"/>
              <w:spacing w:after="0"/>
              <w:rPr>
                <w:sz w:val="20"/>
                <w:szCs w:val="20"/>
                <w:color w:val="auto"/>
              </w:rPr>
            </w:pPr>
            <w:r>
              <w:rPr>
                <w:rFonts w:ascii="Arial" w:cs="Arial" w:eastAsia="Arial" w:hAnsi="Arial"/>
                <w:sz w:val="18"/>
                <w:szCs w:val="18"/>
                <w:color w:val="auto"/>
              </w:rPr>
              <w:t>47.5</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50.3</w:t>
            </w:r>
          </w:p>
        </w:tc>
      </w:tr>
      <w:tr>
        <w:trPr>
          <w:trHeight w:val="27"/>
        </w:trPr>
        <w:tc>
          <w:tcPr>
            <w:tcW w:w="440" w:type="dxa"/>
            <w:vAlign w:val="bottom"/>
          </w:tcPr>
          <w:p>
            <w:pPr>
              <w:spacing w:after="0"/>
              <w:rPr>
                <w:sz w:val="2"/>
                <w:szCs w:val="2"/>
                <w:color w:val="auto"/>
              </w:rPr>
            </w:pPr>
          </w:p>
        </w:tc>
        <w:tc>
          <w:tcPr>
            <w:tcW w:w="76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40" w:type="dxa"/>
            <w:vAlign w:val="bottom"/>
          </w:tcPr>
          <w:p>
            <w:pPr>
              <w:spacing w:after="0"/>
              <w:rPr>
                <w:sz w:val="21"/>
                <w:szCs w:val="21"/>
                <w:color w:val="auto"/>
              </w:rPr>
            </w:pPr>
          </w:p>
        </w:tc>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39.4</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39.5</w:t>
            </w:r>
          </w:p>
        </w:tc>
      </w:tr>
      <w:tr>
        <w:trPr>
          <w:trHeight w:val="243"/>
        </w:trPr>
        <w:tc>
          <w:tcPr>
            <w:tcW w:w="440" w:type="dxa"/>
            <w:vAlign w:val="bottom"/>
          </w:tcPr>
          <w:p>
            <w:pPr>
              <w:spacing w:after="0"/>
              <w:rPr>
                <w:sz w:val="21"/>
                <w:szCs w:val="21"/>
                <w:color w:val="auto"/>
              </w:rPr>
            </w:pPr>
          </w:p>
        </w:tc>
        <w:tc>
          <w:tcPr>
            <w:tcW w:w="7600" w:type="dxa"/>
            <w:vAlign w:val="bottom"/>
          </w:tcPr>
          <w:p>
            <w:pPr>
              <w:ind w:left="20"/>
              <w:spacing w:after="0"/>
              <w:rPr>
                <w:sz w:val="20"/>
                <w:szCs w:val="20"/>
                <w:color w:val="auto"/>
              </w:rPr>
            </w:pPr>
            <w:r>
              <w:rPr>
                <w:rFonts w:ascii="Arial" w:cs="Arial" w:eastAsia="Arial" w:hAnsi="Arial"/>
                <w:sz w:val="18"/>
                <w:szCs w:val="18"/>
                <w:color w:val="auto"/>
              </w:rPr>
              <w:t>Taxes Other than Income Taxes</w:t>
            </w:r>
          </w:p>
        </w:tc>
        <w:tc>
          <w:tcPr>
            <w:tcW w:w="2500" w:type="dxa"/>
            <w:vAlign w:val="bottom"/>
          </w:tcPr>
          <w:p>
            <w:pPr>
              <w:jc w:val="right"/>
              <w:ind w:right="230"/>
              <w:spacing w:after="0"/>
              <w:rPr>
                <w:sz w:val="20"/>
                <w:szCs w:val="20"/>
                <w:color w:val="auto"/>
              </w:rPr>
            </w:pPr>
            <w:r>
              <w:rPr>
                <w:rFonts w:ascii="Arial" w:cs="Arial" w:eastAsia="Arial" w:hAnsi="Arial"/>
                <w:sz w:val="18"/>
                <w:szCs w:val="18"/>
                <w:color w:val="auto"/>
              </w:rPr>
              <w:t>11.4</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11.8</w:t>
            </w:r>
          </w:p>
        </w:tc>
      </w:tr>
      <w:tr>
        <w:trPr>
          <w:trHeight w:val="27"/>
        </w:trPr>
        <w:tc>
          <w:tcPr>
            <w:tcW w:w="440" w:type="dxa"/>
            <w:vAlign w:val="bottom"/>
          </w:tcPr>
          <w:p>
            <w:pPr>
              <w:spacing w:after="0"/>
              <w:rPr>
                <w:sz w:val="2"/>
                <w:szCs w:val="2"/>
                <w:color w:val="auto"/>
              </w:rPr>
            </w:pPr>
          </w:p>
        </w:tc>
        <w:tc>
          <w:tcPr>
            <w:tcW w:w="760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40" w:type="dxa"/>
            <w:vAlign w:val="bottom"/>
          </w:tcPr>
          <w:p>
            <w:pPr>
              <w:spacing w:after="0"/>
              <w:rPr>
                <w:sz w:val="21"/>
                <w:szCs w:val="21"/>
                <w:color w:val="auto"/>
              </w:rPr>
            </w:pPr>
          </w:p>
        </w:tc>
        <w:tc>
          <w:tcPr>
            <w:tcW w:w="7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Income</w:t>
            </w:r>
          </w:p>
        </w:tc>
        <w:tc>
          <w:tcPr>
            <w:tcW w:w="2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39.3</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38.6</w:t>
            </w:r>
          </w:p>
        </w:tc>
      </w:tr>
      <w:tr>
        <w:trPr>
          <w:trHeight w:val="243"/>
        </w:trPr>
        <w:tc>
          <w:tcPr>
            <w:tcW w:w="440" w:type="dxa"/>
            <w:vAlign w:val="bottom"/>
          </w:tcPr>
          <w:p>
            <w:pPr>
              <w:spacing w:after="0"/>
              <w:rPr>
                <w:sz w:val="21"/>
                <w:szCs w:val="21"/>
                <w:color w:val="auto"/>
              </w:rPr>
            </w:pPr>
          </w:p>
        </w:tc>
        <w:tc>
          <w:tcPr>
            <w:tcW w:w="76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500" w:type="dxa"/>
            <w:vAlign w:val="bottom"/>
          </w:tcPr>
          <w:p>
            <w:pPr>
              <w:jc w:val="right"/>
              <w:ind w:right="170"/>
              <w:spacing w:after="0"/>
              <w:rPr>
                <w:sz w:val="20"/>
                <w:szCs w:val="20"/>
                <w:color w:val="auto"/>
              </w:rPr>
            </w:pPr>
            <w:r>
              <w:rPr>
                <w:rFonts w:ascii="Arial" w:cs="Arial" w:eastAsia="Arial" w:hAnsi="Arial"/>
                <w:sz w:val="18"/>
                <w:szCs w:val="18"/>
                <w:color w:val="auto"/>
              </w:rPr>
              <w:t>(14.4)</w:t>
            </w:r>
          </w:p>
        </w:tc>
        <w:tc>
          <w:tcPr>
            <w:tcW w:w="880" w:type="dxa"/>
            <w:vAlign w:val="bottom"/>
          </w:tcPr>
          <w:p>
            <w:pPr>
              <w:jc w:val="right"/>
              <w:spacing w:after="0"/>
              <w:rPr>
                <w:sz w:val="20"/>
                <w:szCs w:val="20"/>
                <w:color w:val="auto"/>
              </w:rPr>
            </w:pPr>
            <w:r>
              <w:rPr>
                <w:rFonts w:ascii="Arial" w:cs="Arial" w:eastAsia="Arial" w:hAnsi="Arial"/>
                <w:sz w:val="18"/>
                <w:szCs w:val="18"/>
                <w:color w:val="auto"/>
              </w:rPr>
              <w:t>(15.5)</w:t>
            </w:r>
          </w:p>
        </w:tc>
      </w:tr>
      <w:tr>
        <w:trPr>
          <w:trHeight w:val="27"/>
        </w:trPr>
        <w:tc>
          <w:tcPr>
            <w:tcW w:w="440" w:type="dxa"/>
            <w:vAlign w:val="bottom"/>
          </w:tcPr>
          <w:p>
            <w:pPr>
              <w:spacing w:after="0"/>
              <w:rPr>
                <w:sz w:val="2"/>
                <w:szCs w:val="2"/>
                <w:color w:val="auto"/>
              </w:rPr>
            </w:pPr>
          </w:p>
        </w:tc>
        <w:tc>
          <w:tcPr>
            <w:tcW w:w="76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40" w:type="dxa"/>
            <w:vAlign w:val="bottom"/>
          </w:tcPr>
          <w:p>
            <w:pPr>
              <w:spacing w:after="0"/>
              <w:rPr>
                <w:sz w:val="21"/>
                <w:szCs w:val="21"/>
                <w:color w:val="auto"/>
              </w:rPr>
            </w:pPr>
          </w:p>
        </w:tc>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Earnings</w:t>
            </w:r>
          </w:p>
        </w:tc>
        <w:tc>
          <w:tcPr>
            <w:tcW w:w="2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4.9</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r>
      <w:tr>
        <w:trPr>
          <w:trHeight w:val="243"/>
        </w:trPr>
        <w:tc>
          <w:tcPr>
            <w:tcW w:w="440" w:type="dxa"/>
            <w:vAlign w:val="bottom"/>
          </w:tcPr>
          <w:p>
            <w:pPr>
              <w:spacing w:after="0"/>
              <w:rPr>
                <w:sz w:val="21"/>
                <w:szCs w:val="21"/>
                <w:color w:val="auto"/>
              </w:rPr>
            </w:pPr>
          </w:p>
        </w:tc>
        <w:tc>
          <w:tcPr>
            <w:tcW w:w="760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2500" w:type="dxa"/>
            <w:vAlign w:val="bottom"/>
          </w:tcPr>
          <w:p>
            <w:pPr>
              <w:jc w:val="right"/>
              <w:ind w:right="230"/>
              <w:spacing w:after="0"/>
              <w:rPr>
                <w:sz w:val="20"/>
                <w:szCs w:val="20"/>
                <w:color w:val="auto"/>
              </w:rPr>
            </w:pPr>
            <w:r>
              <w:rPr>
                <w:rFonts w:ascii="Arial" w:cs="Arial" w:eastAsia="Arial" w:hAnsi="Arial"/>
                <w:sz w:val="18"/>
                <w:szCs w:val="18"/>
                <w:color w:val="auto"/>
              </w:rPr>
              <w:t>2.1</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27"/>
        </w:trPr>
        <w:tc>
          <w:tcPr>
            <w:tcW w:w="440" w:type="dxa"/>
            <w:vAlign w:val="bottom"/>
          </w:tcPr>
          <w:p>
            <w:pPr>
              <w:spacing w:after="0"/>
              <w:rPr>
                <w:sz w:val="2"/>
                <w:szCs w:val="2"/>
                <w:color w:val="auto"/>
              </w:rPr>
            </w:pPr>
          </w:p>
        </w:tc>
        <w:tc>
          <w:tcPr>
            <w:tcW w:w="760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40" w:type="dxa"/>
            <w:vAlign w:val="bottom"/>
          </w:tcPr>
          <w:p>
            <w:pPr>
              <w:spacing w:after="0"/>
              <w:rPr>
                <w:sz w:val="21"/>
                <w:szCs w:val="21"/>
                <w:color w:val="auto"/>
              </w:rPr>
            </w:pPr>
          </w:p>
        </w:tc>
        <w:tc>
          <w:tcPr>
            <w:tcW w:w="7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Before Income Taxes</w:t>
            </w:r>
          </w:p>
        </w:tc>
        <w:tc>
          <w:tcPr>
            <w:tcW w:w="2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31.9</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w:t>
            </w:r>
          </w:p>
        </w:tc>
      </w:tr>
      <w:tr>
        <w:trPr>
          <w:trHeight w:val="243"/>
        </w:trPr>
        <w:tc>
          <w:tcPr>
            <w:tcW w:w="440" w:type="dxa"/>
            <w:vAlign w:val="bottom"/>
          </w:tcPr>
          <w:p>
            <w:pPr>
              <w:spacing w:after="0"/>
              <w:rPr>
                <w:sz w:val="21"/>
                <w:szCs w:val="21"/>
                <w:color w:val="auto"/>
              </w:rPr>
            </w:pPr>
          </w:p>
        </w:tc>
        <w:tc>
          <w:tcPr>
            <w:tcW w:w="7600" w:type="dxa"/>
            <w:vAlign w:val="bottom"/>
          </w:tcPr>
          <w:p>
            <w:pPr>
              <w:ind w:left="20"/>
              <w:spacing w:after="0"/>
              <w:rPr>
                <w:sz w:val="20"/>
                <w:szCs w:val="20"/>
                <w:color w:val="auto"/>
              </w:rPr>
            </w:pPr>
            <w:r>
              <w:rPr>
                <w:rFonts w:ascii="Arial" w:cs="Arial" w:eastAsia="Arial" w:hAnsi="Arial"/>
                <w:sz w:val="18"/>
                <w:szCs w:val="18"/>
                <w:color w:val="auto"/>
              </w:rPr>
              <w:t>Income Tax Benefit</w:t>
            </w:r>
          </w:p>
        </w:tc>
        <w:tc>
          <w:tcPr>
            <w:tcW w:w="2500" w:type="dxa"/>
            <w:vAlign w:val="bottom"/>
          </w:tcPr>
          <w:p>
            <w:pPr>
              <w:jc w:val="right"/>
              <w:ind w:right="170"/>
              <w:spacing w:after="0"/>
              <w:rPr>
                <w:sz w:val="20"/>
                <w:szCs w:val="20"/>
                <w:color w:val="auto"/>
              </w:rPr>
            </w:pPr>
            <w:r>
              <w:rPr>
                <w:rFonts w:ascii="Arial" w:cs="Arial" w:eastAsia="Arial" w:hAnsi="Arial"/>
                <w:sz w:val="18"/>
                <w:szCs w:val="18"/>
                <w:color w:val="auto"/>
              </w:rPr>
              <w:t>(0.5)</w:t>
            </w:r>
          </w:p>
        </w:tc>
        <w:tc>
          <w:tcPr>
            <w:tcW w:w="8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440" w:type="dxa"/>
            <w:vAlign w:val="bottom"/>
          </w:tcPr>
          <w:p>
            <w:pPr>
              <w:spacing w:after="0"/>
              <w:rPr>
                <w:sz w:val="2"/>
                <w:szCs w:val="2"/>
                <w:color w:val="auto"/>
              </w:rPr>
            </w:pPr>
          </w:p>
        </w:tc>
        <w:tc>
          <w:tcPr>
            <w:tcW w:w="760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40" w:type="dxa"/>
            <w:vAlign w:val="bottom"/>
          </w:tcPr>
          <w:p>
            <w:pPr>
              <w:spacing w:after="0"/>
              <w:rPr>
                <w:sz w:val="21"/>
                <w:szCs w:val="21"/>
                <w:color w:val="auto"/>
              </w:rPr>
            </w:pPr>
          </w:p>
        </w:tc>
        <w:tc>
          <w:tcPr>
            <w:tcW w:w="7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w:t>
            </w:r>
          </w:p>
        </w:tc>
        <w:tc>
          <w:tcPr>
            <w:tcW w:w="2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$32.4</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w:t>
            </w:r>
          </w:p>
        </w:tc>
      </w:tr>
      <w:tr>
        <w:trPr>
          <w:trHeight w:val="20"/>
        </w:trPr>
        <w:tc>
          <w:tcPr>
            <w:tcW w:w="440" w:type="dxa"/>
            <w:vAlign w:val="bottom"/>
          </w:tcPr>
          <w:p>
            <w:pPr>
              <w:spacing w:after="0" w:line="20" w:lineRule="exact"/>
              <w:rPr>
                <w:sz w:val="1"/>
                <w:szCs w:val="1"/>
                <w:color w:val="auto"/>
              </w:rPr>
            </w:pPr>
          </w:p>
        </w:tc>
        <w:tc>
          <w:tcPr>
            <w:tcW w:w="7600" w:type="dxa"/>
            <w:vAlign w:val="bottom"/>
            <w:shd w:val="clear" w:color="auto" w:fill="000000"/>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bl>
    <w:p>
      <w:pPr>
        <w:spacing w:after="0" w:line="198" w:lineRule="exact"/>
        <w:rPr>
          <w:sz w:val="20"/>
          <w:szCs w:val="20"/>
          <w:color w:val="auto"/>
        </w:rPr>
      </w:pPr>
    </w:p>
    <w:p>
      <w:pPr>
        <w:jc w:val="both"/>
        <w:ind w:left="340" w:right="20"/>
        <w:spacing w:after="0" w:line="282"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Utility </w:t>
      </w:r>
      <w:r>
        <w:rPr>
          <w:rFonts w:ascii="Arial" w:cs="Arial" w:eastAsia="Arial" w:hAnsi="Arial"/>
          <w:sz w:val="18"/>
          <w:szCs w:val="18"/>
          <w:color w:val="auto"/>
        </w:rPr>
        <w:t>decreased $7.2 million, or 3 percent, from 2018 as a result of lower revenue from kWh sales and conservation improvement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program recoveries, partially offset by higher transmission revenue.</w:t>
      </w:r>
    </w:p>
    <w:p>
      <w:pPr>
        <w:spacing w:after="0" w:line="166"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Revenue from kWh sales decreased $10.2 million from 2018 reflecting lower sales to residential, commercial and municipal customers as well as lower sales to other power suppliers. Sales to residential and commercial customers decreased from 2018 primarily due to milder weather in 2019 compared to the same period in 2018. Sales to municipal customers decreased in 2019 as a result of additional customer self-generation in 2019 and the expiration of a contract with a municipal customer on June 30, 2019. Sales to other power suppliers decreased in 2019 primarily due to fewer market sales and sales under PSAs as a result of less generation available for sale, partially offset by the commencement of Minnesota Power’s PSA with Oconto Electric Cooperative in January 2019. Sales to other power suppliers are sold at market-based prices into the MISO market on a daily basis or through PSAs of various durations.</w:t>
      </w:r>
    </w:p>
    <w:p>
      <w:pPr>
        <w:spacing w:after="0" w:line="13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020" w:type="dxa"/>
            <w:vAlign w:val="bottom"/>
          </w:tcPr>
          <w:p>
            <w:pPr>
              <w:ind w:left="20"/>
              <w:spacing w:after="0"/>
              <w:rPr>
                <w:sz w:val="20"/>
                <w:szCs w:val="20"/>
                <w:color w:val="auto"/>
              </w:rPr>
            </w:pPr>
            <w:r>
              <w:rPr>
                <w:rFonts w:ascii="Arial" w:cs="Arial" w:eastAsia="Arial" w:hAnsi="Arial"/>
                <w:sz w:val="18"/>
                <w:szCs w:val="18"/>
                <w:b w:val="1"/>
                <w:bCs w:val="1"/>
                <w:color w:val="auto"/>
              </w:rPr>
              <w:t>Kilowatt-hours Sold</w:t>
            </w:r>
          </w:p>
        </w:tc>
        <w:tc>
          <w:tcPr>
            <w:tcW w:w="2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rPr>
              <w:t>Quantity</w:t>
            </w:r>
          </w:p>
        </w:tc>
        <w:tc>
          <w:tcPr>
            <w:tcW w:w="106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r>
      <w:tr>
        <w:trPr>
          <w:trHeight w:val="270"/>
        </w:trPr>
        <w:tc>
          <w:tcPr>
            <w:tcW w:w="5020" w:type="dxa"/>
            <w:vAlign w:val="bottom"/>
          </w:tcPr>
          <w:p>
            <w:pPr>
              <w:ind w:left="20"/>
              <w:spacing w:after="0"/>
              <w:rPr>
                <w:sz w:val="20"/>
                <w:szCs w:val="20"/>
                <w:color w:val="auto"/>
              </w:rPr>
            </w:pPr>
            <w:r>
              <w:rPr>
                <w:rFonts w:ascii="Arial" w:cs="Arial" w:eastAsia="Arial" w:hAnsi="Arial"/>
                <w:sz w:val="18"/>
                <w:szCs w:val="18"/>
                <w:b w:val="1"/>
                <w:bCs w:val="1"/>
                <w:color w:val="auto"/>
              </w:rPr>
              <w:t>Quarter Ended September 30,</w:t>
            </w:r>
          </w:p>
        </w:tc>
        <w:tc>
          <w:tcPr>
            <w:tcW w:w="2560" w:type="dxa"/>
            <w:vAlign w:val="bottom"/>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900" w:type="dxa"/>
            <w:vAlign w:val="bottom"/>
          </w:tcPr>
          <w:p>
            <w:pPr>
              <w:jc w:val="right"/>
              <w:ind w:right="70"/>
              <w:spacing w:after="0"/>
              <w:rPr>
                <w:sz w:val="20"/>
                <w:szCs w:val="20"/>
                <w:color w:val="auto"/>
              </w:rPr>
            </w:pPr>
            <w:r>
              <w:rPr>
                <w:rFonts w:ascii="Arial" w:cs="Arial" w:eastAsia="Arial" w:hAnsi="Arial"/>
                <w:sz w:val="18"/>
                <w:szCs w:val="18"/>
                <w:b w:val="1"/>
                <w:bCs w:val="1"/>
                <w:color w:val="auto"/>
              </w:rPr>
              <w:t>2018</w:t>
            </w:r>
          </w:p>
        </w:tc>
        <w:tc>
          <w:tcPr>
            <w:tcW w:w="1120" w:type="dxa"/>
            <w:vAlign w:val="bottom"/>
          </w:tcPr>
          <w:p>
            <w:pPr>
              <w:jc w:val="right"/>
              <w:ind w:right="190"/>
              <w:spacing w:after="0"/>
              <w:rPr>
                <w:sz w:val="20"/>
                <w:szCs w:val="20"/>
                <w:color w:val="auto"/>
              </w:rPr>
            </w:pPr>
            <w:r>
              <w:rPr>
                <w:rFonts w:ascii="Arial" w:cs="Arial" w:eastAsia="Arial" w:hAnsi="Arial"/>
                <w:sz w:val="18"/>
                <w:szCs w:val="18"/>
                <w:b w:val="1"/>
                <w:bCs w:val="1"/>
                <w:color w:val="auto"/>
              </w:rPr>
              <w:t>Variance</w:t>
            </w: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rPr>
              <w:t>Variance</w:t>
            </w:r>
          </w:p>
        </w:tc>
      </w:tr>
      <w:tr>
        <w:trPr>
          <w:trHeight w:val="27"/>
        </w:trPr>
        <w:tc>
          <w:tcPr>
            <w:tcW w:w="50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0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50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Regulated Utility</w:t>
            </w:r>
          </w:p>
        </w:tc>
        <w:tc>
          <w:tcPr>
            <w:tcW w:w="2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020" w:type="dxa"/>
            <w:vAlign w:val="bottom"/>
          </w:tcPr>
          <w:p>
            <w:pPr>
              <w:ind w:left="260"/>
              <w:spacing w:after="0"/>
              <w:rPr>
                <w:sz w:val="20"/>
                <w:szCs w:val="20"/>
                <w:color w:val="auto"/>
              </w:rPr>
            </w:pPr>
            <w:r>
              <w:rPr>
                <w:rFonts w:ascii="Arial" w:cs="Arial" w:eastAsia="Arial" w:hAnsi="Arial"/>
                <w:sz w:val="18"/>
                <w:szCs w:val="18"/>
                <w:color w:val="auto"/>
              </w:rPr>
              <w:t>Retail and Municipal</w:t>
            </w:r>
          </w:p>
        </w:tc>
        <w:tc>
          <w:tcPr>
            <w:tcW w:w="25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0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Residential</w:t>
            </w:r>
          </w:p>
        </w:tc>
        <w:tc>
          <w:tcPr>
            <w:tcW w:w="25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248</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251</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5020" w:type="dxa"/>
            <w:vAlign w:val="bottom"/>
          </w:tcPr>
          <w:p>
            <w:pPr>
              <w:ind w:left="480"/>
              <w:spacing w:after="0"/>
              <w:rPr>
                <w:sz w:val="20"/>
                <w:szCs w:val="20"/>
                <w:color w:val="auto"/>
              </w:rPr>
            </w:pPr>
            <w:r>
              <w:rPr>
                <w:rFonts w:ascii="Arial" w:cs="Arial" w:eastAsia="Arial" w:hAnsi="Arial"/>
                <w:sz w:val="18"/>
                <w:szCs w:val="18"/>
                <w:color w:val="auto"/>
              </w:rPr>
              <w:t>Commercial</w:t>
            </w:r>
          </w:p>
        </w:tc>
        <w:tc>
          <w:tcPr>
            <w:tcW w:w="2560" w:type="dxa"/>
            <w:vAlign w:val="bottom"/>
          </w:tcPr>
          <w:p>
            <w:pPr>
              <w:jc w:val="right"/>
              <w:ind w:right="230"/>
              <w:spacing w:after="0"/>
              <w:rPr>
                <w:sz w:val="20"/>
                <w:szCs w:val="20"/>
                <w:color w:val="auto"/>
              </w:rPr>
            </w:pPr>
            <w:r>
              <w:rPr>
                <w:rFonts w:ascii="Arial" w:cs="Arial" w:eastAsia="Arial" w:hAnsi="Arial"/>
                <w:sz w:val="18"/>
                <w:szCs w:val="18"/>
                <w:color w:val="auto"/>
              </w:rPr>
              <w:t>361</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369</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(8)</w:t>
            </w:r>
          </w:p>
        </w:tc>
        <w:tc>
          <w:tcPr>
            <w:tcW w:w="10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50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Industrial</w:t>
            </w:r>
          </w:p>
        </w:tc>
        <w:tc>
          <w:tcPr>
            <w:tcW w:w="25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1,802</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1,794</w:t>
            </w: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0.4 %</w:t>
            </w:r>
          </w:p>
        </w:tc>
      </w:tr>
      <w:tr>
        <w:trPr>
          <w:trHeight w:val="243"/>
        </w:trPr>
        <w:tc>
          <w:tcPr>
            <w:tcW w:w="5020" w:type="dxa"/>
            <w:vAlign w:val="bottom"/>
          </w:tcPr>
          <w:p>
            <w:pPr>
              <w:ind w:left="480"/>
              <w:spacing w:after="0"/>
              <w:rPr>
                <w:sz w:val="20"/>
                <w:szCs w:val="20"/>
                <w:color w:val="auto"/>
              </w:rPr>
            </w:pPr>
            <w:r>
              <w:rPr>
                <w:rFonts w:ascii="Arial" w:cs="Arial" w:eastAsia="Arial" w:hAnsi="Arial"/>
                <w:sz w:val="18"/>
                <w:szCs w:val="18"/>
                <w:color w:val="auto"/>
              </w:rPr>
              <w:t>Municipal</w:t>
            </w:r>
          </w:p>
        </w:tc>
        <w:tc>
          <w:tcPr>
            <w:tcW w:w="2560" w:type="dxa"/>
            <w:vAlign w:val="bottom"/>
          </w:tcPr>
          <w:p>
            <w:pPr>
              <w:jc w:val="right"/>
              <w:ind w:right="230"/>
              <w:spacing w:after="0"/>
              <w:rPr>
                <w:sz w:val="20"/>
                <w:szCs w:val="20"/>
                <w:color w:val="auto"/>
              </w:rPr>
            </w:pPr>
            <w:r>
              <w:rPr>
                <w:rFonts w:ascii="Arial" w:cs="Arial" w:eastAsia="Arial" w:hAnsi="Arial"/>
                <w:sz w:val="18"/>
                <w:szCs w:val="18"/>
                <w:color w:val="auto"/>
              </w:rPr>
              <w:t>146</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196</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(50)</w:t>
            </w:r>
          </w:p>
        </w:tc>
        <w:tc>
          <w:tcPr>
            <w:tcW w:w="1060" w:type="dxa"/>
            <w:vAlign w:val="bottom"/>
          </w:tcPr>
          <w:p>
            <w:pPr>
              <w:jc w:val="right"/>
              <w:spacing w:after="0"/>
              <w:rPr>
                <w:sz w:val="20"/>
                <w:szCs w:val="20"/>
                <w:color w:val="auto"/>
              </w:rPr>
            </w:pPr>
            <w:r>
              <w:rPr>
                <w:rFonts w:ascii="Arial" w:cs="Arial" w:eastAsia="Arial" w:hAnsi="Arial"/>
                <w:sz w:val="18"/>
                <w:szCs w:val="18"/>
                <w:color w:val="auto"/>
              </w:rPr>
              <w:t>(25.5)%</w:t>
            </w:r>
          </w:p>
        </w:tc>
      </w:tr>
      <w:tr>
        <w:trPr>
          <w:trHeight w:val="27"/>
        </w:trPr>
        <w:tc>
          <w:tcPr>
            <w:tcW w:w="50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0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Retail and Municipal</w:t>
            </w:r>
          </w:p>
        </w:tc>
        <w:tc>
          <w:tcPr>
            <w:tcW w:w="25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2,557</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2,610</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(53)</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5020" w:type="dxa"/>
            <w:vAlign w:val="bottom"/>
          </w:tcPr>
          <w:p>
            <w:pPr>
              <w:ind w:left="260"/>
              <w:spacing w:after="0"/>
              <w:rPr>
                <w:sz w:val="20"/>
                <w:szCs w:val="20"/>
                <w:color w:val="auto"/>
              </w:rPr>
            </w:pPr>
            <w:r>
              <w:rPr>
                <w:rFonts w:ascii="Arial" w:cs="Arial" w:eastAsia="Arial" w:hAnsi="Arial"/>
                <w:sz w:val="18"/>
                <w:szCs w:val="18"/>
                <w:color w:val="auto"/>
              </w:rPr>
              <w:t>Other Power Suppliers</w:t>
            </w:r>
          </w:p>
        </w:tc>
        <w:tc>
          <w:tcPr>
            <w:tcW w:w="2560" w:type="dxa"/>
            <w:vAlign w:val="bottom"/>
          </w:tcPr>
          <w:p>
            <w:pPr>
              <w:jc w:val="right"/>
              <w:ind w:right="230"/>
              <w:spacing w:after="0"/>
              <w:rPr>
                <w:sz w:val="20"/>
                <w:szCs w:val="20"/>
                <w:color w:val="auto"/>
              </w:rPr>
            </w:pPr>
            <w:r>
              <w:rPr>
                <w:rFonts w:ascii="Arial" w:cs="Arial" w:eastAsia="Arial" w:hAnsi="Arial"/>
                <w:sz w:val="18"/>
                <w:szCs w:val="18"/>
                <w:color w:val="auto"/>
              </w:rPr>
              <w:t>758</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968</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(210)</w:t>
            </w:r>
          </w:p>
        </w:tc>
        <w:tc>
          <w:tcPr>
            <w:tcW w:w="1060" w:type="dxa"/>
            <w:vAlign w:val="bottom"/>
          </w:tcPr>
          <w:p>
            <w:pPr>
              <w:jc w:val="right"/>
              <w:spacing w:after="0"/>
              <w:rPr>
                <w:sz w:val="20"/>
                <w:szCs w:val="20"/>
                <w:color w:val="auto"/>
              </w:rPr>
            </w:pPr>
            <w:r>
              <w:rPr>
                <w:rFonts w:ascii="Arial" w:cs="Arial" w:eastAsia="Arial" w:hAnsi="Arial"/>
                <w:sz w:val="18"/>
                <w:szCs w:val="18"/>
                <w:color w:val="auto"/>
              </w:rPr>
              <w:t>(21.7)%</w:t>
            </w:r>
          </w:p>
        </w:tc>
      </w:tr>
      <w:tr>
        <w:trPr>
          <w:trHeight w:val="27"/>
        </w:trPr>
        <w:tc>
          <w:tcPr>
            <w:tcW w:w="50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Regulated Utility Kilowatt-hours Sold</w:t>
            </w:r>
          </w:p>
        </w:tc>
        <w:tc>
          <w:tcPr>
            <w:tcW w:w="25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3,315</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3,578</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(263)</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0"/>
        </w:trPr>
        <w:tc>
          <w:tcPr>
            <w:tcW w:w="5020" w:type="dxa"/>
            <w:vAlign w:val="bottom"/>
            <w:shd w:val="clear" w:color="auto" w:fill="000000"/>
          </w:tcPr>
          <w:p>
            <w:pPr>
              <w:spacing w:after="0" w:line="20" w:lineRule="exact"/>
              <w:rPr>
                <w:sz w:val="1"/>
                <w:szCs w:val="1"/>
                <w:color w:val="auto"/>
              </w:rPr>
            </w:pPr>
          </w:p>
        </w:tc>
        <w:tc>
          <w:tcPr>
            <w:tcW w:w="25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Revenue from electric sales to taconite customers accounted for 27 percent of consolidated operating revenue in 2019 (22 percent in 2018). Revenue from electric sales to paper, pulp and secondary wood product customers accounted for 6 percent of consolidated operating revenue in 2019 (5 percent in 2018). Revenue from electric sales to pipelines and other industrial customers accounted for 7 percent of consolidated operating revenue in 2019 (6 percent in 2018).</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Conservation improvement program recoveries decreased $2.0 million from 2018 primarily due to a decrease in related expenditures.</w:t>
      </w:r>
    </w:p>
    <w:p>
      <w:pPr>
        <w:spacing w:after="0" w:line="225"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Transmission revenue increased $4.3 million from 2018. Revenue in 2018 reflected a $4.4 million out-of-period adjustment for an estimated true-up of MISO rates that were billed in 2017 and are being credited to customers in 2019.</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2019 Form 10-Q</w:t>
      </w:r>
    </w:p>
    <w:p>
      <w:pPr>
        <w:sectPr>
          <w:pgSz w:w="11900" w:h="16838" w:orient="portrait"/>
          <w:cols w:equalWidth="0" w:num="1">
            <w:col w:w="11420"/>
          </w:cols>
          <w:pgMar w:left="240" w:top="1040" w:right="239" w:bottom="1147" w:gutter="0" w:footer="0" w:header="0"/>
        </w:sectPr>
      </w:pP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33</w:t>
      </w:r>
    </w:p>
    <w:p>
      <w:pPr>
        <w:sectPr>
          <w:pgSz w:w="11900" w:h="16838" w:orient="portrait"/>
          <w:cols w:equalWidth="0" w:num="1">
            <w:col w:w="11420"/>
          </w:cols>
          <w:pgMar w:left="240" w:top="1040" w:right="239" w:bottom="1147"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COMPARISON OF THE QUARTERS ENDED SEPTEMBER 30, 2019 AND 2018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decreased $7.9 million, or 4 percent, from 2018.</w:t>
      </w:r>
    </w:p>
    <w:p>
      <w:pPr>
        <w:spacing w:after="0" w:line="225"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i w:val="1"/>
          <w:iCs w:val="1"/>
          <w:color w:val="auto"/>
        </w:rPr>
        <w:t xml:space="preserve">Fuel, Purchased Power and Gas – Utility </w:t>
      </w:r>
      <w:r>
        <w:rPr>
          <w:rFonts w:ascii="Arial" w:cs="Arial" w:eastAsia="Arial" w:hAnsi="Arial"/>
          <w:sz w:val="18"/>
          <w:szCs w:val="18"/>
          <w:color w:val="auto"/>
        </w:rPr>
        <w:t>expense decreased $5.0 million, or 5 percent, from 2018 primarily due to lower kWh sales. Fuel and purchased</w:t>
      </w:r>
      <w:r>
        <w:rPr>
          <w:rFonts w:ascii="Arial" w:cs="Arial" w:eastAsia="Arial" w:hAnsi="Arial"/>
          <w:sz w:val="18"/>
          <w:szCs w:val="18"/>
          <w:i w:val="1"/>
          <w:iCs w:val="1"/>
          <w:color w:val="auto"/>
        </w:rPr>
        <w:t xml:space="preserve"> </w:t>
      </w:r>
      <w:r>
        <w:rPr>
          <w:rFonts w:ascii="Arial" w:cs="Arial" w:eastAsia="Arial" w:hAnsi="Arial"/>
          <w:sz w:val="18"/>
          <w:szCs w:val="18"/>
          <w:color w:val="auto"/>
        </w:rPr>
        <w:t>power expense related to our retail and municipal customers is recovered through the fuel adjustment clause.</w:t>
      </w:r>
    </w:p>
    <w:p>
      <w:pPr>
        <w:spacing w:after="0" w:line="170"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i w:val="1"/>
          <w:iCs w:val="1"/>
          <w:color w:val="auto"/>
        </w:rPr>
        <w:t xml:space="preserve">Operating and Maintenance </w:t>
      </w:r>
      <w:r>
        <w:rPr>
          <w:rFonts w:ascii="Arial" w:cs="Arial" w:eastAsia="Arial" w:hAnsi="Arial"/>
          <w:sz w:val="18"/>
          <w:szCs w:val="18"/>
          <w:color w:val="auto"/>
        </w:rPr>
        <w:t>expense decreased $2.8 million, or 6 percent, from 2018 primarily due to lower salary and benefit expenses, and lower</w:t>
      </w:r>
      <w:r>
        <w:rPr>
          <w:rFonts w:ascii="Arial" w:cs="Arial" w:eastAsia="Arial" w:hAnsi="Arial"/>
          <w:sz w:val="18"/>
          <w:szCs w:val="18"/>
          <w:i w:val="1"/>
          <w:iCs w:val="1"/>
          <w:color w:val="auto"/>
        </w:rPr>
        <w:t xml:space="preserve"> </w:t>
      </w:r>
      <w:r>
        <w:rPr>
          <w:rFonts w:ascii="Arial" w:cs="Arial" w:eastAsia="Arial" w:hAnsi="Arial"/>
          <w:sz w:val="18"/>
          <w:szCs w:val="18"/>
          <w:color w:val="auto"/>
        </w:rPr>
        <w:t>maintenance contract expenses.</w:t>
      </w:r>
    </w:p>
    <w:p>
      <w:pPr>
        <w:spacing w:after="0" w:line="170"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decreased $1.1 million, or 7 percent, from 2018 primarily due to lower interest on Minnesota Power’s reserve for interim rate refunds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lower average interest rates, partially offset by higher average long-term debt balances. We record interest expense for Regulated Operations primarily based on rate base and authorized capital structure, and allocate the balance to Corporate and Other.</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Equity Earnings </w:t>
      </w:r>
      <w:r>
        <w:rPr>
          <w:rFonts w:ascii="Arial" w:cs="Arial" w:eastAsia="Arial" w:hAnsi="Arial"/>
          <w:sz w:val="18"/>
          <w:szCs w:val="18"/>
          <w:color w:val="auto"/>
        </w:rPr>
        <w:t>increased $0.9 million, or 23 percent, from 2018 primarily due to additional investments in ATC.</w:t>
      </w:r>
    </w:p>
    <w:p>
      <w:pPr>
        <w:spacing w:after="0" w:line="225"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Income Tax Benefit </w:t>
      </w:r>
      <w:r>
        <w:rPr>
          <w:rFonts w:ascii="Arial" w:cs="Arial" w:eastAsia="Arial" w:hAnsi="Arial"/>
          <w:sz w:val="18"/>
          <w:szCs w:val="18"/>
          <w:color w:val="auto"/>
        </w:rPr>
        <w:t>decreased $0.8 million from 2018 primarily due to higher pre-tax income. We expect our annual effective tax rate in 2019 to be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lower income tax benefit than in 2018 primarily due to higher pre-tax income.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gridSpan w:val="2"/>
          </w:tcPr>
          <w:p>
            <w:pPr>
              <w:spacing w:after="0"/>
              <w:rPr>
                <w:sz w:val="20"/>
                <w:szCs w:val="20"/>
                <w:color w:val="auto"/>
              </w:rPr>
            </w:pPr>
            <w:r>
              <w:rPr>
                <w:rFonts w:ascii="Arial" w:cs="Arial" w:eastAsia="Arial" w:hAnsi="Arial"/>
                <w:sz w:val="18"/>
                <w:szCs w:val="18"/>
                <w:b w:val="1"/>
                <w:bCs w:val="1"/>
                <w:color w:val="auto"/>
              </w:rPr>
              <w:t>ALLETE Clean Energy</w:t>
            </w:r>
          </w:p>
        </w:tc>
        <w:tc>
          <w:tcPr>
            <w:tcW w:w="37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46"/>
        </w:trPr>
        <w:tc>
          <w:tcPr>
            <w:tcW w:w="44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b w:val="1"/>
                <w:bCs w:val="1"/>
                <w:color w:val="auto"/>
              </w:rPr>
              <w:t>Quarter Ended September 30,</w:t>
            </w:r>
          </w:p>
        </w:tc>
        <w:tc>
          <w:tcPr>
            <w:tcW w:w="37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000" w:type="dxa"/>
            <w:vAlign w:val="bottom"/>
          </w:tcPr>
          <w:p>
            <w:pPr>
              <w:jc w:val="right"/>
              <w:ind w:right="130"/>
              <w:spacing w:after="0"/>
              <w:rPr>
                <w:sz w:val="20"/>
                <w:szCs w:val="20"/>
                <w:color w:val="auto"/>
              </w:rPr>
            </w:pPr>
            <w:r>
              <w:rPr>
                <w:rFonts w:ascii="Arial" w:cs="Arial" w:eastAsia="Arial" w:hAnsi="Arial"/>
                <w:sz w:val="18"/>
                <w:szCs w:val="18"/>
                <w:b w:val="1"/>
                <w:bCs w:val="1"/>
                <w:color w:val="auto"/>
              </w:rPr>
              <w:t>2018</w:t>
            </w:r>
          </w:p>
        </w:tc>
      </w:tr>
      <w:tr>
        <w:trPr>
          <w:trHeight w:val="27"/>
        </w:trPr>
        <w:tc>
          <w:tcPr>
            <w:tcW w:w="440" w:type="dxa"/>
            <w:vAlign w:val="bottom"/>
          </w:tcPr>
          <w:p>
            <w:pPr>
              <w:spacing w:after="0"/>
              <w:rPr>
                <w:sz w:val="2"/>
                <w:szCs w:val="2"/>
                <w:color w:val="auto"/>
              </w:rPr>
            </w:pPr>
          </w:p>
        </w:tc>
        <w:tc>
          <w:tcPr>
            <w:tcW w:w="626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440" w:type="dxa"/>
            <w:vAlign w:val="bottom"/>
          </w:tcPr>
          <w:p>
            <w:pPr>
              <w:spacing w:after="0"/>
              <w:rPr>
                <w:sz w:val="20"/>
                <w:szCs w:val="20"/>
                <w:color w:val="auto"/>
              </w:rPr>
            </w:pPr>
          </w:p>
        </w:tc>
        <w:tc>
          <w:tcPr>
            <w:tcW w:w="626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37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
        </w:trPr>
        <w:tc>
          <w:tcPr>
            <w:tcW w:w="440" w:type="dxa"/>
            <w:vAlign w:val="bottom"/>
          </w:tcPr>
          <w:p>
            <w:pPr>
              <w:spacing w:after="0"/>
              <w:rPr>
                <w:sz w:val="2"/>
                <w:szCs w:val="2"/>
                <w:color w:val="auto"/>
              </w:rPr>
            </w:pPr>
          </w:p>
        </w:tc>
        <w:tc>
          <w:tcPr>
            <w:tcW w:w="626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40" w:type="dxa"/>
            <w:vAlign w:val="bottom"/>
          </w:tcPr>
          <w:p>
            <w:pPr>
              <w:spacing w:after="0"/>
              <w:rPr>
                <w:sz w:val="21"/>
                <w:szCs w:val="21"/>
                <w:color w:val="auto"/>
              </w:rPr>
            </w:pPr>
          </w:p>
        </w:tc>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37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$10.4</w:t>
            </w:r>
          </w:p>
        </w:tc>
        <w:tc>
          <w:tcPr>
            <w:tcW w:w="10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$15.0</w:t>
            </w:r>
          </w:p>
        </w:tc>
      </w:tr>
      <w:tr>
        <w:trPr>
          <w:trHeight w:val="243"/>
        </w:trPr>
        <w:tc>
          <w:tcPr>
            <w:tcW w:w="440" w:type="dxa"/>
            <w:vAlign w:val="bottom"/>
          </w:tcPr>
          <w:p>
            <w:pPr>
              <w:spacing w:after="0"/>
              <w:rPr>
                <w:sz w:val="21"/>
                <w:szCs w:val="21"/>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Operating and Maintenance</w:t>
            </w:r>
          </w:p>
        </w:tc>
        <w:tc>
          <w:tcPr>
            <w:tcW w:w="3720" w:type="dxa"/>
            <w:vAlign w:val="bottom"/>
          </w:tcPr>
          <w:p>
            <w:pPr>
              <w:jc w:val="right"/>
              <w:ind w:right="350"/>
              <w:spacing w:after="0"/>
              <w:rPr>
                <w:sz w:val="20"/>
                <w:szCs w:val="20"/>
                <w:color w:val="auto"/>
              </w:rPr>
            </w:pPr>
            <w:r>
              <w:rPr>
                <w:rFonts w:ascii="Arial" w:cs="Arial" w:eastAsia="Arial" w:hAnsi="Arial"/>
                <w:sz w:val="18"/>
                <w:szCs w:val="18"/>
                <w:color w:val="auto"/>
              </w:rPr>
              <w:t>7.3</w:t>
            </w: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7.4</w:t>
            </w:r>
          </w:p>
        </w:tc>
      </w:tr>
      <w:tr>
        <w:trPr>
          <w:trHeight w:val="27"/>
        </w:trPr>
        <w:tc>
          <w:tcPr>
            <w:tcW w:w="440" w:type="dxa"/>
            <w:vAlign w:val="bottom"/>
          </w:tcPr>
          <w:p>
            <w:pPr>
              <w:spacing w:after="0"/>
              <w:rPr>
                <w:sz w:val="2"/>
                <w:szCs w:val="2"/>
                <w:color w:val="auto"/>
              </w:rPr>
            </w:pPr>
          </w:p>
        </w:tc>
        <w:tc>
          <w:tcPr>
            <w:tcW w:w="626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40" w:type="dxa"/>
            <w:vAlign w:val="bottom"/>
          </w:tcPr>
          <w:p>
            <w:pPr>
              <w:spacing w:after="0"/>
              <w:rPr>
                <w:sz w:val="21"/>
                <w:szCs w:val="21"/>
                <w:color w:val="auto"/>
              </w:rPr>
            </w:pPr>
          </w:p>
        </w:tc>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72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6.7</w:t>
            </w:r>
          </w:p>
        </w:tc>
        <w:tc>
          <w:tcPr>
            <w:tcW w:w="10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6.4</w:t>
            </w:r>
          </w:p>
        </w:tc>
      </w:tr>
      <w:tr>
        <w:trPr>
          <w:trHeight w:val="243"/>
        </w:trPr>
        <w:tc>
          <w:tcPr>
            <w:tcW w:w="440" w:type="dxa"/>
            <w:vAlign w:val="bottom"/>
          </w:tcPr>
          <w:p>
            <w:pPr>
              <w:spacing w:after="0"/>
              <w:rPr>
                <w:sz w:val="21"/>
                <w:szCs w:val="21"/>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Taxes and Other</w:t>
            </w:r>
          </w:p>
        </w:tc>
        <w:tc>
          <w:tcPr>
            <w:tcW w:w="3720" w:type="dxa"/>
            <w:vAlign w:val="bottom"/>
          </w:tcPr>
          <w:p>
            <w:pPr>
              <w:jc w:val="right"/>
              <w:ind w:right="350"/>
              <w:spacing w:after="0"/>
              <w:rPr>
                <w:sz w:val="20"/>
                <w:szCs w:val="20"/>
                <w:color w:val="auto"/>
              </w:rPr>
            </w:pPr>
            <w:r>
              <w:rPr>
                <w:rFonts w:ascii="Arial" w:cs="Arial" w:eastAsia="Arial" w:hAnsi="Arial"/>
                <w:sz w:val="18"/>
                <w:szCs w:val="18"/>
                <w:color w:val="auto"/>
              </w:rPr>
              <w:t>0.5</w:t>
            </w: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0.6</w:t>
            </w:r>
          </w:p>
        </w:tc>
      </w:tr>
      <w:tr>
        <w:trPr>
          <w:trHeight w:val="27"/>
        </w:trPr>
        <w:tc>
          <w:tcPr>
            <w:tcW w:w="440" w:type="dxa"/>
            <w:vAlign w:val="bottom"/>
          </w:tcPr>
          <w:p>
            <w:pPr>
              <w:spacing w:after="0"/>
              <w:rPr>
                <w:sz w:val="2"/>
                <w:szCs w:val="2"/>
                <w:color w:val="auto"/>
              </w:rPr>
            </w:pPr>
          </w:p>
        </w:tc>
        <w:tc>
          <w:tcPr>
            <w:tcW w:w="626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440" w:type="dxa"/>
            <w:vAlign w:val="bottom"/>
          </w:tcPr>
          <w:p>
            <w:pPr>
              <w:spacing w:after="0"/>
              <w:rPr>
                <w:sz w:val="21"/>
                <w:szCs w:val="21"/>
                <w:color w:val="auto"/>
              </w:rPr>
            </w:pPr>
          </w:p>
        </w:tc>
        <w:tc>
          <w:tcPr>
            <w:tcW w:w="6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Income (Loss)</w:t>
            </w:r>
          </w:p>
        </w:tc>
        <w:tc>
          <w:tcPr>
            <w:tcW w:w="37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(4.1)</w:t>
            </w:r>
          </w:p>
        </w:tc>
        <w:tc>
          <w:tcPr>
            <w:tcW w:w="10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0.6</w:t>
            </w:r>
          </w:p>
        </w:tc>
      </w:tr>
      <w:tr>
        <w:trPr>
          <w:trHeight w:val="243"/>
        </w:trPr>
        <w:tc>
          <w:tcPr>
            <w:tcW w:w="440" w:type="dxa"/>
            <w:vAlign w:val="bottom"/>
          </w:tcPr>
          <w:p>
            <w:pPr>
              <w:spacing w:after="0"/>
              <w:rPr>
                <w:sz w:val="21"/>
                <w:szCs w:val="21"/>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720" w:type="dxa"/>
            <w:vAlign w:val="bottom"/>
          </w:tcPr>
          <w:p>
            <w:pPr>
              <w:jc w:val="right"/>
              <w:ind w:right="290"/>
              <w:spacing w:after="0"/>
              <w:rPr>
                <w:sz w:val="20"/>
                <w:szCs w:val="20"/>
                <w:color w:val="auto"/>
              </w:rPr>
            </w:pPr>
            <w:r>
              <w:rPr>
                <w:rFonts w:ascii="Arial" w:cs="Arial" w:eastAsia="Arial" w:hAnsi="Arial"/>
                <w:sz w:val="18"/>
                <w:szCs w:val="18"/>
                <w:color w:val="auto"/>
              </w:rPr>
              <w:t>(0.7)</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(0.8)</w:t>
            </w:r>
          </w:p>
        </w:tc>
      </w:tr>
      <w:tr>
        <w:trPr>
          <w:trHeight w:val="27"/>
        </w:trPr>
        <w:tc>
          <w:tcPr>
            <w:tcW w:w="440" w:type="dxa"/>
            <w:vAlign w:val="bottom"/>
          </w:tcPr>
          <w:p>
            <w:pPr>
              <w:spacing w:after="0"/>
              <w:rPr>
                <w:sz w:val="2"/>
                <w:szCs w:val="2"/>
                <w:color w:val="auto"/>
              </w:rPr>
            </w:pPr>
          </w:p>
        </w:tc>
        <w:tc>
          <w:tcPr>
            <w:tcW w:w="626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5"/>
        </w:trPr>
        <w:tc>
          <w:tcPr>
            <w:tcW w:w="440" w:type="dxa"/>
            <w:vAlign w:val="bottom"/>
          </w:tcPr>
          <w:p>
            <w:pPr>
              <w:spacing w:after="0"/>
              <w:rPr>
                <w:sz w:val="23"/>
                <w:szCs w:val="23"/>
                <w:color w:val="auto"/>
              </w:rPr>
            </w:pPr>
          </w:p>
        </w:tc>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372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0.3</w:t>
            </w:r>
          </w:p>
        </w:tc>
        <w:tc>
          <w:tcPr>
            <w:tcW w:w="10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r>
      <w:tr>
        <w:trPr>
          <w:trHeight w:val="237"/>
        </w:trPr>
        <w:tc>
          <w:tcPr>
            <w:tcW w:w="440" w:type="dxa"/>
            <w:vAlign w:val="bottom"/>
          </w:tcPr>
          <w:p>
            <w:pPr>
              <w:spacing w:after="0"/>
              <w:rPr>
                <w:sz w:val="20"/>
                <w:szCs w:val="20"/>
                <w:color w:val="auto"/>
              </w:rPr>
            </w:pPr>
          </w:p>
        </w:tc>
        <w:tc>
          <w:tcPr>
            <w:tcW w:w="626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Loss Before Income Taxes</w:t>
            </w:r>
          </w:p>
        </w:tc>
        <w:tc>
          <w:tcPr>
            <w:tcW w:w="37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(4.5)</w:t>
            </w:r>
          </w:p>
        </w:tc>
        <w:tc>
          <w:tcPr>
            <w:tcW w:w="10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(0.1)</w:t>
            </w:r>
          </w:p>
        </w:tc>
      </w:tr>
      <w:tr>
        <w:trPr>
          <w:trHeight w:val="27"/>
        </w:trPr>
        <w:tc>
          <w:tcPr>
            <w:tcW w:w="440" w:type="dxa"/>
            <w:vAlign w:val="bottom"/>
          </w:tcPr>
          <w:p>
            <w:pPr>
              <w:spacing w:after="0"/>
              <w:rPr>
                <w:sz w:val="2"/>
                <w:szCs w:val="2"/>
                <w:color w:val="auto"/>
              </w:rPr>
            </w:pPr>
          </w:p>
        </w:tc>
        <w:tc>
          <w:tcPr>
            <w:tcW w:w="626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5"/>
        </w:trPr>
        <w:tc>
          <w:tcPr>
            <w:tcW w:w="440" w:type="dxa"/>
            <w:vAlign w:val="bottom"/>
          </w:tcPr>
          <w:p>
            <w:pPr>
              <w:spacing w:after="0"/>
              <w:rPr>
                <w:sz w:val="23"/>
                <w:szCs w:val="23"/>
                <w:color w:val="auto"/>
              </w:rPr>
            </w:pPr>
          </w:p>
        </w:tc>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37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(3.3)</w:t>
            </w: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w:t>
            </w:r>
          </w:p>
        </w:tc>
      </w:tr>
      <w:tr>
        <w:trPr>
          <w:trHeight w:val="237"/>
        </w:trPr>
        <w:tc>
          <w:tcPr>
            <w:tcW w:w="440" w:type="dxa"/>
            <w:vAlign w:val="bottom"/>
          </w:tcPr>
          <w:p>
            <w:pPr>
              <w:spacing w:after="0"/>
              <w:rPr>
                <w:sz w:val="20"/>
                <w:szCs w:val="20"/>
                <w:color w:val="auto"/>
              </w:rPr>
            </w:pPr>
          </w:p>
        </w:tc>
        <w:tc>
          <w:tcPr>
            <w:tcW w:w="626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Net Income (Loss) Attributable to ALLETE</w:t>
            </w:r>
          </w:p>
        </w:tc>
        <w:tc>
          <w:tcPr>
            <w:tcW w:w="372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$(1.2)</w:t>
            </w:r>
          </w:p>
        </w:tc>
        <w:tc>
          <w:tcPr>
            <w:tcW w:w="10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$1.0</w:t>
            </w:r>
          </w:p>
        </w:tc>
      </w:tr>
      <w:tr>
        <w:trPr>
          <w:trHeight w:val="27"/>
        </w:trPr>
        <w:tc>
          <w:tcPr>
            <w:tcW w:w="440" w:type="dxa"/>
            <w:vAlign w:val="bottom"/>
          </w:tcPr>
          <w:p>
            <w:pPr>
              <w:spacing w:after="0"/>
              <w:rPr>
                <w:sz w:val="2"/>
                <w:szCs w:val="2"/>
                <w:color w:val="auto"/>
              </w:rPr>
            </w:pPr>
          </w:p>
        </w:tc>
        <w:tc>
          <w:tcPr>
            <w:tcW w:w="626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decreased $4.6 million, or 31 percent, from 2018 primarily due to lower non-cash amortization related to the expiration of power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sales agreements of $3.1 million as well as lower kWh sales resulting from lower wind resources and availability.</w:t>
      </w:r>
    </w:p>
    <w:p>
      <w:pPr>
        <w:spacing w:after="0" w:line="11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5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w w:val="95"/>
              </w:rPr>
              <w:t>Quarter Ended September 30,</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2760" w:type="dxa"/>
            <w:vAlign w:val="bottom"/>
            <w:tcBorders>
              <w:bottom w:val="single" w:sz="8" w:color="auto"/>
            </w:tcBorders>
            <w:gridSpan w:val="2"/>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40" w:type="dxa"/>
            <w:vAlign w:val="bottom"/>
          </w:tcPr>
          <w:p>
            <w:pPr>
              <w:spacing w:after="0"/>
              <w:rPr>
                <w:sz w:val="20"/>
                <w:szCs w:val="20"/>
                <w:color w:val="auto"/>
              </w:rPr>
            </w:pPr>
          </w:p>
        </w:tc>
        <w:tc>
          <w:tcPr>
            <w:tcW w:w="2760" w:type="dxa"/>
            <w:vAlign w:val="bottom"/>
            <w:gridSpan w:val="2"/>
          </w:tcPr>
          <w:p>
            <w:pPr>
              <w:jc w:val="right"/>
              <w:ind w:right="1190"/>
              <w:spacing w:after="0"/>
              <w:rPr>
                <w:sz w:val="20"/>
                <w:szCs w:val="20"/>
                <w:color w:val="auto"/>
              </w:rPr>
            </w:pPr>
            <w:r>
              <w:rPr>
                <w:rFonts w:ascii="Arial" w:cs="Arial" w:eastAsia="Arial" w:hAnsi="Arial"/>
                <w:sz w:val="18"/>
                <w:szCs w:val="18"/>
                <w:b w:val="1"/>
                <w:bCs w:val="1"/>
                <w:color w:val="auto"/>
              </w:rPr>
              <w:t>2019</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Production and Operating Revenue</w:t>
            </w:r>
          </w:p>
        </w:tc>
        <w:tc>
          <w:tcPr>
            <w:tcW w:w="1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40" w:type="dxa"/>
            <w:vAlign w:val="bottom"/>
            <w:vMerge w:val="continue"/>
          </w:tcPr>
          <w:p>
            <w:pPr>
              <w:spacing w:after="0"/>
              <w:rPr>
                <w:sz w:val="20"/>
                <w:szCs w:val="20"/>
                <w:color w:val="auto"/>
              </w:rPr>
            </w:pPr>
          </w:p>
        </w:tc>
        <w:tc>
          <w:tcPr>
            <w:tcW w:w="1300" w:type="dxa"/>
            <w:vAlign w:val="bottom"/>
          </w:tcPr>
          <w:p>
            <w:pPr>
              <w:jc w:val="right"/>
              <w:ind w:right="370"/>
              <w:spacing w:after="0"/>
              <w:rPr>
                <w:sz w:val="20"/>
                <w:szCs w:val="20"/>
                <w:color w:val="auto"/>
              </w:rPr>
            </w:pPr>
            <w:r>
              <w:rPr>
                <w:rFonts w:ascii="Arial" w:cs="Arial" w:eastAsia="Arial" w:hAnsi="Arial"/>
                <w:sz w:val="18"/>
                <w:szCs w:val="18"/>
                <w:b w:val="1"/>
                <w:bCs w:val="1"/>
                <w:color w:val="auto"/>
              </w:rPr>
              <w:t>kWh</w:t>
            </w:r>
          </w:p>
        </w:tc>
        <w:tc>
          <w:tcPr>
            <w:tcW w:w="1460" w:type="dxa"/>
            <w:vAlign w:val="bottom"/>
          </w:tcPr>
          <w:p>
            <w:pPr>
              <w:jc w:val="right"/>
              <w:ind w:right="410"/>
              <w:spacing w:after="0"/>
              <w:rPr>
                <w:sz w:val="20"/>
                <w:szCs w:val="20"/>
                <w:color w:val="auto"/>
              </w:rPr>
            </w:pPr>
            <w:r>
              <w:rPr>
                <w:rFonts w:ascii="Arial" w:cs="Arial" w:eastAsia="Arial" w:hAnsi="Arial"/>
                <w:sz w:val="18"/>
                <w:szCs w:val="18"/>
                <w:b w:val="1"/>
                <w:bCs w:val="1"/>
                <w:color w:val="auto"/>
              </w:rPr>
              <w:t>Revenue</w:t>
            </w:r>
          </w:p>
        </w:tc>
        <w:tc>
          <w:tcPr>
            <w:tcW w:w="1340" w:type="dxa"/>
            <w:vAlign w:val="bottom"/>
          </w:tcPr>
          <w:p>
            <w:pPr>
              <w:jc w:val="right"/>
              <w:ind w:right="590"/>
              <w:spacing w:after="0"/>
              <w:rPr>
                <w:sz w:val="20"/>
                <w:szCs w:val="20"/>
                <w:color w:val="auto"/>
              </w:rPr>
            </w:pPr>
            <w:r>
              <w:rPr>
                <w:rFonts w:ascii="Arial" w:cs="Arial" w:eastAsia="Arial" w:hAnsi="Arial"/>
                <w:sz w:val="18"/>
                <w:szCs w:val="18"/>
                <w:b w:val="1"/>
                <w:bCs w:val="1"/>
                <w:color w:val="auto"/>
              </w:rPr>
              <w:t>kWh</w:t>
            </w:r>
          </w:p>
        </w:tc>
        <w:tc>
          <w:tcPr>
            <w:tcW w:w="102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Revenue</w:t>
            </w:r>
          </w:p>
        </w:tc>
        <w:tc>
          <w:tcPr>
            <w:tcW w:w="0" w:type="dxa"/>
            <w:vAlign w:val="bottom"/>
          </w:tcPr>
          <w:p>
            <w:pPr>
              <w:spacing w:after="0"/>
              <w:rPr>
                <w:sz w:val="1"/>
                <w:szCs w:val="1"/>
                <w:color w:val="auto"/>
              </w:rPr>
            </w:pPr>
          </w:p>
        </w:tc>
      </w:tr>
      <w:tr>
        <w:trPr>
          <w:trHeight w:val="27"/>
        </w:trPr>
        <w:tc>
          <w:tcPr>
            <w:tcW w:w="5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4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3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Wind Energy Regions</w:t>
            </w:r>
          </w:p>
        </w:tc>
        <w:tc>
          <w:tcPr>
            <w:tcW w:w="1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40" w:type="dxa"/>
            <w:vAlign w:val="bottom"/>
          </w:tcPr>
          <w:p>
            <w:pPr>
              <w:ind w:left="160"/>
              <w:spacing w:after="0"/>
              <w:rPr>
                <w:sz w:val="20"/>
                <w:szCs w:val="20"/>
                <w:color w:val="auto"/>
              </w:rPr>
            </w:pPr>
            <w:r>
              <w:rPr>
                <w:rFonts w:ascii="Arial" w:cs="Arial" w:eastAsia="Arial" w:hAnsi="Arial"/>
                <w:sz w:val="18"/>
                <w:szCs w:val="18"/>
                <w:color w:val="auto"/>
              </w:rPr>
              <w:t>East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28.6</w:t>
            </w:r>
          </w:p>
        </w:tc>
        <w:tc>
          <w:tcPr>
            <w:tcW w:w="1460" w:type="dxa"/>
            <w:vAlign w:val="bottom"/>
          </w:tcPr>
          <w:p>
            <w:pPr>
              <w:jc w:val="right"/>
              <w:ind w:right="190"/>
              <w:spacing w:after="0"/>
              <w:rPr>
                <w:sz w:val="20"/>
                <w:szCs w:val="20"/>
                <w:color w:val="auto"/>
              </w:rPr>
            </w:pPr>
            <w:r>
              <w:rPr>
                <w:rFonts w:ascii="Arial" w:cs="Arial" w:eastAsia="Arial" w:hAnsi="Arial"/>
                <w:sz w:val="18"/>
                <w:szCs w:val="18"/>
                <w:color w:val="auto"/>
              </w:rPr>
              <w:t>$2.5</w:t>
            </w:r>
          </w:p>
        </w:tc>
        <w:tc>
          <w:tcPr>
            <w:tcW w:w="1340" w:type="dxa"/>
            <w:vAlign w:val="bottom"/>
          </w:tcPr>
          <w:p>
            <w:pPr>
              <w:jc w:val="right"/>
              <w:ind w:right="250"/>
              <w:spacing w:after="0"/>
              <w:rPr>
                <w:sz w:val="20"/>
                <w:szCs w:val="20"/>
                <w:color w:val="auto"/>
              </w:rPr>
            </w:pPr>
            <w:r>
              <w:rPr>
                <w:rFonts w:ascii="Arial" w:cs="Arial" w:eastAsia="Arial" w:hAnsi="Arial"/>
                <w:sz w:val="18"/>
                <w:szCs w:val="18"/>
                <w:color w:val="auto"/>
              </w:rPr>
              <w:t>38.6</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Midwest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145.0</w:t>
            </w:r>
          </w:p>
        </w:tc>
        <w:tc>
          <w:tcPr>
            <w:tcW w:w="14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6.7</w:t>
            </w:r>
          </w:p>
        </w:tc>
        <w:tc>
          <w:tcPr>
            <w:tcW w:w="13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139.7</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43"/>
        </w:trPr>
        <w:tc>
          <w:tcPr>
            <w:tcW w:w="5540" w:type="dxa"/>
            <w:vAlign w:val="bottom"/>
          </w:tcPr>
          <w:p>
            <w:pPr>
              <w:ind w:left="160"/>
              <w:spacing w:after="0"/>
              <w:rPr>
                <w:sz w:val="20"/>
                <w:szCs w:val="20"/>
                <w:color w:val="auto"/>
              </w:rPr>
            </w:pPr>
            <w:r>
              <w:rPr>
                <w:rFonts w:ascii="Arial" w:cs="Arial" w:eastAsia="Arial" w:hAnsi="Arial"/>
                <w:sz w:val="18"/>
                <w:szCs w:val="18"/>
                <w:color w:val="auto"/>
              </w:rPr>
              <w:t>West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15.3</w:t>
            </w:r>
          </w:p>
        </w:tc>
        <w:tc>
          <w:tcPr>
            <w:tcW w:w="1460" w:type="dxa"/>
            <w:vAlign w:val="bottom"/>
          </w:tcPr>
          <w:p>
            <w:pPr>
              <w:jc w:val="right"/>
              <w:ind w:right="190"/>
              <w:spacing w:after="0"/>
              <w:rPr>
                <w:sz w:val="20"/>
                <w:szCs w:val="20"/>
                <w:color w:val="auto"/>
              </w:rPr>
            </w:pPr>
            <w:r>
              <w:rPr>
                <w:rFonts w:ascii="Arial" w:cs="Arial" w:eastAsia="Arial" w:hAnsi="Arial"/>
                <w:sz w:val="18"/>
                <w:szCs w:val="18"/>
                <w:color w:val="auto"/>
              </w:rPr>
              <w:t>1.2</w:t>
            </w:r>
          </w:p>
        </w:tc>
        <w:tc>
          <w:tcPr>
            <w:tcW w:w="1340" w:type="dxa"/>
            <w:vAlign w:val="bottom"/>
          </w:tcPr>
          <w:p>
            <w:pPr>
              <w:jc w:val="right"/>
              <w:ind w:right="250"/>
              <w:spacing w:after="0"/>
              <w:rPr>
                <w:sz w:val="20"/>
                <w:szCs w:val="20"/>
                <w:color w:val="auto"/>
              </w:rPr>
            </w:pPr>
            <w:r>
              <w:rPr>
                <w:rFonts w:ascii="Arial" w:cs="Arial" w:eastAsia="Arial" w:hAnsi="Arial"/>
                <w:sz w:val="18"/>
                <w:szCs w:val="18"/>
                <w:color w:val="auto"/>
              </w:rPr>
              <w:t>17.0</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5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Production and Operating Revenue</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188.9</w:t>
            </w:r>
          </w:p>
        </w:tc>
        <w:tc>
          <w:tcPr>
            <w:tcW w:w="14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$10.4</w:t>
            </w:r>
          </w:p>
        </w:tc>
        <w:tc>
          <w:tcPr>
            <w:tcW w:w="13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195.3</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0"/>
        </w:trPr>
        <w:tc>
          <w:tcPr>
            <w:tcW w:w="55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Income Tax Benefit </w:t>
      </w:r>
      <w:r>
        <w:rPr>
          <w:rFonts w:ascii="Arial" w:cs="Arial" w:eastAsia="Arial" w:hAnsi="Arial"/>
          <w:sz w:val="16"/>
          <w:szCs w:val="16"/>
          <w:color w:val="auto"/>
        </w:rPr>
        <w:t>increased $2.2 million from 2018 primarily due to additional production tax credits generated in 2019 and lower pre-tax income.</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income tax benefit reflected production tax credits generated of $2.1 million in 2019 and $0.9 million in 2018.</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2019 Form 10-Q</w:t>
      </w:r>
    </w:p>
    <w:p>
      <w:pPr>
        <w:sectPr>
          <w:pgSz w:w="11900" w:h="16838" w:orient="portrait"/>
          <w:cols w:equalWidth="0" w:num="1">
            <w:col w:w="11420"/>
          </w:cols>
          <w:pgMar w:left="240" w:top="1040" w:right="239" w:bottom="1440" w:gutter="0" w:footer="0" w:header="0"/>
        </w:sectPr>
      </w:pP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34</w:t>
      </w:r>
    </w:p>
    <w:p>
      <w:pPr>
        <w:sectPr>
          <w:pgSz w:w="11900" w:h="16838" w:orient="portrait"/>
          <w:cols w:equalWidth="0" w:num="1">
            <w:col w:w="11420"/>
          </w:cols>
          <w:pgMar w:left="240" w:top="1040" w:right="239" w:bottom="1440" w:gutter="0" w:footer="0" w:header="0"/>
          <w:type w:val="continuous"/>
        </w:sectPr>
      </w:pPr>
    </w:p>
    <w:bookmarkStart w:id="34" w:name="page35"/>
    <w:bookmarkEnd w:id="34"/>
    <w:tbl>
      <w:tblPr>
        <w:tblLayout w:type="fixed"/>
        <w:tblInd w:w="0" w:type="dxa"/>
        <w:tblCellMar>
          <w:top w:w="0" w:type="dxa"/>
          <w:left w:w="0" w:type="dxa"/>
          <w:bottom w:w="0" w:type="dxa"/>
          <w:right w:w="0" w:type="dxa"/>
        </w:tblCellMar>
      </w:tblPr>
      <w:tr>
        <w:trPr>
          <w:trHeight w:val="234"/>
        </w:trPr>
        <w:tc>
          <w:tcPr>
            <w:tcW w:w="8600" w:type="dxa"/>
            <w:vAlign w:val="bottom"/>
            <w:gridSpan w:val="2"/>
          </w:tcPr>
          <w:p>
            <w:pPr>
              <w:spacing w:after="0"/>
              <w:rPr>
                <w:sz w:val="20"/>
                <w:szCs w:val="20"/>
                <w:color w:val="auto"/>
              </w:rPr>
            </w:pPr>
            <w:r>
              <w:rPr>
                <w:rFonts w:ascii="Arial" w:cs="Arial" w:eastAsia="Arial" w:hAnsi="Arial"/>
                <w:sz w:val="18"/>
                <w:szCs w:val="18"/>
                <w:b w:val="1"/>
                <w:bCs w:val="1"/>
                <w:color w:val="auto"/>
              </w:rPr>
              <w:t>COMPARISON OF THE QUARTERS ENDED SEPTEMBER 30, 2019 AND 2018 (Continued)</w:t>
            </w:r>
          </w:p>
        </w:tc>
        <w:tc>
          <w:tcPr>
            <w:tcW w:w="19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32"/>
        </w:trPr>
        <w:tc>
          <w:tcPr>
            <w:tcW w:w="8600" w:type="dxa"/>
            <w:vAlign w:val="bottom"/>
            <w:gridSpan w:val="2"/>
          </w:tcPr>
          <w:p>
            <w:pPr>
              <w:spacing w:after="0"/>
              <w:rPr>
                <w:sz w:val="20"/>
                <w:szCs w:val="20"/>
                <w:color w:val="auto"/>
              </w:rPr>
            </w:pPr>
            <w:r>
              <w:rPr>
                <w:rFonts w:ascii="Arial" w:cs="Arial" w:eastAsia="Arial" w:hAnsi="Arial"/>
                <w:sz w:val="18"/>
                <w:szCs w:val="18"/>
                <w:b w:val="1"/>
                <w:bCs w:val="1"/>
                <w:color w:val="auto"/>
              </w:rPr>
              <w:t>U.S. Water Services</w:t>
            </w:r>
          </w:p>
        </w:tc>
        <w:tc>
          <w:tcPr>
            <w:tcW w:w="19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46"/>
        </w:trPr>
        <w:tc>
          <w:tcPr>
            <w:tcW w:w="440" w:type="dxa"/>
            <w:vAlign w:val="bottom"/>
          </w:tcPr>
          <w:p>
            <w:pPr>
              <w:spacing w:after="0"/>
              <w:rPr>
                <w:sz w:val="24"/>
                <w:szCs w:val="24"/>
                <w:color w:val="auto"/>
              </w:rPr>
            </w:pPr>
          </w:p>
        </w:tc>
        <w:tc>
          <w:tcPr>
            <w:tcW w:w="8160" w:type="dxa"/>
            <w:vAlign w:val="bottom"/>
          </w:tcPr>
          <w:p>
            <w:pPr>
              <w:ind w:left="20"/>
              <w:spacing w:after="0"/>
              <w:rPr>
                <w:sz w:val="20"/>
                <w:szCs w:val="20"/>
                <w:color w:val="auto"/>
              </w:rPr>
            </w:pPr>
            <w:r>
              <w:rPr>
                <w:rFonts w:ascii="Arial" w:cs="Arial" w:eastAsia="Arial" w:hAnsi="Arial"/>
                <w:sz w:val="18"/>
                <w:szCs w:val="18"/>
                <w:b w:val="1"/>
                <w:bCs w:val="1"/>
                <w:color w:val="auto"/>
              </w:rPr>
              <w:t>Quarter Ended September 30,</w:t>
            </w:r>
          </w:p>
        </w:tc>
        <w:tc>
          <w:tcPr>
            <w:tcW w:w="1960" w:type="dxa"/>
            <w:vAlign w:val="bottom"/>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2018</w:t>
            </w:r>
          </w:p>
        </w:tc>
      </w:tr>
      <w:tr>
        <w:trPr>
          <w:trHeight w:val="27"/>
        </w:trPr>
        <w:tc>
          <w:tcPr>
            <w:tcW w:w="440" w:type="dxa"/>
            <w:vAlign w:val="bottom"/>
          </w:tcPr>
          <w:p>
            <w:pPr>
              <w:spacing w:after="0"/>
              <w:rPr>
                <w:sz w:val="2"/>
                <w:szCs w:val="2"/>
                <w:color w:val="auto"/>
              </w:rPr>
            </w:pPr>
          </w:p>
        </w:tc>
        <w:tc>
          <w:tcPr>
            <w:tcW w:w="81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440" w:type="dxa"/>
            <w:vAlign w:val="bottom"/>
          </w:tcPr>
          <w:p>
            <w:pPr>
              <w:spacing w:after="0"/>
              <w:rPr>
                <w:sz w:val="20"/>
                <w:szCs w:val="20"/>
                <w:color w:val="auto"/>
              </w:rPr>
            </w:pPr>
          </w:p>
        </w:tc>
        <w:tc>
          <w:tcPr>
            <w:tcW w:w="816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9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
        </w:trPr>
        <w:tc>
          <w:tcPr>
            <w:tcW w:w="440" w:type="dxa"/>
            <w:vAlign w:val="bottom"/>
          </w:tcPr>
          <w:p>
            <w:pPr>
              <w:spacing w:after="0"/>
              <w:rPr>
                <w:sz w:val="2"/>
                <w:szCs w:val="2"/>
                <w:color w:val="auto"/>
              </w:rPr>
            </w:pPr>
          </w:p>
        </w:tc>
        <w:tc>
          <w:tcPr>
            <w:tcW w:w="81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40" w:type="dxa"/>
            <w:vAlign w:val="bottom"/>
          </w:tcPr>
          <w:p>
            <w:pPr>
              <w:spacing w:after="0"/>
              <w:rPr>
                <w:sz w:val="21"/>
                <w:szCs w:val="21"/>
                <w:color w:val="auto"/>
              </w:rPr>
            </w:pPr>
          </w:p>
        </w:tc>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19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$45.0</w:t>
            </w:r>
          </w:p>
        </w:tc>
      </w:tr>
      <w:tr>
        <w:trPr>
          <w:trHeight w:val="243"/>
        </w:trPr>
        <w:tc>
          <w:tcPr>
            <w:tcW w:w="440" w:type="dxa"/>
            <w:vAlign w:val="bottom"/>
          </w:tcPr>
          <w:p>
            <w:pPr>
              <w:spacing w:after="0"/>
              <w:rPr>
                <w:sz w:val="21"/>
                <w:szCs w:val="21"/>
                <w:color w:val="auto"/>
              </w:rPr>
            </w:pPr>
          </w:p>
        </w:tc>
        <w:tc>
          <w:tcPr>
            <w:tcW w:w="81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9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$1.7</w:t>
            </w:r>
          </w:p>
        </w:tc>
      </w:tr>
      <w:tr>
        <w:trPr>
          <w:trHeight w:val="27"/>
        </w:trPr>
        <w:tc>
          <w:tcPr>
            <w:tcW w:w="440" w:type="dxa"/>
            <w:vAlign w:val="bottom"/>
          </w:tcPr>
          <w:p>
            <w:pPr>
              <w:spacing w:after="0"/>
              <w:rPr>
                <w:sz w:val="2"/>
                <w:szCs w:val="2"/>
                <w:color w:val="auto"/>
              </w:rPr>
            </w:pPr>
          </w:p>
        </w:tc>
        <w:tc>
          <w:tcPr>
            <w:tcW w:w="81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269"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decreased $45.0 million from 2018. ALLETE completed the sale of U.S. Water Services in the first quarter of 2019. (See Note 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Operations and Significant Accounting Policies.)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Net Income </w:t>
      </w:r>
      <w:r>
        <w:rPr>
          <w:rFonts w:ascii="Arial" w:cs="Arial" w:eastAsia="Arial" w:hAnsi="Arial"/>
          <w:sz w:val="18"/>
          <w:szCs w:val="18"/>
          <w:color w:val="auto"/>
        </w:rPr>
        <w:t>decreased $1.7 million from 2018. ALLETE completed the sale of U.S. Water Services in the first quarter of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229"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decreased $2.9 million, or 11 percent, from 2018 primarily due to lower revenue at BNI Energy, which operates under cost-plus fixed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fee contracts, as a result of lower expenses and fewer tons sold in 2019 compared to 2018, lower revenue from non-rate base generation, and a decrease in land sales at ALLETE Properties.</w:t>
      </w:r>
    </w:p>
    <w:p>
      <w:pPr>
        <w:spacing w:after="0" w:line="181" w:lineRule="exact"/>
        <w:rPr>
          <w:sz w:val="20"/>
          <w:szCs w:val="20"/>
          <w:color w:val="auto"/>
        </w:rPr>
      </w:pPr>
    </w:p>
    <w:p>
      <w:pPr>
        <w:jc w:val="both"/>
        <w:ind w:left="340"/>
        <w:spacing w:after="0" w:line="312" w:lineRule="auto"/>
        <w:rPr>
          <w:sz w:val="20"/>
          <w:szCs w:val="20"/>
          <w:color w:val="auto"/>
        </w:rPr>
      </w:pPr>
      <w:r>
        <w:rPr>
          <w:rFonts w:ascii="Arial" w:cs="Arial" w:eastAsia="Arial" w:hAnsi="Arial"/>
          <w:sz w:val="16"/>
          <w:szCs w:val="16"/>
          <w:b w:val="1"/>
          <w:bCs w:val="1"/>
          <w:i w:val="1"/>
          <w:iCs w:val="1"/>
          <w:color w:val="auto"/>
        </w:rPr>
        <w:t xml:space="preserve">Net Income </w:t>
      </w:r>
      <w:r>
        <w:rPr>
          <w:rFonts w:ascii="Arial" w:cs="Arial" w:eastAsia="Arial" w:hAnsi="Arial"/>
          <w:sz w:val="16"/>
          <w:szCs w:val="16"/>
          <w:color w:val="auto"/>
        </w:rPr>
        <w:t>increased $1.8 million from 2018 primarily due to additional income tax benefit as GAAP requires the recognition of income tax expense 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estimated annual effective tax rate and lower expenses, partially offset by fewer land sales at ALLETE Properties. Net income at BNI Energy was $1.7 million in 2019 and in 2018. The net loss at ALLETE Properties was $1.0 million in 2019 compared to a net loss of $0.4 million in 2018.</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 – Consolidated</w:t>
      </w:r>
    </w:p>
    <w:p>
      <w:pPr>
        <w:spacing w:after="0" w:line="229"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For the quarter ended September 30, 2019, the effective tax rate was a benefit of 8.3 percent (expense of 1.3 percent for the quarter ended September 30, 2018). The 2019 increase in tax benefit was primarily due to additional production tax credits and additional income tax benefit as GAAP requires the recognition of quarterly income tax expense at the estimated annual effective tax rate. The estimated annual effective tax rate can differ from what a quarterly effective tax rate would otherwise be on a standalone basis, and this may cause quarter to quarter differences in the timing of income taxes.</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gridSpan w:val="2"/>
          </w:tcPr>
          <w:p>
            <w:pPr>
              <w:spacing w:after="0"/>
              <w:rPr>
                <w:sz w:val="20"/>
                <w:szCs w:val="20"/>
                <w:color w:val="auto"/>
              </w:rPr>
            </w:pPr>
            <w:r>
              <w:rPr>
                <w:rFonts w:ascii="Arial" w:cs="Arial" w:eastAsia="Arial" w:hAnsi="Arial"/>
                <w:sz w:val="18"/>
                <w:szCs w:val="18"/>
                <w:b w:val="1"/>
                <w:bCs w:val="1"/>
                <w:color w:val="auto"/>
              </w:rPr>
              <w:t>COMPARISON OF THE NINE MONTHS ENDED SEPTEMBER 30, 2019 AND 2018</w:t>
            </w:r>
          </w:p>
        </w:tc>
        <w:tc>
          <w:tcPr>
            <w:tcW w:w="23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32"/>
        </w:trPr>
        <w:tc>
          <w:tcPr>
            <w:tcW w:w="8180" w:type="dxa"/>
            <w:vAlign w:val="bottom"/>
            <w:gridSpan w:val="2"/>
          </w:tcPr>
          <w:p>
            <w:pPr>
              <w:spacing w:after="0"/>
              <w:rPr>
                <w:sz w:val="20"/>
                <w:szCs w:val="20"/>
                <w:color w:val="auto"/>
              </w:rPr>
            </w:pPr>
            <w:r>
              <w:rPr>
                <w:rFonts w:ascii="Arial" w:cs="Arial" w:eastAsia="Arial" w:hAnsi="Arial"/>
                <w:sz w:val="18"/>
                <w:szCs w:val="18"/>
                <w:color w:val="auto"/>
              </w:rPr>
              <w:t>(See Note 11. Business Segments for financial results by segment.)</w:t>
            </w:r>
          </w:p>
        </w:tc>
        <w:tc>
          <w:tcPr>
            <w:tcW w:w="23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32"/>
        </w:trPr>
        <w:tc>
          <w:tcPr>
            <w:tcW w:w="8180" w:type="dxa"/>
            <w:vAlign w:val="bottom"/>
            <w:gridSpan w:val="2"/>
          </w:tcPr>
          <w:p>
            <w:pPr>
              <w:spacing w:after="0"/>
              <w:rPr>
                <w:sz w:val="20"/>
                <w:szCs w:val="20"/>
                <w:color w:val="auto"/>
              </w:rPr>
            </w:pPr>
            <w:r>
              <w:rPr>
                <w:rFonts w:ascii="Arial" w:cs="Arial" w:eastAsia="Arial" w:hAnsi="Arial"/>
                <w:sz w:val="18"/>
                <w:szCs w:val="18"/>
                <w:b w:val="1"/>
                <w:bCs w:val="1"/>
                <w:color w:val="auto"/>
              </w:rPr>
              <w:t>Regulated Operations</w:t>
            </w:r>
          </w:p>
        </w:tc>
        <w:tc>
          <w:tcPr>
            <w:tcW w:w="23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59"/>
        </w:trPr>
        <w:tc>
          <w:tcPr>
            <w:tcW w:w="420" w:type="dxa"/>
            <w:vAlign w:val="bottom"/>
          </w:tcPr>
          <w:p>
            <w:pPr>
              <w:spacing w:after="0"/>
              <w:rPr>
                <w:sz w:val="24"/>
                <w:szCs w:val="24"/>
                <w:color w:val="auto"/>
              </w:rPr>
            </w:pPr>
          </w:p>
        </w:tc>
        <w:tc>
          <w:tcPr>
            <w:tcW w:w="7760" w:type="dxa"/>
            <w:vAlign w:val="bottom"/>
          </w:tcPr>
          <w:p>
            <w:pPr>
              <w:ind w:left="20"/>
              <w:spacing w:after="0"/>
              <w:rPr>
                <w:sz w:val="20"/>
                <w:szCs w:val="20"/>
                <w:color w:val="auto"/>
              </w:rPr>
            </w:pPr>
            <w:r>
              <w:rPr>
                <w:rFonts w:ascii="Arial" w:cs="Arial" w:eastAsia="Arial" w:hAnsi="Arial"/>
                <w:sz w:val="18"/>
                <w:szCs w:val="18"/>
                <w:b w:val="1"/>
                <w:bCs w:val="1"/>
                <w:color w:val="auto"/>
              </w:rPr>
              <w:t>Nine Months Ended September 30,</w:t>
            </w:r>
          </w:p>
        </w:tc>
        <w:tc>
          <w:tcPr>
            <w:tcW w:w="2360" w:type="dxa"/>
            <w:vAlign w:val="bottom"/>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2018</w:t>
            </w:r>
          </w:p>
        </w:tc>
      </w:tr>
      <w:tr>
        <w:trPr>
          <w:trHeight w:val="27"/>
        </w:trPr>
        <w:tc>
          <w:tcPr>
            <w:tcW w:w="420" w:type="dxa"/>
            <w:vAlign w:val="bottom"/>
          </w:tcPr>
          <w:p>
            <w:pPr>
              <w:spacing w:after="0"/>
              <w:rPr>
                <w:sz w:val="2"/>
                <w:szCs w:val="2"/>
                <w:color w:val="auto"/>
              </w:rPr>
            </w:pPr>
          </w:p>
        </w:tc>
        <w:tc>
          <w:tcPr>
            <w:tcW w:w="776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420" w:type="dxa"/>
            <w:vAlign w:val="bottom"/>
          </w:tcPr>
          <w:p>
            <w:pPr>
              <w:spacing w:after="0"/>
              <w:rPr>
                <w:sz w:val="20"/>
                <w:szCs w:val="20"/>
                <w:color w:val="auto"/>
              </w:rPr>
            </w:pPr>
          </w:p>
        </w:tc>
        <w:tc>
          <w:tcPr>
            <w:tcW w:w="776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3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420" w:type="dxa"/>
            <w:vAlign w:val="bottom"/>
          </w:tcPr>
          <w:p>
            <w:pPr>
              <w:spacing w:after="0"/>
              <w:rPr>
                <w:sz w:val="2"/>
                <w:szCs w:val="2"/>
                <w:color w:val="auto"/>
              </w:rPr>
            </w:pPr>
          </w:p>
        </w:tc>
        <w:tc>
          <w:tcPr>
            <w:tcW w:w="77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20" w:type="dxa"/>
            <w:vAlign w:val="bottom"/>
          </w:tcPr>
          <w:p>
            <w:pPr>
              <w:spacing w:after="0"/>
              <w:rPr>
                <w:sz w:val="21"/>
                <w:szCs w:val="21"/>
                <w:color w:val="auto"/>
              </w:rPr>
            </w:pPr>
          </w:p>
        </w:tc>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 – Utility</w:t>
            </w:r>
          </w:p>
        </w:tc>
        <w:tc>
          <w:tcPr>
            <w:tcW w:w="23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$786.1</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$789.3</w:t>
            </w:r>
          </w:p>
        </w:tc>
      </w:tr>
      <w:tr>
        <w:trPr>
          <w:trHeight w:val="243"/>
        </w:trPr>
        <w:tc>
          <w:tcPr>
            <w:tcW w:w="420" w:type="dxa"/>
            <w:vAlign w:val="bottom"/>
          </w:tcPr>
          <w:p>
            <w:pPr>
              <w:spacing w:after="0"/>
              <w:rPr>
                <w:sz w:val="21"/>
                <w:szCs w:val="21"/>
                <w:color w:val="auto"/>
              </w:rPr>
            </w:pPr>
          </w:p>
        </w:tc>
        <w:tc>
          <w:tcPr>
            <w:tcW w:w="7760" w:type="dxa"/>
            <w:vAlign w:val="bottom"/>
          </w:tcPr>
          <w:p>
            <w:pPr>
              <w:ind w:left="20"/>
              <w:spacing w:after="0"/>
              <w:rPr>
                <w:sz w:val="20"/>
                <w:szCs w:val="20"/>
                <w:color w:val="auto"/>
              </w:rPr>
            </w:pPr>
            <w:r>
              <w:rPr>
                <w:rFonts w:ascii="Arial" w:cs="Arial" w:eastAsia="Arial" w:hAnsi="Arial"/>
                <w:sz w:val="18"/>
                <w:szCs w:val="18"/>
                <w:color w:val="auto"/>
              </w:rPr>
              <w:t>Fuel, Purchased Power and Gas – Utility</w:t>
            </w:r>
          </w:p>
        </w:tc>
        <w:tc>
          <w:tcPr>
            <w:tcW w:w="2360" w:type="dxa"/>
            <w:vAlign w:val="bottom"/>
          </w:tcPr>
          <w:p>
            <w:pPr>
              <w:jc w:val="right"/>
              <w:ind w:right="230"/>
              <w:spacing w:after="0"/>
              <w:rPr>
                <w:sz w:val="20"/>
                <w:szCs w:val="20"/>
                <w:color w:val="auto"/>
              </w:rPr>
            </w:pPr>
            <w:r>
              <w:rPr>
                <w:rFonts w:ascii="Arial" w:cs="Arial" w:eastAsia="Arial" w:hAnsi="Arial"/>
                <w:sz w:val="18"/>
                <w:szCs w:val="18"/>
                <w:color w:val="auto"/>
              </w:rPr>
              <w:t>295.9</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300.6</w:t>
            </w:r>
          </w:p>
        </w:tc>
      </w:tr>
      <w:tr>
        <w:trPr>
          <w:trHeight w:val="27"/>
        </w:trPr>
        <w:tc>
          <w:tcPr>
            <w:tcW w:w="420" w:type="dxa"/>
            <w:vAlign w:val="bottom"/>
          </w:tcPr>
          <w:p>
            <w:pPr>
              <w:spacing w:after="0"/>
              <w:rPr>
                <w:sz w:val="2"/>
                <w:szCs w:val="2"/>
                <w:color w:val="auto"/>
              </w:rPr>
            </w:pPr>
          </w:p>
        </w:tc>
        <w:tc>
          <w:tcPr>
            <w:tcW w:w="77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20" w:type="dxa"/>
            <w:vAlign w:val="bottom"/>
          </w:tcPr>
          <w:p>
            <w:pPr>
              <w:spacing w:after="0"/>
              <w:rPr>
                <w:sz w:val="21"/>
                <w:szCs w:val="21"/>
                <w:color w:val="auto"/>
              </w:rPr>
            </w:pPr>
          </w:p>
        </w:tc>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Transmission Services – Utility</w:t>
            </w:r>
          </w:p>
        </w:tc>
        <w:tc>
          <w:tcPr>
            <w:tcW w:w="23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55.8</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53.1</w:t>
            </w:r>
          </w:p>
        </w:tc>
      </w:tr>
      <w:tr>
        <w:trPr>
          <w:trHeight w:val="243"/>
        </w:trPr>
        <w:tc>
          <w:tcPr>
            <w:tcW w:w="420" w:type="dxa"/>
            <w:vAlign w:val="bottom"/>
          </w:tcPr>
          <w:p>
            <w:pPr>
              <w:spacing w:after="0"/>
              <w:rPr>
                <w:sz w:val="21"/>
                <w:szCs w:val="21"/>
                <w:color w:val="auto"/>
              </w:rPr>
            </w:pPr>
          </w:p>
        </w:tc>
        <w:tc>
          <w:tcPr>
            <w:tcW w:w="7760" w:type="dxa"/>
            <w:vAlign w:val="bottom"/>
          </w:tcPr>
          <w:p>
            <w:pPr>
              <w:ind w:left="20"/>
              <w:spacing w:after="0"/>
              <w:rPr>
                <w:sz w:val="20"/>
                <w:szCs w:val="20"/>
                <w:color w:val="auto"/>
              </w:rPr>
            </w:pPr>
            <w:r>
              <w:rPr>
                <w:rFonts w:ascii="Arial" w:cs="Arial" w:eastAsia="Arial" w:hAnsi="Arial"/>
                <w:sz w:val="18"/>
                <w:szCs w:val="18"/>
                <w:color w:val="auto"/>
              </w:rPr>
              <w:t>Operating and Maintenance</w:t>
            </w:r>
          </w:p>
        </w:tc>
        <w:tc>
          <w:tcPr>
            <w:tcW w:w="2360" w:type="dxa"/>
            <w:vAlign w:val="bottom"/>
          </w:tcPr>
          <w:p>
            <w:pPr>
              <w:jc w:val="right"/>
              <w:ind w:right="230"/>
              <w:spacing w:after="0"/>
              <w:rPr>
                <w:sz w:val="20"/>
                <w:szCs w:val="20"/>
                <w:color w:val="auto"/>
              </w:rPr>
            </w:pPr>
            <w:r>
              <w:rPr>
                <w:rFonts w:ascii="Arial" w:cs="Arial" w:eastAsia="Arial" w:hAnsi="Arial"/>
                <w:sz w:val="18"/>
                <w:szCs w:val="18"/>
                <w:color w:val="auto"/>
              </w:rPr>
              <w:t>149.4</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160.7</w:t>
            </w:r>
          </w:p>
        </w:tc>
      </w:tr>
      <w:tr>
        <w:trPr>
          <w:trHeight w:val="27"/>
        </w:trPr>
        <w:tc>
          <w:tcPr>
            <w:tcW w:w="420" w:type="dxa"/>
            <w:vAlign w:val="bottom"/>
          </w:tcPr>
          <w:p>
            <w:pPr>
              <w:spacing w:after="0"/>
              <w:rPr>
                <w:sz w:val="2"/>
                <w:szCs w:val="2"/>
                <w:color w:val="auto"/>
              </w:rPr>
            </w:pPr>
          </w:p>
        </w:tc>
        <w:tc>
          <w:tcPr>
            <w:tcW w:w="77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20" w:type="dxa"/>
            <w:vAlign w:val="bottom"/>
          </w:tcPr>
          <w:p>
            <w:pPr>
              <w:spacing w:after="0"/>
              <w:rPr>
                <w:sz w:val="21"/>
                <w:szCs w:val="21"/>
                <w:color w:val="auto"/>
              </w:rPr>
            </w:pPr>
          </w:p>
        </w:tc>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3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119.4</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118.3</w:t>
            </w:r>
          </w:p>
        </w:tc>
      </w:tr>
      <w:tr>
        <w:trPr>
          <w:trHeight w:val="243"/>
        </w:trPr>
        <w:tc>
          <w:tcPr>
            <w:tcW w:w="420" w:type="dxa"/>
            <w:vAlign w:val="bottom"/>
          </w:tcPr>
          <w:p>
            <w:pPr>
              <w:spacing w:after="0"/>
              <w:rPr>
                <w:sz w:val="21"/>
                <w:szCs w:val="21"/>
                <w:color w:val="auto"/>
              </w:rPr>
            </w:pPr>
          </w:p>
        </w:tc>
        <w:tc>
          <w:tcPr>
            <w:tcW w:w="7760" w:type="dxa"/>
            <w:vAlign w:val="bottom"/>
          </w:tcPr>
          <w:p>
            <w:pPr>
              <w:ind w:left="20"/>
              <w:spacing w:after="0"/>
              <w:rPr>
                <w:sz w:val="20"/>
                <w:szCs w:val="20"/>
                <w:color w:val="auto"/>
              </w:rPr>
            </w:pPr>
            <w:r>
              <w:rPr>
                <w:rFonts w:ascii="Arial" w:cs="Arial" w:eastAsia="Arial" w:hAnsi="Arial"/>
                <w:sz w:val="18"/>
                <w:szCs w:val="18"/>
                <w:color w:val="auto"/>
              </w:rPr>
              <w:t>Taxes Other than Income Taxes</w:t>
            </w:r>
          </w:p>
        </w:tc>
        <w:tc>
          <w:tcPr>
            <w:tcW w:w="2360" w:type="dxa"/>
            <w:vAlign w:val="bottom"/>
          </w:tcPr>
          <w:p>
            <w:pPr>
              <w:jc w:val="right"/>
              <w:ind w:right="230"/>
              <w:spacing w:after="0"/>
              <w:rPr>
                <w:sz w:val="20"/>
                <w:szCs w:val="20"/>
                <w:color w:val="auto"/>
              </w:rPr>
            </w:pPr>
            <w:r>
              <w:rPr>
                <w:rFonts w:ascii="Arial" w:cs="Arial" w:eastAsia="Arial" w:hAnsi="Arial"/>
                <w:sz w:val="18"/>
                <w:szCs w:val="18"/>
                <w:color w:val="auto"/>
              </w:rPr>
              <w:t>36.2</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39.9</w:t>
            </w:r>
          </w:p>
        </w:tc>
      </w:tr>
      <w:tr>
        <w:trPr>
          <w:trHeight w:val="27"/>
        </w:trPr>
        <w:tc>
          <w:tcPr>
            <w:tcW w:w="420" w:type="dxa"/>
            <w:vAlign w:val="bottom"/>
          </w:tcPr>
          <w:p>
            <w:pPr>
              <w:spacing w:after="0"/>
              <w:rPr>
                <w:sz w:val="2"/>
                <w:szCs w:val="2"/>
                <w:color w:val="auto"/>
              </w:rPr>
            </w:pPr>
          </w:p>
        </w:tc>
        <w:tc>
          <w:tcPr>
            <w:tcW w:w="776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20" w:type="dxa"/>
            <w:vAlign w:val="bottom"/>
          </w:tcPr>
          <w:p>
            <w:pPr>
              <w:spacing w:after="0"/>
              <w:rPr>
                <w:sz w:val="21"/>
                <w:szCs w:val="21"/>
                <w:color w:val="auto"/>
              </w:rPr>
            </w:pPr>
          </w:p>
        </w:tc>
        <w:tc>
          <w:tcPr>
            <w:tcW w:w="7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Operating Income</w:t>
            </w:r>
          </w:p>
        </w:tc>
        <w:tc>
          <w:tcPr>
            <w:tcW w:w="23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129.4</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116.7</w:t>
            </w:r>
          </w:p>
        </w:tc>
      </w:tr>
      <w:tr>
        <w:trPr>
          <w:trHeight w:val="243"/>
        </w:trPr>
        <w:tc>
          <w:tcPr>
            <w:tcW w:w="420" w:type="dxa"/>
            <w:vAlign w:val="bottom"/>
          </w:tcPr>
          <w:p>
            <w:pPr>
              <w:spacing w:after="0"/>
              <w:rPr>
                <w:sz w:val="21"/>
                <w:szCs w:val="21"/>
                <w:color w:val="auto"/>
              </w:rPr>
            </w:pPr>
          </w:p>
        </w:tc>
        <w:tc>
          <w:tcPr>
            <w:tcW w:w="77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360" w:type="dxa"/>
            <w:vAlign w:val="bottom"/>
          </w:tcPr>
          <w:p>
            <w:pPr>
              <w:jc w:val="right"/>
              <w:ind w:right="170"/>
              <w:spacing w:after="0"/>
              <w:rPr>
                <w:sz w:val="20"/>
                <w:szCs w:val="20"/>
                <w:color w:val="auto"/>
              </w:rPr>
            </w:pPr>
            <w:r>
              <w:rPr>
                <w:rFonts w:ascii="Arial" w:cs="Arial" w:eastAsia="Arial" w:hAnsi="Arial"/>
                <w:sz w:val="18"/>
                <w:szCs w:val="18"/>
                <w:color w:val="auto"/>
              </w:rPr>
              <w:t>(44.3)</w:t>
            </w:r>
          </w:p>
        </w:tc>
        <w:tc>
          <w:tcPr>
            <w:tcW w:w="880" w:type="dxa"/>
            <w:vAlign w:val="bottom"/>
          </w:tcPr>
          <w:p>
            <w:pPr>
              <w:jc w:val="right"/>
              <w:spacing w:after="0"/>
              <w:rPr>
                <w:sz w:val="20"/>
                <w:szCs w:val="20"/>
                <w:color w:val="auto"/>
              </w:rPr>
            </w:pPr>
            <w:r>
              <w:rPr>
                <w:rFonts w:ascii="Arial" w:cs="Arial" w:eastAsia="Arial" w:hAnsi="Arial"/>
                <w:sz w:val="18"/>
                <w:szCs w:val="18"/>
                <w:color w:val="auto"/>
              </w:rPr>
              <w:t>(45.5)</w:t>
            </w:r>
          </w:p>
        </w:tc>
      </w:tr>
      <w:tr>
        <w:trPr>
          <w:trHeight w:val="27"/>
        </w:trPr>
        <w:tc>
          <w:tcPr>
            <w:tcW w:w="420" w:type="dxa"/>
            <w:vAlign w:val="bottom"/>
          </w:tcPr>
          <w:p>
            <w:pPr>
              <w:spacing w:after="0"/>
              <w:rPr>
                <w:sz w:val="2"/>
                <w:szCs w:val="2"/>
                <w:color w:val="auto"/>
              </w:rPr>
            </w:pPr>
          </w:p>
        </w:tc>
        <w:tc>
          <w:tcPr>
            <w:tcW w:w="77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20" w:type="dxa"/>
            <w:vAlign w:val="bottom"/>
          </w:tcPr>
          <w:p>
            <w:pPr>
              <w:spacing w:after="0"/>
              <w:rPr>
                <w:sz w:val="21"/>
                <w:szCs w:val="21"/>
                <w:color w:val="auto"/>
              </w:rPr>
            </w:pPr>
          </w:p>
        </w:tc>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Earnings</w:t>
            </w:r>
          </w:p>
        </w:tc>
        <w:tc>
          <w:tcPr>
            <w:tcW w:w="23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15.3</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w:t>
            </w:r>
          </w:p>
        </w:tc>
      </w:tr>
      <w:tr>
        <w:trPr>
          <w:trHeight w:val="243"/>
        </w:trPr>
        <w:tc>
          <w:tcPr>
            <w:tcW w:w="420" w:type="dxa"/>
            <w:vAlign w:val="bottom"/>
          </w:tcPr>
          <w:p>
            <w:pPr>
              <w:spacing w:after="0"/>
              <w:rPr>
                <w:sz w:val="21"/>
                <w:szCs w:val="21"/>
                <w:color w:val="auto"/>
              </w:rPr>
            </w:pPr>
          </w:p>
        </w:tc>
        <w:tc>
          <w:tcPr>
            <w:tcW w:w="776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2360" w:type="dxa"/>
            <w:vAlign w:val="bottom"/>
          </w:tcPr>
          <w:p>
            <w:pPr>
              <w:jc w:val="right"/>
              <w:ind w:right="230"/>
              <w:spacing w:after="0"/>
              <w:rPr>
                <w:sz w:val="20"/>
                <w:szCs w:val="20"/>
                <w:color w:val="auto"/>
              </w:rPr>
            </w:pPr>
            <w:r>
              <w:rPr>
                <w:rFonts w:ascii="Arial" w:cs="Arial" w:eastAsia="Arial" w:hAnsi="Arial"/>
                <w:sz w:val="18"/>
                <w:szCs w:val="18"/>
                <w:color w:val="auto"/>
              </w:rPr>
              <w:t>9.2</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4.0</w:t>
            </w:r>
          </w:p>
        </w:tc>
      </w:tr>
      <w:tr>
        <w:trPr>
          <w:trHeight w:val="27"/>
        </w:trPr>
        <w:tc>
          <w:tcPr>
            <w:tcW w:w="420" w:type="dxa"/>
            <w:vAlign w:val="bottom"/>
          </w:tcPr>
          <w:p>
            <w:pPr>
              <w:spacing w:after="0"/>
              <w:rPr>
                <w:sz w:val="2"/>
                <w:szCs w:val="2"/>
                <w:color w:val="auto"/>
              </w:rPr>
            </w:pPr>
          </w:p>
        </w:tc>
        <w:tc>
          <w:tcPr>
            <w:tcW w:w="776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20" w:type="dxa"/>
            <w:vAlign w:val="bottom"/>
          </w:tcPr>
          <w:p>
            <w:pPr>
              <w:spacing w:after="0"/>
              <w:rPr>
                <w:sz w:val="21"/>
                <w:szCs w:val="21"/>
                <w:color w:val="auto"/>
              </w:rPr>
            </w:pPr>
          </w:p>
        </w:tc>
        <w:tc>
          <w:tcPr>
            <w:tcW w:w="7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Income Before Income Taxes</w:t>
            </w:r>
          </w:p>
        </w:tc>
        <w:tc>
          <w:tcPr>
            <w:tcW w:w="23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109.6</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88.2</w:t>
            </w:r>
          </w:p>
        </w:tc>
      </w:tr>
      <w:tr>
        <w:trPr>
          <w:trHeight w:val="243"/>
        </w:trPr>
        <w:tc>
          <w:tcPr>
            <w:tcW w:w="420" w:type="dxa"/>
            <w:vAlign w:val="bottom"/>
          </w:tcPr>
          <w:p>
            <w:pPr>
              <w:spacing w:after="0"/>
              <w:rPr>
                <w:sz w:val="21"/>
                <w:szCs w:val="21"/>
                <w:color w:val="auto"/>
              </w:rPr>
            </w:pPr>
          </w:p>
        </w:tc>
        <w:tc>
          <w:tcPr>
            <w:tcW w:w="7760" w:type="dxa"/>
            <w:vAlign w:val="bottom"/>
          </w:tcPr>
          <w:p>
            <w:pPr>
              <w:ind w:left="20"/>
              <w:spacing w:after="0"/>
              <w:rPr>
                <w:sz w:val="20"/>
                <w:szCs w:val="20"/>
                <w:color w:val="auto"/>
              </w:rPr>
            </w:pPr>
            <w:r>
              <w:rPr>
                <w:rFonts w:ascii="Arial" w:cs="Arial" w:eastAsia="Arial" w:hAnsi="Arial"/>
                <w:sz w:val="18"/>
                <w:szCs w:val="18"/>
                <w:color w:val="auto"/>
              </w:rPr>
              <w:t>Income Tax Benefit</w:t>
            </w:r>
          </w:p>
        </w:tc>
        <w:tc>
          <w:tcPr>
            <w:tcW w:w="2360" w:type="dxa"/>
            <w:vAlign w:val="bottom"/>
          </w:tcPr>
          <w:p>
            <w:pPr>
              <w:jc w:val="right"/>
              <w:ind w:right="170"/>
              <w:spacing w:after="0"/>
              <w:rPr>
                <w:sz w:val="20"/>
                <w:szCs w:val="20"/>
                <w:color w:val="auto"/>
              </w:rPr>
            </w:pPr>
            <w:r>
              <w:rPr>
                <w:rFonts w:ascii="Arial" w:cs="Arial" w:eastAsia="Arial" w:hAnsi="Arial"/>
                <w:sz w:val="18"/>
                <w:szCs w:val="18"/>
                <w:color w:val="auto"/>
              </w:rPr>
              <w:t>(4.6)</w:t>
            </w:r>
          </w:p>
        </w:tc>
        <w:tc>
          <w:tcPr>
            <w:tcW w:w="88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7"/>
        </w:trPr>
        <w:tc>
          <w:tcPr>
            <w:tcW w:w="420" w:type="dxa"/>
            <w:vAlign w:val="bottom"/>
          </w:tcPr>
          <w:p>
            <w:pPr>
              <w:spacing w:after="0"/>
              <w:rPr>
                <w:sz w:val="2"/>
                <w:szCs w:val="2"/>
                <w:color w:val="auto"/>
              </w:rPr>
            </w:pPr>
          </w:p>
        </w:tc>
        <w:tc>
          <w:tcPr>
            <w:tcW w:w="776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20" w:type="dxa"/>
            <w:vAlign w:val="bottom"/>
          </w:tcPr>
          <w:p>
            <w:pPr>
              <w:spacing w:after="0"/>
              <w:rPr>
                <w:sz w:val="21"/>
                <w:szCs w:val="21"/>
                <w:color w:val="auto"/>
              </w:rPr>
            </w:pPr>
          </w:p>
        </w:tc>
        <w:tc>
          <w:tcPr>
            <w:tcW w:w="7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Income</w:t>
            </w:r>
          </w:p>
        </w:tc>
        <w:tc>
          <w:tcPr>
            <w:tcW w:w="23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$114.2</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$99.7</w:t>
            </w:r>
          </w:p>
        </w:tc>
      </w:tr>
      <w:tr>
        <w:trPr>
          <w:trHeight w:val="20"/>
        </w:trPr>
        <w:tc>
          <w:tcPr>
            <w:tcW w:w="420" w:type="dxa"/>
            <w:vAlign w:val="bottom"/>
          </w:tcPr>
          <w:p>
            <w:pPr>
              <w:spacing w:after="0" w:line="20" w:lineRule="exact"/>
              <w:rPr>
                <w:sz w:val="1"/>
                <w:szCs w:val="1"/>
                <w:color w:val="auto"/>
              </w:rPr>
            </w:pPr>
          </w:p>
        </w:tc>
        <w:tc>
          <w:tcPr>
            <w:tcW w:w="7760" w:type="dxa"/>
            <w:vAlign w:val="bottom"/>
            <w:shd w:val="clear" w:color="auto" w:fill="000000"/>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2019 Form 10-Q</w:t>
      </w:r>
    </w:p>
    <w:p>
      <w:pPr>
        <w:sectPr>
          <w:pgSz w:w="11900" w:h="16838" w:orient="portrait"/>
          <w:cols w:equalWidth="0" w:num="1">
            <w:col w:w="11420"/>
          </w:cols>
          <w:pgMar w:left="240" w:top="1040" w:right="239" w:bottom="1440" w:gutter="0" w:footer="0" w:header="0"/>
        </w:sectPr>
      </w:pP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35</w:t>
      </w:r>
    </w:p>
    <w:p>
      <w:pPr>
        <w:sectPr>
          <w:pgSz w:w="11900" w:h="16838" w:orient="portrait"/>
          <w:cols w:equalWidth="0" w:num="1">
            <w:col w:w="11420"/>
          </w:cols>
          <w:pgMar w:left="240" w:top="1040" w:right="2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COMPARISON OF THE NINE MONTHS ENDED SEPTEMBER 30, 2019 AND 2018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07" w:lineRule="exact"/>
        <w:rPr>
          <w:sz w:val="20"/>
          <w:szCs w:val="20"/>
          <w:color w:val="auto"/>
        </w:rPr>
      </w:pPr>
    </w:p>
    <w:p>
      <w:pPr>
        <w:jc w:val="both"/>
        <w:ind w:left="340"/>
        <w:spacing w:after="0" w:line="282"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Utility </w:t>
      </w:r>
      <w:r>
        <w:rPr>
          <w:rFonts w:ascii="Arial" w:cs="Arial" w:eastAsia="Arial" w:hAnsi="Arial"/>
          <w:sz w:val="18"/>
          <w:szCs w:val="18"/>
          <w:color w:val="auto"/>
        </w:rPr>
        <w:t>decreased $3.2 million from 2018 primarily due to lower revenue from kWh sales, mostly offset by higher fuel adjustment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clause recoveries, increased cost recovery rider revenue, higher FERC formula-based rates and higher transmission revenue.</w:t>
      </w:r>
    </w:p>
    <w:p>
      <w:pPr>
        <w:spacing w:after="0" w:line="166"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color w:val="auto"/>
        </w:rPr>
        <w:t>Revenue from kWh sales decreased $32.5 million from 2018 reflecting lower sales to residential, commercial, industrial and municipal customers as well as lower sales to other power suppliers. Sales to residential and commercial customers decreased from 2018 primarily due to milder weather in the second and third quarters of 2019. Sales to industrial customers decreased in 2019 reflecting in part lower sales to Husky Energy due to an April 2018 fire at its refinery in Superior, Wisconsin. Sales to municipal customers decreased from 2018 as a result of additional customer self-generation in 2019 and the expiration of a contract with a municipal customer on June 30, 2019. Sales to other power suppliers decreased in 2019 primarily due to fewer market sales and sales under PSAs as a result of less generation available for sale, partially offset by the commencement of Minnesota Power’s PSA with Oconto Electric Cooperative in January 2019. Sales to other power suppliers are sold at market-based prices into the MISO market on a daily basis or through PSAs of various durations.</w:t>
      </w:r>
    </w:p>
    <w:p>
      <w:pPr>
        <w:spacing w:after="0" w:line="215"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980" w:type="dxa"/>
            <w:vAlign w:val="bottom"/>
          </w:tcPr>
          <w:p>
            <w:pPr>
              <w:ind w:left="20"/>
              <w:spacing w:after="0"/>
              <w:rPr>
                <w:sz w:val="20"/>
                <w:szCs w:val="20"/>
                <w:color w:val="auto"/>
              </w:rPr>
            </w:pPr>
            <w:r>
              <w:rPr>
                <w:rFonts w:ascii="Arial" w:cs="Arial" w:eastAsia="Arial" w:hAnsi="Arial"/>
                <w:sz w:val="18"/>
                <w:szCs w:val="18"/>
                <w:b w:val="1"/>
                <w:bCs w:val="1"/>
                <w:color w:val="auto"/>
              </w:rPr>
              <w:t>Kilowatt-hours Sold</w:t>
            </w:r>
          </w:p>
        </w:tc>
        <w:tc>
          <w:tcPr>
            <w:tcW w:w="25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rPr>
              <w:t>Quantity</w:t>
            </w: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r>
      <w:tr>
        <w:trPr>
          <w:trHeight w:val="270"/>
        </w:trPr>
        <w:tc>
          <w:tcPr>
            <w:tcW w:w="4980" w:type="dxa"/>
            <w:vAlign w:val="bottom"/>
          </w:tcPr>
          <w:p>
            <w:pPr>
              <w:ind w:left="20"/>
              <w:spacing w:after="0"/>
              <w:rPr>
                <w:sz w:val="20"/>
                <w:szCs w:val="20"/>
                <w:color w:val="auto"/>
              </w:rPr>
            </w:pPr>
            <w:r>
              <w:rPr>
                <w:rFonts w:ascii="Arial" w:cs="Arial" w:eastAsia="Arial" w:hAnsi="Arial"/>
                <w:sz w:val="18"/>
                <w:szCs w:val="18"/>
                <w:b w:val="1"/>
                <w:bCs w:val="1"/>
                <w:color w:val="auto"/>
              </w:rPr>
              <w:t>Nine Months Ended September 30,</w:t>
            </w:r>
          </w:p>
        </w:tc>
        <w:tc>
          <w:tcPr>
            <w:tcW w:w="2580" w:type="dxa"/>
            <w:vAlign w:val="bottom"/>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940" w:type="dxa"/>
            <w:vAlign w:val="bottom"/>
          </w:tcPr>
          <w:p>
            <w:pPr>
              <w:jc w:val="right"/>
              <w:ind w:right="70"/>
              <w:spacing w:after="0"/>
              <w:rPr>
                <w:sz w:val="20"/>
                <w:szCs w:val="20"/>
                <w:color w:val="auto"/>
              </w:rPr>
            </w:pPr>
            <w:r>
              <w:rPr>
                <w:rFonts w:ascii="Arial" w:cs="Arial" w:eastAsia="Arial" w:hAnsi="Arial"/>
                <w:sz w:val="18"/>
                <w:szCs w:val="18"/>
                <w:b w:val="1"/>
                <w:bCs w:val="1"/>
                <w:color w:val="auto"/>
              </w:rPr>
              <w:t>2018</w:t>
            </w: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rPr>
              <w:t>Variance</w:t>
            </w: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rPr>
              <w:t>Variance</w:t>
            </w:r>
          </w:p>
        </w:tc>
      </w:tr>
      <w:tr>
        <w:trPr>
          <w:trHeight w:val="27"/>
        </w:trPr>
        <w:tc>
          <w:tcPr>
            <w:tcW w:w="498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498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5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49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Regulated Utility</w:t>
            </w:r>
          </w:p>
        </w:tc>
        <w:tc>
          <w:tcPr>
            <w:tcW w:w="25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980" w:type="dxa"/>
            <w:vAlign w:val="bottom"/>
          </w:tcPr>
          <w:p>
            <w:pPr>
              <w:ind w:left="260"/>
              <w:spacing w:after="0"/>
              <w:rPr>
                <w:sz w:val="20"/>
                <w:szCs w:val="20"/>
                <w:color w:val="auto"/>
              </w:rPr>
            </w:pPr>
            <w:r>
              <w:rPr>
                <w:rFonts w:ascii="Arial" w:cs="Arial" w:eastAsia="Arial" w:hAnsi="Arial"/>
                <w:sz w:val="18"/>
                <w:szCs w:val="18"/>
                <w:color w:val="auto"/>
              </w:rPr>
              <w:t>Retail and Municipal</w:t>
            </w:r>
          </w:p>
        </w:tc>
        <w:tc>
          <w:tcPr>
            <w:tcW w:w="25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49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Residential</w:t>
            </w:r>
          </w:p>
        </w:tc>
        <w:tc>
          <w:tcPr>
            <w:tcW w:w="25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829</w:t>
            </w: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836</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43"/>
        </w:trPr>
        <w:tc>
          <w:tcPr>
            <w:tcW w:w="4980" w:type="dxa"/>
            <w:vAlign w:val="bottom"/>
          </w:tcPr>
          <w:p>
            <w:pPr>
              <w:ind w:left="480"/>
              <w:spacing w:after="0"/>
              <w:rPr>
                <w:sz w:val="20"/>
                <w:szCs w:val="20"/>
                <w:color w:val="auto"/>
              </w:rPr>
            </w:pPr>
            <w:r>
              <w:rPr>
                <w:rFonts w:ascii="Arial" w:cs="Arial" w:eastAsia="Arial" w:hAnsi="Arial"/>
                <w:sz w:val="18"/>
                <w:szCs w:val="18"/>
                <w:color w:val="auto"/>
              </w:rPr>
              <w:t>Commercial</w:t>
            </w:r>
          </w:p>
        </w:tc>
        <w:tc>
          <w:tcPr>
            <w:tcW w:w="2580" w:type="dxa"/>
            <w:vAlign w:val="bottom"/>
          </w:tcPr>
          <w:p>
            <w:pPr>
              <w:jc w:val="right"/>
              <w:ind w:right="190"/>
              <w:spacing w:after="0"/>
              <w:rPr>
                <w:sz w:val="20"/>
                <w:szCs w:val="20"/>
                <w:color w:val="auto"/>
              </w:rPr>
            </w:pPr>
            <w:r>
              <w:rPr>
                <w:rFonts w:ascii="Arial" w:cs="Arial" w:eastAsia="Arial" w:hAnsi="Arial"/>
                <w:sz w:val="18"/>
                <w:szCs w:val="18"/>
                <w:color w:val="auto"/>
              </w:rPr>
              <w:t>1,043</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1,075</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(32)</w:t>
            </w:r>
          </w:p>
        </w:tc>
        <w:tc>
          <w:tcPr>
            <w:tcW w:w="10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
        </w:trPr>
        <w:tc>
          <w:tcPr>
            <w:tcW w:w="49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Industrial</w:t>
            </w:r>
          </w:p>
        </w:tc>
        <w:tc>
          <w:tcPr>
            <w:tcW w:w="25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5,389</w:t>
            </w: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5,418</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43"/>
        </w:trPr>
        <w:tc>
          <w:tcPr>
            <w:tcW w:w="4980" w:type="dxa"/>
            <w:vAlign w:val="bottom"/>
          </w:tcPr>
          <w:p>
            <w:pPr>
              <w:ind w:left="480"/>
              <w:spacing w:after="0"/>
              <w:rPr>
                <w:sz w:val="20"/>
                <w:szCs w:val="20"/>
                <w:color w:val="auto"/>
              </w:rPr>
            </w:pPr>
            <w:r>
              <w:rPr>
                <w:rFonts w:ascii="Arial" w:cs="Arial" w:eastAsia="Arial" w:hAnsi="Arial"/>
                <w:sz w:val="18"/>
                <w:szCs w:val="18"/>
                <w:color w:val="auto"/>
              </w:rPr>
              <w:t>Municipal</w:t>
            </w:r>
          </w:p>
        </w:tc>
        <w:tc>
          <w:tcPr>
            <w:tcW w:w="2580" w:type="dxa"/>
            <w:vAlign w:val="bottom"/>
          </w:tcPr>
          <w:p>
            <w:pPr>
              <w:jc w:val="right"/>
              <w:ind w:right="190"/>
              <w:spacing w:after="0"/>
              <w:rPr>
                <w:sz w:val="20"/>
                <w:szCs w:val="20"/>
                <w:color w:val="auto"/>
              </w:rPr>
            </w:pPr>
            <w:r>
              <w:rPr>
                <w:rFonts w:ascii="Arial" w:cs="Arial" w:eastAsia="Arial" w:hAnsi="Arial"/>
                <w:sz w:val="18"/>
                <w:szCs w:val="18"/>
                <w:color w:val="auto"/>
              </w:rPr>
              <w:t>519</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603</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(84)</w:t>
            </w:r>
          </w:p>
        </w:tc>
        <w:tc>
          <w:tcPr>
            <w:tcW w:w="106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7"/>
        </w:trPr>
        <w:tc>
          <w:tcPr>
            <w:tcW w:w="498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9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Retail and Municipal</w:t>
            </w:r>
          </w:p>
        </w:tc>
        <w:tc>
          <w:tcPr>
            <w:tcW w:w="25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7,780</w:t>
            </w: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7,932</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(152)</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4980" w:type="dxa"/>
            <w:vAlign w:val="bottom"/>
          </w:tcPr>
          <w:p>
            <w:pPr>
              <w:ind w:left="260"/>
              <w:spacing w:after="0"/>
              <w:rPr>
                <w:sz w:val="20"/>
                <w:szCs w:val="20"/>
                <w:color w:val="auto"/>
              </w:rPr>
            </w:pPr>
            <w:r>
              <w:rPr>
                <w:rFonts w:ascii="Arial" w:cs="Arial" w:eastAsia="Arial" w:hAnsi="Arial"/>
                <w:sz w:val="18"/>
                <w:szCs w:val="18"/>
                <w:color w:val="auto"/>
              </w:rPr>
              <w:t>Other Power Suppliers</w:t>
            </w:r>
          </w:p>
        </w:tc>
        <w:tc>
          <w:tcPr>
            <w:tcW w:w="2580" w:type="dxa"/>
            <w:vAlign w:val="bottom"/>
          </w:tcPr>
          <w:p>
            <w:pPr>
              <w:jc w:val="right"/>
              <w:ind w:right="190"/>
              <w:spacing w:after="0"/>
              <w:rPr>
                <w:sz w:val="20"/>
                <w:szCs w:val="20"/>
                <w:color w:val="auto"/>
              </w:rPr>
            </w:pPr>
            <w:r>
              <w:rPr>
                <w:rFonts w:ascii="Arial" w:cs="Arial" w:eastAsia="Arial" w:hAnsi="Arial"/>
                <w:sz w:val="18"/>
                <w:szCs w:val="18"/>
                <w:color w:val="auto"/>
              </w:rPr>
              <w:t>2,294</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2,976</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(682)</w:t>
            </w:r>
          </w:p>
        </w:tc>
        <w:tc>
          <w:tcPr>
            <w:tcW w:w="1060" w:type="dxa"/>
            <w:vAlign w:val="bottom"/>
          </w:tcPr>
          <w:p>
            <w:pPr>
              <w:jc w:val="right"/>
              <w:spacing w:after="0"/>
              <w:rPr>
                <w:sz w:val="20"/>
                <w:szCs w:val="20"/>
                <w:color w:val="auto"/>
              </w:rPr>
            </w:pPr>
            <w:r>
              <w:rPr>
                <w:rFonts w:ascii="Arial" w:cs="Arial" w:eastAsia="Arial" w:hAnsi="Arial"/>
                <w:sz w:val="18"/>
                <w:szCs w:val="18"/>
                <w:color w:val="auto"/>
              </w:rPr>
              <w:t>(22.9)%</w:t>
            </w:r>
          </w:p>
        </w:tc>
      </w:tr>
      <w:tr>
        <w:trPr>
          <w:trHeight w:val="27"/>
        </w:trPr>
        <w:tc>
          <w:tcPr>
            <w:tcW w:w="498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Regulated Utility Kilowatt-hours Sold</w:t>
            </w:r>
          </w:p>
        </w:tc>
        <w:tc>
          <w:tcPr>
            <w:tcW w:w="25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10,074</w:t>
            </w: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10,908</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(834)</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0"/>
        </w:trPr>
        <w:tc>
          <w:tcPr>
            <w:tcW w:w="4980" w:type="dxa"/>
            <w:vAlign w:val="bottom"/>
            <w:shd w:val="clear" w:color="auto" w:fill="000000"/>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Revenue from electric sales to taconite customers accounted for 25 percent of consolidated operating revenue in 2019 (22 percent in 2018). Revenue from electric sales to paper, pulp and secondary wood product customers accounted for 6 percent of consolidated operating revenue in 2019 (5 percent in 2018). Revenue from electric sales to pipelines and other industrial customers accounted for 7 percent of consolidated operating revenue in 2019 (6 percent in 2018).</w:t>
      </w:r>
    </w:p>
    <w:p>
      <w:pPr>
        <w:spacing w:after="0" w:line="18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Fuel adjustment clause revenue increased $12.9 million due to period over period timing of recoveries for fuel and purchased power costs attributable to retail and municipal customers.</w:t>
      </w:r>
    </w:p>
    <w:p>
      <w:pPr>
        <w:spacing w:after="0" w:line="170"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Cost recovery rider revenue contributed an incremental $12.0 million over current base rates compared to 2018 (see Note 2. Regulatory Matters) primarily due to higher expenditures related to the construction of the GNTL and lower transmission margins related to our portion of CapX2020 transmission lines. Transmission margins for CapX2020 transmission lines recognized below those assumed in Minnesota Power base rates result in increased cost recovery rider revenue to offset the impact of the lower margins.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Revenue from wholesale customers under FERC formula-based rates increased $3.4 million from 2018 primarily due to higher rates.</w:t>
      </w:r>
    </w:p>
    <w:p>
      <w:pPr>
        <w:spacing w:after="0" w:line="225"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Transmission revenue increased $3.3 million from 2018. Revenue in 2018 reflected a $4.4 million out-of-period adjustment for an estimated true-up of MISO rates that were billed in 2017 and are being credited to customers in 2019.</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decreased $15.9 million, or 2 percent, from 2018.</w:t>
      </w:r>
    </w:p>
    <w:p>
      <w:pPr>
        <w:spacing w:after="0" w:line="225"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i w:val="1"/>
          <w:iCs w:val="1"/>
          <w:color w:val="auto"/>
        </w:rPr>
        <w:t xml:space="preserve">Fuel, Purchased Power and Gas – Utility </w:t>
      </w:r>
      <w:r>
        <w:rPr>
          <w:rFonts w:ascii="Arial" w:cs="Arial" w:eastAsia="Arial" w:hAnsi="Arial"/>
          <w:sz w:val="18"/>
          <w:szCs w:val="18"/>
          <w:color w:val="auto"/>
        </w:rPr>
        <w:t>expense decreased $4.7 million, or 2 percent, from 2018 primarily due to lower kWh sales. Fuel and purchased</w:t>
      </w:r>
      <w:r>
        <w:rPr>
          <w:rFonts w:ascii="Arial" w:cs="Arial" w:eastAsia="Arial" w:hAnsi="Arial"/>
          <w:sz w:val="18"/>
          <w:szCs w:val="18"/>
          <w:i w:val="1"/>
          <w:iCs w:val="1"/>
          <w:color w:val="auto"/>
        </w:rPr>
        <w:t xml:space="preserve"> </w:t>
      </w:r>
      <w:r>
        <w:rPr>
          <w:rFonts w:ascii="Arial" w:cs="Arial" w:eastAsia="Arial" w:hAnsi="Arial"/>
          <w:sz w:val="18"/>
          <w:szCs w:val="18"/>
          <w:color w:val="auto"/>
        </w:rPr>
        <w:t>power expense related to our retail and municipal customers is recovered through the fuel adjustment clause.</w:t>
      </w:r>
    </w:p>
    <w:p>
      <w:pPr>
        <w:spacing w:after="0" w:line="170" w:lineRule="exact"/>
        <w:rPr>
          <w:sz w:val="20"/>
          <w:szCs w:val="20"/>
          <w:color w:val="auto"/>
        </w:rPr>
      </w:pPr>
    </w:p>
    <w:p>
      <w:pPr>
        <w:ind w:left="340"/>
        <w:spacing w:after="0" w:line="207" w:lineRule="exact"/>
        <w:rPr>
          <w:sz w:val="20"/>
          <w:szCs w:val="20"/>
          <w:color w:val="auto"/>
        </w:rPr>
      </w:pPr>
      <w:r>
        <w:rPr>
          <w:rFonts w:ascii="Arial" w:cs="Arial" w:eastAsia="Arial" w:hAnsi="Arial"/>
          <w:sz w:val="18"/>
          <w:szCs w:val="18"/>
          <w:i w:val="1"/>
          <w:iCs w:val="1"/>
          <w:color w:val="auto"/>
        </w:rPr>
        <w:t xml:space="preserve">Transmission Services – Utility </w:t>
      </w:r>
      <w:r>
        <w:rPr>
          <w:rFonts w:ascii="Arial" w:cs="Arial" w:eastAsia="Arial" w:hAnsi="Arial"/>
          <w:sz w:val="18"/>
          <w:szCs w:val="18"/>
          <w:color w:val="auto"/>
        </w:rPr>
        <w:t>expense increased $2.7 million, or 5 percent, from 2018 primarily due to higher MISO</w:t>
      </w:r>
      <w:r>
        <w:rPr>
          <w:rFonts w:ascii="MS PGothic" w:cs="MS PGothic" w:eastAsia="MS PGothic" w:hAnsi="MS PGothic"/>
          <w:sz w:val="18"/>
          <w:szCs w:val="18"/>
          <w:color w:val="auto"/>
        </w:rPr>
        <w:t>‑</w:t>
      </w:r>
      <w:r>
        <w:rPr>
          <w:rFonts w:ascii="Arial" w:cs="Arial" w:eastAsia="Arial" w:hAnsi="Arial"/>
          <w:sz w:val="18"/>
          <w:szCs w:val="18"/>
          <w:color w:val="auto"/>
        </w:rPr>
        <w:t>related expense.</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2019 Form 10-Q</w:t>
      </w:r>
    </w:p>
    <w:p>
      <w:pPr>
        <w:sectPr>
          <w:pgSz w:w="11900" w:h="16838" w:orient="portrait"/>
          <w:cols w:equalWidth="0" w:num="1">
            <w:col w:w="11420"/>
          </w:cols>
          <w:pgMar w:left="240" w:top="1040" w:right="239" w:bottom="1440" w:gutter="0" w:footer="0" w:header="0"/>
        </w:sectPr>
      </w:pP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36</w:t>
      </w:r>
    </w:p>
    <w:p>
      <w:pPr>
        <w:sectPr>
          <w:pgSz w:w="11900" w:h="16838" w:orient="portrait"/>
          <w:cols w:equalWidth="0" w:num="1">
            <w:col w:w="11420"/>
          </w:cols>
          <w:pgMar w:left="240" w:top="1040" w:right="2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COMPARISON OF THE NINE MONTHS ENDED SEPTEMBER 30, 2019 AND 2018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11"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i w:val="1"/>
          <w:iCs w:val="1"/>
          <w:color w:val="auto"/>
        </w:rPr>
        <w:t xml:space="preserve">Operating and Maintenance </w:t>
      </w:r>
      <w:r>
        <w:rPr>
          <w:rFonts w:ascii="Arial" w:cs="Arial" w:eastAsia="Arial" w:hAnsi="Arial"/>
          <w:sz w:val="18"/>
          <w:szCs w:val="18"/>
          <w:color w:val="auto"/>
        </w:rPr>
        <w:t>expense decreased $11.3 million, or 7 percent, from 2018 primarily due to lower salary and benefit expenses, maintenance</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 expenses and materials purchased for generation facilities.</w:t>
      </w:r>
    </w:p>
    <w:p>
      <w:pPr>
        <w:spacing w:after="0" w:line="170"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i w:val="1"/>
          <w:iCs w:val="1"/>
          <w:color w:val="auto"/>
        </w:rPr>
        <w:t xml:space="preserve">Taxes Other than Income Taxes </w:t>
      </w:r>
      <w:r>
        <w:rPr>
          <w:rFonts w:ascii="Arial" w:cs="Arial" w:eastAsia="Arial" w:hAnsi="Arial"/>
          <w:sz w:val="18"/>
          <w:szCs w:val="18"/>
          <w:color w:val="auto"/>
        </w:rPr>
        <w:t>decreased $3.7 million, or 9 percent, from 2018 primarily due to lower property tax expenses resulting from lower</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estimated taxable market values.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Equity Earnings </w:t>
      </w:r>
      <w:r>
        <w:rPr>
          <w:rFonts w:ascii="Arial" w:cs="Arial" w:eastAsia="Arial" w:hAnsi="Arial"/>
          <w:sz w:val="18"/>
          <w:szCs w:val="18"/>
          <w:color w:val="auto"/>
        </w:rPr>
        <w:t>increased $2.3 million, or 18 percent, from 2018 primarily due to additional investments in ATC.</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Other Income </w:t>
      </w:r>
      <w:r>
        <w:rPr>
          <w:rFonts w:ascii="Arial" w:cs="Arial" w:eastAsia="Arial" w:hAnsi="Arial"/>
          <w:sz w:val="18"/>
          <w:szCs w:val="18"/>
          <w:color w:val="auto"/>
        </w:rPr>
        <w:t>increased $5.2 million from 2018 reflecting various individually immaterial items.</w:t>
      </w:r>
    </w:p>
    <w:p>
      <w:pPr>
        <w:spacing w:after="0" w:line="225"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Income Tax Benefit </w:t>
      </w:r>
      <w:r>
        <w:rPr>
          <w:rFonts w:ascii="Arial" w:cs="Arial" w:eastAsia="Arial" w:hAnsi="Arial"/>
          <w:sz w:val="18"/>
          <w:szCs w:val="18"/>
          <w:color w:val="auto"/>
        </w:rPr>
        <w:t>decreased $6.9 million from 2018 primarily due to higher pre-tax income. We expect our annual effective tax rate in 2019 to be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lower income tax benefit than in 2018 primarily due to higher pre-tax income.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60" w:type="dxa"/>
            <w:vAlign w:val="bottom"/>
            <w:gridSpan w:val="2"/>
          </w:tcPr>
          <w:p>
            <w:pPr>
              <w:spacing w:after="0"/>
              <w:rPr>
                <w:sz w:val="20"/>
                <w:szCs w:val="20"/>
                <w:color w:val="auto"/>
              </w:rPr>
            </w:pPr>
            <w:r>
              <w:rPr>
                <w:rFonts w:ascii="Arial" w:cs="Arial" w:eastAsia="Arial" w:hAnsi="Arial"/>
                <w:sz w:val="18"/>
                <w:szCs w:val="18"/>
                <w:b w:val="1"/>
                <w:bCs w:val="1"/>
                <w:color w:val="auto"/>
              </w:rPr>
              <w:t>ALLETE Clean Energy</w:t>
            </w:r>
          </w:p>
        </w:tc>
        <w:tc>
          <w:tcPr>
            <w:tcW w:w="39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59"/>
        </w:trPr>
        <w:tc>
          <w:tcPr>
            <w:tcW w:w="420" w:type="dxa"/>
            <w:vAlign w:val="bottom"/>
          </w:tcPr>
          <w:p>
            <w:pPr>
              <w:spacing w:after="0"/>
              <w:rPr>
                <w:sz w:val="24"/>
                <w:szCs w:val="24"/>
                <w:color w:val="auto"/>
              </w:rPr>
            </w:pPr>
          </w:p>
        </w:tc>
        <w:tc>
          <w:tcPr>
            <w:tcW w:w="6040" w:type="dxa"/>
            <w:vAlign w:val="bottom"/>
          </w:tcPr>
          <w:p>
            <w:pPr>
              <w:ind w:left="20"/>
              <w:spacing w:after="0"/>
              <w:rPr>
                <w:sz w:val="20"/>
                <w:szCs w:val="20"/>
                <w:color w:val="auto"/>
              </w:rPr>
            </w:pPr>
            <w:r>
              <w:rPr>
                <w:rFonts w:ascii="Arial" w:cs="Arial" w:eastAsia="Arial" w:hAnsi="Arial"/>
                <w:sz w:val="18"/>
                <w:szCs w:val="18"/>
                <w:b w:val="1"/>
                <w:bCs w:val="1"/>
                <w:color w:val="auto"/>
              </w:rPr>
              <w:t>Nine Months Ended September 30,</w:t>
            </w:r>
          </w:p>
        </w:tc>
        <w:tc>
          <w:tcPr>
            <w:tcW w:w="3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000" w:type="dxa"/>
            <w:vAlign w:val="bottom"/>
          </w:tcPr>
          <w:p>
            <w:pPr>
              <w:jc w:val="right"/>
              <w:ind w:right="130"/>
              <w:spacing w:after="0"/>
              <w:rPr>
                <w:sz w:val="20"/>
                <w:szCs w:val="20"/>
                <w:color w:val="auto"/>
              </w:rPr>
            </w:pPr>
            <w:r>
              <w:rPr>
                <w:rFonts w:ascii="Arial" w:cs="Arial" w:eastAsia="Arial" w:hAnsi="Arial"/>
                <w:sz w:val="18"/>
                <w:szCs w:val="18"/>
                <w:b w:val="1"/>
                <w:bCs w:val="1"/>
                <w:color w:val="auto"/>
              </w:rPr>
              <w:t>2018</w:t>
            </w:r>
          </w:p>
        </w:tc>
      </w:tr>
      <w:tr>
        <w:trPr>
          <w:trHeight w:val="27"/>
        </w:trPr>
        <w:tc>
          <w:tcPr>
            <w:tcW w:w="420" w:type="dxa"/>
            <w:vAlign w:val="bottom"/>
          </w:tcPr>
          <w:p>
            <w:pPr>
              <w:spacing w:after="0"/>
              <w:rPr>
                <w:sz w:val="2"/>
                <w:szCs w:val="2"/>
                <w:color w:val="auto"/>
              </w:rPr>
            </w:pPr>
          </w:p>
        </w:tc>
        <w:tc>
          <w:tcPr>
            <w:tcW w:w="6040" w:type="dxa"/>
            <w:vAlign w:val="bottom"/>
            <w:tcBorders>
              <w:bottom w:val="single" w:sz="8" w:color="auto"/>
            </w:tcBorders>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420" w:type="dxa"/>
            <w:vAlign w:val="bottom"/>
          </w:tcPr>
          <w:p>
            <w:pPr>
              <w:spacing w:after="0"/>
              <w:rPr>
                <w:sz w:val="20"/>
                <w:szCs w:val="20"/>
                <w:color w:val="auto"/>
              </w:rPr>
            </w:pPr>
          </w:p>
        </w:tc>
        <w:tc>
          <w:tcPr>
            <w:tcW w:w="604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39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
        </w:trPr>
        <w:tc>
          <w:tcPr>
            <w:tcW w:w="4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20" w:type="dxa"/>
            <w:vAlign w:val="bottom"/>
          </w:tcPr>
          <w:p>
            <w:pPr>
              <w:spacing w:after="0"/>
              <w:rPr>
                <w:sz w:val="21"/>
                <w:szCs w:val="21"/>
                <w:color w:val="auto"/>
              </w:rPr>
            </w:pPr>
          </w:p>
        </w:tc>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39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$43.3</w:t>
            </w:r>
          </w:p>
        </w:tc>
        <w:tc>
          <w:tcPr>
            <w:tcW w:w="10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$57.9</w:t>
            </w:r>
          </w:p>
        </w:tc>
      </w:tr>
      <w:tr>
        <w:trPr>
          <w:trHeight w:val="243"/>
        </w:trPr>
        <w:tc>
          <w:tcPr>
            <w:tcW w:w="420" w:type="dxa"/>
            <w:vAlign w:val="bottom"/>
          </w:tcPr>
          <w:p>
            <w:pPr>
              <w:spacing w:after="0"/>
              <w:rPr>
                <w:sz w:val="21"/>
                <w:szCs w:val="21"/>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Operating and Maintenance</w:t>
            </w:r>
          </w:p>
        </w:tc>
        <w:tc>
          <w:tcPr>
            <w:tcW w:w="3960" w:type="dxa"/>
            <w:vAlign w:val="bottom"/>
          </w:tcPr>
          <w:p>
            <w:pPr>
              <w:jc w:val="right"/>
              <w:ind w:right="350"/>
              <w:spacing w:after="0"/>
              <w:rPr>
                <w:sz w:val="20"/>
                <w:szCs w:val="20"/>
                <w:color w:val="auto"/>
              </w:rPr>
            </w:pPr>
            <w:r>
              <w:rPr>
                <w:rFonts w:ascii="Arial" w:cs="Arial" w:eastAsia="Arial" w:hAnsi="Arial"/>
                <w:sz w:val="18"/>
                <w:szCs w:val="18"/>
                <w:color w:val="auto"/>
              </w:rPr>
              <w:t>22.7</w:t>
            </w: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22.6</w:t>
            </w:r>
          </w:p>
        </w:tc>
      </w:tr>
      <w:tr>
        <w:trPr>
          <w:trHeight w:val="27"/>
        </w:trPr>
        <w:tc>
          <w:tcPr>
            <w:tcW w:w="4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20" w:type="dxa"/>
            <w:vAlign w:val="bottom"/>
          </w:tcPr>
          <w:p>
            <w:pPr>
              <w:spacing w:after="0"/>
              <w:rPr>
                <w:sz w:val="21"/>
                <w:szCs w:val="21"/>
                <w:color w:val="auto"/>
              </w:rPr>
            </w:pPr>
          </w:p>
        </w:tc>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9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19.8</w:t>
            </w:r>
          </w:p>
        </w:tc>
        <w:tc>
          <w:tcPr>
            <w:tcW w:w="10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18.2</w:t>
            </w:r>
          </w:p>
        </w:tc>
      </w:tr>
      <w:tr>
        <w:trPr>
          <w:trHeight w:val="243"/>
        </w:trPr>
        <w:tc>
          <w:tcPr>
            <w:tcW w:w="420" w:type="dxa"/>
            <w:vAlign w:val="bottom"/>
          </w:tcPr>
          <w:p>
            <w:pPr>
              <w:spacing w:after="0"/>
              <w:rPr>
                <w:sz w:val="21"/>
                <w:szCs w:val="21"/>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Taxes and Other</w:t>
            </w:r>
          </w:p>
        </w:tc>
        <w:tc>
          <w:tcPr>
            <w:tcW w:w="3960" w:type="dxa"/>
            <w:vAlign w:val="bottom"/>
          </w:tcPr>
          <w:p>
            <w:pPr>
              <w:jc w:val="right"/>
              <w:ind w:right="350"/>
              <w:spacing w:after="0"/>
              <w:rPr>
                <w:sz w:val="20"/>
                <w:szCs w:val="20"/>
                <w:color w:val="auto"/>
              </w:rPr>
            </w:pPr>
            <w:r>
              <w:rPr>
                <w:rFonts w:ascii="Arial" w:cs="Arial" w:eastAsia="Arial" w:hAnsi="Arial"/>
                <w:sz w:val="18"/>
                <w:szCs w:val="18"/>
                <w:color w:val="auto"/>
              </w:rPr>
              <w:t>1.6</w:t>
            </w: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1.7</w:t>
            </w:r>
          </w:p>
        </w:tc>
      </w:tr>
      <w:tr>
        <w:trPr>
          <w:trHeight w:val="27"/>
        </w:trPr>
        <w:tc>
          <w:tcPr>
            <w:tcW w:w="420" w:type="dxa"/>
            <w:vAlign w:val="bottom"/>
          </w:tcPr>
          <w:p>
            <w:pPr>
              <w:spacing w:after="0"/>
              <w:rPr>
                <w:sz w:val="2"/>
                <w:szCs w:val="2"/>
                <w:color w:val="auto"/>
              </w:rPr>
            </w:pPr>
          </w:p>
        </w:tc>
        <w:tc>
          <w:tcPr>
            <w:tcW w:w="6040" w:type="dxa"/>
            <w:vAlign w:val="bottom"/>
            <w:tcBorders>
              <w:bottom w:val="single" w:sz="8" w:color="auto"/>
            </w:tcBorders>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420" w:type="dxa"/>
            <w:vAlign w:val="bottom"/>
          </w:tcPr>
          <w:p>
            <w:pPr>
              <w:spacing w:after="0"/>
              <w:rPr>
                <w:sz w:val="21"/>
                <w:szCs w:val="21"/>
                <w:color w:val="auto"/>
              </w:rPr>
            </w:pPr>
          </w:p>
        </w:tc>
        <w:tc>
          <w:tcPr>
            <w:tcW w:w="60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Operating Income (Loss)</w:t>
            </w:r>
          </w:p>
        </w:tc>
        <w:tc>
          <w:tcPr>
            <w:tcW w:w="3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(0.8)</w:t>
            </w:r>
          </w:p>
        </w:tc>
        <w:tc>
          <w:tcPr>
            <w:tcW w:w="10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15.4</w:t>
            </w:r>
          </w:p>
        </w:tc>
      </w:tr>
      <w:tr>
        <w:trPr>
          <w:trHeight w:val="243"/>
        </w:trPr>
        <w:tc>
          <w:tcPr>
            <w:tcW w:w="420" w:type="dxa"/>
            <w:vAlign w:val="bottom"/>
          </w:tcPr>
          <w:p>
            <w:pPr>
              <w:spacing w:after="0"/>
              <w:rPr>
                <w:sz w:val="21"/>
                <w:szCs w:val="21"/>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960" w:type="dxa"/>
            <w:vAlign w:val="bottom"/>
          </w:tcPr>
          <w:p>
            <w:pPr>
              <w:jc w:val="right"/>
              <w:ind w:right="290"/>
              <w:spacing w:after="0"/>
              <w:rPr>
                <w:sz w:val="20"/>
                <w:szCs w:val="20"/>
                <w:color w:val="auto"/>
              </w:rPr>
            </w:pPr>
            <w:r>
              <w:rPr>
                <w:rFonts w:ascii="Arial" w:cs="Arial" w:eastAsia="Arial" w:hAnsi="Arial"/>
                <w:sz w:val="18"/>
                <w:szCs w:val="18"/>
                <w:color w:val="auto"/>
              </w:rPr>
              <w:t>(2.3)</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(2.8)</w:t>
            </w:r>
          </w:p>
        </w:tc>
      </w:tr>
      <w:tr>
        <w:trPr>
          <w:trHeight w:val="27"/>
        </w:trPr>
        <w:tc>
          <w:tcPr>
            <w:tcW w:w="4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5"/>
        </w:trPr>
        <w:tc>
          <w:tcPr>
            <w:tcW w:w="420" w:type="dxa"/>
            <w:vAlign w:val="bottom"/>
          </w:tcPr>
          <w:p>
            <w:pPr>
              <w:spacing w:after="0"/>
              <w:rPr>
                <w:sz w:val="23"/>
                <w:szCs w:val="23"/>
                <w:color w:val="auto"/>
              </w:rPr>
            </w:pPr>
          </w:p>
        </w:tc>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39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2.1</w:t>
            </w:r>
          </w:p>
        </w:tc>
        <w:tc>
          <w:tcPr>
            <w:tcW w:w="10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0.2</w:t>
            </w:r>
          </w:p>
        </w:tc>
      </w:tr>
      <w:tr>
        <w:trPr>
          <w:trHeight w:val="237"/>
        </w:trPr>
        <w:tc>
          <w:tcPr>
            <w:tcW w:w="420" w:type="dxa"/>
            <w:vAlign w:val="bottom"/>
          </w:tcPr>
          <w:p>
            <w:pPr>
              <w:spacing w:after="0"/>
              <w:rPr>
                <w:sz w:val="20"/>
                <w:szCs w:val="20"/>
                <w:color w:val="auto"/>
              </w:rPr>
            </w:pPr>
          </w:p>
        </w:tc>
        <w:tc>
          <w:tcPr>
            <w:tcW w:w="604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rPr>
              <w:t>Income (Loss) Before Income Taxes</w:t>
            </w:r>
          </w:p>
        </w:tc>
        <w:tc>
          <w:tcPr>
            <w:tcW w:w="39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(1.0)</w:t>
            </w:r>
          </w:p>
        </w:tc>
        <w:tc>
          <w:tcPr>
            <w:tcW w:w="10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12.8</w:t>
            </w:r>
          </w:p>
        </w:tc>
      </w:tr>
      <w:tr>
        <w:trPr>
          <w:trHeight w:val="27"/>
        </w:trPr>
        <w:tc>
          <w:tcPr>
            <w:tcW w:w="4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5"/>
        </w:trPr>
        <w:tc>
          <w:tcPr>
            <w:tcW w:w="420" w:type="dxa"/>
            <w:vAlign w:val="bottom"/>
          </w:tcPr>
          <w:p>
            <w:pPr>
              <w:spacing w:after="0"/>
              <w:rPr>
                <w:sz w:val="23"/>
                <w:szCs w:val="23"/>
                <w:color w:val="auto"/>
              </w:rPr>
            </w:pPr>
          </w:p>
        </w:tc>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3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(7.5)</w:t>
            </w: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w:t>
            </w:r>
          </w:p>
        </w:tc>
      </w:tr>
      <w:tr>
        <w:trPr>
          <w:trHeight w:val="237"/>
        </w:trPr>
        <w:tc>
          <w:tcPr>
            <w:tcW w:w="420" w:type="dxa"/>
            <w:vAlign w:val="bottom"/>
          </w:tcPr>
          <w:p>
            <w:pPr>
              <w:spacing w:after="0"/>
              <w:rPr>
                <w:sz w:val="20"/>
                <w:szCs w:val="20"/>
                <w:color w:val="auto"/>
              </w:rPr>
            </w:pPr>
          </w:p>
        </w:tc>
        <w:tc>
          <w:tcPr>
            <w:tcW w:w="604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rPr>
              <w:t>Net Income Attributable to ALLETE</w:t>
            </w:r>
          </w:p>
        </w:tc>
        <w:tc>
          <w:tcPr>
            <w:tcW w:w="39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$6.5</w:t>
            </w:r>
          </w:p>
        </w:tc>
        <w:tc>
          <w:tcPr>
            <w:tcW w:w="10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$15.9</w:t>
            </w:r>
          </w:p>
        </w:tc>
      </w:tr>
      <w:tr>
        <w:trPr>
          <w:trHeight w:val="27"/>
        </w:trPr>
        <w:tc>
          <w:tcPr>
            <w:tcW w:w="420" w:type="dxa"/>
            <w:vAlign w:val="bottom"/>
          </w:tcPr>
          <w:p>
            <w:pPr>
              <w:spacing w:after="0"/>
              <w:rPr>
                <w:sz w:val="2"/>
                <w:szCs w:val="2"/>
                <w:color w:val="auto"/>
              </w:rPr>
            </w:pPr>
          </w:p>
        </w:tc>
        <w:tc>
          <w:tcPr>
            <w:tcW w:w="6040" w:type="dxa"/>
            <w:vAlign w:val="bottom"/>
            <w:tcBorders>
              <w:bottom w:val="single" w:sz="8" w:color="auto"/>
            </w:tcBorders>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decreased $14.6 million, or 25 percent, from 2018 primarily due to lower non-cash amortization related to the expiration of power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sales agreements of $9.2 million as well as lower kWh sales resulting from lower wind resources and availability.</w:t>
      </w:r>
    </w:p>
    <w:p>
      <w:pPr>
        <w:spacing w:after="0" w:line="193" w:lineRule="exact"/>
        <w:rPr>
          <w:sz w:val="20"/>
          <w:szCs w:val="20"/>
          <w:color w:val="auto"/>
        </w:rPr>
      </w:pPr>
    </w:p>
    <w:tbl>
      <w:tblPr>
        <w:tblLayout w:type="fixed"/>
        <w:tblInd w:w="42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96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w w:val="91"/>
              </w:rPr>
              <w:t>Nine Months Ended September 30,</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840" w:type="dxa"/>
            <w:vAlign w:val="bottom"/>
            <w:tcBorders>
              <w:bottom w:val="single" w:sz="8" w:color="auto"/>
            </w:tcBorders>
            <w:gridSpan w:val="2"/>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20" w:type="dxa"/>
            <w:vAlign w:val="bottom"/>
          </w:tcPr>
          <w:p>
            <w:pPr>
              <w:spacing w:after="0"/>
              <w:rPr>
                <w:sz w:val="20"/>
                <w:szCs w:val="20"/>
                <w:color w:val="auto"/>
              </w:rPr>
            </w:pPr>
          </w:p>
        </w:tc>
        <w:tc>
          <w:tcPr>
            <w:tcW w:w="2840" w:type="dxa"/>
            <w:vAlign w:val="bottom"/>
            <w:gridSpan w:val="2"/>
          </w:tcPr>
          <w:p>
            <w:pPr>
              <w:jc w:val="right"/>
              <w:ind w:right="1230"/>
              <w:spacing w:after="0"/>
              <w:rPr>
                <w:sz w:val="20"/>
                <w:szCs w:val="20"/>
                <w:color w:val="auto"/>
              </w:rPr>
            </w:pPr>
            <w:r>
              <w:rPr>
                <w:rFonts w:ascii="Arial" w:cs="Arial" w:eastAsia="Arial" w:hAnsi="Arial"/>
                <w:sz w:val="18"/>
                <w:szCs w:val="18"/>
                <w:b w:val="1"/>
                <w:bCs w:val="1"/>
                <w:color w:val="auto"/>
              </w:rPr>
              <w:t>2019</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Production and Operating Revenue</w:t>
            </w:r>
          </w:p>
        </w:tc>
        <w:tc>
          <w:tcPr>
            <w:tcW w:w="1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20" w:type="dxa"/>
            <w:vAlign w:val="bottom"/>
            <w:vMerge w:val="continue"/>
          </w:tcPr>
          <w:p>
            <w:pPr>
              <w:spacing w:after="0"/>
              <w:rPr>
                <w:sz w:val="20"/>
                <w:szCs w:val="20"/>
                <w:color w:val="auto"/>
              </w:rPr>
            </w:pPr>
          </w:p>
        </w:tc>
        <w:tc>
          <w:tcPr>
            <w:tcW w:w="1260" w:type="dxa"/>
            <w:vAlign w:val="bottom"/>
          </w:tcPr>
          <w:p>
            <w:pPr>
              <w:jc w:val="right"/>
              <w:ind w:right="310"/>
              <w:spacing w:after="0"/>
              <w:rPr>
                <w:sz w:val="20"/>
                <w:szCs w:val="20"/>
                <w:color w:val="auto"/>
              </w:rPr>
            </w:pPr>
            <w:r>
              <w:rPr>
                <w:rFonts w:ascii="Arial" w:cs="Arial" w:eastAsia="Arial" w:hAnsi="Arial"/>
                <w:sz w:val="18"/>
                <w:szCs w:val="18"/>
                <w:b w:val="1"/>
                <w:bCs w:val="1"/>
                <w:color w:val="auto"/>
              </w:rPr>
              <w:t>kWh</w:t>
            </w:r>
          </w:p>
        </w:tc>
        <w:tc>
          <w:tcPr>
            <w:tcW w:w="1580" w:type="dxa"/>
            <w:vAlign w:val="bottom"/>
          </w:tcPr>
          <w:p>
            <w:pPr>
              <w:jc w:val="right"/>
              <w:ind w:right="430"/>
              <w:spacing w:after="0"/>
              <w:rPr>
                <w:sz w:val="20"/>
                <w:szCs w:val="20"/>
                <w:color w:val="auto"/>
              </w:rPr>
            </w:pPr>
            <w:r>
              <w:rPr>
                <w:rFonts w:ascii="Arial" w:cs="Arial" w:eastAsia="Arial" w:hAnsi="Arial"/>
                <w:sz w:val="18"/>
                <w:szCs w:val="18"/>
                <w:b w:val="1"/>
                <w:bCs w:val="1"/>
                <w:color w:val="auto"/>
              </w:rPr>
              <w:t>Revenue</w:t>
            </w:r>
          </w:p>
        </w:tc>
        <w:tc>
          <w:tcPr>
            <w:tcW w:w="1380" w:type="dxa"/>
            <w:vAlign w:val="bottom"/>
          </w:tcPr>
          <w:p>
            <w:pPr>
              <w:jc w:val="right"/>
              <w:ind w:right="630"/>
              <w:spacing w:after="0"/>
              <w:rPr>
                <w:sz w:val="20"/>
                <w:szCs w:val="20"/>
                <w:color w:val="auto"/>
              </w:rPr>
            </w:pPr>
            <w:r>
              <w:rPr>
                <w:rFonts w:ascii="Arial" w:cs="Arial" w:eastAsia="Arial" w:hAnsi="Arial"/>
                <w:sz w:val="18"/>
                <w:szCs w:val="18"/>
                <w:b w:val="1"/>
                <w:bCs w:val="1"/>
                <w:color w:val="auto"/>
              </w:rPr>
              <w:t>kWh</w:t>
            </w:r>
          </w:p>
        </w:tc>
        <w:tc>
          <w:tcPr>
            <w:tcW w:w="1060" w:type="dxa"/>
            <w:vAlign w:val="bottom"/>
          </w:tcPr>
          <w:p>
            <w:pPr>
              <w:jc w:val="right"/>
              <w:ind w:right="230"/>
              <w:spacing w:after="0"/>
              <w:rPr>
                <w:sz w:val="20"/>
                <w:szCs w:val="20"/>
                <w:color w:val="auto"/>
              </w:rPr>
            </w:pPr>
            <w:r>
              <w:rPr>
                <w:rFonts w:ascii="Arial" w:cs="Arial" w:eastAsia="Arial" w:hAnsi="Arial"/>
                <w:sz w:val="18"/>
                <w:szCs w:val="18"/>
                <w:b w:val="1"/>
                <w:bCs w:val="1"/>
                <w:color w:val="auto"/>
                <w:w w:val="95"/>
              </w:rPr>
              <w:t>Revenue</w:t>
            </w:r>
          </w:p>
        </w:tc>
        <w:tc>
          <w:tcPr>
            <w:tcW w:w="0" w:type="dxa"/>
            <w:vAlign w:val="bottom"/>
          </w:tcPr>
          <w:p>
            <w:pPr>
              <w:spacing w:after="0"/>
              <w:rPr>
                <w:sz w:val="1"/>
                <w:szCs w:val="1"/>
                <w:color w:val="auto"/>
              </w:rPr>
            </w:pPr>
          </w:p>
        </w:tc>
      </w:tr>
      <w:tr>
        <w:trPr>
          <w:trHeight w:val="27"/>
        </w:trPr>
        <w:tc>
          <w:tcPr>
            <w:tcW w:w="57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2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Wind Energy Regions</w:t>
            </w:r>
          </w:p>
        </w:tc>
        <w:tc>
          <w:tcPr>
            <w:tcW w:w="1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160"/>
              <w:spacing w:after="0"/>
              <w:rPr>
                <w:sz w:val="20"/>
                <w:szCs w:val="20"/>
                <w:color w:val="auto"/>
              </w:rPr>
            </w:pPr>
            <w:r>
              <w:rPr>
                <w:rFonts w:ascii="Arial" w:cs="Arial" w:eastAsia="Arial" w:hAnsi="Arial"/>
                <w:sz w:val="18"/>
                <w:szCs w:val="18"/>
                <w:color w:val="auto"/>
              </w:rPr>
              <w:t>East</w:t>
            </w:r>
          </w:p>
        </w:tc>
        <w:tc>
          <w:tcPr>
            <w:tcW w:w="1260" w:type="dxa"/>
            <w:vAlign w:val="bottom"/>
          </w:tcPr>
          <w:p>
            <w:pPr>
              <w:jc w:val="right"/>
              <w:spacing w:after="0"/>
              <w:rPr>
                <w:sz w:val="20"/>
                <w:szCs w:val="20"/>
                <w:color w:val="auto"/>
              </w:rPr>
            </w:pPr>
            <w:r>
              <w:rPr>
                <w:rFonts w:ascii="Arial" w:cs="Arial" w:eastAsia="Arial" w:hAnsi="Arial"/>
                <w:sz w:val="18"/>
                <w:szCs w:val="18"/>
                <w:color w:val="auto"/>
              </w:rPr>
              <w:t>173.0</w:t>
            </w:r>
          </w:p>
        </w:tc>
        <w:tc>
          <w:tcPr>
            <w:tcW w:w="1580" w:type="dxa"/>
            <w:vAlign w:val="bottom"/>
          </w:tcPr>
          <w:p>
            <w:pPr>
              <w:jc w:val="right"/>
              <w:ind w:right="190"/>
              <w:spacing w:after="0"/>
              <w:rPr>
                <w:sz w:val="20"/>
                <w:szCs w:val="20"/>
                <w:color w:val="auto"/>
              </w:rPr>
            </w:pPr>
            <w:r>
              <w:rPr>
                <w:rFonts w:ascii="Arial" w:cs="Arial" w:eastAsia="Arial" w:hAnsi="Arial"/>
                <w:sz w:val="18"/>
                <w:szCs w:val="18"/>
                <w:color w:val="auto"/>
              </w:rPr>
              <w:t>$15.7</w:t>
            </w:r>
          </w:p>
        </w:tc>
        <w:tc>
          <w:tcPr>
            <w:tcW w:w="1380" w:type="dxa"/>
            <w:vAlign w:val="bottom"/>
          </w:tcPr>
          <w:p>
            <w:pPr>
              <w:jc w:val="right"/>
              <w:ind w:right="270"/>
              <w:spacing w:after="0"/>
              <w:rPr>
                <w:sz w:val="20"/>
                <w:szCs w:val="20"/>
                <w:color w:val="auto"/>
              </w:rPr>
            </w:pPr>
            <w:r>
              <w:rPr>
                <w:rFonts w:ascii="Arial" w:cs="Arial" w:eastAsia="Arial" w:hAnsi="Arial"/>
                <w:sz w:val="18"/>
                <w:szCs w:val="18"/>
                <w:color w:val="auto"/>
              </w:rPr>
              <w:t>185.6</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Midwest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549.4</w:t>
            </w:r>
          </w:p>
        </w:tc>
        <w:tc>
          <w:tcPr>
            <w:tcW w:w="15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23.5</w:t>
            </w:r>
          </w:p>
        </w:tc>
        <w:tc>
          <w:tcPr>
            <w:tcW w:w="13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580.6</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43"/>
        </w:trPr>
        <w:tc>
          <w:tcPr>
            <w:tcW w:w="5720" w:type="dxa"/>
            <w:vAlign w:val="bottom"/>
          </w:tcPr>
          <w:p>
            <w:pPr>
              <w:ind w:left="160"/>
              <w:spacing w:after="0"/>
              <w:rPr>
                <w:sz w:val="20"/>
                <w:szCs w:val="20"/>
                <w:color w:val="auto"/>
              </w:rPr>
            </w:pPr>
            <w:r>
              <w:rPr>
                <w:rFonts w:ascii="Arial" w:cs="Arial" w:eastAsia="Arial" w:hAnsi="Arial"/>
                <w:sz w:val="18"/>
                <w:szCs w:val="18"/>
                <w:color w:val="auto"/>
              </w:rPr>
              <w:t>West</w:t>
            </w:r>
          </w:p>
        </w:tc>
        <w:tc>
          <w:tcPr>
            <w:tcW w:w="1260" w:type="dxa"/>
            <w:vAlign w:val="bottom"/>
          </w:tcPr>
          <w:p>
            <w:pPr>
              <w:jc w:val="right"/>
              <w:spacing w:after="0"/>
              <w:rPr>
                <w:sz w:val="20"/>
                <w:szCs w:val="20"/>
                <w:color w:val="auto"/>
              </w:rPr>
            </w:pPr>
            <w:r>
              <w:rPr>
                <w:rFonts w:ascii="Arial" w:cs="Arial" w:eastAsia="Arial" w:hAnsi="Arial"/>
                <w:sz w:val="18"/>
                <w:szCs w:val="18"/>
                <w:color w:val="auto"/>
              </w:rPr>
              <w:t>51.4</w:t>
            </w:r>
          </w:p>
        </w:tc>
        <w:tc>
          <w:tcPr>
            <w:tcW w:w="1580" w:type="dxa"/>
            <w:vAlign w:val="bottom"/>
          </w:tcPr>
          <w:p>
            <w:pPr>
              <w:jc w:val="right"/>
              <w:ind w:right="190"/>
              <w:spacing w:after="0"/>
              <w:rPr>
                <w:sz w:val="20"/>
                <w:szCs w:val="20"/>
                <w:color w:val="auto"/>
              </w:rPr>
            </w:pPr>
            <w:r>
              <w:rPr>
                <w:rFonts w:ascii="Arial" w:cs="Arial" w:eastAsia="Arial" w:hAnsi="Arial"/>
                <w:sz w:val="18"/>
                <w:szCs w:val="18"/>
                <w:color w:val="auto"/>
              </w:rPr>
              <w:t>4.1</w:t>
            </w:r>
          </w:p>
        </w:tc>
        <w:tc>
          <w:tcPr>
            <w:tcW w:w="1380" w:type="dxa"/>
            <w:vAlign w:val="bottom"/>
          </w:tcPr>
          <w:p>
            <w:pPr>
              <w:jc w:val="right"/>
              <w:ind w:right="270"/>
              <w:spacing w:after="0"/>
              <w:rPr>
                <w:sz w:val="20"/>
                <w:szCs w:val="20"/>
                <w:color w:val="auto"/>
              </w:rPr>
            </w:pPr>
            <w:r>
              <w:rPr>
                <w:rFonts w:ascii="Arial" w:cs="Arial" w:eastAsia="Arial" w:hAnsi="Arial"/>
                <w:sz w:val="18"/>
                <w:szCs w:val="18"/>
                <w:color w:val="auto"/>
              </w:rPr>
              <w:t>75.3</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57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Production and Operating Revenue</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773.8</w:t>
            </w:r>
          </w:p>
        </w:tc>
        <w:tc>
          <w:tcPr>
            <w:tcW w:w="15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$43.3</w:t>
            </w:r>
          </w:p>
        </w:tc>
        <w:tc>
          <w:tcPr>
            <w:tcW w:w="13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841.5</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0"/>
        </w:trPr>
        <w:tc>
          <w:tcPr>
            <w:tcW w:w="57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expense increased $1.6 million, or 9 percent, from 2018 primarily due to additional property, plant and equipment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Other Income </w:t>
      </w:r>
      <w:r>
        <w:rPr>
          <w:rFonts w:ascii="Arial" w:cs="Arial" w:eastAsia="Arial" w:hAnsi="Arial"/>
          <w:sz w:val="18"/>
          <w:szCs w:val="18"/>
          <w:color w:val="auto"/>
        </w:rPr>
        <w:t>increased $1.9 million from 2018 reflecting various individually immaterial items.</w:t>
      </w:r>
    </w:p>
    <w:p>
      <w:pPr>
        <w:spacing w:after="0" w:line="225" w:lineRule="exact"/>
        <w:rPr>
          <w:sz w:val="20"/>
          <w:szCs w:val="20"/>
          <w:color w:val="auto"/>
        </w:rPr>
      </w:pPr>
    </w:p>
    <w:p>
      <w:pPr>
        <w:jc w:val="both"/>
        <w:ind w:left="340"/>
        <w:spacing w:after="0" w:line="312" w:lineRule="auto"/>
        <w:rPr>
          <w:sz w:val="20"/>
          <w:szCs w:val="20"/>
          <w:color w:val="auto"/>
        </w:rPr>
      </w:pPr>
      <w:r>
        <w:rPr>
          <w:rFonts w:ascii="Arial" w:cs="Arial" w:eastAsia="Arial" w:hAnsi="Arial"/>
          <w:sz w:val="16"/>
          <w:szCs w:val="16"/>
          <w:b w:val="1"/>
          <w:bCs w:val="1"/>
          <w:i w:val="1"/>
          <w:iCs w:val="1"/>
          <w:color w:val="auto"/>
        </w:rPr>
        <w:t xml:space="preserve">Income Tax Benefit </w:t>
      </w:r>
      <w:r>
        <w:rPr>
          <w:rFonts w:ascii="Arial" w:cs="Arial" w:eastAsia="Arial" w:hAnsi="Arial"/>
          <w:sz w:val="16"/>
          <w:szCs w:val="16"/>
          <w:color w:val="auto"/>
        </w:rPr>
        <w:t>increased $4.4 million from 2018 primarily due to additional production tax credits generated in 2019 and lower pre-tax income.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income tax benefit reflected production tax credits generated of $6.3 million in 2019 and $3.1 million in 2018. The income tax benefit in 2018 also reflected $2.7 million of production tax credits that resulted from the retrospective qualification of additional wind turbine generators in 2016 and 2017.</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2019 Form 10-Q</w:t>
      </w:r>
    </w:p>
    <w:p>
      <w:pPr>
        <w:sectPr>
          <w:pgSz w:w="11900" w:h="16838" w:orient="portrait"/>
          <w:cols w:equalWidth="0" w:num="1">
            <w:col w:w="11420"/>
          </w:cols>
          <w:pgMar w:left="240" w:top="1040" w:right="239" w:bottom="1440" w:gutter="0" w:footer="0" w:header="0"/>
        </w:sectPr>
      </w:pP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37</w:t>
      </w:r>
    </w:p>
    <w:p>
      <w:pPr>
        <w:sectPr>
          <w:pgSz w:w="11900" w:h="16838" w:orient="portrait"/>
          <w:cols w:equalWidth="0" w:num="1">
            <w:col w:w="11420"/>
          </w:cols>
          <w:pgMar w:left="240" w:top="1040" w:right="239" w:bottom="1440" w:gutter="0" w:footer="0" w:header="0"/>
          <w:type w:val="continuous"/>
        </w:sectPr>
      </w:pPr>
    </w:p>
    <w:bookmarkStart w:id="37" w:name="page38"/>
    <w:bookmarkEnd w:id="37"/>
    <w:tbl>
      <w:tblPr>
        <w:tblLayout w:type="fixed"/>
        <w:tblInd w:w="0" w:type="dxa"/>
        <w:tblCellMar>
          <w:top w:w="0" w:type="dxa"/>
          <w:left w:w="0" w:type="dxa"/>
          <w:bottom w:w="0" w:type="dxa"/>
          <w:right w:w="0" w:type="dxa"/>
        </w:tblCellMar>
      </w:tblPr>
      <w:tr>
        <w:trPr>
          <w:trHeight w:val="234"/>
        </w:trPr>
        <w:tc>
          <w:tcPr>
            <w:tcW w:w="8640" w:type="dxa"/>
            <w:vAlign w:val="bottom"/>
            <w:gridSpan w:val="2"/>
          </w:tcPr>
          <w:p>
            <w:pPr>
              <w:spacing w:after="0"/>
              <w:rPr>
                <w:sz w:val="20"/>
                <w:szCs w:val="20"/>
                <w:color w:val="auto"/>
              </w:rPr>
            </w:pPr>
            <w:r>
              <w:rPr>
                <w:rFonts w:ascii="Arial" w:cs="Arial" w:eastAsia="Arial" w:hAnsi="Arial"/>
                <w:sz w:val="18"/>
                <w:szCs w:val="18"/>
                <w:b w:val="1"/>
                <w:bCs w:val="1"/>
                <w:color w:val="auto"/>
              </w:rPr>
              <w:t>COMPARISON OF THE NINE MONTHS ENDED SEPTEMBER 30, 2019 AND 2018 (Continued)</w:t>
            </w:r>
          </w:p>
        </w:tc>
        <w:tc>
          <w:tcPr>
            <w:tcW w:w="19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32"/>
        </w:trPr>
        <w:tc>
          <w:tcPr>
            <w:tcW w:w="8640" w:type="dxa"/>
            <w:vAlign w:val="bottom"/>
            <w:gridSpan w:val="2"/>
          </w:tcPr>
          <w:p>
            <w:pPr>
              <w:spacing w:after="0"/>
              <w:rPr>
                <w:sz w:val="20"/>
                <w:szCs w:val="20"/>
                <w:color w:val="auto"/>
              </w:rPr>
            </w:pPr>
            <w:r>
              <w:rPr>
                <w:rFonts w:ascii="Arial" w:cs="Arial" w:eastAsia="Arial" w:hAnsi="Arial"/>
                <w:sz w:val="18"/>
                <w:szCs w:val="18"/>
                <w:b w:val="1"/>
                <w:bCs w:val="1"/>
                <w:color w:val="auto"/>
              </w:rPr>
              <w:t>U.S. Water Services</w:t>
            </w:r>
          </w:p>
        </w:tc>
        <w:tc>
          <w:tcPr>
            <w:tcW w:w="19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59"/>
        </w:trPr>
        <w:tc>
          <w:tcPr>
            <w:tcW w:w="720" w:type="dxa"/>
            <w:vAlign w:val="bottom"/>
          </w:tcPr>
          <w:p>
            <w:pPr>
              <w:spacing w:after="0"/>
              <w:rPr>
                <w:sz w:val="24"/>
                <w:szCs w:val="24"/>
                <w:color w:val="auto"/>
              </w:rPr>
            </w:pPr>
          </w:p>
        </w:tc>
        <w:tc>
          <w:tcPr>
            <w:tcW w:w="7920" w:type="dxa"/>
            <w:vAlign w:val="bottom"/>
          </w:tcPr>
          <w:p>
            <w:pPr>
              <w:ind w:left="40"/>
              <w:spacing w:after="0"/>
              <w:rPr>
                <w:sz w:val="20"/>
                <w:szCs w:val="20"/>
                <w:color w:val="auto"/>
              </w:rPr>
            </w:pPr>
            <w:r>
              <w:rPr>
                <w:rFonts w:ascii="Arial" w:cs="Arial" w:eastAsia="Arial" w:hAnsi="Arial"/>
                <w:sz w:val="18"/>
                <w:szCs w:val="18"/>
                <w:b w:val="1"/>
                <w:bCs w:val="1"/>
                <w:color w:val="auto"/>
              </w:rPr>
              <w:t>Nine Months Ended September 30,</w:t>
            </w:r>
          </w:p>
        </w:tc>
        <w:tc>
          <w:tcPr>
            <w:tcW w:w="1900" w:type="dxa"/>
            <w:vAlign w:val="bottom"/>
          </w:tcPr>
          <w:p>
            <w:pPr>
              <w:jc w:val="right"/>
              <w:ind w:right="130"/>
              <w:spacing w:after="0"/>
              <w:rPr>
                <w:sz w:val="20"/>
                <w:szCs w:val="20"/>
                <w:color w:val="auto"/>
              </w:rPr>
            </w:pPr>
            <w:r>
              <w:rPr>
                <w:rFonts w:ascii="Arial" w:cs="Arial" w:eastAsia="Arial" w:hAnsi="Arial"/>
                <w:sz w:val="18"/>
                <w:szCs w:val="18"/>
                <w:b w:val="1"/>
                <w:bCs w:val="1"/>
                <w:color w:val="auto"/>
              </w:rPr>
              <w:t>2019</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r>
      <w:tr>
        <w:trPr>
          <w:trHeight w:val="27"/>
        </w:trPr>
        <w:tc>
          <w:tcPr>
            <w:tcW w:w="720" w:type="dxa"/>
            <w:vAlign w:val="bottom"/>
          </w:tcPr>
          <w:p>
            <w:pPr>
              <w:spacing w:after="0"/>
              <w:rPr>
                <w:sz w:val="2"/>
                <w:szCs w:val="2"/>
                <w:color w:val="auto"/>
              </w:rPr>
            </w:pPr>
          </w:p>
        </w:tc>
        <w:tc>
          <w:tcPr>
            <w:tcW w:w="79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720" w:type="dxa"/>
            <w:vAlign w:val="bottom"/>
          </w:tcPr>
          <w:p>
            <w:pPr>
              <w:spacing w:after="0"/>
              <w:rPr>
                <w:sz w:val="20"/>
                <w:szCs w:val="20"/>
                <w:color w:val="auto"/>
              </w:rPr>
            </w:pPr>
          </w:p>
        </w:tc>
        <w:tc>
          <w:tcPr>
            <w:tcW w:w="79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9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720" w:type="dxa"/>
            <w:vAlign w:val="bottom"/>
          </w:tcPr>
          <w:p>
            <w:pPr>
              <w:spacing w:after="0"/>
              <w:rPr>
                <w:sz w:val="2"/>
                <w:szCs w:val="2"/>
                <w:color w:val="auto"/>
              </w:rPr>
            </w:pPr>
          </w:p>
        </w:tc>
        <w:tc>
          <w:tcPr>
            <w:tcW w:w="79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20" w:type="dxa"/>
            <w:vAlign w:val="bottom"/>
          </w:tcPr>
          <w:p>
            <w:pPr>
              <w:spacing w:after="0"/>
              <w:rPr>
                <w:sz w:val="21"/>
                <w:szCs w:val="21"/>
                <w:color w:val="auto"/>
              </w:rPr>
            </w:pPr>
          </w:p>
        </w:tc>
        <w:tc>
          <w:tcPr>
            <w:tcW w:w="7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w:t>
            </w:r>
          </w:p>
        </w:tc>
        <w:tc>
          <w:tcPr>
            <w:tcW w:w="19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$33.4</w:t>
            </w: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$124.7</w:t>
            </w:r>
          </w:p>
        </w:tc>
      </w:tr>
      <w:tr>
        <w:trPr>
          <w:trHeight w:val="243"/>
        </w:trPr>
        <w:tc>
          <w:tcPr>
            <w:tcW w:w="720" w:type="dxa"/>
            <w:vAlign w:val="bottom"/>
          </w:tcPr>
          <w:p>
            <w:pPr>
              <w:spacing w:after="0"/>
              <w:rPr>
                <w:sz w:val="21"/>
                <w:szCs w:val="21"/>
                <w:color w:val="auto"/>
              </w:rPr>
            </w:pPr>
          </w:p>
        </w:tc>
        <w:tc>
          <w:tcPr>
            <w:tcW w:w="792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900" w:type="dxa"/>
            <w:vAlign w:val="bottom"/>
          </w:tcPr>
          <w:p>
            <w:pPr>
              <w:jc w:val="right"/>
              <w:ind w:right="350"/>
              <w:spacing w:after="0"/>
              <w:rPr>
                <w:sz w:val="20"/>
                <w:szCs w:val="20"/>
                <w:color w:val="auto"/>
              </w:rPr>
            </w:pPr>
            <w:r>
              <w:rPr>
                <w:rFonts w:ascii="Arial" w:cs="Arial" w:eastAsia="Arial" w:hAnsi="Arial"/>
                <w:sz w:val="18"/>
                <w:szCs w:val="18"/>
                <w:color w:val="auto"/>
              </w:rPr>
              <w:t>$(1.1)</w:t>
            </w: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$0.5</w:t>
            </w:r>
          </w:p>
        </w:tc>
      </w:tr>
      <w:tr>
        <w:trPr>
          <w:trHeight w:val="27"/>
        </w:trPr>
        <w:tc>
          <w:tcPr>
            <w:tcW w:w="720" w:type="dxa"/>
            <w:vAlign w:val="bottom"/>
          </w:tcPr>
          <w:p>
            <w:pPr>
              <w:spacing w:after="0"/>
              <w:rPr>
                <w:sz w:val="2"/>
                <w:szCs w:val="2"/>
                <w:color w:val="auto"/>
              </w:rPr>
            </w:pPr>
          </w:p>
        </w:tc>
        <w:tc>
          <w:tcPr>
            <w:tcW w:w="79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decreased $91.3 million, or 73 percent, from 2018. ALLETE completed the sale of U.S. Water Services in the first quarter of 2019.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(See Note 1. Operations and Significant Accounting Policies.)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Net Loss </w:t>
      </w:r>
      <w:r>
        <w:rPr>
          <w:rFonts w:ascii="Arial" w:cs="Arial" w:eastAsia="Arial" w:hAnsi="Arial"/>
          <w:sz w:val="18"/>
          <w:szCs w:val="18"/>
          <w:color w:val="auto"/>
        </w:rPr>
        <w:t>increased $1.6 million from 2018. ALLETE completed the sale of U.S. Water Services in the first quarter of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229" w:lineRule="exact"/>
        <w:rPr>
          <w:sz w:val="20"/>
          <w:szCs w:val="20"/>
          <w:color w:val="auto"/>
        </w:rPr>
      </w:pPr>
    </w:p>
    <w:p>
      <w:pPr>
        <w:jc w:val="both"/>
        <w:ind w:left="340"/>
        <w:spacing w:after="0" w:line="342" w:lineRule="auto"/>
        <w:rPr>
          <w:sz w:val="20"/>
          <w:szCs w:val="20"/>
          <w:color w:val="auto"/>
        </w:rPr>
      </w:pPr>
      <w:r>
        <w:rPr>
          <w:rFonts w:ascii="Arial" w:cs="Arial" w:eastAsia="Arial" w:hAnsi="Arial"/>
          <w:sz w:val="16"/>
          <w:szCs w:val="16"/>
          <w:b w:val="1"/>
          <w:bCs w:val="1"/>
          <w:i w:val="1"/>
          <w:iCs w:val="1"/>
          <w:color w:val="auto"/>
        </w:rPr>
        <w:t xml:space="preserve">Operating Revenue </w:t>
      </w:r>
      <w:r>
        <w:rPr>
          <w:rFonts w:ascii="Arial" w:cs="Arial" w:eastAsia="Arial" w:hAnsi="Arial"/>
          <w:sz w:val="16"/>
          <w:szCs w:val="16"/>
          <w:color w:val="auto"/>
        </w:rPr>
        <w:t>decreased $5.3 million, or 7 percent, from 2018 primarily due to lower revenue at BNI Energy, which operates under cost-plus fixed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fee contracts, as a result of lower expenses and fewer tons sold in 2019 compared to 2018, and lower revenue from non-rate base generation.</w:t>
      </w:r>
    </w:p>
    <w:p>
      <w:pPr>
        <w:spacing w:after="0" w:line="124" w:lineRule="exact"/>
        <w:rPr>
          <w:sz w:val="20"/>
          <w:szCs w:val="20"/>
          <w:color w:val="auto"/>
        </w:rPr>
      </w:pPr>
    </w:p>
    <w:p>
      <w:pPr>
        <w:jc w:val="both"/>
        <w:ind w:left="340"/>
        <w:spacing w:after="0" w:line="302" w:lineRule="auto"/>
        <w:rPr>
          <w:sz w:val="20"/>
          <w:szCs w:val="20"/>
          <w:color w:val="auto"/>
        </w:rPr>
      </w:pPr>
      <w:r>
        <w:rPr>
          <w:rFonts w:ascii="Arial" w:cs="Arial" w:eastAsia="Arial" w:hAnsi="Arial"/>
          <w:sz w:val="16"/>
          <w:szCs w:val="16"/>
          <w:b w:val="1"/>
          <w:bCs w:val="1"/>
          <w:i w:val="1"/>
          <w:iCs w:val="1"/>
          <w:color w:val="auto"/>
        </w:rPr>
        <w:t xml:space="preserve">Net Income </w:t>
      </w:r>
      <w:r>
        <w:rPr>
          <w:rFonts w:ascii="Arial" w:cs="Arial" w:eastAsia="Arial" w:hAnsi="Arial"/>
          <w:sz w:val="16"/>
          <w:szCs w:val="16"/>
          <w:color w:val="auto"/>
        </w:rPr>
        <w:t>was $16.3 million in 2019 compared to a net loss of $3.1 million in 2018. Net income in 2019 included the gain on sale of U.S. Water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Services of $11.1 million after-tax. Net income in 2019 also included additional income tax benefit recorded in 2019 as GAAP requires the recognition of income tax expense at the estimated annual effective tax rate, and higher earnings on cash and short-term investments. Net income at BNI Energy was $5.3 million in 2019 and in 2018. The net loss at ALLETE Properties was $2.1 million in 2019 compared to a net loss of $1.5 million in 2018.</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 – Consolidated</w:t>
      </w:r>
    </w:p>
    <w:p>
      <w:pPr>
        <w:spacing w:after="0" w:line="229"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For the nine months ended September 30, 2019, the effective tax rate was a benefit of 3.3 percent (benefit of 8.3 percent for the nine months ended September 30, 2018). The effective tax rate for 2019 was a lower benefit primarily due to a higher tax rate on and higher pre-tax income resulting from the gain on the sale of U.S. Water Services.</w:t>
      </w:r>
    </w:p>
    <w:p>
      <w:pPr>
        <w:spacing w:after="0" w:line="181"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We expect our annual effective tax rate in 2019 to be a lower benefit as compared to 2018 reflecting the sale of U.S. Water Services, partially offset by higher production tax credits generated by ALLETE Clean Energy. The effective rate deviated from the combined statutory rate of approximately 28 percent primarily due to production tax credits. (See Note 9. Income Tax Expense.)</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Certain accounting measurements under GAAP involve management’s judgment about subjective factors and estimates, the effects of which are inherently uncertain. Accounting measurements that we believe are most critical to our reported results of operations and financial condition include: regulatory accounting, pension and postretirement health and life actuarial assumptions, impairment of long-lived assets, and taxation. These policies are reviewed with the Audit Committee of our Board of Directors on a regular basis and summarized in Part II, Item 7. Management’s Discussion and Analysis of Financial Condition and Results of Operations of our 2018 Form 10-K.</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2019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38</w:t>
      </w:r>
    </w:p>
    <w:p>
      <w:pPr>
        <w:sectPr>
          <w:pgSz w:w="11900" w:h="16838" w:orient="portrait"/>
          <w:cols w:equalWidth="0" w:num="1">
            <w:col w:w="11420"/>
          </w:cols>
          <w:pgMar w:left="240" w:top="1040"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see our 2018 Form 10-K.</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ALLETE is an energy company committed to earning a financial return that rewards our shareholders, allows for reinvestment in our businesses and sustains growth. The Company has long-term objectives of achieving average annual earnings per share growth of 5 percent to 7 percent, and providing a dividend payout competitive with our industry. Regulated Operations is projected to have average annual earnings growth of 4 percent to 5 percent and our Energy Infrastructure and Related Services businesses are projected to have average annual earnings growth of at least 15 percent over the long-term.</w:t>
      </w:r>
    </w:p>
    <w:p>
      <w:pPr>
        <w:spacing w:after="0" w:line="15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ALLETE is predominately a regulated utility through Minnesota Power, SWL&amp;P and an investment in ATC. ALLETE’s strategy is to remain predominately a regulated utility while investing in its Energy Infrastructure and Related Services and other businesses to complement its regulated businesses, balance exposure to the utility’s industrial customers and provide potential long-term earnings growth. ALLETE expects net income from Regulated Operations to be approximately 80 percent of total consolidated net income in 2019. Over the next several years, the contribution of the Energy Infrastructure and Related Services and other businesses to net income is expected to increase as ALLETE grows these operations. ALLETE expects its businesses to provide regulated, contracted or recurring revenues, and to support sustained growth in net income and cash flow.</w:t>
      </w:r>
    </w:p>
    <w:p>
      <w:pPr>
        <w:spacing w:after="0" w:line="1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Regulated Operations. </w:t>
      </w:r>
      <w:r>
        <w:rPr>
          <w:rFonts w:ascii="Arial" w:cs="Arial" w:eastAsia="Arial" w:hAnsi="Arial"/>
          <w:sz w:val="18"/>
          <w:szCs w:val="18"/>
          <w:color w:val="auto"/>
        </w:rPr>
        <w:t>Minnesota Power’s long-term strategy is to be the leading electric energy provider in northeastern Minnesota by providing safe,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reliable and cost-competitive electric energy, while complying with environmental permit conditions and renewable energy requirements. Keeping the cost of energy production competitive enables Minnesota Power to effectively compete in the wholesale power markets and minimizes retail rate increases to help maintain customer viability. As part of maintaining cost competitiveness, Minnesota Power intends to reduce its exposure to possible future carbon and GHG legislation by reshaping its generation portfolio, over time, to reduce its reliance on coal. (See </w:t>
      </w:r>
      <w:r>
        <w:rPr>
          <w:rFonts w:ascii="Arial" w:cs="Arial" w:eastAsia="Arial" w:hAnsi="Arial"/>
          <w:sz w:val="18"/>
          <w:szCs w:val="18"/>
          <w:i w:val="1"/>
          <w:iCs w:val="1"/>
          <w:color w:val="auto"/>
        </w:rPr>
        <w:t>EnergyForward.</w:t>
      </w:r>
      <w:r>
        <w:rPr>
          <w:rFonts w:ascii="Arial" w:cs="Arial" w:eastAsia="Arial" w:hAnsi="Arial"/>
          <w:sz w:val="18"/>
          <w:szCs w:val="18"/>
          <w:color w:val="auto"/>
        </w:rPr>
        <w:t>) We will monitor and review proposed environmental regulations and may challenge those that add considerable cost with limited environmental benefit. Minnesota Power will continue to pursue customer growth opportunities and cost recovery rider approvals for transmission, renewable and environmental investments, as well as work with regulators to earn a fair rate of return.</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Regulatory Matters. </w:t>
      </w:r>
      <w:r>
        <w:rPr>
          <w:rFonts w:ascii="Arial" w:cs="Arial" w:eastAsia="Arial" w:hAnsi="Arial"/>
          <w:sz w:val="16"/>
          <w:szCs w:val="16"/>
          <w:color w:val="auto"/>
        </w:rPr>
        <w:t>Entities within our Regulated Operations segment are under the jurisdiction of the MPUC, FERC, PSCW and NDPSC. See Note 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Regulatory Matters for discussion of regulatory matters within these jurisdictions.</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2016 Minnesota General Rate Case. </w:t>
      </w:r>
      <w:r>
        <w:rPr>
          <w:rFonts w:ascii="Arial" w:cs="Arial" w:eastAsia="Arial" w:hAnsi="Arial"/>
          <w:sz w:val="18"/>
          <w:szCs w:val="18"/>
          <w:color w:val="auto"/>
        </w:rPr>
        <w:t>The MPUC issued an order dated March 12, 2018, in Minnesota Power’s general rate case approving a return on</w:t>
      </w:r>
      <w:r>
        <w:rPr>
          <w:rFonts w:ascii="Arial" w:cs="Arial" w:eastAsia="Arial" w:hAnsi="Arial"/>
          <w:sz w:val="18"/>
          <w:szCs w:val="18"/>
          <w:i w:val="1"/>
          <w:iCs w:val="1"/>
          <w:color w:val="auto"/>
        </w:rPr>
        <w:t xml:space="preserve"> </w:t>
      </w:r>
      <w:r>
        <w:rPr>
          <w:rFonts w:ascii="Arial" w:cs="Arial" w:eastAsia="Arial" w:hAnsi="Arial"/>
          <w:sz w:val="18"/>
          <w:szCs w:val="18"/>
          <w:color w:val="auto"/>
        </w:rPr>
        <w:t>common equity of 9.25 percent and a 53.81 percent equity ratio. Final rates went into effect on December 1, 2018, which is expected to result in additional revenue of approximately $13 million on an annualized basis. Interim rates were collected from January 1, 2017, through November 30, 2018, which were fully offset by the recognition of a corresponding reserve for an interim rate refund, net of discounts provided to EITE customers, of $40.0 million as of December 31, 2018, which was refunded in the second quarter of 2019.</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2020 Minnesota General Rate Review. </w:t>
      </w:r>
      <w:r>
        <w:rPr>
          <w:rFonts w:ascii="Arial" w:cs="Arial" w:eastAsia="Arial" w:hAnsi="Arial"/>
          <w:sz w:val="18"/>
          <w:szCs w:val="18"/>
          <w:color w:val="auto"/>
        </w:rPr>
        <w:t>On November 1, 2019, Minnesota Power filed a retail rate increase request with the MPUC seeking an average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approximately 10.6 percent for retail customers. The rate filing seeks a return on equity of 10.05 percent and a 53.81 percent equity ratio. On an annualized basis, the requested final rate increase would generate approximately $66 million in additional revenue. Once the filing is accepted as complete, an annual interim rate increase of approximately $48 million is expected to be implemented within 60 days, subject to MPUC adjustment and authorization. We cannot predict the level of interim or final rates that may be authorized by the MPUC.</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2018 Wisconsin General Rate Case. </w:t>
      </w:r>
      <w:r>
        <w:rPr>
          <w:rFonts w:ascii="Arial" w:cs="Arial" w:eastAsia="Arial" w:hAnsi="Arial"/>
          <w:sz w:val="18"/>
          <w:szCs w:val="18"/>
          <w:color w:val="auto"/>
        </w:rPr>
        <w:t>In an order dated December 20, 2018, the PSCW approved a rate increase for SWL&amp;P including a return on equity of</w:t>
      </w:r>
      <w:r>
        <w:rPr>
          <w:rFonts w:ascii="Arial" w:cs="Arial" w:eastAsia="Arial" w:hAnsi="Arial"/>
          <w:sz w:val="18"/>
          <w:szCs w:val="18"/>
          <w:i w:val="1"/>
          <w:iCs w:val="1"/>
          <w:color w:val="auto"/>
        </w:rPr>
        <w:t xml:space="preserve"> </w:t>
      </w:r>
      <w:r>
        <w:rPr>
          <w:rFonts w:ascii="Arial" w:cs="Arial" w:eastAsia="Arial" w:hAnsi="Arial"/>
          <w:sz w:val="18"/>
          <w:szCs w:val="18"/>
          <w:color w:val="auto"/>
        </w:rPr>
        <w:t>10.4 percent and a 55.0 percent equity ratio. Final rates went into effect January 1, 2019, which is expected to result in additional revenue of approximately $1.3 million on an annualized basis.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2019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39</w:t>
      </w:r>
    </w:p>
    <w:p>
      <w:pPr>
        <w:sectPr>
          <w:pgSz w:w="11900" w:h="16838" w:orient="portrait"/>
          <w:cols w:equalWidth="0" w:num="1">
            <w:col w:w="11420"/>
          </w:cols>
          <w:pgMar w:left="240" w:top="1039"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OUTLOOK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Industrial Customers and Prospective Additional Load.</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Industrial Customers. </w:t>
      </w:r>
      <w:r>
        <w:rPr>
          <w:rFonts w:ascii="Arial" w:cs="Arial" w:eastAsia="Arial" w:hAnsi="Arial"/>
          <w:sz w:val="18"/>
          <w:szCs w:val="18"/>
          <w:color w:val="auto"/>
        </w:rPr>
        <w:t>Electric power is one of several key inputs in the taconite mining, paper, pulp and secondary wood products, pipeline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industries. Approximately 53 percent of our regulated utility kWh sales in the nine months ended September 30, 2019, were made to our industrial customers (50 percent in the nine months ended September 30, 2018).</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u w:val="single" w:color="auto"/>
          <w:color w:val="auto"/>
        </w:rPr>
        <w:t>Taconite</w:t>
      </w:r>
      <w:r>
        <w:rPr>
          <w:rFonts w:ascii="Arial" w:cs="Arial" w:eastAsia="Arial" w:hAnsi="Arial"/>
          <w:sz w:val="16"/>
          <w:szCs w:val="16"/>
          <w:color w:val="auto"/>
        </w:rPr>
        <w:t>. Minnesota Power’s taconite customers are capable of producing up to approximately 41 million tons of taconite pellets annually. Taconite pellets produced in Minnesota are primarily shipped to North American steel making facilities that are part of the integrated steel industry. Steel produced from these North American facilities is used primarily in the manufacture of automobiles, appliances, pipe and tube products for the gas and oil industry, and in the construction industry. Historically, less than 10 percent of Minnesota taconite production has been exported outside of North America.</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There has been a general historical correlation between U.S. steel production and Minnesota taconite production. The American Iron and Steel Institute, an association of North American steel producers, reported that U.S. raw steel production operated at approximately 81 percent of capacity during the first nine months of 2019 compared to 78 percent in the first nine months of 2018. The World Steel Association, an association of steel producers, national and regional steel industry associations, and steel research institutes representing approximately 85 percent of world steel production, projected U.S. steel consumption in 2019 will increase by approximately one percent compared to 2018.</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Minnesota Power’s taconite customers may experience annual variations in production levels due to such factors as economic conditions, short-term demand changes or maintenance outages. We estimate that a one million ton change in Minnesota Power’s taconite customers’ production would impact our annual earnings per share by approximately $0.04, net of expected power marketing sales at current prices. Changes in wholesale electric prices or customer contractual demand nominations could impact this estimate. Minnesota Power proactively sells power in the wholesale power markets that is temporarily not required by industrial customers to optimize the value of its generating facilities. Long-term reductions in taconite production or a permanent shut down of a taconite customer may lead Minnesota Power to file a general rate case to recover lost revenue.</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u w:val="single" w:color="auto"/>
          <w:color w:val="auto"/>
        </w:rPr>
        <w:t>USS Corporation</w:t>
      </w:r>
      <w:r>
        <w:rPr>
          <w:rFonts w:ascii="Arial" w:cs="Arial" w:eastAsia="Arial" w:hAnsi="Arial"/>
          <w:sz w:val="18"/>
          <w:szCs w:val="18"/>
          <w:i w:val="1"/>
          <w:iCs w:val="1"/>
          <w:color w:val="auto"/>
        </w:rPr>
        <w:t xml:space="preserve">. </w:t>
      </w:r>
      <w:r>
        <w:rPr>
          <w:rFonts w:ascii="Arial" w:cs="Arial" w:eastAsia="Arial" w:hAnsi="Arial"/>
          <w:sz w:val="18"/>
          <w:szCs w:val="18"/>
          <w:color w:val="auto"/>
        </w:rPr>
        <w:t>On October 17, 2019, USS Corporation announced that it had idled one of its pellet production lines at its Minnesota Ore Operations -</w:t>
      </w:r>
      <w:r>
        <w:rPr>
          <w:rFonts w:ascii="Arial" w:cs="Arial" w:eastAsia="Arial" w:hAnsi="Arial"/>
          <w:sz w:val="18"/>
          <w:szCs w:val="18"/>
          <w:i w:val="1"/>
          <w:iCs w:val="1"/>
          <w:color w:val="auto"/>
        </w:rPr>
        <w:t xml:space="preserve"> </w:t>
      </w:r>
      <w:r>
        <w:rPr>
          <w:rFonts w:ascii="Arial" w:cs="Arial" w:eastAsia="Arial" w:hAnsi="Arial"/>
          <w:sz w:val="18"/>
          <w:szCs w:val="18"/>
          <w:color w:val="auto"/>
        </w:rPr>
        <w:t>Minntac plant in Mountain Iron, Minnesota, citing changing market conditions and the need to adjust its raw materials accordingly. USS Corporation also noted it plans to perform additional maintenance during this time in preparation for improved market conditions and does not anticipate any employment impacts. We cannot predict when production may resume on the idled pellet production line, however, we do not expect a material impact to results of operations for 2019.</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u w:val="single" w:color="auto"/>
          <w:color w:val="auto"/>
        </w:rPr>
        <w:t>Northshore Mining</w:t>
      </w:r>
      <w:r>
        <w:rPr>
          <w:rFonts w:ascii="Arial" w:cs="Arial" w:eastAsia="Arial" w:hAnsi="Arial"/>
          <w:sz w:val="16"/>
          <w:szCs w:val="16"/>
          <w:i w:val="1"/>
          <w:iCs w:val="1"/>
          <w:color w:val="auto"/>
        </w:rPr>
        <w:t xml:space="preserve">. </w:t>
      </w:r>
      <w:r>
        <w:rPr>
          <w:rFonts w:ascii="Arial" w:cs="Arial" w:eastAsia="Arial" w:hAnsi="Arial"/>
          <w:sz w:val="16"/>
          <w:szCs w:val="16"/>
          <w:color w:val="auto"/>
        </w:rPr>
        <w:t>Cliffs has announced that it has made an approximately $90 million investment in its Minnesota ore operations to expand capacity for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producing direct reduced-grade pellets at Northshore Mining. Cliffs is currently constructing a hot briquetted iron production plant in Toledo, Ohio, and has begun shipping direct reduced-grade pellets to the Toledo plant in anticipation of the planned start of operations in mid-2020. Minnesota Power has a PSA through 2031 with Silver Bay Power, which provides the majority of the electric service requirements for Northshore Mining. (See </w:t>
      </w:r>
      <w:r>
        <w:rPr>
          <w:rFonts w:ascii="Arial" w:cs="Arial" w:eastAsia="Arial" w:hAnsi="Arial"/>
          <w:sz w:val="16"/>
          <w:szCs w:val="16"/>
          <w:i w:val="1"/>
          <w:iCs w:val="1"/>
          <w:color w:val="auto"/>
        </w:rPr>
        <w:t>Silver Bay Power</w:t>
      </w:r>
      <w:r>
        <w:rPr>
          <w:rFonts w:ascii="Arial" w:cs="Arial" w:eastAsia="Arial" w:hAnsi="Arial"/>
          <w:sz w:val="16"/>
          <w:szCs w:val="16"/>
          <w:color w:val="auto"/>
        </w:rPr>
        <w:t>.)</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u w:val="single" w:color="auto"/>
          <w:color w:val="auto"/>
        </w:rPr>
        <w:t>Silver Bay Power</w:t>
      </w:r>
      <w:r>
        <w:rPr>
          <w:rFonts w:ascii="Arial" w:cs="Arial" w:eastAsia="Arial" w:hAnsi="Arial"/>
          <w:sz w:val="18"/>
          <w:szCs w:val="18"/>
          <w:i w:val="1"/>
          <w:iCs w:val="1"/>
          <w:color w:val="auto"/>
        </w:rPr>
        <w:t xml:space="preserve">. </w:t>
      </w:r>
      <w:r>
        <w:rPr>
          <w:rFonts w:ascii="Arial" w:cs="Arial" w:eastAsia="Arial" w:hAnsi="Arial"/>
          <w:sz w:val="18"/>
          <w:szCs w:val="18"/>
          <w:color w:val="auto"/>
        </w:rPr>
        <w:t>In 2016, Minnesota Power and Silver Bay Power entered into a PSA through 2031. Silver Bay Power supplies approximately 90 MW of</w:t>
      </w:r>
      <w:r>
        <w:rPr>
          <w:rFonts w:ascii="Arial" w:cs="Arial" w:eastAsia="Arial" w:hAnsi="Arial"/>
          <w:sz w:val="18"/>
          <w:szCs w:val="18"/>
          <w:i w:val="1"/>
          <w:iCs w:val="1"/>
          <w:color w:val="auto"/>
        </w:rPr>
        <w:t xml:space="preserve"> </w:t>
      </w:r>
      <w:r>
        <w:rPr>
          <w:rFonts w:ascii="Arial" w:cs="Arial" w:eastAsia="Arial" w:hAnsi="Arial"/>
          <w:sz w:val="18"/>
          <w:szCs w:val="18"/>
          <w:color w:val="auto"/>
        </w:rPr>
        <w:t>load to Northshore Mining, an affiliate of Silver Bay Power, which had been served predominately through self-generation by Silver Bay Power. Minnesota Power supplied Silver Bay Power with at least 50 MW of energy and Silver Bay Power had the option to purchase additional energy from Minnesota Power as it transitioned away from self-generation. In the third quarter of 2019, Silver Bay Power ceased self-generation and Minnesota Power began supplying the full energy requirements for Silver Bay Power.</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Paper, Pulp and Secondary Wood Products</w:t>
      </w:r>
      <w:r>
        <w:rPr>
          <w:rFonts w:ascii="Arial" w:cs="Arial" w:eastAsia="Arial" w:hAnsi="Arial"/>
          <w:sz w:val="17"/>
          <w:szCs w:val="17"/>
          <w:color w:val="auto"/>
        </w:rPr>
        <w:t>. We expect operating levels in 2019 at the four major paper and pulp mills we serve to be similar to 2018.</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Pipeline and Other Industries</w:t>
      </w:r>
      <w:r>
        <w:rPr>
          <w:rFonts w:ascii="Arial" w:cs="Arial" w:eastAsia="Arial" w:hAnsi="Arial"/>
          <w:sz w:val="18"/>
          <w:szCs w:val="18"/>
          <w:color w:val="auto"/>
        </w:rPr>
        <w: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u w:val="single" w:color="auto"/>
          <w:color w:val="auto"/>
        </w:rPr>
        <w:t>Husky Energy</w:t>
      </w:r>
      <w:r>
        <w:rPr>
          <w:rFonts w:ascii="Arial" w:cs="Arial" w:eastAsia="Arial" w:hAnsi="Arial"/>
          <w:sz w:val="18"/>
          <w:szCs w:val="18"/>
          <w:u w:val="single" w:color="auto"/>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In April 2018, a fire at Husky Energy’s refinery in Superior, Wisconsin, disrupted operations at the facility. Under normal operating conditions,</w:t>
      </w:r>
      <w:r>
        <w:rPr>
          <w:rFonts w:ascii="Arial" w:cs="Arial" w:eastAsia="Arial" w:hAnsi="Arial"/>
          <w:sz w:val="18"/>
          <w:szCs w:val="18"/>
          <w:i w:val="1"/>
          <w:iCs w:val="1"/>
          <w:color w:val="auto"/>
        </w:rPr>
        <w:t xml:space="preserve"> </w:t>
      </w:r>
      <w:r>
        <w:rPr>
          <w:rFonts w:ascii="Arial" w:cs="Arial" w:eastAsia="Arial" w:hAnsi="Arial"/>
          <w:sz w:val="18"/>
          <w:szCs w:val="18"/>
          <w:color w:val="auto"/>
        </w:rPr>
        <w:t>SWL&amp;P provides approximately 14 MW of average monthly demand to Husky Energy in addition to water service. On September 30, 2019, Husky Energy announced that it had received the required permit approvals to begin reconstruction. The facility remains at minimal operations, and the refinery is not expected to resume normal operations until 2021.</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2019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40</w:t>
      </w:r>
    </w:p>
    <w:p>
      <w:pPr>
        <w:sectPr>
          <w:pgSz w:w="11900" w:h="16838" w:orient="portrait"/>
          <w:cols w:equalWidth="0" w:num="1">
            <w:col w:w="11420"/>
          </w:cols>
          <w:pgMar w:left="240" w:top="1040"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Industrial Customers and Prospective Additional Load (Continued)</w:t>
      </w:r>
    </w:p>
    <w:p>
      <w:pPr>
        <w:spacing w:after="0" w:line="21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 xml:space="preserve">Prospective Additional Load. </w:t>
      </w:r>
      <w:r>
        <w:rPr>
          <w:rFonts w:ascii="Arial" w:cs="Arial" w:eastAsia="Arial" w:hAnsi="Arial"/>
          <w:sz w:val="18"/>
          <w:szCs w:val="18"/>
          <w:color w:val="auto"/>
        </w:rPr>
        <w:t>Minnesota Power is pursuing new wholesale and retail loads in and around its service territory. Currently, several companies in</w:t>
      </w:r>
      <w:r>
        <w:rPr>
          <w:rFonts w:ascii="Arial" w:cs="Arial" w:eastAsia="Arial" w:hAnsi="Arial"/>
          <w:sz w:val="18"/>
          <w:szCs w:val="18"/>
          <w:i w:val="1"/>
          <w:iCs w:val="1"/>
          <w:color w:val="auto"/>
        </w:rPr>
        <w:t xml:space="preserve"> </w:t>
      </w:r>
      <w:r>
        <w:rPr>
          <w:rFonts w:ascii="Arial" w:cs="Arial" w:eastAsia="Arial" w:hAnsi="Arial"/>
          <w:sz w:val="18"/>
          <w:szCs w:val="18"/>
          <w:color w:val="auto"/>
        </w:rPr>
        <w:t>northeastern Minnesota continue to progress in the development of natural resource-based projects that represent long-term growth potential and load diversity for Minnesota Power. We cannot predict the outcome of these projects.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u w:val="single" w:color="auto"/>
          <w:color w:val="auto"/>
        </w:rPr>
        <w:t>PolyMet</w:t>
      </w:r>
      <w:r>
        <w:rPr>
          <w:rFonts w:ascii="Arial" w:cs="Arial" w:eastAsia="Arial" w:hAnsi="Arial"/>
          <w:sz w:val="18"/>
          <w:szCs w:val="18"/>
          <w:color w:val="auto"/>
        </w:rPr>
        <w:t>. PolyMet is planning to start a new copper-nickel and precious metal (non-ferrous) mining operation in northeastern Minnesota. In 2015, PolyMet</w:t>
      </w:r>
      <w:r>
        <w:rPr>
          <w:rFonts w:ascii="Arial" w:cs="Arial" w:eastAsia="Arial" w:hAnsi="Arial"/>
          <w:sz w:val="18"/>
          <w:szCs w:val="18"/>
          <w:i w:val="1"/>
          <w:iCs w:val="1"/>
          <w:color w:val="auto"/>
        </w:rPr>
        <w:t xml:space="preserve"> </w:t>
      </w:r>
      <w:r>
        <w:rPr>
          <w:rFonts w:ascii="Arial" w:cs="Arial" w:eastAsia="Arial" w:hAnsi="Arial"/>
          <w:sz w:val="18"/>
          <w:szCs w:val="18"/>
          <w:color w:val="auto"/>
        </w:rPr>
        <w:t>announced the completion of the final EIS by state and federal agencies, which was subsequently published in the Federal Register and Minnesota Environmental Quality Board Monitor. The Minnesota Department of Natural Resources (DNR) and the U.S. Army Corps of Engineers have both issued final Records of Decision, finding the final EIS adequate.</w:t>
      </w:r>
    </w:p>
    <w:p>
      <w:pPr>
        <w:spacing w:after="0" w:line="187"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color w:val="auto"/>
        </w:rPr>
        <w:t>In 2016, PolyMet submitted applications for water-related permits with the DNR and MPCA, an air quality permit with the MPCA, and a state permit to mine application with the DNR detailing its operational plans for the mine. In June 2018, the U.S. Forest Service and PolyMet closed on a land exchange, which resulted in PolyMet obtaining surface rights to land needed to develop its mining operation. In November 2018, the DNR issued PolyMet’s permit to mine and certain water-related permits. In December 2018, the MPCA issued PolyMet’s final state water and air quality permits. On March 21, 2019, the U.S. Army Corps of Engineers issued PolyMet’s final federal permit. PolyMet has received all necessary permits to construct and operate its new mining operation. Minnesota Power could supply between 45 MW and 50 MW of load under a 10</w:t>
      </w:r>
      <w:r>
        <w:rPr>
          <w:rFonts w:ascii="MS PGothic" w:cs="MS PGothic" w:eastAsia="MS PGothic" w:hAnsi="MS PGothic"/>
          <w:sz w:val="18"/>
          <w:szCs w:val="18"/>
          <w:color w:val="auto"/>
        </w:rPr>
        <w:t>‑</w:t>
      </w:r>
      <w:r>
        <w:rPr>
          <w:rFonts w:ascii="Arial" w:cs="Arial" w:eastAsia="Arial" w:hAnsi="Arial"/>
          <w:sz w:val="18"/>
          <w:szCs w:val="18"/>
          <w:color w:val="auto"/>
        </w:rPr>
        <w:t>year power supply contract with PolyMet that would begin upon start-up of operations.</w:t>
      </w:r>
    </w:p>
    <w:p>
      <w:pPr>
        <w:spacing w:after="0" w:line="200" w:lineRule="exact"/>
        <w:rPr>
          <w:sz w:val="20"/>
          <w:szCs w:val="20"/>
          <w:color w:val="auto"/>
        </w:rPr>
      </w:pPr>
    </w:p>
    <w:p>
      <w:pPr>
        <w:spacing w:after="0" w:line="22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 xml:space="preserve">EnergyForward. </w:t>
      </w:r>
      <w:r>
        <w:rPr>
          <w:rFonts w:ascii="Arial" w:cs="Arial" w:eastAsia="Arial" w:hAnsi="Arial"/>
          <w:sz w:val="17"/>
          <w:szCs w:val="17"/>
          <w:color w:val="auto"/>
        </w:rPr>
        <w:t>Minnesota Power is executing</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EnergyForward</w:t>
      </w:r>
      <w:r>
        <w:rPr>
          <w:rFonts w:ascii="Arial" w:cs="Arial" w:eastAsia="Arial" w:hAnsi="Arial"/>
          <w:sz w:val="17"/>
          <w:szCs w:val="17"/>
          <w:color w:val="auto"/>
        </w:rPr>
        <w:t>, a strategic plan for assuring reliability, protecting affordability and further improving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environmental performance. The plan includes completed and planned investments in wind, solar, natural gas and hydroelectric power, construction of additional transmission capacity, the installation of emissions control technology and the idling of certain coal-fired generating facilities.</w:t>
      </w:r>
    </w:p>
    <w:p>
      <w:pPr>
        <w:spacing w:after="0" w:line="166" w:lineRule="exact"/>
        <w:rPr>
          <w:sz w:val="20"/>
          <w:szCs w:val="20"/>
          <w:color w:val="auto"/>
        </w:rPr>
      </w:pPr>
    </w:p>
    <w:p>
      <w:pPr>
        <w:jc w:val="both"/>
        <w:spacing w:after="0" w:line="218" w:lineRule="exact"/>
        <w:rPr>
          <w:sz w:val="20"/>
          <w:szCs w:val="20"/>
          <w:color w:val="auto"/>
        </w:rPr>
      </w:pPr>
      <w:r>
        <w:rPr>
          <w:rFonts w:ascii="Arial" w:cs="Arial" w:eastAsia="Arial" w:hAnsi="Arial"/>
          <w:sz w:val="16"/>
          <w:szCs w:val="16"/>
          <w:color w:val="auto"/>
        </w:rPr>
        <w:t xml:space="preserve">In 2017, Minnesota Power submitted a resource package to the MPUC requesting approval of PPAs for the output of a 250 MW wind energy facility (see </w:t>
      </w:r>
      <w:r>
        <w:rPr>
          <w:rFonts w:ascii="Arial" w:cs="Arial" w:eastAsia="Arial" w:hAnsi="Arial"/>
          <w:sz w:val="16"/>
          <w:szCs w:val="16"/>
          <w:i w:val="1"/>
          <w:iCs w:val="1"/>
          <w:color w:val="auto"/>
        </w:rPr>
        <w:t>Nobles 2 PPA</w:t>
      </w:r>
      <w:r>
        <w:rPr>
          <w:rFonts w:ascii="Arial" w:cs="Arial" w:eastAsia="Arial" w:hAnsi="Arial"/>
          <w:sz w:val="16"/>
          <w:szCs w:val="16"/>
          <w:color w:val="auto"/>
        </w:rPr>
        <w:t>) and a 10 MW solar energy facility as well as approval of a 250 MW natural gas capacity dedication agreement. The natural gas capacity</w:t>
      </w:r>
      <w:r>
        <w:rPr>
          <w:rFonts w:ascii="Arial" w:cs="Arial" w:eastAsia="Arial" w:hAnsi="Arial"/>
          <w:sz w:val="16"/>
          <w:szCs w:val="16"/>
          <w:i w:val="1"/>
          <w:iCs w:val="1"/>
          <w:color w:val="auto"/>
        </w:rPr>
        <w:t xml:space="preserve"> </w:t>
      </w:r>
      <w:r>
        <w:rPr>
          <w:rFonts w:ascii="Arial" w:cs="Arial" w:eastAsia="Arial" w:hAnsi="Arial"/>
          <w:sz w:val="16"/>
          <w:szCs w:val="16"/>
          <w:color w:val="auto"/>
        </w:rPr>
        <w:t>dedication agreement was subject to MPUC approval of the construction of NTEC, a 525 MW to 550 MW combined-cycle natural gas</w:t>
      </w:r>
      <w:r>
        <w:rPr>
          <w:rFonts w:ascii="MS PGothic" w:cs="MS PGothic" w:eastAsia="MS PGothic" w:hAnsi="MS PGothic"/>
          <w:sz w:val="16"/>
          <w:szCs w:val="16"/>
          <w:color w:val="auto"/>
        </w:rPr>
        <w:t>‑</w:t>
      </w:r>
      <w:r>
        <w:rPr>
          <w:rFonts w:ascii="Arial" w:cs="Arial" w:eastAsia="Arial" w:hAnsi="Arial"/>
          <w:sz w:val="16"/>
          <w:szCs w:val="16"/>
          <w:color w:val="auto"/>
        </w:rPr>
        <w:t>fired generating facility which will be jointly owned by Dairyland Power Cooperative and a subsidiary of ALLETE. Minnesota Power would purchase approximately 50 percent of the facility's output starting in 2025. In an order dated January 24, 2019, the MPUC approved Minnesota Power’s request for approval of the NTEC natural gas capacity dedication agreement. Separately, the MPUC required a baseload retirement evaluation in Minnesota Power’s next IRP filing analyzing its existing fleet including potential early retirement scenarios of Boswell Units 3 and 4, as well as a securitization plan. On January 8, 2019, an application for a certificate of public convenience and necessity for NTEC was submitted to the PSCW. A decision on the application is expected in 2020.</w:t>
      </w:r>
    </w:p>
    <w:p>
      <w:pPr>
        <w:spacing w:after="0" w:line="2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Integrated Resource Plan. </w:t>
      </w:r>
      <w:r>
        <w:rPr>
          <w:rFonts w:ascii="Arial" w:cs="Arial" w:eastAsia="Arial" w:hAnsi="Arial"/>
          <w:sz w:val="18"/>
          <w:szCs w:val="18"/>
          <w:color w:val="auto"/>
        </w:rPr>
        <w:t>In a 2016 order, the MPUC approved Minnesota Power’s 2015 IRP with modifications. The order accepted Minnesota Power’s</w:t>
      </w:r>
      <w:r>
        <w:rPr>
          <w:rFonts w:ascii="Arial" w:cs="Arial" w:eastAsia="Arial" w:hAnsi="Arial"/>
          <w:sz w:val="18"/>
          <w:szCs w:val="18"/>
          <w:i w:val="1"/>
          <w:iCs w:val="1"/>
          <w:color w:val="auto"/>
        </w:rPr>
        <w:t xml:space="preserve"> </w:t>
      </w:r>
      <w:r>
        <w:rPr>
          <w:rFonts w:ascii="Arial" w:cs="Arial" w:eastAsia="Arial" w:hAnsi="Arial"/>
          <w:sz w:val="18"/>
          <w:szCs w:val="18"/>
          <w:color w:val="auto"/>
        </w:rPr>
        <w:t>plans for the economic idling of Taconite Harbor Units 1 and 2 and the ceasing of coal-fired operations at Taconite Harbor in 2020, directed Minnesota Power to retire Boswell Units 1 and 2 no later than 2022, required an analysis of generation and demand response alternatives to be filed with a natural gas resource proposal, and required Minnesota Power to conduct requests for proposal for additional wind, solar and demand response resource additions. Minnesota Power retired Boswell Units 1 and 2 in the fourth quarter of 2018. Minnesota Power’s next IRP filing is due October 1, 2020. (See Note 2. Regulatory Matters.)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Renewable Energy. </w:t>
      </w:r>
      <w:r>
        <w:rPr>
          <w:rFonts w:ascii="Arial" w:cs="Arial" w:eastAsia="Arial" w:hAnsi="Arial"/>
          <w:sz w:val="18"/>
          <w:szCs w:val="18"/>
          <w:color w:val="auto"/>
        </w:rPr>
        <w:t>Minnesota Power’s 2015 IRP includes an update on its plans and progress in meeting the Minnesota renewable energy milestones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2025. Minnesota Power continues to execute its renewable energy strategy and expects approximately 50 percent of its energy will be supplied by renewable energy sources by 2021.</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u w:val="single" w:color="auto"/>
          <w:color w:val="auto"/>
        </w:rPr>
        <w:t>Solar Energy</w:t>
      </w:r>
      <w:r>
        <w:rPr>
          <w:rFonts w:ascii="Arial" w:cs="Arial" w:eastAsia="Arial" w:hAnsi="Arial"/>
          <w:sz w:val="18"/>
          <w:szCs w:val="18"/>
          <w:i w:val="1"/>
          <w:iCs w:val="1"/>
          <w:color w:val="auto"/>
        </w:rPr>
        <w:t xml:space="preserve">. </w:t>
      </w:r>
      <w:r>
        <w:rPr>
          <w:rFonts w:ascii="Arial" w:cs="Arial" w:eastAsia="Arial" w:hAnsi="Arial"/>
          <w:sz w:val="18"/>
          <w:szCs w:val="18"/>
          <w:color w:val="auto"/>
        </w:rPr>
        <w:t>Minnesota Power’s solar energy supply consists of Camp Ripley, a 10 MW solar energy facility at the Camp Ripley Minnesota Army National</w:t>
      </w:r>
      <w:r>
        <w:rPr>
          <w:rFonts w:ascii="Arial" w:cs="Arial" w:eastAsia="Arial" w:hAnsi="Arial"/>
          <w:sz w:val="18"/>
          <w:szCs w:val="18"/>
          <w:i w:val="1"/>
          <w:iCs w:val="1"/>
          <w:color w:val="auto"/>
        </w:rPr>
        <w:t xml:space="preserve"> </w:t>
      </w:r>
      <w:r>
        <w:rPr>
          <w:rFonts w:ascii="Arial" w:cs="Arial" w:eastAsia="Arial" w:hAnsi="Arial"/>
          <w:sz w:val="18"/>
          <w:szCs w:val="18"/>
          <w:color w:val="auto"/>
        </w:rPr>
        <w:t>Guard base and training facility near Little Falls, Minnesota, and a community solar garden project in northeastern Minnesota, which is comprised of a 1 MW solar array owned and operated by a third party with the output purchased by Minnesota Power and a 40 kW solar array that is owned and operated by Minnesota Power.</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Minnesota Power has approval for current cost recovery of investments and expenditures related to compliance with the Minnesota Solar Energy Standard.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Currently, there is no approved customer billing rate for solar costs.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2019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41</w:t>
      </w:r>
    </w:p>
    <w:p>
      <w:pPr>
        <w:sectPr>
          <w:pgSz w:w="11900" w:h="16838" w:orient="portrait"/>
          <w:cols w:equalWidth="0" w:num="1">
            <w:col w:w="11420"/>
          </w:cols>
          <w:pgMar w:left="240" w:top="1040"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EnergyForward (Continued)</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u w:val="single" w:color="auto"/>
          <w:color w:val="auto"/>
        </w:rPr>
        <w:t>Wind Energy</w:t>
      </w:r>
      <w:r>
        <w:rPr>
          <w:rFonts w:ascii="Arial" w:cs="Arial" w:eastAsia="Arial" w:hAnsi="Arial"/>
          <w:sz w:val="18"/>
          <w:szCs w:val="18"/>
          <w:i w:val="1"/>
          <w:iCs w:val="1"/>
          <w:color w:val="auto"/>
        </w:rPr>
        <w:t xml:space="preserve">. </w:t>
      </w:r>
      <w:r>
        <w:rPr>
          <w:rFonts w:ascii="Arial" w:cs="Arial" w:eastAsia="Arial" w:hAnsi="Arial"/>
          <w:sz w:val="18"/>
          <w:szCs w:val="18"/>
          <w:color w:val="auto"/>
        </w:rPr>
        <w:t>Minnesota Power’s wind energy facilities consist of Bison (497 MW) located in North Dakota, and Taconite Ridge (25 MW) located in</w:t>
      </w:r>
      <w:r>
        <w:rPr>
          <w:rFonts w:ascii="Arial" w:cs="Arial" w:eastAsia="Arial" w:hAnsi="Arial"/>
          <w:sz w:val="18"/>
          <w:szCs w:val="18"/>
          <w:i w:val="1"/>
          <w:iCs w:val="1"/>
          <w:color w:val="auto"/>
        </w:rPr>
        <w:t xml:space="preserve"> </w:t>
      </w:r>
      <w:r>
        <w:rPr>
          <w:rFonts w:ascii="Arial" w:cs="Arial" w:eastAsia="Arial" w:hAnsi="Arial"/>
          <w:sz w:val="18"/>
          <w:szCs w:val="18"/>
          <w:color w:val="auto"/>
        </w:rPr>
        <w:t>northeastern Minnesota. Minnesota Power also has two long-term wind energy PPAs with an affiliate of NextEra Energy, Inc. to purchase the output from Oliver Wind I (50 MW) and Oliver Wind II (48 MW) located in North Dakota.</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Minnesota Power uses the 465-mile, 250-kV DC transmission line that runs from Center, North Dakota, to Duluth, Minnesota, to transport increasing amounts of wind energy from North Dakota while gradually phasing out coal-based electricity delivered to its system over this transmission line from Square Butte’s lignite coal-fired generating unit. Minnesota Power is currently pursuing a modernization and capacity upgrade of its DC transmission system to continue providing reliable operations and additional system capabilities.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Minnesota Power has an approved cost recovery rider for certain renewable investments and expenditures. The cost recovery rider allows Minnesota Power to charge retail customers on a current basis for the costs of certain renewable investments plus a return on the capital invested. Updated customer billing rates for the renewable cost recovery rider were provisionally approved by the MPUC in a November 2018 order.</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u w:val="single" w:color="auto"/>
          <w:color w:val="auto"/>
        </w:rPr>
        <w:t>Nobles 2 PPA</w:t>
      </w:r>
      <w:r>
        <w:rPr>
          <w:rFonts w:ascii="Arial" w:cs="Arial" w:eastAsia="Arial" w:hAnsi="Arial"/>
          <w:sz w:val="17"/>
          <w:szCs w:val="17"/>
          <w:i w:val="1"/>
          <w:iCs w:val="1"/>
          <w:color w:val="auto"/>
        </w:rPr>
        <w:t xml:space="preserve">. </w:t>
      </w:r>
      <w:r>
        <w:rPr>
          <w:rFonts w:ascii="Arial" w:cs="Arial" w:eastAsia="Arial" w:hAnsi="Arial"/>
          <w:sz w:val="17"/>
          <w:szCs w:val="17"/>
          <w:color w:val="auto"/>
        </w:rPr>
        <w:t>In the third quarter of 2018, Minnesota Power and Nobles 2 signed an amended long-term PPA that provides for Minnesota Power to purchase</w:t>
      </w:r>
      <w:r>
        <w:rPr>
          <w:rFonts w:ascii="Arial" w:cs="Arial" w:eastAsia="Arial" w:hAnsi="Arial"/>
          <w:sz w:val="17"/>
          <w:szCs w:val="17"/>
          <w:i w:val="1"/>
          <w:iCs w:val="1"/>
          <w:color w:val="auto"/>
        </w:rPr>
        <w:t xml:space="preserve"> </w:t>
      </w:r>
      <w:r>
        <w:rPr>
          <w:rFonts w:ascii="Arial" w:cs="Arial" w:eastAsia="Arial" w:hAnsi="Arial"/>
          <w:sz w:val="17"/>
          <w:szCs w:val="17"/>
          <w:color w:val="auto"/>
        </w:rPr>
        <w:t>the energy and associated capacity from a 250 MW wind energy facility in southwestern Minnesota for a 20-year period beginning in 2020. The agreement provides for the purchase of output from the facility at fixed energy prices. There are no fixed capacity charges, and Minnesota Power will only pay for energy as it is delivered. This agreement is subject to construction of the wind energy facility. (See Note 3. Equity Investments.)</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u w:val="single" w:color="auto"/>
          <w:color w:val="auto"/>
        </w:rPr>
        <w:t>Manitoba Hydro</w:t>
      </w:r>
      <w:r>
        <w:rPr>
          <w:rFonts w:ascii="Arial" w:cs="Arial" w:eastAsia="Arial" w:hAnsi="Arial"/>
          <w:sz w:val="16"/>
          <w:szCs w:val="16"/>
          <w:i w:val="1"/>
          <w:iCs w:val="1"/>
          <w:color w:val="auto"/>
        </w:rPr>
        <w:t xml:space="preserve">. </w:t>
      </w:r>
      <w:r>
        <w:rPr>
          <w:rFonts w:ascii="Arial" w:cs="Arial" w:eastAsia="Arial" w:hAnsi="Arial"/>
          <w:sz w:val="16"/>
          <w:szCs w:val="16"/>
          <w:color w:val="auto"/>
        </w:rPr>
        <w:t>Minnesota Power has five long-term PPAs with Manitoba Hydro. The first PPA expires in May 2020. Under this agreement, Minnesota</w:t>
      </w:r>
      <w:r>
        <w:rPr>
          <w:rFonts w:ascii="Arial" w:cs="Arial" w:eastAsia="Arial" w:hAnsi="Arial"/>
          <w:sz w:val="16"/>
          <w:szCs w:val="16"/>
          <w:i w:val="1"/>
          <w:iCs w:val="1"/>
          <w:color w:val="auto"/>
        </w:rPr>
        <w:t xml:space="preserve"> </w:t>
      </w:r>
      <w:r>
        <w:rPr>
          <w:rFonts w:ascii="Arial" w:cs="Arial" w:eastAsia="Arial" w:hAnsi="Arial"/>
          <w:sz w:val="16"/>
          <w:szCs w:val="16"/>
          <w:color w:val="auto"/>
        </w:rPr>
        <w:t>Power is purchasing 50 MW of capacity and the energy associated with that capacity. Both the capacity price and the energy price are adjusted annually by the change in a governmental inflationary index. Under the second PPA, Minnesota Power is purchasing surplus energy through April 2022. This energy-only agreement primarily consists of surplus hydro energy on Manitoba Hydro’s system that is delivered to Minnesota Power on a non-firm basis. The pricing is based on forward market prices. Under this agreement, Minnesota Power will purchase at least one million MWh of energy over the contract term.</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third PPA provides for Minnesota Power to purchase 250 MW of capacity and energy from Manitoba Hydro for 15 years beginning in 2020. The PPA is subject to the construction of the GNTL and MMTP. (See Note 7. Commitments, Guarantees and Contingencies.) The capacity price is adjusted annually until 2020 by the change in a governmental inflationary index. The energy price is based on a formula that includes an annual fixed price component adjusted for the change in a governmental inflationary index and a natural gas index, as well as market prices.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fourth PPA provides for Minnesota Power to purchase up to 133 MW of energy from Manitoba Hydro for 20 years beginning in 2020. The pricing under this PPA is based on forward market prices. The PPA is subject to the construction of the GNTL and MMTP. (See Note 7. Commitments, Guarantees and Contingencies.)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fifth PPA provides for Minnesota Power to purchase 50 MW of capacity from Manitoba Hydro at fixed prices. The PPA began in June 2017 and expires in May 2020.</w:t>
      </w:r>
    </w:p>
    <w:p>
      <w:pPr>
        <w:spacing w:after="0" w:line="387"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b w:val="1"/>
          <w:bCs w:val="1"/>
          <w:i w:val="1"/>
          <w:iCs w:val="1"/>
          <w:color w:val="auto"/>
        </w:rPr>
        <w:t xml:space="preserve">Transmission. </w:t>
      </w:r>
      <w:r>
        <w:rPr>
          <w:rFonts w:ascii="Arial" w:cs="Arial" w:eastAsia="Arial" w:hAnsi="Arial"/>
          <w:sz w:val="17"/>
          <w:szCs w:val="17"/>
          <w:color w:val="auto"/>
        </w:rPr>
        <w:t>We continue to make investments in transmission opportunities that strengthen or enhance the transmission grid or take advantage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geographical location between sources of renewable energy and end users. These include the GNTL, investments to enhance our own transmission facilities, investments in other transmission assets (individually or in combination with others) and our investment in ATC.</w:t>
      </w:r>
    </w:p>
    <w:p>
      <w:pPr>
        <w:spacing w:after="0" w:line="166"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i w:val="1"/>
          <w:iCs w:val="1"/>
          <w:color w:val="auto"/>
        </w:rPr>
        <w:t xml:space="preserve">Great Northern Transmission Line. </w:t>
      </w:r>
      <w:r>
        <w:rPr>
          <w:rFonts w:ascii="Arial" w:cs="Arial" w:eastAsia="Arial" w:hAnsi="Arial"/>
          <w:sz w:val="18"/>
          <w:szCs w:val="18"/>
          <w:color w:val="auto"/>
        </w:rPr>
        <w:t>As a condition of the 250-MW long-term PPA entered into with Manitoba Hydro, construction of additional transmission</w:t>
      </w:r>
      <w:r>
        <w:rPr>
          <w:rFonts w:ascii="Arial" w:cs="Arial" w:eastAsia="Arial" w:hAnsi="Arial"/>
          <w:sz w:val="18"/>
          <w:szCs w:val="18"/>
          <w:i w:val="1"/>
          <w:iCs w:val="1"/>
          <w:color w:val="auto"/>
        </w:rPr>
        <w:t xml:space="preserve"> </w:t>
      </w:r>
      <w:r>
        <w:rPr>
          <w:rFonts w:ascii="Arial" w:cs="Arial" w:eastAsia="Arial" w:hAnsi="Arial"/>
          <w:sz w:val="18"/>
          <w:szCs w:val="18"/>
          <w:color w:val="auto"/>
        </w:rPr>
        <w:t>capacity is required. As a result, Minnesota Power is constructing the GNTL, an approximately 220</w:t>
      </w:r>
      <w:r>
        <w:rPr>
          <w:rFonts w:ascii="MS PGothic" w:cs="MS PGothic" w:eastAsia="MS PGothic" w:hAnsi="MS PGothic"/>
          <w:sz w:val="18"/>
          <w:szCs w:val="18"/>
          <w:color w:val="auto"/>
        </w:rPr>
        <w:t>‑</w:t>
      </w:r>
      <w:r>
        <w:rPr>
          <w:rFonts w:ascii="Arial" w:cs="Arial" w:eastAsia="Arial" w:hAnsi="Arial"/>
          <w:sz w:val="18"/>
          <w:szCs w:val="18"/>
          <w:color w:val="auto"/>
        </w:rPr>
        <w:t>mile 500-kV transmission line between Manitoba and Minnesota’s Iron Range that was proposed by Minnesota Power and Manitoba Hydro in order to strengthen the electric grid, enhance regional reliability and promote a greater exchange of sustainable energy.</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2019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42</w:t>
      </w:r>
    </w:p>
    <w:p>
      <w:pPr>
        <w:sectPr>
          <w:pgSz w:w="11900" w:h="16838" w:orient="portrait"/>
          <w:cols w:equalWidth="0" w:num="1">
            <w:col w:w="11420"/>
          </w:cols>
          <w:pgMar w:left="240" w:top="1040"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Transmission (Continued)</w:t>
      </w:r>
    </w:p>
    <w:p>
      <w:pPr>
        <w:spacing w:after="0" w:line="211"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color w:val="auto"/>
        </w:rPr>
        <w:t>In a 2016 order, the MPUC approved the route permit for the GNTL, and in 2016, the U.S. Department of Energy issued a presidential permit to cross the U.S.</w:t>
      </w:r>
      <w:r>
        <w:rPr>
          <w:rFonts w:ascii="MS PGothic" w:cs="MS PGothic" w:eastAsia="MS PGothic" w:hAnsi="MS PGothic"/>
          <w:sz w:val="18"/>
          <w:szCs w:val="18"/>
          <w:color w:val="auto"/>
        </w:rPr>
        <w:t>‑</w:t>
      </w:r>
      <w:r>
        <w:rPr>
          <w:rFonts w:ascii="Arial" w:cs="Arial" w:eastAsia="Arial" w:hAnsi="Arial"/>
          <w:sz w:val="18"/>
          <w:szCs w:val="18"/>
          <w:color w:val="auto"/>
        </w:rPr>
        <w:t>Canadian border, which was the final major regulatory approval needed before construction in the U.S. could begin. Construction activities commenced in the first quarter of 2017, and Minnesota Power expects the GNTL to be complete and in-service by mid-2020. The total project cost in the U.S., including substation work, is estimated to be approximately $700 million, of which Minnesota Power’s portion is expected to be approximately $325 million; the difference will be recovered from a subsidiary of Manitoba Hydro as non-shareholder contributions to capital. Total project costs of $581.6 million have been incurred through September 30, 2019, of which $310.4 million has been recovered from a subsidiary of Manitoba Hydro. (See Note 7. Commitments, Guarantees and Contingencies.)</w:t>
      </w:r>
    </w:p>
    <w:p>
      <w:pPr>
        <w:spacing w:after="0" w:line="207"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i w:val="1"/>
          <w:iCs w:val="1"/>
          <w:color w:val="auto"/>
        </w:rPr>
        <w:t xml:space="preserve">Investment in ATC. </w:t>
      </w:r>
      <w:r>
        <w:rPr>
          <w:rFonts w:ascii="Arial" w:cs="Arial" w:eastAsia="Arial" w:hAnsi="Arial"/>
          <w:sz w:val="16"/>
          <w:szCs w:val="16"/>
          <w:color w:val="auto"/>
        </w:rPr>
        <w:t>Our wholly-owned subsidiary, ALLETE Transmission Holdings, owns approximately 8 percent of ATC, a Wisconsin-based utility that</w:t>
      </w:r>
      <w:r>
        <w:rPr>
          <w:rFonts w:ascii="Arial" w:cs="Arial" w:eastAsia="Arial" w:hAnsi="Arial"/>
          <w:sz w:val="16"/>
          <w:szCs w:val="16"/>
          <w:i w:val="1"/>
          <w:iCs w:val="1"/>
          <w:color w:val="auto"/>
        </w:rPr>
        <w:t xml:space="preserve"> </w:t>
      </w:r>
      <w:r>
        <w:rPr>
          <w:rFonts w:ascii="Arial" w:cs="Arial" w:eastAsia="Arial" w:hAnsi="Arial"/>
          <w:sz w:val="16"/>
          <w:szCs w:val="16"/>
          <w:color w:val="auto"/>
        </w:rPr>
        <w:t>owns and maintains electric transmission assets in portions of Wisconsin, Michigan, Minnesota and Illinois. As of September 30, 2019, our equity investment in ATC was $136.9 million ($128.1 million as of December 31, 2018). In the first nine months of 2019, we invested $4.7 million in ATC, and on October 31, 2019, we invested an additional $1.9 million. We do not expect to make any additional investments in 2019. (See Note 3. Equity Investments.)</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ATC’s authorized return on equity is 10.32 percent, or 10.82 percent including an incentive adder for participation in a regional transmission organization. In 2016, a federal administrative law judge ruled on a complaint proposing a reduction in the base return on equity to 9.70 percent, or 10.20 percent including an incentive adder for participation in a regional transmission organization, subject to approval or adjustment by the FERC. A final decision from the FERC on the administrative law judge’s recommendation is pending.</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ATC’s 10-year transmission assessment, which covers the years 2019 through 2028, identifies a need for between $2.9 billion and $3.6 billion in transmission system investments. These investments by ATC, if undertaken, are expected to be funded through a combination of internally generated cash, debt and investor contributions. As opportunities arise, we plan to make additional investments in ATC through general capital calls based upon our pro rata ownership interest in ATC.</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Energy Infrastructure and Related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ALLETE Clean Energy.</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ALLETE Clean Energy focuses on developing, acquiring, and operating clean and renewable energy projects. ALLETE Clean Energy currently owns and operates, in four states, approximately 555 MW of nameplate capacity wind energy generation that is contracted under PSAs of various durations. In addition, ALLETE Clean Energy currently has approximately 480 MW of wind energy facilities under construction that it will own and operate with long-term PSAs in place. ALLETE Clean Energy also engages in the development of wind energy facilities to operate under long-term PSAs or for sale to others upon completion.</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ALLETE Clean Energy believes the market for renewable energy in North America is robust, driven by several factors including environmental regulation, tax incentives, societal expectations and continual technology advances. State renewable portfolio standards and state or federal regulations to limit GHG emissions are examples of environmental regulation or public policy that we believe will drive renewable energy development.</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ALLETE Clean Energy’s strategy includes the safe, reliable, optimal and profitable operation of its existing facilities. This includes a strong safety culture, the continuous pursuit of operational efficiencies at existing facilities and cost controls. ALLETE Clean Energy generally acquires facilities in liquid power markets and its strategy includes the exploration of PSA extensions upon expiration of existing contracts and production tax credit requalification of existing facilities.</w:t>
      </w:r>
    </w:p>
    <w:p>
      <w:pPr>
        <w:spacing w:after="0" w:line="187"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ALLETE Clean Energy will pursue growth through acquisitions or project development. ALLETE Clean Energy is targeting acquisitions of existing facilities up to 200 MW each, which have long-term PSAs in place for the facilities’ output. At this time, ALLETE Clean Energy expects acquisitions or development of new facilities will be primarily wind or solar facilities in North America. ALLETE Clean Energy is also targeting the development of new facilities up to 200 MW each, which will have long</w:t>
      </w:r>
      <w:r>
        <w:rPr>
          <w:rFonts w:ascii="MS PGothic" w:cs="MS PGothic" w:eastAsia="MS PGothic" w:hAnsi="MS PGothic"/>
          <w:sz w:val="18"/>
          <w:szCs w:val="18"/>
          <w:color w:val="auto"/>
        </w:rPr>
        <w:t>‑</w:t>
      </w:r>
      <w:r>
        <w:rPr>
          <w:rFonts w:ascii="Arial" w:cs="Arial" w:eastAsia="Arial" w:hAnsi="Arial"/>
          <w:sz w:val="18"/>
          <w:szCs w:val="18"/>
          <w:color w:val="auto"/>
        </w:rPr>
        <w:t>term PSAs in place for the output or may be sold upon completion.</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2019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43</w:t>
      </w:r>
    </w:p>
    <w:p>
      <w:pPr>
        <w:sectPr>
          <w:pgSz w:w="11900" w:h="16838" w:orient="portrait"/>
          <w:cols w:equalWidth="0" w:num="1">
            <w:col w:w="11420"/>
          </w:cols>
          <w:pgMar w:left="240" w:top="1040"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ALLETE Clean Energy (Continued)</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Federal production tax credit qualification is important to the economics of project development, and in 2016, 2017 and 2018 ALLETE Clean Energy invested in equipment to meet production tax credit safe harbor provisions which provides an opportunity to seek development of up to approximately 1,500 MW of production tax credit qualified wind projects through 2022. ALLETE Clean Energy will also invest approximately $80 million through 2020 for production tax credit requalification of up to 468 WTGs at its Storm Lake I, Storm Lake II, Lake Benton and Condon wind energy facilities. We anticipate annual production tax credits relating to these projects of approximately $12 million in 2019, $17 million to $22 million annually in 2020 through 2027 and decreasing thereafter through 2030.</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2017, ALLETE Clean Energy announced it will build, own and operate a 100 MW wind energy facility pursuant to a 20-year PSA with Northern States Power; construction is expected to be completed in late 2019. In March 2018, ALLETE Clean Energy announced that it will build, own and operate an 80 MW wind energy facility pursuant to a 15-year PSA with NorthWestern Corporation; construction is expected to be completed in late 2019.</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3, 2019, ALLETE Clean Energy acquired the Diamond Spring wind project in Oklahoma from Apex Clean Energy. ALLETE Clean Energy will build, own and operate the approximately 300 MW wind energy facility. The Diamond Spring wind project is fully contracted to sell wind power to Walmart Inc., Smithfield Foods, Inc. and Starbucks Corporation under long-term power sales agreements. Construction is expected to begin in late 2019 and be completed in late 2020.</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ALLETE Clean Energy manages risk by having a diverse portfolio of assets, which includes PSA expiration, technology and geographic diversity. The current portfolio of approximately 555 MW is subject to typical variations in seasonal wind with higher wind resources typically available in the winter months. The majority of its planned maintenance leverages this seasonality and is performed during lower wind periods. The current mix of PSA expiration and geographic location for existing facilities is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ind w:left="40"/>
              <w:spacing w:after="0"/>
              <w:rPr>
                <w:sz w:val="20"/>
                <w:szCs w:val="20"/>
                <w:color w:val="auto"/>
              </w:rPr>
            </w:pPr>
            <w:r>
              <w:rPr>
                <w:rFonts w:ascii="Arial" w:cs="Arial" w:eastAsia="Arial" w:hAnsi="Arial"/>
                <w:sz w:val="18"/>
                <w:szCs w:val="18"/>
                <w:b w:val="1"/>
                <w:bCs w:val="1"/>
                <w:color w:val="auto"/>
              </w:rPr>
              <w:t>Wind Energy Facility</w:t>
            </w:r>
          </w:p>
        </w:tc>
        <w:tc>
          <w:tcPr>
            <w:tcW w:w="2720" w:type="dxa"/>
            <w:vAlign w:val="bottom"/>
          </w:tcPr>
          <w:p>
            <w:pPr>
              <w:jc w:val="center"/>
              <w:ind w:left="1170"/>
              <w:spacing w:after="0"/>
              <w:rPr>
                <w:sz w:val="20"/>
                <w:szCs w:val="20"/>
                <w:color w:val="auto"/>
              </w:rPr>
            </w:pPr>
            <w:r>
              <w:rPr>
                <w:rFonts w:ascii="Arial" w:cs="Arial" w:eastAsia="Arial" w:hAnsi="Arial"/>
                <w:sz w:val="18"/>
                <w:szCs w:val="18"/>
                <w:b w:val="1"/>
                <w:bCs w:val="1"/>
                <w:color w:val="auto"/>
                <w:w w:val="88"/>
              </w:rPr>
              <w:t>Region</w:t>
            </w:r>
          </w:p>
        </w:tc>
        <w:tc>
          <w:tcPr>
            <w:tcW w:w="1860" w:type="dxa"/>
            <w:vAlign w:val="bottom"/>
          </w:tcPr>
          <w:p>
            <w:pPr>
              <w:ind w:left="440"/>
              <w:spacing w:after="0"/>
              <w:rPr>
                <w:sz w:val="20"/>
                <w:szCs w:val="20"/>
                <w:color w:val="auto"/>
              </w:rPr>
            </w:pPr>
            <w:r>
              <w:rPr>
                <w:rFonts w:ascii="Arial" w:cs="Arial" w:eastAsia="Arial" w:hAnsi="Arial"/>
                <w:sz w:val="18"/>
                <w:szCs w:val="18"/>
                <w:b w:val="1"/>
                <w:bCs w:val="1"/>
                <w:color w:val="auto"/>
              </w:rPr>
              <w:t>Capacity MW</w:t>
            </w:r>
          </w:p>
        </w:tc>
        <w:tc>
          <w:tcPr>
            <w:tcW w:w="1640" w:type="dxa"/>
            <w:vAlign w:val="bottom"/>
          </w:tcPr>
          <w:p>
            <w:pPr>
              <w:ind w:left="340"/>
              <w:spacing w:after="0"/>
              <w:rPr>
                <w:sz w:val="20"/>
                <w:szCs w:val="20"/>
                <w:color w:val="auto"/>
              </w:rPr>
            </w:pPr>
            <w:r>
              <w:rPr>
                <w:rFonts w:ascii="Arial" w:cs="Arial" w:eastAsia="Arial" w:hAnsi="Arial"/>
                <w:sz w:val="18"/>
                <w:szCs w:val="18"/>
                <w:b w:val="1"/>
                <w:bCs w:val="1"/>
                <w:color w:val="auto"/>
              </w:rPr>
              <w:t>PSA MW %</w:t>
            </w: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93"/>
              </w:rPr>
              <w:t>PSA Expiration</w:t>
            </w:r>
          </w:p>
        </w:tc>
      </w:tr>
      <w:tr>
        <w:trPr>
          <w:trHeight w:val="27"/>
        </w:trPr>
        <w:tc>
          <w:tcPr>
            <w:tcW w:w="334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Armenia Mountain</w:t>
            </w:r>
          </w:p>
        </w:tc>
        <w:tc>
          <w:tcPr>
            <w:tcW w:w="2720" w:type="dxa"/>
            <w:vAlign w:val="bottom"/>
            <w:tcBorders>
              <w:bottom w:val="single" w:sz="8" w:color="CCEEFF"/>
            </w:tcBorders>
            <w:shd w:val="clear" w:color="auto" w:fill="CCEEFF"/>
          </w:tcPr>
          <w:p>
            <w:pPr>
              <w:jc w:val="center"/>
              <w:ind w:left="1150"/>
              <w:spacing w:after="0"/>
              <w:rPr>
                <w:sz w:val="20"/>
                <w:szCs w:val="20"/>
                <w:color w:val="auto"/>
              </w:rPr>
            </w:pPr>
            <w:r>
              <w:rPr>
                <w:rFonts w:ascii="Arial" w:cs="Arial" w:eastAsia="Arial" w:hAnsi="Arial"/>
                <w:sz w:val="18"/>
                <w:szCs w:val="18"/>
                <w:color w:val="auto"/>
                <w:w w:val="88"/>
              </w:rPr>
              <w:t>East</w:t>
            </w:r>
          </w:p>
        </w:tc>
        <w:tc>
          <w:tcPr>
            <w:tcW w:w="186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93"/>
              </w:rPr>
              <w:t>101</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2024</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Chanarambie/Viking</w:t>
            </w:r>
          </w:p>
        </w:tc>
        <w:tc>
          <w:tcPr>
            <w:tcW w:w="2720" w:type="dxa"/>
            <w:vAlign w:val="bottom"/>
          </w:tcPr>
          <w:p>
            <w:pPr>
              <w:jc w:val="center"/>
              <w:ind w:left="1150"/>
              <w:spacing w:after="0"/>
              <w:rPr>
                <w:sz w:val="20"/>
                <w:szCs w:val="20"/>
                <w:color w:val="auto"/>
              </w:rPr>
            </w:pPr>
            <w:r>
              <w:rPr>
                <w:rFonts w:ascii="Arial" w:cs="Arial" w:eastAsia="Arial" w:hAnsi="Arial"/>
                <w:sz w:val="18"/>
                <w:szCs w:val="18"/>
                <w:color w:val="auto"/>
                <w:w w:val="96"/>
              </w:rPr>
              <w:t>Midwest</w:t>
            </w: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98</w:t>
            </w:r>
          </w:p>
        </w:tc>
        <w:tc>
          <w:tcPr>
            <w:tcW w:w="1640" w:type="dxa"/>
            <w:vAlign w:val="bottom"/>
          </w:tcPr>
          <w:p>
            <w:pPr>
              <w:spacing w:after="0"/>
              <w:rPr>
                <w:sz w:val="21"/>
                <w:szCs w:val="21"/>
                <w:color w:val="auto"/>
              </w:rPr>
            </w:pPr>
          </w:p>
        </w:tc>
        <w:tc>
          <w:tcPr>
            <w:tcW w:w="1860" w:type="dxa"/>
            <w:vAlign w:val="bottom"/>
          </w:tcPr>
          <w:p>
            <w:pPr>
              <w:spacing w:after="0"/>
              <w:rPr>
                <w:sz w:val="21"/>
                <w:szCs w:val="21"/>
                <w:color w:val="auto"/>
              </w:rPr>
            </w:pPr>
          </w:p>
        </w:tc>
      </w:tr>
      <w:tr>
        <w:trPr>
          <w:trHeight w:val="27"/>
        </w:trPr>
        <w:tc>
          <w:tcPr>
            <w:tcW w:w="33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PSA 1 </w:t>
            </w:r>
            <w:r>
              <w:rPr>
                <w:rFonts w:ascii="Arial" w:cs="Arial" w:eastAsia="Arial" w:hAnsi="Arial"/>
                <w:sz w:val="16"/>
                <w:szCs w:val="16"/>
                <w:i w:val="1"/>
                <w:iCs w:val="1"/>
                <w:color w:val="auto"/>
              </w:rPr>
              <w:t>(a)</w:t>
            </w:r>
          </w:p>
        </w:tc>
        <w:tc>
          <w:tcPr>
            <w:tcW w:w="27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12%</w:t>
            </w:r>
          </w:p>
        </w:tc>
        <w:tc>
          <w:tcPr>
            <w:tcW w:w="1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2023</w:t>
            </w:r>
          </w:p>
        </w:tc>
      </w:tr>
      <w:tr>
        <w:trPr>
          <w:trHeight w:val="243"/>
        </w:trPr>
        <w:tc>
          <w:tcPr>
            <w:tcW w:w="3340" w:type="dxa"/>
            <w:vAlign w:val="bottom"/>
          </w:tcPr>
          <w:p>
            <w:pPr>
              <w:ind w:left="280"/>
              <w:spacing w:after="0"/>
              <w:rPr>
                <w:sz w:val="20"/>
                <w:szCs w:val="20"/>
                <w:color w:val="auto"/>
              </w:rPr>
            </w:pPr>
            <w:r>
              <w:rPr>
                <w:rFonts w:ascii="Arial" w:cs="Arial" w:eastAsia="Arial" w:hAnsi="Arial"/>
                <w:sz w:val="18"/>
                <w:szCs w:val="18"/>
                <w:color w:val="auto"/>
              </w:rPr>
              <w:t>PSA 2</w:t>
            </w:r>
          </w:p>
        </w:tc>
        <w:tc>
          <w:tcPr>
            <w:tcW w:w="272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4"/>
              </w:rPr>
              <w:t>88%</w:t>
            </w: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2023</w:t>
            </w:r>
          </w:p>
        </w:tc>
      </w:tr>
      <w:tr>
        <w:trPr>
          <w:trHeight w:val="27"/>
        </w:trPr>
        <w:tc>
          <w:tcPr>
            <w:tcW w:w="33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Condon</w:t>
            </w:r>
          </w:p>
        </w:tc>
        <w:tc>
          <w:tcPr>
            <w:tcW w:w="2720" w:type="dxa"/>
            <w:vAlign w:val="bottom"/>
            <w:tcBorders>
              <w:bottom w:val="single" w:sz="8" w:color="CCEEFF"/>
            </w:tcBorders>
            <w:shd w:val="clear" w:color="auto" w:fill="CCEEFF"/>
          </w:tcPr>
          <w:p>
            <w:pPr>
              <w:jc w:val="center"/>
              <w:ind w:left="1150"/>
              <w:spacing w:after="0"/>
              <w:rPr>
                <w:sz w:val="20"/>
                <w:szCs w:val="20"/>
                <w:color w:val="auto"/>
              </w:rPr>
            </w:pPr>
            <w:r>
              <w:rPr>
                <w:rFonts w:ascii="Arial" w:cs="Arial" w:eastAsia="Arial" w:hAnsi="Arial"/>
                <w:sz w:val="18"/>
                <w:szCs w:val="18"/>
                <w:color w:val="auto"/>
                <w:w w:val="87"/>
              </w:rPr>
              <w:t>West</w:t>
            </w:r>
          </w:p>
        </w:tc>
        <w:tc>
          <w:tcPr>
            <w:tcW w:w="1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2022</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Lake Benton</w:t>
            </w:r>
          </w:p>
        </w:tc>
        <w:tc>
          <w:tcPr>
            <w:tcW w:w="2720" w:type="dxa"/>
            <w:vAlign w:val="bottom"/>
          </w:tcPr>
          <w:p>
            <w:pPr>
              <w:jc w:val="center"/>
              <w:ind w:left="1150"/>
              <w:spacing w:after="0"/>
              <w:rPr>
                <w:sz w:val="20"/>
                <w:szCs w:val="20"/>
                <w:color w:val="auto"/>
              </w:rPr>
            </w:pPr>
            <w:r>
              <w:rPr>
                <w:rFonts w:ascii="Arial" w:cs="Arial" w:eastAsia="Arial" w:hAnsi="Arial"/>
                <w:sz w:val="18"/>
                <w:szCs w:val="18"/>
                <w:color w:val="auto"/>
                <w:w w:val="96"/>
              </w:rPr>
              <w:t>Midwest</w:t>
            </w:r>
          </w:p>
        </w:tc>
        <w:tc>
          <w:tcPr>
            <w:tcW w:w="1860" w:type="dxa"/>
            <w:vAlign w:val="bottom"/>
          </w:tcPr>
          <w:p>
            <w:pPr>
              <w:jc w:val="center"/>
              <w:ind w:left="10"/>
              <w:spacing w:after="0"/>
              <w:rPr>
                <w:sz w:val="20"/>
                <w:szCs w:val="20"/>
                <w:color w:val="auto"/>
              </w:rPr>
            </w:pPr>
            <w:r>
              <w:rPr>
                <w:rFonts w:ascii="Arial" w:cs="Arial" w:eastAsia="Arial" w:hAnsi="Arial"/>
                <w:sz w:val="18"/>
                <w:szCs w:val="18"/>
                <w:color w:val="auto"/>
                <w:w w:val="93"/>
              </w:rPr>
              <w:t>104</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2028</w:t>
            </w:r>
          </w:p>
        </w:tc>
      </w:tr>
      <w:tr>
        <w:trPr>
          <w:trHeight w:val="27"/>
        </w:trPr>
        <w:tc>
          <w:tcPr>
            <w:tcW w:w="33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Storm Lake I</w:t>
            </w:r>
          </w:p>
        </w:tc>
        <w:tc>
          <w:tcPr>
            <w:tcW w:w="2720" w:type="dxa"/>
            <w:vAlign w:val="bottom"/>
            <w:tcBorders>
              <w:bottom w:val="single" w:sz="8" w:color="CCEEFF"/>
            </w:tcBorders>
            <w:shd w:val="clear" w:color="auto" w:fill="CCEEFF"/>
          </w:tcPr>
          <w:p>
            <w:pPr>
              <w:jc w:val="center"/>
              <w:ind w:left="1150"/>
              <w:spacing w:after="0"/>
              <w:rPr>
                <w:sz w:val="20"/>
                <w:szCs w:val="20"/>
                <w:color w:val="auto"/>
              </w:rPr>
            </w:pPr>
            <w:r>
              <w:rPr>
                <w:rFonts w:ascii="Arial" w:cs="Arial" w:eastAsia="Arial" w:hAnsi="Arial"/>
                <w:sz w:val="18"/>
                <w:szCs w:val="18"/>
                <w:color w:val="auto"/>
                <w:w w:val="96"/>
              </w:rPr>
              <w:t>Midwest</w:t>
            </w:r>
          </w:p>
        </w:tc>
        <w:tc>
          <w:tcPr>
            <w:tcW w:w="186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93"/>
              </w:rPr>
              <w:t>108</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2027</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Storm Lake II</w:t>
            </w:r>
          </w:p>
        </w:tc>
        <w:tc>
          <w:tcPr>
            <w:tcW w:w="2720" w:type="dxa"/>
            <w:vAlign w:val="bottom"/>
          </w:tcPr>
          <w:p>
            <w:pPr>
              <w:jc w:val="center"/>
              <w:ind w:left="1150"/>
              <w:spacing w:after="0"/>
              <w:rPr>
                <w:sz w:val="20"/>
                <w:szCs w:val="20"/>
                <w:color w:val="auto"/>
              </w:rPr>
            </w:pPr>
            <w:r>
              <w:rPr>
                <w:rFonts w:ascii="Arial" w:cs="Arial" w:eastAsia="Arial" w:hAnsi="Arial"/>
                <w:sz w:val="18"/>
                <w:szCs w:val="18"/>
                <w:color w:val="auto"/>
                <w:w w:val="96"/>
              </w:rPr>
              <w:t>Midwest</w:t>
            </w: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77</w:t>
            </w:r>
          </w:p>
        </w:tc>
        <w:tc>
          <w:tcPr>
            <w:tcW w:w="1640" w:type="dxa"/>
            <w:vAlign w:val="bottom"/>
          </w:tcPr>
          <w:p>
            <w:pPr>
              <w:spacing w:after="0"/>
              <w:rPr>
                <w:sz w:val="21"/>
                <w:szCs w:val="21"/>
                <w:color w:val="auto"/>
              </w:rPr>
            </w:pPr>
          </w:p>
        </w:tc>
        <w:tc>
          <w:tcPr>
            <w:tcW w:w="1860" w:type="dxa"/>
            <w:vAlign w:val="bottom"/>
          </w:tcPr>
          <w:p>
            <w:pPr>
              <w:spacing w:after="0"/>
              <w:rPr>
                <w:sz w:val="21"/>
                <w:szCs w:val="21"/>
                <w:color w:val="auto"/>
              </w:rPr>
            </w:pPr>
          </w:p>
        </w:tc>
      </w:tr>
      <w:tr>
        <w:trPr>
          <w:trHeight w:val="27"/>
        </w:trPr>
        <w:tc>
          <w:tcPr>
            <w:tcW w:w="33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PSA 1</w:t>
            </w:r>
          </w:p>
        </w:tc>
        <w:tc>
          <w:tcPr>
            <w:tcW w:w="27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90%</w:t>
            </w:r>
          </w:p>
        </w:tc>
        <w:tc>
          <w:tcPr>
            <w:tcW w:w="1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r>
      <w:tr>
        <w:trPr>
          <w:trHeight w:val="243"/>
        </w:trPr>
        <w:tc>
          <w:tcPr>
            <w:tcW w:w="3340" w:type="dxa"/>
            <w:vAlign w:val="bottom"/>
          </w:tcPr>
          <w:p>
            <w:pPr>
              <w:ind w:left="280"/>
              <w:spacing w:after="0"/>
              <w:rPr>
                <w:sz w:val="20"/>
                <w:szCs w:val="20"/>
                <w:color w:val="auto"/>
              </w:rPr>
            </w:pPr>
            <w:r>
              <w:rPr>
                <w:rFonts w:ascii="Arial" w:cs="Arial" w:eastAsia="Arial" w:hAnsi="Arial"/>
                <w:sz w:val="18"/>
                <w:szCs w:val="18"/>
                <w:color w:val="auto"/>
              </w:rPr>
              <w:t>PSA 2</w:t>
            </w:r>
          </w:p>
        </w:tc>
        <w:tc>
          <w:tcPr>
            <w:tcW w:w="272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4"/>
              </w:rPr>
              <w:t>10%</w:t>
            </w: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2032</w:t>
            </w:r>
          </w:p>
        </w:tc>
      </w:tr>
      <w:tr>
        <w:trPr>
          <w:trHeight w:val="27"/>
        </w:trPr>
        <w:tc>
          <w:tcPr>
            <w:tcW w:w="33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720" w:type="dxa"/>
            <w:vAlign w:val="bottom"/>
            <w:tcBorders>
              <w:bottom w:val="single" w:sz="8" w:color="CCEEFF"/>
            </w:tcBorders>
            <w:shd w:val="clear" w:color="auto" w:fill="CCEEFF"/>
          </w:tcPr>
          <w:p>
            <w:pPr>
              <w:jc w:val="center"/>
              <w:ind w:left="1150"/>
              <w:spacing w:after="0"/>
              <w:rPr>
                <w:sz w:val="20"/>
                <w:szCs w:val="20"/>
                <w:color w:val="auto"/>
              </w:rPr>
            </w:pPr>
            <w:r>
              <w:rPr>
                <w:rFonts w:ascii="Arial" w:cs="Arial" w:eastAsia="Arial" w:hAnsi="Arial"/>
                <w:sz w:val="18"/>
                <w:szCs w:val="18"/>
                <w:color w:val="auto"/>
                <w:w w:val="96"/>
              </w:rPr>
              <w:t>Midwest</w:t>
            </w:r>
          </w:p>
        </w:tc>
        <w:tc>
          <w:tcPr>
            <w:tcW w:w="1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17</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2028</w:t>
            </w:r>
          </w:p>
        </w:tc>
      </w:tr>
      <w:tr>
        <w:trPr>
          <w:trHeight w:val="20"/>
        </w:trPr>
        <w:tc>
          <w:tcPr>
            <w:tcW w:w="3340" w:type="dxa"/>
            <w:vAlign w:val="bottom"/>
            <w:shd w:val="clear" w:color="auto" w:fill="000000"/>
          </w:tcPr>
          <w:p>
            <w:pPr>
              <w:spacing w:after="0" w:line="20" w:lineRule="exact"/>
              <w:rPr>
                <w:sz w:val="1"/>
                <w:szCs w:val="1"/>
                <w:color w:val="auto"/>
              </w:rPr>
            </w:pPr>
          </w:p>
        </w:tc>
        <w:tc>
          <w:tcPr>
            <w:tcW w:w="272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The PSA expiration assumes the exercise of four one-year renewal options that ALLETE Clean Energy has the sole right to exercise.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Water Services.</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February 8, 2019, the Company entered into a stock purchase agreement providing for the sale of U.S. Water Services to a subsidiary of Kurita Water Industries Ltd. On March 26, 2019, ALLETE completed the sale and received approximately $265 million in cash at closing, net of transaction costs and cash retained. ALLETE plans to use the proceeds from the sale primarily to reinvest in growth initiatives at our Regulated Operations and ALLETE Clean Energy.</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2019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44</w:t>
      </w:r>
    </w:p>
    <w:p>
      <w:pPr>
        <w:sectPr>
          <w:pgSz w:w="11900" w:h="16838" w:orient="portrait"/>
          <w:cols w:equalWidth="0" w:num="1">
            <w:col w:w="11420"/>
          </w:cols>
          <w:pgMar w:left="240" w:top="1040"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BNI Energy. </w:t>
      </w:r>
      <w:r>
        <w:rPr>
          <w:rFonts w:ascii="Arial" w:cs="Arial" w:eastAsia="Arial" w:hAnsi="Arial"/>
          <w:sz w:val="18"/>
          <w:szCs w:val="18"/>
          <w:color w:val="auto"/>
        </w:rPr>
        <w:t>BNI Energy anticipates selling 4.3 million tons of lignite coal in 2019 (4.3 million tons were sold in 2018) and has sold 3.2 million tons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nine months ended September 30, 2019 (3.4 million tons were sold for the nine months ended September 30, 2018). BNI Energy operates under cost-plus fixed fee agreements extending through December 31, 2037.</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Investment in Nobles 2</w:t>
      </w:r>
      <w:r>
        <w:rPr>
          <w:rFonts w:ascii="Arial" w:cs="Arial" w:eastAsia="Arial" w:hAnsi="Arial"/>
          <w:sz w:val="17"/>
          <w:szCs w:val="17"/>
          <w:color w:val="auto"/>
        </w:rPr>
        <w:t>. Our wholly-owned subsidiary, ALLETE South Wind, owns 49 percent of Nobles 2, the entity that will own and operate a 250 MW</w:t>
      </w:r>
      <w:r>
        <w:rPr>
          <w:rFonts w:ascii="Arial" w:cs="Arial" w:eastAsia="Arial" w:hAnsi="Arial"/>
          <w:sz w:val="17"/>
          <w:szCs w:val="17"/>
          <w:i w:val="1"/>
          <w:iCs w:val="1"/>
          <w:color w:val="auto"/>
        </w:rPr>
        <w:t xml:space="preserve"> </w:t>
      </w:r>
      <w:r>
        <w:rPr>
          <w:rFonts w:ascii="Arial" w:cs="Arial" w:eastAsia="Arial" w:hAnsi="Arial"/>
          <w:sz w:val="17"/>
          <w:szCs w:val="17"/>
          <w:color w:val="auto"/>
        </w:rPr>
        <w:t>wind energy facility in southwestern Minnesota pursuant to a 20-year PPA with Minnesota Power. The wind energy facility will be built in Nobles County, Minnesota and is expected to be completed in late 2020, with an estimated total project cost of approximately $350 million to $400 million, of which our portion is expected to be approximately $170 million to $200 million. We expect to utilize tax equity to finance a portion of our project costs. As of September 30, 2019, our equity investment in Nobles 2 was $46.4 million ($33.0 million at December 31, 2018). In the first quarter of 2019, Nobles 2 returned capital of $8.3 million based on its cash needs. We expect to make approximately $12 million in additional investments in 2019.</w:t>
      </w:r>
    </w:p>
    <w:p>
      <w:pPr>
        <w:spacing w:after="0" w:line="17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ALLETE Properties. </w:t>
      </w:r>
      <w:r>
        <w:rPr>
          <w:rFonts w:ascii="Arial" w:cs="Arial" w:eastAsia="Arial" w:hAnsi="Arial"/>
          <w:sz w:val="16"/>
          <w:szCs w:val="16"/>
          <w:color w:val="auto"/>
        </w:rPr>
        <w:t>ALLETE Properties represents our legacy Florida real estate investment. ALLETE Properties’ major projects in Florida are Town Center</w:t>
      </w:r>
      <w:r>
        <w:rPr>
          <w:rFonts w:ascii="Arial" w:cs="Arial" w:eastAsia="Arial" w:hAnsi="Arial"/>
          <w:sz w:val="16"/>
          <w:szCs w:val="16"/>
          <w:i w:val="1"/>
          <w:iCs w:val="1"/>
          <w:color w:val="auto"/>
        </w:rPr>
        <w:t xml:space="preserve"> </w:t>
      </w:r>
      <w:r>
        <w:rPr>
          <w:rFonts w:ascii="Arial" w:cs="Arial" w:eastAsia="Arial" w:hAnsi="Arial"/>
          <w:sz w:val="16"/>
          <w:szCs w:val="16"/>
          <w:color w:val="auto"/>
        </w:rPr>
        <w:t>at Palm Coast and Palm Coast Park, with approximately 1,500 acres combined of land available for sale. In addition to these two projects, ALLETE Properties has approximately 600 acres of other land available for sale. Market conditions can impact land sales and could result in our inability to cover our cost basis and operating expenses including fixed carrying costs such as community development district assessments and property taxes.</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strategy incorporates the possibility of a bulk sale of the entire ALLETE Properties portfolio. Proceeds from a bulk sale would be strategically deployed to support growth initiatives at our Regulated Operations and ALLETE Clean Energy. ALLETE Properties also continues to pursue sales of individual parcels over time and will continue to maintain key entitlements and infrastructure.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color w:val="auto"/>
        </w:rPr>
        <w:t>ALLETE’s aggregate federal and multi-state statutory tax rate is approximately 28 percent for 2019. ALLETE also has tax credits and other tax adjustments that reduce the combined statutory rate to the effective tax rate. These tax credits and adjustments historically have included items such as investment tax credits, production tax credits, AFUDC</w:t>
      </w:r>
      <w:r>
        <w:rPr>
          <w:rFonts w:ascii="MS PGothic" w:cs="MS PGothic" w:eastAsia="MS PGothic" w:hAnsi="MS PGothic"/>
          <w:sz w:val="17"/>
          <w:szCs w:val="17"/>
          <w:color w:val="auto"/>
        </w:rPr>
        <w:t>‑</w:t>
      </w:r>
      <w:r>
        <w:rPr>
          <w:rFonts w:ascii="Arial" w:cs="Arial" w:eastAsia="Arial" w:hAnsi="Arial"/>
          <w:sz w:val="17"/>
          <w:szCs w:val="17"/>
          <w:color w:val="auto"/>
        </w:rPr>
        <w:t>Equity, depletion, as well as other items. The annual effective rate can also be impacted by such items as changes in income before income taxes, state and federal tax law changes that become effective during the year, business combinations, tax planning initiatives and resolution of prior years’ tax matters. We expect our effective tax rate to be a benefit of approximately 5 percent for 2019 primarily due to federal production tax credits as a result of wind energy generation. We also expect that our effective tax rate will be lower than the combined statutory rate over the next 10 years due to production tax credits attributable to our wind energy generation.</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Liquidity Position. </w:t>
      </w:r>
      <w:r>
        <w:rPr>
          <w:rFonts w:ascii="Arial" w:cs="Arial" w:eastAsia="Arial" w:hAnsi="Arial"/>
          <w:sz w:val="18"/>
          <w:szCs w:val="18"/>
          <w:color w:val="auto"/>
        </w:rPr>
        <w:t>ALLETE is well-positioned to meet the Company’s liquidity needs. As of September 30, 2019, we had cash and cash equivalents of</w:t>
      </w:r>
      <w:r>
        <w:rPr>
          <w:rFonts w:ascii="Arial" w:cs="Arial" w:eastAsia="Arial" w:hAnsi="Arial"/>
          <w:sz w:val="18"/>
          <w:szCs w:val="18"/>
          <w:b w:val="1"/>
          <w:bCs w:val="1"/>
          <w:color w:val="auto"/>
        </w:rPr>
        <w:t xml:space="preserve"> </w:t>
      </w:r>
      <w:r>
        <w:rPr>
          <w:rFonts w:ascii="Arial" w:cs="Arial" w:eastAsia="Arial" w:hAnsi="Arial"/>
          <w:sz w:val="18"/>
          <w:szCs w:val="18"/>
          <w:color w:val="auto"/>
        </w:rPr>
        <w:t>$100.3 million, $346.9 million in available consolidated lines of credit and a debt-to-capital ratio of 42 percent.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0" w:type="dxa"/>
            <w:vAlign w:val="bottom"/>
          </w:tcPr>
          <w:p>
            <w:pPr>
              <w:spacing w:after="0"/>
              <w:rPr>
                <w:sz w:val="20"/>
                <w:szCs w:val="20"/>
                <w:color w:val="auto"/>
              </w:rPr>
            </w:pPr>
            <w:r>
              <w:rPr>
                <w:rFonts w:ascii="Arial" w:cs="Arial" w:eastAsia="Arial" w:hAnsi="Arial"/>
                <w:sz w:val="18"/>
                <w:szCs w:val="18"/>
                <w:b w:val="1"/>
                <w:bCs w:val="1"/>
                <w:color w:val="auto"/>
              </w:rPr>
              <w:t xml:space="preserve">Capital Structure. </w:t>
            </w:r>
            <w:r>
              <w:rPr>
                <w:rFonts w:ascii="Arial" w:cs="Arial" w:eastAsia="Arial" w:hAnsi="Arial"/>
                <w:sz w:val="18"/>
                <w:szCs w:val="18"/>
                <w:color w:val="auto"/>
              </w:rPr>
              <w:t>ALLETE’s capital structure is as follows:</w:t>
            </w:r>
          </w:p>
        </w:tc>
        <w:tc>
          <w:tcPr>
            <w:tcW w:w="2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441"/>
        </w:trPr>
        <w:tc>
          <w:tcPr>
            <w:tcW w:w="5800" w:type="dxa"/>
            <w:vAlign w:val="bottom"/>
          </w:tcPr>
          <w:p>
            <w:pPr>
              <w:spacing w:after="0"/>
              <w:rPr>
                <w:sz w:val="24"/>
                <w:szCs w:val="24"/>
                <w:color w:val="auto"/>
              </w:rPr>
            </w:pPr>
          </w:p>
        </w:tc>
        <w:tc>
          <w:tcPr>
            <w:tcW w:w="2360" w:type="dxa"/>
            <w:vAlign w:val="bottom"/>
          </w:tcPr>
          <w:p>
            <w:pPr>
              <w:jc w:val="right"/>
              <w:ind w:right="330"/>
              <w:spacing w:after="0"/>
              <w:rPr>
                <w:sz w:val="20"/>
                <w:szCs w:val="20"/>
                <w:color w:val="auto"/>
              </w:rPr>
            </w:pPr>
            <w:r>
              <w:rPr>
                <w:rFonts w:ascii="Arial" w:cs="Arial" w:eastAsia="Arial" w:hAnsi="Arial"/>
                <w:sz w:val="18"/>
                <w:szCs w:val="18"/>
                <w:b w:val="1"/>
                <w:bCs w:val="1"/>
                <w:color w:val="auto"/>
              </w:rPr>
              <w:t>September 30,</w:t>
            </w:r>
          </w:p>
        </w:tc>
        <w:tc>
          <w:tcPr>
            <w:tcW w:w="920" w:type="dxa"/>
            <w:vAlign w:val="bottom"/>
          </w:tcPr>
          <w:p>
            <w:pPr>
              <w:spacing w:after="0"/>
              <w:rPr>
                <w:sz w:val="24"/>
                <w:szCs w:val="24"/>
                <w:color w:val="auto"/>
              </w:rPr>
            </w:pPr>
          </w:p>
        </w:tc>
        <w:tc>
          <w:tcPr>
            <w:tcW w:w="1680" w:type="dxa"/>
            <w:vAlign w:val="bottom"/>
          </w:tcPr>
          <w:p>
            <w:pPr>
              <w:jc w:val="right"/>
              <w:ind w:right="310"/>
              <w:spacing w:after="0"/>
              <w:rPr>
                <w:sz w:val="20"/>
                <w:szCs w:val="20"/>
                <w:color w:val="auto"/>
              </w:rPr>
            </w:pPr>
            <w:r>
              <w:rPr>
                <w:rFonts w:ascii="Arial" w:cs="Arial" w:eastAsia="Arial" w:hAnsi="Arial"/>
                <w:sz w:val="18"/>
                <w:szCs w:val="18"/>
                <w:b w:val="1"/>
                <w:bCs w:val="1"/>
                <w:color w:val="auto"/>
              </w:rPr>
              <w:t>December 31,</w:t>
            </w:r>
          </w:p>
        </w:tc>
        <w:tc>
          <w:tcPr>
            <w:tcW w:w="660" w:type="dxa"/>
            <w:vAlign w:val="bottom"/>
          </w:tcPr>
          <w:p>
            <w:pPr>
              <w:spacing w:after="0"/>
              <w:rPr>
                <w:sz w:val="24"/>
                <w:szCs w:val="24"/>
                <w:color w:val="auto"/>
              </w:rPr>
            </w:pPr>
          </w:p>
        </w:tc>
      </w:tr>
      <w:tr>
        <w:trPr>
          <w:trHeight w:val="234"/>
        </w:trPr>
        <w:tc>
          <w:tcPr>
            <w:tcW w:w="5800" w:type="dxa"/>
            <w:vAlign w:val="bottom"/>
          </w:tcPr>
          <w:p>
            <w:pPr>
              <w:spacing w:after="0"/>
              <w:rPr>
                <w:sz w:val="20"/>
                <w:szCs w:val="20"/>
                <w:color w:val="auto"/>
              </w:rPr>
            </w:pPr>
          </w:p>
        </w:tc>
        <w:tc>
          <w:tcPr>
            <w:tcW w:w="23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92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1680" w:type="dxa"/>
            <w:vAlign w:val="bottom"/>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7"/>
        </w:trPr>
        <w:tc>
          <w:tcPr>
            <w:tcW w:w="580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37"/>
        </w:trPr>
        <w:tc>
          <w:tcPr>
            <w:tcW w:w="58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7"/>
        </w:trPr>
        <w:tc>
          <w:tcPr>
            <w:tcW w:w="58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23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$2,207.8</w:t>
            </w:r>
          </w:p>
        </w:tc>
        <w:tc>
          <w:tcPr>
            <w:tcW w:w="9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58</w:t>
            </w:r>
          </w:p>
        </w:tc>
        <w:tc>
          <w:tcPr>
            <w:tcW w:w="16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$2,155.8</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43"/>
        </w:trPr>
        <w:tc>
          <w:tcPr>
            <w:tcW w:w="5800" w:type="dxa"/>
            <w:vAlign w:val="bottom"/>
          </w:tcPr>
          <w:p>
            <w:pPr>
              <w:ind w:left="40"/>
              <w:spacing w:after="0"/>
              <w:rPr>
                <w:sz w:val="20"/>
                <w:szCs w:val="20"/>
                <w:color w:val="auto"/>
              </w:rPr>
            </w:pPr>
            <w:r>
              <w:rPr>
                <w:rFonts w:ascii="Arial" w:cs="Arial" w:eastAsia="Arial" w:hAnsi="Arial"/>
                <w:sz w:val="18"/>
                <w:szCs w:val="18"/>
                <w:color w:val="auto"/>
              </w:rPr>
              <w:t>Long-Term Debt (Including Long-Term Debt Due Within One Year)</w:t>
            </w:r>
          </w:p>
        </w:tc>
        <w:tc>
          <w:tcPr>
            <w:tcW w:w="2360" w:type="dxa"/>
            <w:vAlign w:val="bottom"/>
          </w:tcPr>
          <w:p>
            <w:pPr>
              <w:jc w:val="right"/>
              <w:ind w:right="290"/>
              <w:spacing w:after="0"/>
              <w:rPr>
                <w:sz w:val="20"/>
                <w:szCs w:val="20"/>
                <w:color w:val="auto"/>
              </w:rPr>
            </w:pPr>
            <w:r>
              <w:rPr>
                <w:rFonts w:ascii="Arial" w:cs="Arial" w:eastAsia="Arial" w:hAnsi="Arial"/>
                <w:sz w:val="18"/>
                <w:szCs w:val="18"/>
                <w:color w:val="auto"/>
              </w:rPr>
              <w:t>1,626.7</w:t>
            </w:r>
          </w:p>
        </w:tc>
        <w:tc>
          <w:tcPr>
            <w:tcW w:w="920" w:type="dxa"/>
            <w:vAlign w:val="bottom"/>
          </w:tcPr>
          <w:p>
            <w:pPr>
              <w:jc w:val="right"/>
              <w:ind w:right="190"/>
              <w:spacing w:after="0"/>
              <w:rPr>
                <w:sz w:val="20"/>
                <w:szCs w:val="20"/>
                <w:color w:val="auto"/>
              </w:rPr>
            </w:pPr>
            <w:r>
              <w:rPr>
                <w:rFonts w:ascii="Arial" w:cs="Arial" w:eastAsia="Arial" w:hAnsi="Arial"/>
                <w:sz w:val="18"/>
                <w:szCs w:val="18"/>
                <w:color w:val="auto"/>
              </w:rPr>
              <w:t>42</w:t>
            </w:r>
          </w:p>
        </w:tc>
        <w:tc>
          <w:tcPr>
            <w:tcW w:w="1680" w:type="dxa"/>
            <w:vAlign w:val="bottom"/>
          </w:tcPr>
          <w:p>
            <w:pPr>
              <w:jc w:val="right"/>
              <w:ind w:right="270"/>
              <w:spacing w:after="0"/>
              <w:rPr>
                <w:sz w:val="20"/>
                <w:szCs w:val="20"/>
                <w:color w:val="auto"/>
              </w:rPr>
            </w:pPr>
            <w:r>
              <w:rPr>
                <w:rFonts w:ascii="Arial" w:cs="Arial" w:eastAsia="Arial" w:hAnsi="Arial"/>
                <w:sz w:val="18"/>
                <w:szCs w:val="18"/>
                <w:color w:val="auto"/>
              </w:rPr>
              <w:t>1,495.2</w:t>
            </w:r>
          </w:p>
        </w:tc>
        <w:tc>
          <w:tcPr>
            <w:tcW w:w="6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
        </w:trPr>
        <w:tc>
          <w:tcPr>
            <w:tcW w:w="580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44"/>
        </w:trPr>
        <w:tc>
          <w:tcPr>
            <w:tcW w:w="580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$3,834.5</w:t>
            </w:r>
          </w:p>
        </w:tc>
        <w:tc>
          <w:tcPr>
            <w:tcW w:w="9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100</w:t>
            </w:r>
          </w:p>
        </w:tc>
        <w:tc>
          <w:tcPr>
            <w:tcW w:w="16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$3,651.0</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5800" w:type="dxa"/>
            <w:vAlign w:val="bottom"/>
            <w:shd w:val="clear" w:color="auto" w:fill="000000"/>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2019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45</w:t>
      </w:r>
    </w:p>
    <w:p>
      <w:pPr>
        <w:sectPr>
          <w:pgSz w:w="11900" w:h="16838" w:orient="portrait"/>
          <w:cols w:equalWidth="0" w:num="1">
            <w:col w:w="11420"/>
          </w:cols>
          <w:pgMar w:left="240" w:top="1039" w:right="2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34"/>
        </w:trPr>
        <w:tc>
          <w:tcPr>
            <w:tcW w:w="8160" w:type="dxa"/>
            <w:vAlign w:val="bottom"/>
          </w:tcPr>
          <w:p>
            <w:pPr>
              <w:spacing w:after="0"/>
              <w:rPr>
                <w:sz w:val="20"/>
                <w:szCs w:val="20"/>
                <w:color w:val="auto"/>
              </w:rPr>
            </w:pPr>
            <w:r>
              <w:rPr>
                <w:rFonts w:ascii="Arial" w:cs="Arial" w:eastAsia="Arial" w:hAnsi="Arial"/>
                <w:sz w:val="18"/>
                <w:szCs w:val="18"/>
                <w:b w:val="1"/>
                <w:bCs w:val="1"/>
                <w:color w:val="auto"/>
              </w:rPr>
              <w:t>LIQUIDITY AND CAPITAL RESOURCES (Continued)</w:t>
            </w:r>
          </w:p>
        </w:tc>
        <w:tc>
          <w:tcPr>
            <w:tcW w:w="22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32"/>
        </w:trPr>
        <w:tc>
          <w:tcPr>
            <w:tcW w:w="8160" w:type="dxa"/>
            <w:vAlign w:val="bottom"/>
          </w:tcPr>
          <w:p>
            <w:pPr>
              <w:spacing w:after="0"/>
              <w:rPr>
                <w:sz w:val="20"/>
                <w:szCs w:val="20"/>
                <w:color w:val="auto"/>
              </w:rPr>
            </w:pPr>
            <w:r>
              <w:rPr>
                <w:rFonts w:ascii="Arial" w:cs="Arial" w:eastAsia="Arial" w:hAnsi="Arial"/>
                <w:sz w:val="18"/>
                <w:szCs w:val="18"/>
                <w:b w:val="1"/>
                <w:bCs w:val="1"/>
                <w:color w:val="auto"/>
              </w:rPr>
              <w:t xml:space="preserve">Cash Flows. </w:t>
            </w:r>
            <w:r>
              <w:rPr>
                <w:rFonts w:ascii="Arial" w:cs="Arial" w:eastAsia="Arial" w:hAnsi="Arial"/>
                <w:sz w:val="18"/>
                <w:szCs w:val="18"/>
                <w:color w:val="auto"/>
              </w:rPr>
              <w:t>Selected information from the Consolidated Statement of Cash Flows is as follows:</w:t>
            </w:r>
          </w:p>
        </w:tc>
        <w:tc>
          <w:tcPr>
            <w:tcW w:w="2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59"/>
        </w:trPr>
        <w:tc>
          <w:tcPr>
            <w:tcW w:w="8160" w:type="dxa"/>
            <w:vAlign w:val="bottom"/>
          </w:tcPr>
          <w:p>
            <w:pPr>
              <w:ind w:left="40"/>
              <w:spacing w:after="0"/>
              <w:rPr>
                <w:sz w:val="20"/>
                <w:szCs w:val="20"/>
                <w:color w:val="auto"/>
              </w:rPr>
            </w:pPr>
            <w:r>
              <w:rPr>
                <w:rFonts w:ascii="Arial" w:cs="Arial" w:eastAsia="Arial" w:hAnsi="Arial"/>
                <w:sz w:val="18"/>
                <w:szCs w:val="18"/>
                <w:b w:val="1"/>
                <w:bCs w:val="1"/>
                <w:color w:val="auto"/>
              </w:rPr>
              <w:t>For the Nine Months Ended September 30,</w:t>
            </w:r>
          </w:p>
        </w:tc>
        <w:tc>
          <w:tcPr>
            <w:tcW w:w="22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2018</w:t>
            </w:r>
          </w:p>
        </w:tc>
      </w:tr>
      <w:tr>
        <w:trPr>
          <w:trHeight w:val="27"/>
        </w:trPr>
        <w:tc>
          <w:tcPr>
            <w:tcW w:w="816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81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2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81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at Beginning of Period</w:t>
            </w:r>
          </w:p>
        </w:tc>
        <w:tc>
          <w:tcPr>
            <w:tcW w:w="22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$79.0</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$110.1</w:t>
            </w:r>
          </w:p>
        </w:tc>
      </w:tr>
      <w:tr>
        <w:trPr>
          <w:trHeight w:val="243"/>
        </w:trPr>
        <w:tc>
          <w:tcPr>
            <w:tcW w:w="8160" w:type="dxa"/>
            <w:vAlign w:val="bottom"/>
          </w:tcPr>
          <w:p>
            <w:pPr>
              <w:ind w:left="40"/>
              <w:spacing w:after="0"/>
              <w:rPr>
                <w:sz w:val="20"/>
                <w:szCs w:val="20"/>
                <w:color w:val="auto"/>
              </w:rPr>
            </w:pPr>
            <w:r>
              <w:rPr>
                <w:rFonts w:ascii="Arial" w:cs="Arial" w:eastAsia="Arial" w:hAnsi="Arial"/>
                <w:sz w:val="18"/>
                <w:szCs w:val="18"/>
                <w:color w:val="auto"/>
              </w:rPr>
              <w:t>Cash Flows from (used for)</w:t>
            </w:r>
          </w:p>
        </w:tc>
        <w:tc>
          <w:tcPr>
            <w:tcW w:w="22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1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Activities</w:t>
            </w:r>
          </w:p>
        </w:tc>
        <w:tc>
          <w:tcPr>
            <w:tcW w:w="22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176.4</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298.1</w:t>
            </w:r>
          </w:p>
        </w:tc>
      </w:tr>
      <w:tr>
        <w:trPr>
          <w:trHeight w:val="243"/>
        </w:trPr>
        <w:tc>
          <w:tcPr>
            <w:tcW w:w="8160" w:type="dxa"/>
            <w:vAlign w:val="bottom"/>
          </w:tcPr>
          <w:p>
            <w:pPr>
              <w:ind w:left="280"/>
              <w:spacing w:after="0"/>
              <w:rPr>
                <w:sz w:val="20"/>
                <w:szCs w:val="20"/>
                <w:color w:val="auto"/>
              </w:rPr>
            </w:pPr>
            <w:r>
              <w:rPr>
                <w:rFonts w:ascii="Arial" w:cs="Arial" w:eastAsia="Arial" w:hAnsi="Arial"/>
                <w:sz w:val="18"/>
                <w:szCs w:val="18"/>
                <w:color w:val="auto"/>
              </w:rPr>
              <w:t>Investing Activities</w:t>
            </w:r>
          </w:p>
        </w:tc>
        <w:tc>
          <w:tcPr>
            <w:tcW w:w="2200" w:type="dxa"/>
            <w:vAlign w:val="bottom"/>
          </w:tcPr>
          <w:p>
            <w:pPr>
              <w:jc w:val="right"/>
              <w:ind w:right="370"/>
              <w:spacing w:after="0"/>
              <w:rPr>
                <w:sz w:val="20"/>
                <w:szCs w:val="20"/>
                <w:color w:val="auto"/>
              </w:rPr>
            </w:pPr>
            <w:r>
              <w:rPr>
                <w:rFonts w:ascii="Arial" w:cs="Arial" w:eastAsia="Arial" w:hAnsi="Arial"/>
                <w:sz w:val="18"/>
                <w:szCs w:val="18"/>
                <w:color w:val="auto"/>
              </w:rPr>
              <w:t>(160.0)</w:t>
            </w:r>
          </w:p>
        </w:tc>
        <w:tc>
          <w:tcPr>
            <w:tcW w:w="1060" w:type="dxa"/>
            <w:vAlign w:val="bottom"/>
          </w:tcPr>
          <w:p>
            <w:pPr>
              <w:jc w:val="right"/>
              <w:spacing w:after="0"/>
              <w:rPr>
                <w:sz w:val="20"/>
                <w:szCs w:val="20"/>
                <w:color w:val="auto"/>
              </w:rPr>
            </w:pPr>
            <w:r>
              <w:rPr>
                <w:rFonts w:ascii="Arial" w:cs="Arial" w:eastAsia="Arial" w:hAnsi="Arial"/>
                <w:sz w:val="18"/>
                <w:szCs w:val="18"/>
                <w:color w:val="auto"/>
              </w:rPr>
              <w:t>(207.8)</w:t>
            </w:r>
          </w:p>
        </w:tc>
      </w:tr>
      <w:tr>
        <w:trPr>
          <w:trHeight w:val="27"/>
        </w:trPr>
        <w:tc>
          <w:tcPr>
            <w:tcW w:w="81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5"/>
        </w:trPr>
        <w:tc>
          <w:tcPr>
            <w:tcW w:w="8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Financing Activities</w:t>
            </w:r>
          </w:p>
        </w:tc>
        <w:tc>
          <w:tcPr>
            <w:tcW w:w="22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39.8</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(58.9)</w:t>
            </w:r>
          </w:p>
        </w:tc>
      </w:tr>
      <w:tr>
        <w:trPr>
          <w:trHeight w:val="237"/>
        </w:trPr>
        <w:tc>
          <w:tcPr>
            <w:tcW w:w="816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Change in Cash, Cash Equivalents and Restricted Cash</w:t>
            </w:r>
          </w:p>
        </w:tc>
        <w:tc>
          <w:tcPr>
            <w:tcW w:w="220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rPr>
              <w:t>56.2</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31.4</w:t>
            </w:r>
          </w:p>
        </w:tc>
      </w:tr>
      <w:tr>
        <w:trPr>
          <w:trHeight w:val="27"/>
        </w:trPr>
        <w:tc>
          <w:tcPr>
            <w:tcW w:w="816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at End of Period</w:t>
            </w:r>
          </w:p>
        </w:tc>
        <w:tc>
          <w:tcPr>
            <w:tcW w:w="22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$135.2</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$141.5</w:t>
            </w:r>
          </w:p>
        </w:tc>
      </w:tr>
      <w:tr>
        <w:trPr>
          <w:trHeight w:val="20"/>
        </w:trPr>
        <w:tc>
          <w:tcPr>
            <w:tcW w:w="8160" w:type="dxa"/>
            <w:vAlign w:val="bottom"/>
            <w:shd w:val="clear" w:color="auto" w:fill="000000"/>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Cash from operating activities was lower in 2019 compared to 2018 primarily due to the refund of Minnesota Power’s provisions for tax</w:t>
      </w:r>
      <w:r>
        <w:rPr>
          <w:rFonts w:ascii="Arial" w:cs="Arial" w:eastAsia="Arial" w:hAnsi="Arial"/>
          <w:sz w:val="18"/>
          <w:szCs w:val="18"/>
          <w:i w:val="1"/>
          <w:iCs w:val="1"/>
          <w:color w:val="auto"/>
        </w:rPr>
        <w:t xml:space="preserve"> </w:t>
      </w:r>
      <w:r>
        <w:rPr>
          <w:rFonts w:ascii="Arial" w:cs="Arial" w:eastAsia="Arial" w:hAnsi="Arial"/>
          <w:sz w:val="18"/>
          <w:szCs w:val="18"/>
          <w:color w:val="auto"/>
        </w:rPr>
        <w:t>reform and interim rates to customers, fewer customer deposits received and lower recoveries from customers under cost recovery riders in 2019. These decreases were partially offset by the timing of collections of accounts receivable.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Cash used for investing activities was lower in 2019 compared to 2018 primarily due to proceeds received from the sale of U.S. Water</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partially offset by higher additions to property, plant and equipment.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Cash from financing activities was higher in 2019 primarily due to higher proceeds from the issuance of long-term debt.</w:t>
      </w:r>
    </w:p>
    <w:p>
      <w:pPr>
        <w:spacing w:after="0" w:line="22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auto"/>
        </w:rPr>
        <w:t xml:space="preserve">Working Capital. </w:t>
      </w:r>
      <w:r>
        <w:rPr>
          <w:rFonts w:ascii="Arial" w:cs="Arial" w:eastAsia="Arial" w:hAnsi="Arial"/>
          <w:sz w:val="17"/>
          <w:szCs w:val="17"/>
          <w:color w:val="auto"/>
        </w:rPr>
        <w:t>Additional working capital, if and when needed, generally is provided by consolidated bank lines of credit and the issuance of securities,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including long-term debt, common stock and commercial paper. As of September 30, 2019, we had consolidated bank lines of credit aggregating $407.0 million ($407.0 million as of December 31, 2018), the majority of which expire in January 2024. We had $60.1 million outstanding in standby letters of credit and no outstanding draws under our lines of credit as of September 30, 2019 ($18.4 million in standby letters of credit and no outstanding draws as of December 31, 2018). In addition, as of September 30, 2019, we had 3.7 million original issue shares of our common stock available for issuance through Invest Direct, our direct stock purchase and dividend reinvestment plan, and 2.9 million original issue shares of common stock available for issuance through a distribution agreement with Lampert Capital Markets, Inc. (See </w:t>
      </w:r>
      <w:r>
        <w:rPr>
          <w:rFonts w:ascii="Arial" w:cs="Arial" w:eastAsia="Arial" w:hAnsi="Arial"/>
          <w:sz w:val="17"/>
          <w:szCs w:val="17"/>
          <w:i w:val="1"/>
          <w:iCs w:val="1"/>
          <w:color w:val="auto"/>
        </w:rPr>
        <w:t>Securities.</w:t>
      </w:r>
      <w:r>
        <w:rPr>
          <w:rFonts w:ascii="Arial" w:cs="Arial" w:eastAsia="Arial" w:hAnsi="Arial"/>
          <w:sz w:val="17"/>
          <w:szCs w:val="17"/>
          <w:color w:val="auto"/>
        </w:rPr>
        <w:t>) The amount and timing of future sales of our securities will depend upon market conditions and our specific needs. On July 31, 2019, we filed Registration Statement No. 333-232905, pursuant to which the remaining shares will continue to be offered for sale, from time to time.</w:t>
      </w:r>
    </w:p>
    <w:p>
      <w:pPr>
        <w:spacing w:after="0" w:line="17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Securities. </w:t>
      </w:r>
      <w:r>
        <w:rPr>
          <w:rFonts w:ascii="Arial" w:cs="Arial" w:eastAsia="Arial" w:hAnsi="Arial"/>
          <w:sz w:val="18"/>
          <w:szCs w:val="18"/>
          <w:color w:val="auto"/>
        </w:rPr>
        <w:t>During the nine months ended September 30, 2019, we issued 0.2 million shares of common stock through Invest Direct, the Employee Stock</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 Plan, and the Retirement Savings and Stock Ownership Plan, resulting in net proceeds of $1.7 million (0.3 million shares were issued for the nine months ended September 30, 2018, resulting in net proceeds of $14.6 million). These shares of common stock were registered under Registration Statement Nos. 333-231030, 333-211075, 333-183051 and 333-162890.</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10, 2019, ALLETE entered into an amended and restated $400 million credit agreement, as amended (Credit Agreement). The Credit Agreement is unsecured, has a variable interest rate and will expire in January 2024. At ALLETE’s request and subject to certain conditions, the Credit Agreement may be increased by up to $150 million and ALLETE may make two requests to extend the maturity date, each for a one-year extension. Advances may be used by ALLETE for general corporate purposes, to provide liquidity in support of ALLETE’s commercial paper program and to issue up to $100 million in letters of credit. (See Note 6. Short-Term and Long-Term Debt.)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Covenants. </w:t>
      </w:r>
      <w:r>
        <w:rPr>
          <w:rFonts w:ascii="Arial" w:cs="Arial" w:eastAsia="Arial" w:hAnsi="Arial"/>
          <w:sz w:val="18"/>
          <w:szCs w:val="18"/>
          <w:color w:val="auto"/>
        </w:rPr>
        <w:t>See Note 6. Short-Term and Long-Term Debt for information regarding our financial covenants.</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Pension and Other Postretirement Benefit Plans. </w:t>
      </w:r>
      <w:r>
        <w:rPr>
          <w:rFonts w:ascii="Arial" w:cs="Arial" w:eastAsia="Arial" w:hAnsi="Arial"/>
          <w:sz w:val="18"/>
          <w:szCs w:val="18"/>
          <w:color w:val="auto"/>
        </w:rPr>
        <w:t>Management considers various factors when making funding decisions, such as regulatory requirements,</w:t>
      </w:r>
      <w:r>
        <w:rPr>
          <w:rFonts w:ascii="Arial" w:cs="Arial" w:eastAsia="Arial" w:hAnsi="Arial"/>
          <w:sz w:val="18"/>
          <w:szCs w:val="18"/>
          <w:b w:val="1"/>
          <w:bCs w:val="1"/>
          <w:color w:val="auto"/>
        </w:rPr>
        <w:t xml:space="preserve"> </w:t>
      </w:r>
      <w:r>
        <w:rPr>
          <w:rFonts w:ascii="Arial" w:cs="Arial" w:eastAsia="Arial" w:hAnsi="Arial"/>
          <w:sz w:val="18"/>
          <w:szCs w:val="18"/>
          <w:color w:val="auto"/>
        </w:rPr>
        <w:t>actuarially determined minimum contribution requirements and contributions required to avoid benefit restrictions for the defined benefit pension plans. (See Note 10. Pension and Other Postretirement Benefit Plans.)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Off-Balance Sheet Arrangements. </w:t>
      </w:r>
      <w:r>
        <w:rPr>
          <w:rFonts w:ascii="Arial" w:cs="Arial" w:eastAsia="Arial" w:hAnsi="Arial"/>
          <w:sz w:val="17"/>
          <w:szCs w:val="17"/>
          <w:color w:val="auto"/>
        </w:rPr>
        <w:t>Off-balance sheet arrangements are summarized in our 2018 Form 10-K, with additional disclosure in Note 7.</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Commitments, Guarantees and Contingencies.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2019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46</w:t>
      </w:r>
    </w:p>
    <w:p>
      <w:pPr>
        <w:sectPr>
          <w:pgSz w:w="11900" w:h="16838" w:orient="portrait"/>
          <w:cols w:equalWidth="0" w:num="1">
            <w:col w:w="11420"/>
          </w:cols>
          <w:pgMar w:left="240" w:top="1040"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LIQUIDITY AND CAPITAL RESOURCES (Continued)</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Credit Ratings</w:t>
      </w:r>
      <w:r>
        <w:rPr>
          <w:rFonts w:ascii="Arial" w:cs="Arial" w:eastAsia="Arial" w:hAnsi="Arial"/>
          <w:sz w:val="18"/>
          <w:szCs w:val="18"/>
          <w:color w:val="auto"/>
        </w:rPr>
        <w:t>. Access to reasonably priced capital markets is dependent in part on credit and ratings. Our securities have been rated by S&amp;P Global Ratings</w:t>
      </w:r>
      <w:r>
        <w:rPr>
          <w:rFonts w:ascii="Arial" w:cs="Arial" w:eastAsia="Arial" w:hAnsi="Arial"/>
          <w:sz w:val="18"/>
          <w:szCs w:val="18"/>
          <w:b w:val="1"/>
          <w:bCs w:val="1"/>
          <w:color w:val="auto"/>
        </w:rPr>
        <w:t xml:space="preserve"> </w:t>
      </w:r>
      <w:r>
        <w:rPr>
          <w:rFonts w:ascii="Arial" w:cs="Arial" w:eastAsia="Arial" w:hAnsi="Arial"/>
          <w:sz w:val="18"/>
          <w:szCs w:val="18"/>
          <w:color w:val="auto"/>
        </w:rPr>
        <w:t>and by Moody’s. Rating agencies use both quantitative and qualitative measures in determining a company’s credit rating. These measures include business risk, liquidity risk, competitive position, capital mix, financial condition, predictability of cash flows, management strength and future direction. Some of the quantitative measures can be analyzed through a few key financial ratios, while the qualitative ones are more subjective. Our current credit ratings are listed in the following table: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4380" w:type="dxa"/>
            <w:vAlign w:val="bottom"/>
          </w:tcPr>
          <w:p>
            <w:pPr>
              <w:jc w:val="center"/>
              <w:ind w:left="2812"/>
              <w:spacing w:after="0"/>
              <w:rPr>
                <w:sz w:val="20"/>
                <w:szCs w:val="20"/>
                <w:color w:val="auto"/>
              </w:rPr>
            </w:pPr>
            <w:r>
              <w:rPr>
                <w:rFonts w:ascii="Arial" w:cs="Arial" w:eastAsia="Arial" w:hAnsi="Arial"/>
                <w:sz w:val="18"/>
                <w:szCs w:val="18"/>
                <w:b w:val="1"/>
                <w:bCs w:val="1"/>
                <w:color w:val="auto"/>
                <w:w w:val="93"/>
              </w:rPr>
              <w:t>S&amp;P Global</w:t>
            </w:r>
          </w:p>
        </w:tc>
        <w:tc>
          <w:tcPr>
            <w:tcW w:w="130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5720" w:type="dxa"/>
            <w:vAlign w:val="bottom"/>
          </w:tcPr>
          <w:p>
            <w:pPr>
              <w:ind w:left="20"/>
              <w:spacing w:after="0"/>
              <w:rPr>
                <w:sz w:val="20"/>
                <w:szCs w:val="20"/>
                <w:color w:val="auto"/>
              </w:rPr>
            </w:pPr>
            <w:r>
              <w:rPr>
                <w:rFonts w:ascii="Arial" w:cs="Arial" w:eastAsia="Arial" w:hAnsi="Arial"/>
                <w:sz w:val="18"/>
                <w:szCs w:val="18"/>
                <w:b w:val="1"/>
                <w:bCs w:val="1"/>
                <w:color w:val="auto"/>
              </w:rPr>
              <w:t>Credit Ratings</w:t>
            </w:r>
          </w:p>
        </w:tc>
        <w:tc>
          <w:tcPr>
            <w:tcW w:w="4380" w:type="dxa"/>
            <w:vAlign w:val="bottom"/>
          </w:tcPr>
          <w:p>
            <w:pPr>
              <w:jc w:val="center"/>
              <w:ind w:left="2792"/>
              <w:spacing w:after="0"/>
              <w:rPr>
                <w:sz w:val="20"/>
                <w:szCs w:val="20"/>
                <w:color w:val="auto"/>
              </w:rPr>
            </w:pPr>
            <w:r>
              <w:rPr>
                <w:rFonts w:ascii="Arial" w:cs="Arial" w:eastAsia="Arial" w:hAnsi="Arial"/>
                <w:sz w:val="18"/>
                <w:szCs w:val="18"/>
                <w:b w:val="1"/>
                <w:bCs w:val="1"/>
                <w:color w:val="auto"/>
                <w:w w:val="87"/>
              </w:rPr>
              <w:t>Ratings</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0"/>
              </w:rPr>
              <w:t>Moody’s</w:t>
            </w:r>
          </w:p>
        </w:tc>
      </w:tr>
      <w:tr>
        <w:trPr>
          <w:trHeight w:val="27"/>
        </w:trPr>
        <w:tc>
          <w:tcPr>
            <w:tcW w:w="20" w:type="dxa"/>
            <w:vAlign w:val="bottom"/>
          </w:tcPr>
          <w:p>
            <w:pPr>
              <w:spacing w:after="0"/>
              <w:rPr>
                <w:sz w:val="2"/>
                <w:szCs w:val="2"/>
                <w:color w:val="auto"/>
              </w:rPr>
            </w:pPr>
          </w:p>
        </w:tc>
        <w:tc>
          <w:tcPr>
            <w:tcW w:w="5720" w:type="dxa"/>
            <w:vAlign w:val="bottom"/>
            <w:tcBorders>
              <w:bottom w:val="single" w:sz="8" w:color="auto"/>
            </w:tcBorders>
          </w:tcPr>
          <w:p>
            <w:pPr>
              <w:spacing w:after="0"/>
              <w:rPr>
                <w:sz w:val="2"/>
                <w:szCs w:val="2"/>
                <w:color w:val="auto"/>
              </w:rPr>
            </w:pPr>
          </w:p>
        </w:tc>
        <w:tc>
          <w:tcPr>
            <w:tcW w:w="4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Issuer Credit Rating</w:t>
            </w:r>
          </w:p>
        </w:tc>
        <w:tc>
          <w:tcPr>
            <w:tcW w:w="4380" w:type="dxa"/>
            <w:vAlign w:val="bottom"/>
            <w:tcBorders>
              <w:bottom w:val="single" w:sz="8" w:color="CCEEFF"/>
            </w:tcBorders>
            <w:shd w:val="clear" w:color="auto" w:fill="CCEEFF"/>
          </w:tcPr>
          <w:p>
            <w:pPr>
              <w:jc w:val="center"/>
              <w:ind w:left="2792"/>
              <w:spacing w:after="0"/>
              <w:rPr>
                <w:sz w:val="20"/>
                <w:szCs w:val="20"/>
                <w:color w:val="auto"/>
              </w:rPr>
            </w:pPr>
            <w:r>
              <w:rPr>
                <w:rFonts w:ascii="Arial" w:cs="Arial" w:eastAsia="Arial" w:hAnsi="Arial"/>
                <w:sz w:val="18"/>
                <w:szCs w:val="18"/>
                <w:color w:val="auto"/>
                <w:w w:val="98"/>
              </w:rPr>
              <w:t>BBB+</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5"/>
              </w:rPr>
              <w:t>Baa1</w:t>
            </w:r>
          </w:p>
        </w:tc>
      </w:tr>
      <w:tr>
        <w:trPr>
          <w:trHeight w:val="243"/>
        </w:trPr>
        <w:tc>
          <w:tcPr>
            <w:tcW w:w="20" w:type="dxa"/>
            <w:vAlign w:val="bottom"/>
          </w:tcPr>
          <w:p>
            <w:pPr>
              <w:spacing w:after="0"/>
              <w:rPr>
                <w:sz w:val="21"/>
                <w:szCs w:val="21"/>
                <w:color w:val="auto"/>
              </w:rPr>
            </w:pPr>
          </w:p>
        </w:tc>
        <w:tc>
          <w:tcPr>
            <w:tcW w:w="572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4380" w:type="dxa"/>
            <w:vAlign w:val="bottom"/>
          </w:tcPr>
          <w:p>
            <w:pPr>
              <w:jc w:val="center"/>
              <w:ind w:left="2812"/>
              <w:spacing w:after="0"/>
              <w:rPr>
                <w:sz w:val="20"/>
                <w:szCs w:val="20"/>
                <w:color w:val="auto"/>
              </w:rPr>
            </w:pPr>
            <w:r>
              <w:rPr>
                <w:rFonts w:ascii="Arial" w:cs="Arial" w:eastAsia="Arial" w:hAnsi="Arial"/>
                <w:sz w:val="18"/>
                <w:szCs w:val="18"/>
                <w:color w:val="auto"/>
                <w:w w:val="99"/>
              </w:rPr>
              <w:t>A-2</w:t>
            </w:r>
          </w:p>
        </w:tc>
        <w:tc>
          <w:tcPr>
            <w:tcW w:w="1300" w:type="dxa"/>
            <w:vAlign w:val="bottom"/>
          </w:tcPr>
          <w:p>
            <w:pPr>
              <w:jc w:val="center"/>
              <w:spacing w:after="0"/>
              <w:rPr>
                <w:sz w:val="20"/>
                <w:szCs w:val="20"/>
                <w:color w:val="auto"/>
              </w:rPr>
            </w:pPr>
            <w:r>
              <w:rPr>
                <w:rFonts w:ascii="Arial" w:cs="Arial" w:eastAsia="Arial" w:hAnsi="Arial"/>
                <w:sz w:val="18"/>
                <w:szCs w:val="18"/>
                <w:color w:val="auto"/>
                <w:w w:val="85"/>
              </w:rPr>
              <w:t>P-2</w:t>
            </w:r>
          </w:p>
        </w:tc>
      </w:tr>
      <w:tr>
        <w:trPr>
          <w:trHeight w:val="27"/>
        </w:trPr>
        <w:tc>
          <w:tcPr>
            <w:tcW w:w="20" w:type="dxa"/>
            <w:vAlign w:val="bottom"/>
          </w:tcPr>
          <w:p>
            <w:pPr>
              <w:spacing w:after="0"/>
              <w:rPr>
                <w:sz w:val="2"/>
                <w:szCs w:val="2"/>
                <w:color w:val="auto"/>
              </w:rPr>
            </w:pPr>
          </w:p>
        </w:tc>
        <w:tc>
          <w:tcPr>
            <w:tcW w:w="572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20" w:type="dxa"/>
            <w:vAlign w:val="bottom"/>
          </w:tcPr>
          <w:p>
            <w:pPr>
              <w:spacing w:after="0"/>
              <w:rPr>
                <w:sz w:val="23"/>
                <w:szCs w:val="23"/>
                <w:color w:val="auto"/>
              </w:rPr>
            </w:pPr>
          </w:p>
        </w:tc>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First Mortgage Bonds</w:t>
            </w:r>
          </w:p>
        </w:tc>
        <w:tc>
          <w:tcPr>
            <w:tcW w:w="4380" w:type="dxa"/>
            <w:vAlign w:val="bottom"/>
            <w:tcBorders>
              <w:bottom w:val="single" w:sz="8" w:color="CCEEFF"/>
            </w:tcBorders>
            <w:shd w:val="clear" w:color="auto" w:fill="CCEEFF"/>
          </w:tcPr>
          <w:p>
            <w:pPr>
              <w:jc w:val="center"/>
              <w:ind w:left="2792"/>
              <w:spacing w:after="0"/>
              <w:rPr>
                <w:sz w:val="20"/>
                <w:szCs w:val="20"/>
                <w:color w:val="auto"/>
              </w:rPr>
            </w:pPr>
            <w:r>
              <w:rPr>
                <w:rFonts w:ascii="Arial" w:cs="Arial" w:eastAsia="Arial" w:hAnsi="Arial"/>
                <w:sz w:val="16"/>
                <w:szCs w:val="16"/>
                <w:i w:val="1"/>
                <w:iCs w:val="1"/>
                <w:color w:val="auto"/>
                <w:w w:val="91"/>
              </w:rPr>
              <w:t>(a)</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A2</w:t>
            </w:r>
          </w:p>
        </w:tc>
      </w:tr>
      <w:tr>
        <w:trPr>
          <w:trHeight w:val="200"/>
        </w:trPr>
        <w:tc>
          <w:tcPr>
            <w:tcW w:w="20" w:type="dxa"/>
            <w:vAlign w:val="bottom"/>
          </w:tcPr>
          <w:p>
            <w:pPr>
              <w:spacing w:after="0"/>
              <w:rPr>
                <w:sz w:val="17"/>
                <w:szCs w:val="17"/>
                <w:color w:val="auto"/>
              </w:rPr>
            </w:pPr>
          </w:p>
        </w:tc>
        <w:tc>
          <w:tcPr>
            <w:tcW w:w="5720" w:type="dxa"/>
            <w:vAlign w:val="bottom"/>
            <w:tcBorders>
              <w:top w:val="single" w:sz="8" w:color="auto"/>
            </w:tcBorders>
          </w:tcPr>
          <w:p>
            <w:pPr>
              <w:spacing w:after="0"/>
              <w:rPr>
                <w:sz w:val="20"/>
                <w:szCs w:val="20"/>
                <w:color w:val="auto"/>
              </w:rPr>
            </w:pPr>
            <w:r>
              <w:rPr>
                <w:rFonts w:ascii="Arial" w:cs="Arial" w:eastAsia="Arial" w:hAnsi="Arial"/>
                <w:sz w:val="16"/>
                <w:szCs w:val="16"/>
                <w:i w:val="1"/>
                <w:iCs w:val="1"/>
                <w:color w:val="auto"/>
              </w:rPr>
              <w:t>(a)  Not rated by S&amp;P Global Ratings.</w:t>
            </w:r>
          </w:p>
        </w:tc>
        <w:tc>
          <w:tcPr>
            <w:tcW w:w="43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r>
    </w:tbl>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March 26, 2019, Moody’s downgraded the long-term ratings of ALLETE, including its issuer rating to Baa1 from A3, and changed its credit rating outlook to stable from negative. Moody’s noted the combined impact of the 2018 adverse general rate case outcome at Minnesota Power as well as its debt coverage ratios going forward as its rationale for the downgrade.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disclosure of these credit ratings is not a recommendation to buy, sell or hold our securities. Ratings are subject to revision or withdrawal at any time by the assigning rating organization. Each rating should be evaluated independently of any other rating.</w:t>
      </w:r>
    </w:p>
    <w:p>
      <w:pPr>
        <w:spacing w:after="0" w:line="16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 xml:space="preserve">Capital Requirements. </w:t>
      </w:r>
      <w:r>
        <w:rPr>
          <w:rFonts w:ascii="Arial" w:cs="Arial" w:eastAsia="Arial" w:hAnsi="Arial"/>
          <w:sz w:val="16"/>
          <w:szCs w:val="16"/>
          <w:color w:val="auto"/>
        </w:rPr>
        <w:t>Our capital expenditures for 2019 and 2020 are now expected to be approximately $695 million and $495 million, respectively. The</w:t>
      </w:r>
      <w:r>
        <w:rPr>
          <w:rFonts w:ascii="Arial" w:cs="Arial" w:eastAsia="Arial" w:hAnsi="Arial"/>
          <w:sz w:val="16"/>
          <w:szCs w:val="16"/>
          <w:b w:val="1"/>
          <w:bCs w:val="1"/>
          <w:color w:val="auto"/>
        </w:rPr>
        <w:t xml:space="preserve"> </w:t>
      </w:r>
      <w:r>
        <w:rPr>
          <w:rFonts w:ascii="Arial" w:cs="Arial" w:eastAsia="Arial" w:hAnsi="Arial"/>
          <w:sz w:val="16"/>
          <w:szCs w:val="16"/>
          <w:color w:val="auto"/>
        </w:rPr>
        <w:t>increases from the 2019 and 2020 capital expenditures projected in our 2018 Form 10-K are primarily due to the Diamond Spring wind energy facility that ALLETE Clean Energy will build, own and operate pursuant to long-term PSAs with Walmart Inc., Smithfield Foods, Inc. and Starbucks Corporation. (See Outlook – ALLETE Clean Energy.) For the nine months ended September 30, 2019, capital expenditures totaled $421.6 million ($215.5 million for the nine months ended September 30, 2018). The expenditures were primarily made in the Regulated Operations and ALLETE Clean Energy segments.</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businesses are subject to regulation of environmental matters by various federal, state and local authorities. A number of regulatory changes to the Clean Air Act, the Clean Water Act and various waste management requirements have been promulgated by both the EPA and state authorities over the past several years. Minnesota Power’s facilities are subject to additional requirements under many of these regulations. Minnesota Power is reshaping its generation portfolio, over time, to reduce its reliance on coal, has installed cost-effective emission control technology, and advocates for sound science and policy during rulemaking implementation. (See Note 7. Commitments, Guarantees and Contingencies.)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2019, ALLETE had 1,349 employees, of which 1,314 were full-time.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Minnesota Power and SWL&amp;P have an aggregate of 473 employees who are members of International Brotherhood of Electrical Workers (IBEW) Local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current labor agreements with IBEW Local 31 expire on April 30, 2020, for Minnesota Power and February 1, 2021, for SWL&amp;P.</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BNI Energy has 182 employees, of which 135 are subject to a labor agreement with IBEW Local 1593. The current labor agreement with IBEW Local 1593 expires on March 31, 2023.</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2019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47</w:t>
      </w:r>
    </w:p>
    <w:p>
      <w:pPr>
        <w:sectPr>
          <w:pgSz w:w="11900" w:h="16838" w:orient="portrait"/>
          <w:cols w:equalWidth="0" w:num="1">
            <w:col w:w="11420"/>
          </w:cols>
          <w:pgMar w:left="240" w:top="1040"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OTHER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New accounting pronouncements are discussed in Note 1. Operations and Significant Accounting Policies.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INVESTMENTS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Available-for-Sale Securities</w:t>
      </w:r>
      <w:r>
        <w:rPr>
          <w:rFonts w:ascii="Arial" w:cs="Arial" w:eastAsia="Arial" w:hAnsi="Arial"/>
          <w:sz w:val="18"/>
          <w:szCs w:val="18"/>
          <w:color w:val="auto"/>
        </w:rPr>
        <w:t>. As of September 30, 2019, our available-for-sale securities portfolio consisted primarily of securities held in other</w:t>
      </w:r>
      <w:r>
        <w:rPr>
          <w:rFonts w:ascii="Arial" w:cs="Arial" w:eastAsia="Arial" w:hAnsi="Arial"/>
          <w:sz w:val="18"/>
          <w:szCs w:val="18"/>
          <w:i w:val="1"/>
          <w:iCs w:val="1"/>
          <w:color w:val="auto"/>
        </w:rPr>
        <w:t xml:space="preserve"> </w:t>
      </w:r>
      <w:r>
        <w:rPr>
          <w:rFonts w:ascii="Arial" w:cs="Arial" w:eastAsia="Arial" w:hAnsi="Arial"/>
          <w:sz w:val="18"/>
          <w:szCs w:val="18"/>
          <w:color w:val="auto"/>
        </w:rPr>
        <w:t>postretirement plans to fund employee benefits.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regulated utility operations incur costs for power and fuel (primarily coal and related transportation) in Minnesota, and power and natural gas purchased for resale in our regulated service territory in Wisconsin. Minnesota Power’s exposure to price risk for these commodities is significantly mitigated by the current ratemaking process and regulatory framework, which allows recovery of fuel costs in excess of those included in base rates or distribution of savings in fuel costs to ratepayers. SWL&amp;P’s exposure to price risk for natural gas is significantly mitigated by the current ratemaking process and regulatory framework, which allows the commodity cost to be passed through to customers. We seek to prudently manage our customers’ exposure to price risk by entering into contracts of various durations and terms for the purchase of power and coal and related transportation costs (Minnesota Power), and natural gas (SWL&amp;P).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MARKETING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Minnesota Power’s power marketing activities consist of: (1) purchasing energy in the wholesale market to serve its regulated service territory when energy requirements exceed generation output; and (2) selling excess available energy and purchased power. From time to time, Minnesota Power may have excess energy that is temporarily not required by retail and municipal customers in our regulated service territory. Minnesota Power actively sells any excess energy to the wholesale market to optimize the value of its generating facilities.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exposed to credit risk primarily through our power marketing activities. We use credit policies to manage credit risk, which includes utilizing an established credit approval process and monitoring counterparty limits.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exposed to risks resulting from changes in interest rates as a result of our issuance of variable rate debt. We manage our interest rate risk by varying the issuance and maturity dates of our fixed rate debt, limiting the amount of variable rate debt, and continually monitoring the effects of market changes in interest rates. We may also enter into derivative financial instruments, such as interest rate swaps, to mitigate interest rate exposure. Interest rates on variable rate long-term debt are reset on a periodic basis reflecting prevailing market conditions. Based on the variable rate debt outstanding as of September 30, 2019, an increase of 100 basis points in interest rates would impact the amount of pre-tax interest expense by $1.5 million. This amount was determined by considering the impact of a hypothetical 100 basis point increase to the average variable interest rate on the variable rate debt outstanding as of September 30, 2019.</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2019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48</w:t>
      </w:r>
    </w:p>
    <w:p>
      <w:pPr>
        <w:sectPr>
          <w:pgSz w:w="11900" w:h="16838" w:orient="portrait"/>
          <w:cols w:equalWidth="0" w:num="1">
            <w:col w:w="11420"/>
          </w:cols>
          <w:pgMar w:left="240" w:top="1040"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color w:val="auto"/>
        </w:rPr>
        <w:t xml:space="preserve">Evaluation of Disclosure Controls and Procedures. </w:t>
      </w:r>
      <w:r>
        <w:rPr>
          <w:rFonts w:ascii="Arial" w:cs="Arial" w:eastAsia="Arial" w:hAnsi="Arial"/>
          <w:sz w:val="16"/>
          <w:szCs w:val="16"/>
          <w:color w:val="auto"/>
        </w:rPr>
        <w:t>As of September 30, 2019, evaluations were performed, under the supervision and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participation of management, including our principal executive officer and principal financial officer, on the effectiveness of the design and operation of ALLETE’s disclosure controls and procedures (as defined in Rules 13a-15(e) and 15d-15(e) of the Securities Exchange Act of 1934 (Exchange Act)). Based upon those evaluations, our principal executive officer and principal financial officer have concluded that such disclosure controls and procedures are effective to provide assurance that information required to be disclosed in ALLETE’s reports filed or submitted under the Exchange Act is recorded, processed, summarized and reported within the time periods specified in the SEC’s rules and forms, and such information is accumulated and communicated to our management, including our principal executive officer and principal financial officer, to allow timely decisions regarding required disclosure.</w:t>
      </w:r>
    </w:p>
    <w:p>
      <w:pPr>
        <w:spacing w:after="0" w:line="16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Changes in Internal Controls. </w:t>
      </w:r>
      <w:r>
        <w:rPr>
          <w:rFonts w:ascii="Arial" w:cs="Arial" w:eastAsia="Arial" w:hAnsi="Arial"/>
          <w:sz w:val="18"/>
          <w:szCs w:val="18"/>
          <w:color w:val="auto"/>
        </w:rPr>
        <w:t>There has been no change in our internal control over financial reporting that occurred during our most recent fiscal quarter</w:t>
      </w:r>
      <w:r>
        <w:rPr>
          <w:rFonts w:ascii="Arial" w:cs="Arial" w:eastAsia="Arial" w:hAnsi="Arial"/>
          <w:sz w:val="18"/>
          <w:szCs w:val="18"/>
          <w:b w:val="1"/>
          <w:bCs w:val="1"/>
          <w:color w:val="auto"/>
        </w:rPr>
        <w:t xml:space="preserve"> </w:t>
      </w:r>
      <w:r>
        <w:rPr>
          <w:rFonts w:ascii="Arial" w:cs="Arial" w:eastAsia="Arial" w:hAnsi="Arial"/>
          <w:sz w:val="18"/>
          <w:szCs w:val="18"/>
          <w:color w:val="auto"/>
        </w:rPr>
        <w:t>that has materially affected, or is reasonably likely to materially affect, our internal control over financial reporting.</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information regarding material legal and regulatory proceedings, see Note 4. Regulatory Matters and Note 11. Commitments, Guarantees and Contingencies to the Consolidated Financial Statements in our 2018 Form 10-K and Note 2. Regulatory Matters and Note 7. Commitments, Guarantees and Contingencies herein. Such information is incorporated herein by reference.</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from the risk factors disclosed in Part I, Item 1A. Risk Factors of our 2018 Form 10-K.</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Dodd-Frank Wall Street Reform and Consumer Protection Act (Dodd-Frank Act) requires issuers to include in periodic reports filed with the SEC certain information relating to citations or orders for violations of standards under the Federal Mine Safety and Health Act of 1977 (Mine Safety Act). Information concerning mine safety violations or other regulatory matters required by Section 1503(a) of the Dodd-Frank Act and this Item are included in Exhibit 95 to this Form 10-Q.</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2019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49</w:t>
      </w:r>
    </w:p>
    <w:p>
      <w:pPr>
        <w:sectPr>
          <w:pgSz w:w="11900" w:h="16838" w:orient="portrait"/>
          <w:cols w:equalWidth="0" w:num="1">
            <w:col w:w="11420"/>
          </w:cols>
          <w:pgMar w:left="240" w:top="1040"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ITEM 6. EXHIBITS</w:t>
      </w:r>
    </w:p>
    <w:p>
      <w:pPr>
        <w:spacing w:after="0" w:line="23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308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9" w:lineRule="exact"/>
        <w:rPr>
          <w:sz w:val="20"/>
          <w:szCs w:val="20"/>
          <w:color w:val="auto"/>
        </w:rPr>
      </w:pPr>
    </w:p>
    <w:p>
      <w:pPr>
        <w:ind w:left="1300" w:right="40" w:hanging="1265"/>
        <w:spacing w:after="0" w:line="277" w:lineRule="auto"/>
        <w:tabs>
          <w:tab w:leader="none" w:pos="1300" w:val="left"/>
        </w:tabs>
        <w:numPr>
          <w:ilvl w:val="0"/>
          <w:numId w:val="14"/>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Amended and Restated Term Loan Agreement dated August 14, 2019, among ALLETE, as Borrower, the lenders party hereto, JPMorgan Chase Bank, N.A., as Administrative Agent and Bank of America, N.A., as Syndication Agent.</w:t>
      </w:r>
    </w:p>
    <w:tbl>
      <w:tblPr>
        <w:tblLayout w:type="fixed"/>
        <w:tblInd w:w="0" w:type="dxa"/>
        <w:tblCellMar>
          <w:top w:w="0" w:type="dxa"/>
          <w:left w:w="0" w:type="dxa"/>
          <w:bottom w:w="0" w:type="dxa"/>
          <w:right w:w="0" w:type="dxa"/>
        </w:tblCellMar>
      </w:tblPr>
      <w:tr>
        <w:trPr>
          <w:trHeight w:val="198"/>
        </w:trPr>
        <w:tc>
          <w:tcPr>
            <w:tcW w:w="860" w:type="dxa"/>
            <w:vAlign w:val="bottom"/>
            <w:gridSpan w:val="3"/>
          </w:tcPr>
          <w:p>
            <w:pPr>
              <w:ind w:left="40"/>
              <w:spacing w:after="0" w:line="198" w:lineRule="exact"/>
              <w:rPr>
                <w:sz w:val="20"/>
                <w:szCs w:val="20"/>
                <w:color w:val="auto"/>
              </w:rPr>
            </w:pPr>
            <w:r>
              <w:rPr>
                <w:rFonts w:ascii="Arial" w:cs="Arial" w:eastAsia="Arial" w:hAnsi="Arial"/>
                <w:sz w:val="18"/>
                <w:szCs w:val="18"/>
                <w:color w:val="0000FF"/>
              </w:rPr>
              <w:t>31(a)</w:t>
            </w:r>
          </w:p>
        </w:tc>
        <w:tc>
          <w:tcPr>
            <w:tcW w:w="2300" w:type="dxa"/>
            <w:vAlign w:val="bottom"/>
            <w:gridSpan w:val="2"/>
          </w:tcPr>
          <w:p>
            <w:pPr>
              <w:ind w:left="440"/>
              <w:spacing w:after="0" w:line="198" w:lineRule="exact"/>
              <w:rPr>
                <w:sz w:val="20"/>
                <w:szCs w:val="20"/>
                <w:color w:val="auto"/>
              </w:rPr>
            </w:pPr>
            <w:r>
              <w:rPr>
                <w:rFonts w:ascii="Arial" w:cs="Arial" w:eastAsia="Arial" w:hAnsi="Arial"/>
                <w:sz w:val="18"/>
                <w:szCs w:val="18"/>
                <w:color w:val="0000FF"/>
                <w:w w:val="90"/>
              </w:rPr>
              <w:t>Rule 13a-14(a)/15d-14(a)</w:t>
            </w:r>
          </w:p>
        </w:tc>
        <w:tc>
          <w:tcPr>
            <w:tcW w:w="8260" w:type="dxa"/>
            <w:vAlign w:val="bottom"/>
            <w:gridSpan w:val="3"/>
          </w:tcPr>
          <w:p>
            <w:pPr>
              <w:ind w:left="20"/>
              <w:spacing w:after="0" w:line="198" w:lineRule="exact"/>
              <w:rPr>
                <w:sz w:val="20"/>
                <w:szCs w:val="20"/>
                <w:color w:val="auto"/>
              </w:rPr>
            </w:pPr>
            <w:r>
              <w:rPr>
                <w:rFonts w:ascii="Arial" w:cs="Arial" w:eastAsia="Arial" w:hAnsi="Arial"/>
                <w:sz w:val="18"/>
                <w:szCs w:val="18"/>
                <w:color w:val="0000FF"/>
              </w:rPr>
              <w:t>Certification by the Chief Executive Officer Pursuant to Section 302 of the Sarbanes-Oxley Act of 2002.</w:t>
            </w:r>
          </w:p>
        </w:tc>
      </w:tr>
      <w:tr>
        <w:trPr>
          <w:trHeight w:val="48"/>
        </w:trPr>
        <w:tc>
          <w:tcPr>
            <w:tcW w:w="40" w:type="dxa"/>
            <w:vAlign w:val="bottom"/>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4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60" w:type="dxa"/>
            <w:vAlign w:val="bottom"/>
            <w:tcBorders>
              <w:top w:val="single" w:sz="8" w:color="0000FF"/>
            </w:tcBorders>
          </w:tcPr>
          <w:p>
            <w:pPr>
              <w:spacing w:after="0"/>
              <w:rPr>
                <w:sz w:val="4"/>
                <w:szCs w:val="4"/>
                <w:color w:val="auto"/>
              </w:rPr>
            </w:pPr>
          </w:p>
        </w:tc>
        <w:tc>
          <w:tcPr>
            <w:tcW w:w="75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700" w:type="dxa"/>
            <w:vAlign w:val="bottom"/>
          </w:tcPr>
          <w:p>
            <w:pPr>
              <w:spacing w:after="0"/>
              <w:rPr>
                <w:sz w:val="4"/>
                <w:szCs w:val="4"/>
                <w:color w:val="auto"/>
              </w:rPr>
            </w:pPr>
          </w:p>
        </w:tc>
      </w:tr>
      <w:tr>
        <w:trPr>
          <w:trHeight w:val="203"/>
        </w:trPr>
        <w:tc>
          <w:tcPr>
            <w:tcW w:w="86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color w:val="0000FF"/>
              </w:rPr>
              <w:t>31(b)</w:t>
            </w:r>
          </w:p>
        </w:tc>
        <w:tc>
          <w:tcPr>
            <w:tcW w:w="230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0000FF"/>
                <w:w w:val="90"/>
              </w:rPr>
              <w:t>Rule 13a-14(a)/15d-14(a)</w:t>
            </w:r>
          </w:p>
        </w:tc>
        <w:tc>
          <w:tcPr>
            <w:tcW w:w="826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color w:val="0000FF"/>
              </w:rPr>
              <w:t>Certification by the Chief Financial Officer Pursuant to Section 302 of the Sarbanes-Oxley Act of 2002.</w:t>
            </w: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860" w:type="dxa"/>
            <w:vAlign w:val="bottom"/>
            <w:tcBorders>
              <w:top w:val="single" w:sz="8" w:color="0000FF"/>
            </w:tcBorders>
            <w:shd w:val="clear" w:color="auto" w:fill="CCEEFF"/>
          </w:tcPr>
          <w:p>
            <w:pPr>
              <w:spacing w:after="0"/>
              <w:rPr>
                <w:sz w:val="4"/>
                <w:szCs w:val="4"/>
                <w:color w:val="auto"/>
              </w:rPr>
            </w:pPr>
          </w:p>
        </w:tc>
        <w:tc>
          <w:tcPr>
            <w:tcW w:w="750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r>
    </w:tbl>
    <w:p>
      <w:pPr>
        <w:spacing w:after="0" w:line="13" w:lineRule="exact"/>
        <w:rPr>
          <w:sz w:val="20"/>
          <w:szCs w:val="20"/>
          <w:color w:val="auto"/>
        </w:rPr>
      </w:pPr>
    </w:p>
    <w:p>
      <w:pPr>
        <w:ind w:left="1300" w:right="20" w:hanging="1265"/>
        <w:spacing w:after="0" w:line="277" w:lineRule="auto"/>
        <w:tabs>
          <w:tab w:leader="none" w:pos="1300" w:val="left"/>
        </w:tabs>
        <w:numPr>
          <w:ilvl w:val="0"/>
          <w:numId w:val="15"/>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Section 1350 Certification of Periodic Report by the Chief Executive Officer and the Chief Financial Officer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40"/>
        <w:spacing w:after="0"/>
        <w:tabs>
          <w:tab w:leader="none" w:pos="1280" w:val="left"/>
        </w:tabs>
        <w:rPr>
          <w:sz w:val="20"/>
          <w:szCs w:val="20"/>
          <w:color w:val="auto"/>
        </w:rPr>
      </w:pPr>
      <w:r>
        <w:rPr>
          <w:rFonts w:ascii="Arial" w:cs="Arial" w:eastAsia="Arial" w:hAnsi="Arial"/>
          <w:sz w:val="18"/>
          <w:szCs w:val="18"/>
          <w:u w:val="single" w:color="auto"/>
          <w:color w:val="0000FF"/>
        </w:rPr>
        <w:t>95</w:t>
      </w:r>
      <w:r>
        <w:rPr>
          <w:sz w:val="20"/>
          <w:szCs w:val="20"/>
          <w:color w:val="auto"/>
        </w:rPr>
        <w:tab/>
      </w:r>
      <w:r>
        <w:rPr>
          <w:rFonts w:ascii="Arial" w:cs="Arial" w:eastAsia="Arial" w:hAnsi="Arial"/>
          <w:sz w:val="18"/>
          <w:szCs w:val="18"/>
          <w:u w:val="single" w:color="auto"/>
          <w:color w:val="0000FF"/>
        </w:rPr>
        <w:t>Mine Safety.</w:t>
      </w:r>
    </w:p>
    <w:p>
      <w:pPr>
        <w:spacing w:after="0" w:line="59" w:lineRule="exact"/>
        <w:rPr>
          <w:sz w:val="20"/>
          <w:szCs w:val="20"/>
          <w:color w:val="auto"/>
        </w:rPr>
      </w:pPr>
    </w:p>
    <w:p>
      <w:pPr>
        <w:jc w:val="both"/>
        <w:ind w:left="1300" w:right="20" w:hanging="1265"/>
        <w:spacing w:after="0" w:line="301" w:lineRule="auto"/>
        <w:tabs>
          <w:tab w:leader="none" w:pos="1300" w:val="left"/>
        </w:tabs>
        <w:numPr>
          <w:ilvl w:val="0"/>
          <w:numId w:val="16"/>
        </w:numPr>
        <w:rPr>
          <w:rFonts w:ascii="Arial" w:cs="Arial" w:eastAsia="Arial" w:hAnsi="Arial"/>
          <w:sz w:val="16"/>
          <w:szCs w:val="16"/>
          <w:u w:val="single" w:color="auto"/>
          <w:color w:val="0000FF"/>
        </w:rPr>
      </w:pPr>
      <w:r>
        <w:rPr>
          <w:rFonts w:ascii="Arial" w:cs="Arial" w:eastAsia="Arial" w:hAnsi="Arial"/>
          <w:sz w:val="16"/>
          <w:szCs w:val="16"/>
          <w:b w:val="1"/>
          <w:bCs w:val="1"/>
          <w:u w:val="single" w:color="auto"/>
          <w:color w:val="0000FF"/>
        </w:rPr>
        <w:t>ALLETE News Release dated November 6, 2019, announcing 2019 third quarter earnings. (This exhibit has been furnished and shall not be deemed “filed” for purposes of Section 18 of the Securities Exchange Act of 1934, nor shall it be deemed incorporated by reference in any filing under the Securities Act of 1933, except as shall be expressly set forth by specific reference in such filing.)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101.INS</w:t>
            </w:r>
          </w:p>
        </w:tc>
        <w:tc>
          <w:tcPr>
            <w:tcW w:w="1042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0"/>
              </w:rPr>
              <w:t>XBRL Instance Document - the instance document does not appear in the Interactive Data File because its XBRL tags are embedded within</w:t>
            </w:r>
          </w:p>
        </w:tc>
      </w:tr>
      <w:tr>
        <w:trPr>
          <w:trHeight w:val="237"/>
        </w:trPr>
        <w:tc>
          <w:tcPr>
            <w:tcW w:w="1000" w:type="dxa"/>
            <w:vAlign w:val="bottom"/>
            <w:tcBorders>
              <w:bottom w:val="single" w:sz="8" w:color="CCEEFF"/>
            </w:tcBorders>
            <w:shd w:val="clear" w:color="auto" w:fill="CCEEFF"/>
          </w:tcPr>
          <w:p>
            <w:pPr>
              <w:spacing w:after="0"/>
              <w:rPr>
                <w:sz w:val="20"/>
                <w:szCs w:val="20"/>
                <w:color w:val="auto"/>
              </w:rPr>
            </w:pPr>
          </w:p>
        </w:tc>
        <w:tc>
          <w:tcPr>
            <w:tcW w:w="104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the Inline XBRL document.</w:t>
            </w:r>
          </w:p>
        </w:tc>
      </w:tr>
      <w:tr>
        <w:trPr>
          <w:trHeight w:val="243"/>
        </w:trPr>
        <w:tc>
          <w:tcPr>
            <w:tcW w:w="1000" w:type="dxa"/>
            <w:vAlign w:val="bottom"/>
          </w:tcPr>
          <w:p>
            <w:pPr>
              <w:ind w:left="40"/>
              <w:spacing w:after="0"/>
              <w:rPr>
                <w:sz w:val="20"/>
                <w:szCs w:val="20"/>
                <w:color w:val="auto"/>
              </w:rPr>
            </w:pPr>
            <w:r>
              <w:rPr>
                <w:rFonts w:ascii="Arial" w:cs="Arial" w:eastAsia="Arial" w:hAnsi="Arial"/>
                <w:sz w:val="18"/>
                <w:szCs w:val="18"/>
                <w:color w:val="auto"/>
              </w:rPr>
              <w:t>101.SCH</w:t>
            </w:r>
          </w:p>
        </w:tc>
        <w:tc>
          <w:tcPr>
            <w:tcW w:w="10420" w:type="dxa"/>
            <w:vAlign w:val="bottom"/>
          </w:tcPr>
          <w:p>
            <w:pPr>
              <w:ind w:left="300"/>
              <w:spacing w:after="0"/>
              <w:rPr>
                <w:sz w:val="20"/>
                <w:szCs w:val="20"/>
                <w:color w:val="auto"/>
              </w:rPr>
            </w:pPr>
            <w:r>
              <w:rPr>
                <w:rFonts w:ascii="Arial" w:cs="Arial" w:eastAsia="Arial" w:hAnsi="Arial"/>
                <w:sz w:val="18"/>
                <w:szCs w:val="18"/>
                <w:color w:val="auto"/>
              </w:rPr>
              <w:t>XBRL Schema</w:t>
            </w:r>
          </w:p>
        </w:tc>
      </w:tr>
      <w:tr>
        <w:trPr>
          <w:trHeight w:val="27"/>
        </w:trPr>
        <w:tc>
          <w:tcPr>
            <w:tcW w:w="1000" w:type="dxa"/>
            <w:vAlign w:val="bottom"/>
          </w:tcPr>
          <w:p>
            <w:pPr>
              <w:spacing w:after="0"/>
              <w:rPr>
                <w:sz w:val="2"/>
                <w:szCs w:val="2"/>
                <w:color w:val="auto"/>
              </w:rPr>
            </w:pPr>
          </w:p>
        </w:tc>
        <w:tc>
          <w:tcPr>
            <w:tcW w:w="10420" w:type="dxa"/>
            <w:vAlign w:val="bottom"/>
          </w:tcPr>
          <w:p>
            <w:pPr>
              <w:spacing w:after="0"/>
              <w:rPr>
                <w:sz w:val="2"/>
                <w:szCs w:val="2"/>
                <w:color w:val="auto"/>
              </w:rPr>
            </w:pPr>
          </w:p>
        </w:tc>
      </w:tr>
      <w:tr>
        <w:trPr>
          <w:trHeight w:val="250"/>
        </w:trPr>
        <w:tc>
          <w:tcPr>
            <w:tcW w:w="1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101.CAL</w:t>
            </w:r>
          </w:p>
        </w:tc>
        <w:tc>
          <w:tcPr>
            <w:tcW w:w="104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XBRL Calculation</w:t>
            </w:r>
          </w:p>
        </w:tc>
      </w:tr>
      <w:tr>
        <w:trPr>
          <w:trHeight w:val="243"/>
        </w:trPr>
        <w:tc>
          <w:tcPr>
            <w:tcW w:w="1000" w:type="dxa"/>
            <w:vAlign w:val="bottom"/>
          </w:tcPr>
          <w:p>
            <w:pPr>
              <w:ind w:left="40"/>
              <w:spacing w:after="0"/>
              <w:rPr>
                <w:sz w:val="20"/>
                <w:szCs w:val="20"/>
                <w:color w:val="auto"/>
              </w:rPr>
            </w:pPr>
            <w:r>
              <w:rPr>
                <w:rFonts w:ascii="Arial" w:cs="Arial" w:eastAsia="Arial" w:hAnsi="Arial"/>
                <w:sz w:val="18"/>
                <w:szCs w:val="18"/>
                <w:color w:val="auto"/>
              </w:rPr>
              <w:t>101.DEF</w:t>
            </w:r>
          </w:p>
        </w:tc>
        <w:tc>
          <w:tcPr>
            <w:tcW w:w="10420" w:type="dxa"/>
            <w:vAlign w:val="bottom"/>
          </w:tcPr>
          <w:p>
            <w:pPr>
              <w:ind w:left="300"/>
              <w:spacing w:after="0"/>
              <w:rPr>
                <w:sz w:val="20"/>
                <w:szCs w:val="20"/>
                <w:color w:val="auto"/>
              </w:rPr>
            </w:pPr>
            <w:r>
              <w:rPr>
                <w:rFonts w:ascii="Arial" w:cs="Arial" w:eastAsia="Arial" w:hAnsi="Arial"/>
                <w:sz w:val="18"/>
                <w:szCs w:val="18"/>
                <w:color w:val="auto"/>
              </w:rPr>
              <w:t>XBRL Definition</w:t>
            </w:r>
          </w:p>
        </w:tc>
      </w:tr>
      <w:tr>
        <w:trPr>
          <w:trHeight w:val="27"/>
        </w:trPr>
        <w:tc>
          <w:tcPr>
            <w:tcW w:w="1000" w:type="dxa"/>
            <w:vAlign w:val="bottom"/>
          </w:tcPr>
          <w:p>
            <w:pPr>
              <w:spacing w:after="0"/>
              <w:rPr>
                <w:sz w:val="2"/>
                <w:szCs w:val="2"/>
                <w:color w:val="auto"/>
              </w:rPr>
            </w:pPr>
          </w:p>
        </w:tc>
        <w:tc>
          <w:tcPr>
            <w:tcW w:w="10420" w:type="dxa"/>
            <w:vAlign w:val="bottom"/>
          </w:tcPr>
          <w:p>
            <w:pPr>
              <w:spacing w:after="0"/>
              <w:rPr>
                <w:sz w:val="2"/>
                <w:szCs w:val="2"/>
                <w:color w:val="auto"/>
              </w:rPr>
            </w:pPr>
          </w:p>
        </w:tc>
      </w:tr>
      <w:tr>
        <w:trPr>
          <w:trHeight w:val="250"/>
        </w:trPr>
        <w:tc>
          <w:tcPr>
            <w:tcW w:w="1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101.LAB</w:t>
            </w:r>
          </w:p>
        </w:tc>
        <w:tc>
          <w:tcPr>
            <w:tcW w:w="104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XBRL Label</w:t>
            </w:r>
          </w:p>
        </w:tc>
      </w:tr>
      <w:tr>
        <w:trPr>
          <w:trHeight w:val="243"/>
        </w:trPr>
        <w:tc>
          <w:tcPr>
            <w:tcW w:w="1000" w:type="dxa"/>
            <w:vAlign w:val="bottom"/>
          </w:tcPr>
          <w:p>
            <w:pPr>
              <w:ind w:left="40"/>
              <w:spacing w:after="0"/>
              <w:rPr>
                <w:sz w:val="20"/>
                <w:szCs w:val="20"/>
                <w:color w:val="auto"/>
              </w:rPr>
            </w:pPr>
            <w:r>
              <w:rPr>
                <w:rFonts w:ascii="Arial" w:cs="Arial" w:eastAsia="Arial" w:hAnsi="Arial"/>
                <w:sz w:val="18"/>
                <w:szCs w:val="18"/>
                <w:color w:val="auto"/>
              </w:rPr>
              <w:t>101.PRE</w:t>
            </w:r>
          </w:p>
        </w:tc>
        <w:tc>
          <w:tcPr>
            <w:tcW w:w="10420" w:type="dxa"/>
            <w:vAlign w:val="bottom"/>
          </w:tcPr>
          <w:p>
            <w:pPr>
              <w:ind w:left="300"/>
              <w:spacing w:after="0"/>
              <w:rPr>
                <w:sz w:val="20"/>
                <w:szCs w:val="20"/>
                <w:color w:val="auto"/>
              </w:rPr>
            </w:pPr>
            <w:r>
              <w:rPr>
                <w:rFonts w:ascii="Arial" w:cs="Arial" w:eastAsia="Arial" w:hAnsi="Arial"/>
                <w:sz w:val="18"/>
                <w:szCs w:val="18"/>
                <w:color w:val="auto"/>
              </w:rPr>
              <w:t>XBRL Presentation</w:t>
            </w:r>
          </w:p>
        </w:tc>
      </w:tr>
      <w:tr>
        <w:trPr>
          <w:trHeight w:val="27"/>
        </w:trPr>
        <w:tc>
          <w:tcPr>
            <w:tcW w:w="1000" w:type="dxa"/>
            <w:vAlign w:val="bottom"/>
          </w:tcPr>
          <w:p>
            <w:pPr>
              <w:spacing w:after="0"/>
              <w:rPr>
                <w:sz w:val="2"/>
                <w:szCs w:val="2"/>
                <w:color w:val="auto"/>
              </w:rPr>
            </w:pPr>
          </w:p>
        </w:tc>
        <w:tc>
          <w:tcPr>
            <w:tcW w:w="10420" w:type="dxa"/>
            <w:vAlign w:val="bottom"/>
          </w:tcPr>
          <w:p>
            <w:pPr>
              <w:spacing w:after="0"/>
              <w:rPr>
                <w:sz w:val="2"/>
                <w:szCs w:val="2"/>
                <w:color w:val="auto"/>
              </w:rPr>
            </w:pPr>
          </w:p>
        </w:tc>
      </w:tr>
      <w:tr>
        <w:trPr>
          <w:trHeight w:val="243"/>
        </w:trPr>
        <w:tc>
          <w:tcPr>
            <w:tcW w:w="1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104</w:t>
            </w:r>
          </w:p>
        </w:tc>
        <w:tc>
          <w:tcPr>
            <w:tcW w:w="104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r>
        <w:trPr>
          <w:trHeight w:val="27"/>
        </w:trPr>
        <w:tc>
          <w:tcPr>
            <w:tcW w:w="1000" w:type="dxa"/>
            <w:vAlign w:val="bottom"/>
            <w:shd w:val="clear" w:color="auto" w:fill="CCEEFF"/>
          </w:tcPr>
          <w:p>
            <w:pPr>
              <w:spacing w:after="0"/>
              <w:rPr>
                <w:sz w:val="2"/>
                <w:szCs w:val="2"/>
                <w:color w:val="auto"/>
              </w:rPr>
            </w:pPr>
          </w:p>
        </w:tc>
        <w:tc>
          <w:tcPr>
            <w:tcW w:w="104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2019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50</w:t>
      </w:r>
    </w:p>
    <w:p>
      <w:pPr>
        <w:sectPr>
          <w:pgSz w:w="11900" w:h="16838" w:orient="portrait"/>
          <w:cols w:equalWidth="0" w:num="1">
            <w:col w:w="11420"/>
          </w:cols>
          <w:pgMar w:left="240" w:top="1040"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45" w:lineRule="exact"/>
        <w:rPr>
          <w:sz w:val="20"/>
          <w:szCs w:val="20"/>
          <w:color w:val="auto"/>
        </w:rPr>
      </w:pPr>
    </w:p>
    <w:p>
      <w:pPr>
        <w:ind w:left="7920"/>
        <w:spacing w:after="0"/>
        <w:rPr>
          <w:sz w:val="20"/>
          <w:szCs w:val="20"/>
          <w:color w:val="auto"/>
        </w:rPr>
      </w:pPr>
      <w:r>
        <w:rPr>
          <w:rFonts w:ascii="Arial" w:cs="Arial" w:eastAsia="Arial" w:hAnsi="Arial"/>
          <w:sz w:val="18"/>
          <w:szCs w:val="18"/>
          <w:b w:val="1"/>
          <w:bCs w:val="1"/>
          <w:color w:val="auto"/>
        </w:rPr>
        <w:t>ALLETE,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November 6, 2019</w:t>
            </w:r>
          </w:p>
        </w:tc>
        <w:tc>
          <w:tcPr>
            <w:tcW w:w="5800" w:type="dxa"/>
            <w:vAlign w:val="bottom"/>
          </w:tcPr>
          <w:p>
            <w:pPr>
              <w:jc w:val="center"/>
              <w:spacing w:after="0"/>
              <w:rPr>
                <w:sz w:val="20"/>
                <w:szCs w:val="20"/>
                <w:color w:val="auto"/>
              </w:rPr>
            </w:pPr>
            <w:r>
              <w:rPr>
                <w:rFonts w:ascii="Arial" w:cs="Arial" w:eastAsia="Arial" w:hAnsi="Arial"/>
                <w:sz w:val="18"/>
                <w:szCs w:val="18"/>
                <w:color w:val="auto"/>
                <w:w w:val="89"/>
              </w:rPr>
              <w:t>/s/ Robert J. Adams</w:t>
            </w:r>
          </w:p>
        </w:tc>
      </w:tr>
      <w:tr>
        <w:trPr>
          <w:trHeight w:val="27"/>
        </w:trPr>
        <w:tc>
          <w:tcPr>
            <w:tcW w:w="5580" w:type="dxa"/>
            <w:vAlign w:val="bottom"/>
          </w:tcPr>
          <w:p>
            <w:pPr>
              <w:spacing w:after="0"/>
              <w:rPr>
                <w:sz w:val="2"/>
                <w:szCs w:val="2"/>
                <w:color w:val="auto"/>
              </w:rPr>
            </w:pPr>
          </w:p>
        </w:tc>
        <w:tc>
          <w:tcPr>
            <w:tcW w:w="5800" w:type="dxa"/>
            <w:vAlign w:val="bottom"/>
            <w:tcBorders>
              <w:bottom w:val="single" w:sz="8" w:color="auto"/>
            </w:tcBorders>
          </w:tcPr>
          <w:p>
            <w:pPr>
              <w:spacing w:after="0"/>
              <w:rPr>
                <w:sz w:val="2"/>
                <w:szCs w:val="2"/>
                <w:color w:val="auto"/>
              </w:rPr>
            </w:pPr>
          </w:p>
        </w:tc>
      </w:tr>
      <w:tr>
        <w:trPr>
          <w:trHeight w:val="237"/>
        </w:trPr>
        <w:tc>
          <w:tcPr>
            <w:tcW w:w="5580" w:type="dxa"/>
            <w:vAlign w:val="bottom"/>
          </w:tcPr>
          <w:p>
            <w:pPr>
              <w:spacing w:after="0"/>
              <w:rPr>
                <w:sz w:val="20"/>
                <w:szCs w:val="20"/>
                <w:color w:val="auto"/>
              </w:rPr>
            </w:pPr>
          </w:p>
        </w:tc>
        <w:tc>
          <w:tcPr>
            <w:tcW w:w="5800" w:type="dxa"/>
            <w:vAlign w:val="bottom"/>
          </w:tcPr>
          <w:p>
            <w:pPr>
              <w:jc w:val="center"/>
              <w:spacing w:after="0"/>
              <w:rPr>
                <w:sz w:val="20"/>
                <w:szCs w:val="20"/>
                <w:color w:val="auto"/>
              </w:rPr>
            </w:pPr>
            <w:r>
              <w:rPr>
                <w:rFonts w:ascii="Arial" w:cs="Arial" w:eastAsia="Arial" w:hAnsi="Arial"/>
                <w:sz w:val="18"/>
                <w:szCs w:val="18"/>
                <w:color w:val="auto"/>
                <w:w w:val="89"/>
              </w:rPr>
              <w:t>Robert J. Adams</w:t>
            </w:r>
          </w:p>
        </w:tc>
      </w:tr>
      <w:tr>
        <w:trPr>
          <w:trHeight w:val="270"/>
        </w:trPr>
        <w:tc>
          <w:tcPr>
            <w:tcW w:w="5580" w:type="dxa"/>
            <w:vAlign w:val="bottom"/>
          </w:tcPr>
          <w:p>
            <w:pPr>
              <w:spacing w:after="0"/>
              <w:rPr>
                <w:sz w:val="23"/>
                <w:szCs w:val="23"/>
                <w:color w:val="auto"/>
              </w:rPr>
            </w:pPr>
          </w:p>
        </w:tc>
        <w:tc>
          <w:tcPr>
            <w:tcW w:w="5800" w:type="dxa"/>
            <w:vAlign w:val="bottom"/>
          </w:tcPr>
          <w:p>
            <w:pPr>
              <w:jc w:val="center"/>
              <w:spacing w:after="0"/>
              <w:rPr>
                <w:sz w:val="20"/>
                <w:szCs w:val="20"/>
                <w:color w:val="auto"/>
              </w:rPr>
            </w:pPr>
            <w:r>
              <w:rPr>
                <w:rFonts w:ascii="Arial" w:cs="Arial" w:eastAsia="Arial" w:hAnsi="Arial"/>
                <w:sz w:val="18"/>
                <w:szCs w:val="18"/>
                <w:color w:val="auto"/>
                <w:w w:val="91"/>
              </w:rPr>
              <w:t>Senior Vice President and Chief Financial Officer</w:t>
            </w:r>
          </w:p>
        </w:tc>
      </w:tr>
      <w:tr>
        <w:trPr>
          <w:trHeight w:val="270"/>
        </w:trPr>
        <w:tc>
          <w:tcPr>
            <w:tcW w:w="5580" w:type="dxa"/>
            <w:vAlign w:val="bottom"/>
          </w:tcPr>
          <w:p>
            <w:pPr>
              <w:spacing w:after="0"/>
              <w:rPr>
                <w:sz w:val="23"/>
                <w:szCs w:val="23"/>
                <w:color w:val="auto"/>
              </w:rPr>
            </w:pPr>
          </w:p>
        </w:tc>
        <w:tc>
          <w:tcPr>
            <w:tcW w:w="5800" w:type="dxa"/>
            <w:vAlign w:val="bottom"/>
          </w:tcPr>
          <w:p>
            <w:pPr>
              <w:jc w:val="center"/>
              <w:spacing w:after="0"/>
              <w:rPr>
                <w:sz w:val="20"/>
                <w:szCs w:val="20"/>
                <w:color w:val="auto"/>
              </w:rPr>
            </w:pPr>
            <w:r>
              <w:rPr>
                <w:rFonts w:ascii="Arial" w:cs="Arial" w:eastAsia="Arial" w:hAnsi="Arial"/>
                <w:sz w:val="18"/>
                <w:szCs w:val="18"/>
                <w:color w:val="auto"/>
                <w:w w:val="94"/>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840" w:type="dxa"/>
            <w:vAlign w:val="bottom"/>
          </w:tcPr>
          <w:p>
            <w:pPr>
              <w:spacing w:after="0"/>
              <w:rPr>
                <w:sz w:val="20"/>
                <w:szCs w:val="20"/>
                <w:color w:val="auto"/>
              </w:rPr>
            </w:pPr>
            <w:r>
              <w:rPr>
                <w:rFonts w:ascii="Arial" w:cs="Arial" w:eastAsia="Arial" w:hAnsi="Arial"/>
                <w:sz w:val="18"/>
                <w:szCs w:val="18"/>
                <w:color w:val="auto"/>
              </w:rPr>
              <w:t>November 6, 2019</w:t>
            </w:r>
          </w:p>
        </w:tc>
        <w:tc>
          <w:tcPr>
            <w:tcW w:w="2740" w:type="dxa"/>
            <w:vAlign w:val="bottom"/>
          </w:tcPr>
          <w:p>
            <w:pPr>
              <w:spacing w:after="0"/>
              <w:rPr>
                <w:sz w:val="20"/>
                <w:szCs w:val="20"/>
                <w:color w:val="auto"/>
              </w:rPr>
            </w:pPr>
          </w:p>
        </w:tc>
        <w:tc>
          <w:tcPr>
            <w:tcW w:w="5800" w:type="dxa"/>
            <w:vAlign w:val="bottom"/>
          </w:tcPr>
          <w:p>
            <w:pPr>
              <w:jc w:val="center"/>
              <w:spacing w:after="0"/>
              <w:rPr>
                <w:sz w:val="20"/>
                <w:szCs w:val="20"/>
                <w:color w:val="auto"/>
              </w:rPr>
            </w:pPr>
            <w:r>
              <w:rPr>
                <w:rFonts w:ascii="Arial" w:cs="Arial" w:eastAsia="Arial" w:hAnsi="Arial"/>
                <w:sz w:val="18"/>
                <w:szCs w:val="18"/>
                <w:color w:val="auto"/>
                <w:w w:val="91"/>
              </w:rPr>
              <w:t>/s/ Steven W. Morris</w:t>
            </w:r>
          </w:p>
        </w:tc>
      </w:tr>
      <w:tr>
        <w:trPr>
          <w:trHeight w:val="27"/>
        </w:trPr>
        <w:tc>
          <w:tcPr>
            <w:tcW w:w="28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5800" w:type="dxa"/>
            <w:vAlign w:val="bottom"/>
            <w:tcBorders>
              <w:bottom w:val="single" w:sz="8" w:color="auto"/>
            </w:tcBorders>
          </w:tcPr>
          <w:p>
            <w:pPr>
              <w:spacing w:after="0"/>
              <w:rPr>
                <w:sz w:val="2"/>
                <w:szCs w:val="2"/>
                <w:color w:val="auto"/>
              </w:rPr>
            </w:pPr>
          </w:p>
        </w:tc>
      </w:tr>
      <w:tr>
        <w:trPr>
          <w:trHeight w:val="237"/>
        </w:trPr>
        <w:tc>
          <w:tcPr>
            <w:tcW w:w="28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5800" w:type="dxa"/>
            <w:vAlign w:val="bottom"/>
          </w:tcPr>
          <w:p>
            <w:pPr>
              <w:jc w:val="center"/>
              <w:spacing w:after="0"/>
              <w:rPr>
                <w:sz w:val="20"/>
                <w:szCs w:val="20"/>
                <w:color w:val="auto"/>
              </w:rPr>
            </w:pPr>
            <w:r>
              <w:rPr>
                <w:rFonts w:ascii="Arial" w:cs="Arial" w:eastAsia="Arial" w:hAnsi="Arial"/>
                <w:sz w:val="18"/>
                <w:szCs w:val="18"/>
                <w:color w:val="auto"/>
                <w:w w:val="92"/>
              </w:rPr>
              <w:t>Steven W. Morris</w:t>
            </w:r>
          </w:p>
        </w:tc>
      </w:tr>
      <w:tr>
        <w:trPr>
          <w:trHeight w:val="270"/>
        </w:trPr>
        <w:tc>
          <w:tcPr>
            <w:tcW w:w="284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5800" w:type="dxa"/>
            <w:vAlign w:val="bottom"/>
          </w:tcPr>
          <w:p>
            <w:pPr>
              <w:jc w:val="center"/>
              <w:spacing w:after="0"/>
              <w:rPr>
                <w:sz w:val="20"/>
                <w:szCs w:val="20"/>
                <w:color w:val="auto"/>
              </w:rPr>
            </w:pPr>
            <w:r>
              <w:rPr>
                <w:rFonts w:ascii="Arial" w:cs="Arial" w:eastAsia="Arial" w:hAnsi="Arial"/>
                <w:sz w:val="18"/>
                <w:szCs w:val="18"/>
                <w:color w:val="auto"/>
                <w:w w:val="93"/>
              </w:rPr>
              <w:t>Vice President, Controller and Chief Accounting Officer</w:t>
            </w:r>
          </w:p>
        </w:tc>
      </w:tr>
      <w:tr>
        <w:trPr>
          <w:trHeight w:val="270"/>
        </w:trPr>
        <w:tc>
          <w:tcPr>
            <w:tcW w:w="284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5800" w:type="dxa"/>
            <w:vAlign w:val="bottom"/>
          </w:tcPr>
          <w:p>
            <w:pPr>
              <w:jc w:val="center"/>
              <w:spacing w:after="0"/>
              <w:rPr>
                <w:sz w:val="20"/>
                <w:szCs w:val="20"/>
                <w:color w:val="auto"/>
              </w:rPr>
            </w:pPr>
            <w:r>
              <w:rPr>
                <w:rFonts w:ascii="Arial" w:cs="Arial" w:eastAsia="Arial" w:hAnsi="Arial"/>
                <w:sz w:val="18"/>
                <w:szCs w:val="18"/>
                <w:color w:val="auto"/>
                <w:w w:val="95"/>
              </w:rPr>
              <w:t>(Principal Accounting Officer)</w:t>
            </w:r>
          </w:p>
        </w:tc>
      </w:tr>
      <w:tr>
        <w:trPr>
          <w:trHeight w:val="588"/>
        </w:trPr>
        <w:tc>
          <w:tcPr>
            <w:tcW w:w="2840" w:type="dxa"/>
            <w:vAlign w:val="bottom"/>
          </w:tcPr>
          <w:p>
            <w:pPr>
              <w:spacing w:after="0"/>
              <w:rPr>
                <w:sz w:val="24"/>
                <w:szCs w:val="24"/>
                <w:color w:val="auto"/>
              </w:rPr>
            </w:pPr>
          </w:p>
        </w:tc>
        <w:tc>
          <w:tcPr>
            <w:tcW w:w="8540" w:type="dxa"/>
            <w:vAlign w:val="bottom"/>
            <w:gridSpan w:val="2"/>
          </w:tcPr>
          <w:p>
            <w:pPr>
              <w:ind w:left="1500"/>
              <w:spacing w:after="0"/>
              <w:rPr>
                <w:sz w:val="20"/>
                <w:szCs w:val="20"/>
                <w:color w:val="auto"/>
              </w:rPr>
            </w:pPr>
            <w:r>
              <w:rPr>
                <w:rFonts w:ascii="Arial" w:cs="Arial" w:eastAsia="Arial" w:hAnsi="Arial"/>
                <w:sz w:val="14"/>
                <w:szCs w:val="14"/>
                <w:color w:val="auto"/>
              </w:rPr>
              <w:t>ALLETE, Inc. Third Quarter 2019 Form 10-Q</w:t>
            </w:r>
          </w:p>
        </w:tc>
      </w:tr>
    </w:tbl>
    <w:p>
      <w:pPr>
        <w:jc w:val="right"/>
        <w:spacing w:after="0"/>
        <w:rPr>
          <w:sz w:val="20"/>
          <w:szCs w:val="20"/>
          <w:color w:val="auto"/>
        </w:rPr>
      </w:pPr>
      <w:r>
        <w:rPr>
          <w:rFonts w:ascii="Arial" w:cs="Arial" w:eastAsia="Arial" w:hAnsi="Arial"/>
          <w:sz w:val="14"/>
          <w:szCs w:val="14"/>
          <w:color w:val="auto"/>
        </w:rPr>
        <w:t>51</w:t>
      </w:r>
    </w:p>
    <w:p>
      <w:pPr>
        <w:sectPr>
          <w:pgSz w:w="11900" w:h="16838" w:orient="portrait"/>
          <w:cols w:equalWidth="0" w:num="1">
            <w:col w:w="11420"/>
          </w:cols>
          <w:pgMar w:left="240" w:top="1040"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-661670</wp:posOffset>
            </wp:positionH>
            <wp:positionV relativeFrom="paragraph">
              <wp:posOffset>1432560</wp:posOffset>
            </wp:positionV>
            <wp:extent cx="70662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662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180"/>
        <w:spacing w:after="0"/>
        <w:rPr>
          <w:sz w:val="20"/>
          <w:szCs w:val="20"/>
          <w:color w:val="auto"/>
        </w:rPr>
      </w:pPr>
      <w:r>
        <w:rPr>
          <w:rFonts w:ascii="Arial" w:cs="Arial" w:eastAsia="Arial" w:hAnsi="Arial"/>
          <w:sz w:val="19"/>
          <w:szCs w:val="19"/>
          <w:b w:val="1"/>
          <w:bCs w:val="1"/>
          <w:color w:val="auto"/>
        </w:rPr>
        <w:t>AMENDED AND RESTATED TERM LOAN AGREEMENT</w:t>
      </w:r>
    </w:p>
    <w:p>
      <w:pPr>
        <w:spacing w:after="0" w:line="92" w:lineRule="exact"/>
        <w:rPr>
          <w:sz w:val="20"/>
          <w:szCs w:val="20"/>
          <w:color w:val="auto"/>
        </w:rPr>
      </w:pPr>
    </w:p>
    <w:p>
      <w:pPr>
        <w:jc w:val="center"/>
        <w:ind w:right="1180"/>
        <w:spacing w:after="0"/>
        <w:rPr>
          <w:sz w:val="20"/>
          <w:szCs w:val="20"/>
          <w:color w:val="auto"/>
        </w:rPr>
      </w:pPr>
      <w:r>
        <w:rPr>
          <w:rFonts w:ascii="Arial" w:cs="Arial" w:eastAsia="Arial" w:hAnsi="Arial"/>
          <w:sz w:val="20"/>
          <w:szCs w:val="20"/>
          <w:b w:val="1"/>
          <w:bCs w:val="1"/>
          <w:color w:val="auto"/>
        </w:rPr>
        <w:t>dated as of August 14, 2019</w:t>
      </w:r>
    </w:p>
    <w:p>
      <w:pPr>
        <w:spacing w:after="0" w:line="189" w:lineRule="exact"/>
        <w:rPr>
          <w:sz w:val="20"/>
          <w:szCs w:val="20"/>
          <w:color w:val="auto"/>
        </w:rPr>
      </w:pPr>
    </w:p>
    <w:p>
      <w:pPr>
        <w:jc w:val="center"/>
        <w:ind w:right="1180"/>
        <w:spacing w:after="0"/>
        <w:rPr>
          <w:sz w:val="20"/>
          <w:szCs w:val="20"/>
          <w:color w:val="auto"/>
        </w:rPr>
      </w:pPr>
      <w:r>
        <w:rPr>
          <w:rFonts w:ascii="Arial" w:cs="Arial" w:eastAsia="Arial" w:hAnsi="Arial"/>
          <w:sz w:val="20"/>
          <w:szCs w:val="20"/>
          <w:b w:val="1"/>
          <w:bCs w:val="1"/>
          <w:color w:val="auto"/>
        </w:rPr>
        <w:t>among</w:t>
      </w:r>
    </w:p>
    <w:p>
      <w:pPr>
        <w:spacing w:after="0" w:line="189" w:lineRule="exact"/>
        <w:rPr>
          <w:sz w:val="20"/>
          <w:szCs w:val="20"/>
          <w:color w:val="auto"/>
        </w:rPr>
      </w:pPr>
    </w:p>
    <w:p>
      <w:pPr>
        <w:jc w:val="center"/>
        <w:ind w:right="1180"/>
        <w:spacing w:after="0"/>
        <w:rPr>
          <w:sz w:val="20"/>
          <w:szCs w:val="20"/>
          <w:color w:val="auto"/>
        </w:rPr>
      </w:pPr>
      <w:r>
        <w:rPr>
          <w:rFonts w:ascii="Arial" w:cs="Arial" w:eastAsia="Arial" w:hAnsi="Arial"/>
          <w:sz w:val="20"/>
          <w:szCs w:val="20"/>
          <w:b w:val="1"/>
          <w:bCs w:val="1"/>
          <w:color w:val="auto"/>
        </w:rPr>
        <w:t>ALLETE, INC.,</w:t>
      </w:r>
    </w:p>
    <w:p>
      <w:pPr>
        <w:spacing w:after="0" w:line="189" w:lineRule="exact"/>
        <w:rPr>
          <w:sz w:val="20"/>
          <w:szCs w:val="20"/>
          <w:color w:val="auto"/>
        </w:rPr>
      </w:pPr>
    </w:p>
    <w:p>
      <w:pPr>
        <w:jc w:val="center"/>
        <w:ind w:right="1180"/>
        <w:spacing w:after="0"/>
        <w:rPr>
          <w:sz w:val="20"/>
          <w:szCs w:val="20"/>
          <w:color w:val="auto"/>
        </w:rPr>
      </w:pPr>
      <w:r>
        <w:rPr>
          <w:rFonts w:ascii="Arial" w:cs="Arial" w:eastAsia="Arial" w:hAnsi="Arial"/>
          <w:sz w:val="20"/>
          <w:szCs w:val="20"/>
          <w:b w:val="1"/>
          <w:bCs w:val="1"/>
          <w:color w:val="auto"/>
        </w:rPr>
        <w:t>as Borrower,</w:t>
      </w:r>
    </w:p>
    <w:p>
      <w:pPr>
        <w:spacing w:after="0" w:line="189" w:lineRule="exact"/>
        <w:rPr>
          <w:sz w:val="20"/>
          <w:szCs w:val="20"/>
          <w:color w:val="auto"/>
        </w:rPr>
      </w:pPr>
    </w:p>
    <w:p>
      <w:pPr>
        <w:jc w:val="center"/>
        <w:ind w:right="1180"/>
        <w:spacing w:after="0"/>
        <w:rPr>
          <w:sz w:val="20"/>
          <w:szCs w:val="20"/>
          <w:color w:val="auto"/>
        </w:rPr>
      </w:pPr>
      <w:r>
        <w:rPr>
          <w:rFonts w:ascii="Arial" w:cs="Arial" w:eastAsia="Arial" w:hAnsi="Arial"/>
          <w:sz w:val="20"/>
          <w:szCs w:val="20"/>
          <w:b w:val="1"/>
          <w:bCs w:val="1"/>
          <w:color w:val="auto"/>
        </w:rPr>
        <w:t>The Lenders Party Hereto,</w:t>
      </w:r>
    </w:p>
    <w:p>
      <w:pPr>
        <w:spacing w:after="0" w:line="189" w:lineRule="exact"/>
        <w:rPr>
          <w:sz w:val="20"/>
          <w:szCs w:val="20"/>
          <w:color w:val="auto"/>
        </w:rPr>
      </w:pPr>
    </w:p>
    <w:p>
      <w:pPr>
        <w:jc w:val="center"/>
        <w:ind w:right="1180"/>
        <w:spacing w:after="0"/>
        <w:rPr>
          <w:sz w:val="20"/>
          <w:szCs w:val="20"/>
          <w:color w:val="auto"/>
        </w:rPr>
      </w:pPr>
      <w:r>
        <w:rPr>
          <w:rFonts w:ascii="Arial" w:cs="Arial" w:eastAsia="Arial" w:hAnsi="Arial"/>
          <w:sz w:val="20"/>
          <w:szCs w:val="20"/>
          <w:b w:val="1"/>
          <w:bCs w:val="1"/>
          <w:color w:val="auto"/>
        </w:rPr>
        <w:t>JPMORGAN CHASE BANK, N.A.,</w:t>
      </w:r>
    </w:p>
    <w:p>
      <w:pPr>
        <w:spacing w:after="0" w:line="189" w:lineRule="exact"/>
        <w:rPr>
          <w:sz w:val="20"/>
          <w:szCs w:val="20"/>
          <w:color w:val="auto"/>
        </w:rPr>
      </w:pPr>
    </w:p>
    <w:p>
      <w:pPr>
        <w:jc w:val="center"/>
        <w:ind w:right="1180"/>
        <w:spacing w:after="0"/>
        <w:rPr>
          <w:sz w:val="20"/>
          <w:szCs w:val="20"/>
          <w:color w:val="auto"/>
        </w:rPr>
      </w:pPr>
      <w:r>
        <w:rPr>
          <w:rFonts w:ascii="Arial" w:cs="Arial" w:eastAsia="Arial" w:hAnsi="Arial"/>
          <w:sz w:val="20"/>
          <w:szCs w:val="20"/>
          <w:b w:val="1"/>
          <w:bCs w:val="1"/>
          <w:color w:val="auto"/>
        </w:rPr>
        <w:t>as Administrative Agent</w:t>
      </w:r>
    </w:p>
    <w:p>
      <w:pPr>
        <w:spacing w:after="0" w:line="189" w:lineRule="exact"/>
        <w:rPr>
          <w:sz w:val="20"/>
          <w:szCs w:val="20"/>
          <w:color w:val="auto"/>
        </w:rPr>
      </w:pPr>
    </w:p>
    <w:p>
      <w:pPr>
        <w:jc w:val="center"/>
        <w:ind w:right="1180"/>
        <w:spacing w:after="0"/>
        <w:rPr>
          <w:sz w:val="20"/>
          <w:szCs w:val="20"/>
          <w:color w:val="auto"/>
        </w:rPr>
      </w:pPr>
      <w:r>
        <w:rPr>
          <w:rFonts w:ascii="Arial" w:cs="Arial" w:eastAsia="Arial" w:hAnsi="Arial"/>
          <w:sz w:val="20"/>
          <w:szCs w:val="20"/>
          <w:b w:val="1"/>
          <w:bCs w:val="1"/>
          <w:color w:val="auto"/>
        </w:rPr>
        <w:t>and</w:t>
      </w:r>
    </w:p>
    <w:p>
      <w:pPr>
        <w:spacing w:after="0" w:line="189" w:lineRule="exact"/>
        <w:rPr>
          <w:sz w:val="20"/>
          <w:szCs w:val="20"/>
          <w:color w:val="auto"/>
        </w:rPr>
      </w:pPr>
    </w:p>
    <w:p>
      <w:pPr>
        <w:jc w:val="center"/>
        <w:ind w:right="1180"/>
        <w:spacing w:after="0"/>
        <w:rPr>
          <w:sz w:val="20"/>
          <w:szCs w:val="20"/>
          <w:color w:val="auto"/>
        </w:rPr>
      </w:pPr>
      <w:r>
        <w:rPr>
          <w:rFonts w:ascii="Arial" w:cs="Arial" w:eastAsia="Arial" w:hAnsi="Arial"/>
          <w:sz w:val="20"/>
          <w:szCs w:val="20"/>
          <w:b w:val="1"/>
          <w:bCs w:val="1"/>
          <w:color w:val="auto"/>
        </w:rPr>
        <w:t>BANK OF AMERICA, N.A.,</w:t>
      </w:r>
    </w:p>
    <w:p>
      <w:pPr>
        <w:spacing w:after="0" w:line="189" w:lineRule="exact"/>
        <w:rPr>
          <w:sz w:val="20"/>
          <w:szCs w:val="20"/>
          <w:color w:val="auto"/>
        </w:rPr>
      </w:pPr>
    </w:p>
    <w:p>
      <w:pPr>
        <w:jc w:val="center"/>
        <w:ind w:right="1180"/>
        <w:spacing w:after="0"/>
        <w:rPr>
          <w:sz w:val="20"/>
          <w:szCs w:val="20"/>
          <w:color w:val="auto"/>
        </w:rPr>
      </w:pPr>
      <w:r>
        <w:rPr>
          <w:rFonts w:ascii="Arial" w:cs="Arial" w:eastAsia="Arial" w:hAnsi="Arial"/>
          <w:sz w:val="20"/>
          <w:szCs w:val="20"/>
          <w:b w:val="1"/>
          <w:bCs w:val="1"/>
          <w:color w:val="auto"/>
        </w:rPr>
        <w:t>as Syndication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-661670</wp:posOffset>
            </wp:positionH>
            <wp:positionV relativeFrom="paragraph">
              <wp:posOffset>571500</wp:posOffset>
            </wp:positionV>
            <wp:extent cx="70662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662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180"/>
        <w:spacing w:after="0"/>
        <w:rPr>
          <w:sz w:val="20"/>
          <w:szCs w:val="20"/>
          <w:color w:val="auto"/>
        </w:rPr>
      </w:pPr>
      <w:r>
        <w:rPr>
          <w:rFonts w:ascii="Arial" w:cs="Arial" w:eastAsia="Arial" w:hAnsi="Arial"/>
          <w:sz w:val="20"/>
          <w:szCs w:val="20"/>
          <w:b w:val="1"/>
          <w:bCs w:val="1"/>
          <w:color w:val="auto"/>
        </w:rPr>
        <w:t>JPMORGAN CHASE BANK, N.A.,</w:t>
      </w:r>
    </w:p>
    <w:p>
      <w:pPr>
        <w:spacing w:after="0" w:line="189" w:lineRule="exact"/>
        <w:rPr>
          <w:sz w:val="20"/>
          <w:szCs w:val="20"/>
          <w:color w:val="auto"/>
        </w:rPr>
      </w:pPr>
    </w:p>
    <w:p>
      <w:pPr>
        <w:jc w:val="center"/>
        <w:ind w:right="1180"/>
        <w:spacing w:after="0"/>
        <w:rPr>
          <w:sz w:val="20"/>
          <w:szCs w:val="20"/>
          <w:color w:val="auto"/>
        </w:rPr>
      </w:pPr>
      <w:r>
        <w:rPr>
          <w:rFonts w:ascii="Arial" w:cs="Arial" w:eastAsia="Arial" w:hAnsi="Arial"/>
          <w:sz w:val="20"/>
          <w:szCs w:val="20"/>
          <w:b w:val="1"/>
          <w:bCs w:val="1"/>
          <w:color w:val="auto"/>
        </w:rPr>
        <w:t>as Sole Lead Arranger and Sole Bookrunner</w:t>
      </w:r>
    </w:p>
    <w:p>
      <w:pPr>
        <w:sectPr>
          <w:pgSz w:w="11900" w:h="16838" w:orient="portrait"/>
          <w:cols w:equalWidth="0" w:num="1">
            <w:col w:w="10220"/>
          </w:cols>
          <w:pgMar w:left="1440" w:top="337"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4</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010000"/>
        </w:rPr>
        <w:t xml:space="preserve">Article 1. </w:t>
      </w:r>
      <w:r>
        <w:rPr>
          <w:rFonts w:ascii="Arial" w:cs="Arial" w:eastAsia="Arial" w:hAnsi="Arial"/>
          <w:sz w:val="20"/>
          <w:szCs w:val="20"/>
          <w:b w:val="1"/>
          <w:bCs w:val="1"/>
          <w:color w:val="000000"/>
        </w:rPr>
        <w:t>DEFINITIONS AND INTERPRETATION</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00" w:type="dxa"/>
            <w:vAlign w:val="bottom"/>
          </w:tcPr>
          <w:p>
            <w:pPr>
              <w:ind w:left="500"/>
              <w:spacing w:after="0"/>
              <w:rPr>
                <w:sz w:val="20"/>
                <w:szCs w:val="20"/>
                <w:color w:val="auto"/>
              </w:rPr>
            </w:pPr>
            <w:r>
              <w:rPr>
                <w:rFonts w:ascii="Arial" w:cs="Arial" w:eastAsia="Arial" w:hAnsi="Arial"/>
                <w:sz w:val="20"/>
                <w:szCs w:val="20"/>
                <w:color w:val="auto"/>
              </w:rPr>
              <w:t>Section 1.1.</w:t>
            </w:r>
          </w:p>
        </w:tc>
        <w:tc>
          <w:tcPr>
            <w:tcW w:w="4840" w:type="dxa"/>
            <w:vAlign w:val="bottom"/>
            <w:gridSpan w:val="27"/>
          </w:tcPr>
          <w:p>
            <w:pPr>
              <w:spacing w:after="0"/>
              <w:rPr>
                <w:sz w:val="20"/>
                <w:szCs w:val="20"/>
                <w:color w:val="auto"/>
              </w:rPr>
            </w:pPr>
            <w:r>
              <w:rPr>
                <w:rFonts w:ascii="Arial" w:cs="Arial" w:eastAsia="Arial" w:hAnsi="Arial"/>
                <w:sz w:val="20"/>
                <w:szCs w:val="20"/>
                <w:color w:val="auto"/>
              </w:rPr>
              <w:t>Defined Terms</w:t>
            </w:r>
          </w:p>
        </w:tc>
      </w:tr>
      <w:tr>
        <w:trPr>
          <w:trHeight w:val="20"/>
        </w:trPr>
        <w:tc>
          <w:tcPr>
            <w:tcW w:w="18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91"/>
        </w:trPr>
        <w:tc>
          <w:tcPr>
            <w:tcW w:w="1800" w:type="dxa"/>
            <w:vAlign w:val="bottom"/>
          </w:tcPr>
          <w:p>
            <w:pPr>
              <w:ind w:left="500"/>
              <w:spacing w:after="0"/>
              <w:rPr>
                <w:sz w:val="20"/>
                <w:szCs w:val="20"/>
                <w:color w:val="auto"/>
              </w:rPr>
            </w:pPr>
            <w:r>
              <w:rPr>
                <w:rFonts w:ascii="Arial" w:cs="Arial" w:eastAsia="Arial" w:hAnsi="Arial"/>
                <w:sz w:val="20"/>
                <w:szCs w:val="20"/>
                <w:color w:val="auto"/>
              </w:rPr>
              <w:t>Section 1.2.</w:t>
            </w:r>
          </w:p>
        </w:tc>
        <w:tc>
          <w:tcPr>
            <w:tcW w:w="1320" w:type="dxa"/>
            <w:vAlign w:val="bottom"/>
            <w:tcBorders>
              <w:bottom w:val="single" w:sz="8" w:color="auto"/>
            </w:tcBorders>
            <w:gridSpan w:val="7"/>
          </w:tcPr>
          <w:p>
            <w:pPr>
              <w:spacing w:after="0"/>
              <w:rPr>
                <w:sz w:val="20"/>
                <w:szCs w:val="20"/>
                <w:color w:val="auto"/>
              </w:rPr>
            </w:pPr>
            <w:r>
              <w:rPr>
                <w:rFonts w:ascii="Arial" w:cs="Arial" w:eastAsia="Arial" w:hAnsi="Arial"/>
                <w:sz w:val="20"/>
                <w:szCs w:val="20"/>
                <w:color w:val="auto"/>
                <w:w w:val="87"/>
              </w:rPr>
              <w:t>Terms Generally</w:t>
            </w:r>
          </w:p>
        </w:tc>
        <w:tc>
          <w:tcPr>
            <w:tcW w:w="3520" w:type="dxa"/>
            <w:vAlign w:val="bottom"/>
            <w:gridSpan w:val="20"/>
          </w:tcPr>
          <w:p>
            <w:pPr>
              <w:spacing w:after="0"/>
              <w:rPr>
                <w:sz w:val="24"/>
                <w:szCs w:val="24"/>
                <w:color w:val="auto"/>
              </w:rPr>
            </w:pPr>
          </w:p>
        </w:tc>
      </w:tr>
      <w:tr>
        <w:trPr>
          <w:trHeight w:val="291"/>
        </w:trPr>
        <w:tc>
          <w:tcPr>
            <w:tcW w:w="1800" w:type="dxa"/>
            <w:vAlign w:val="bottom"/>
          </w:tcPr>
          <w:p>
            <w:pPr>
              <w:ind w:left="500"/>
              <w:spacing w:after="0"/>
              <w:rPr>
                <w:sz w:val="20"/>
                <w:szCs w:val="20"/>
                <w:color w:val="auto"/>
              </w:rPr>
            </w:pPr>
            <w:r>
              <w:rPr>
                <w:rFonts w:ascii="Arial" w:cs="Arial" w:eastAsia="Arial" w:hAnsi="Arial"/>
                <w:sz w:val="20"/>
                <w:szCs w:val="20"/>
                <w:color w:val="auto"/>
              </w:rPr>
              <w:t>Section 1.3.</w:t>
            </w:r>
          </w:p>
        </w:tc>
        <w:tc>
          <w:tcPr>
            <w:tcW w:w="2100" w:type="dxa"/>
            <w:vAlign w:val="bottom"/>
            <w:tcBorders>
              <w:bottom w:val="single" w:sz="8" w:color="auto"/>
            </w:tcBorders>
            <w:gridSpan w:val="16"/>
          </w:tcPr>
          <w:p>
            <w:pPr>
              <w:spacing w:after="0"/>
              <w:rPr>
                <w:sz w:val="20"/>
                <w:szCs w:val="20"/>
                <w:color w:val="auto"/>
              </w:rPr>
            </w:pPr>
            <w:r>
              <w:rPr>
                <w:rFonts w:ascii="Arial" w:cs="Arial" w:eastAsia="Arial" w:hAnsi="Arial"/>
                <w:sz w:val="20"/>
                <w:szCs w:val="20"/>
                <w:color w:val="auto"/>
                <w:w w:val="91"/>
              </w:rPr>
              <w:t>Accounting Terms; GAAP</w:t>
            </w:r>
          </w:p>
        </w:tc>
        <w:tc>
          <w:tcPr>
            <w:tcW w:w="2740" w:type="dxa"/>
            <w:vAlign w:val="bottom"/>
            <w:gridSpan w:val="11"/>
          </w:tcPr>
          <w:p>
            <w:pPr>
              <w:spacing w:after="0"/>
              <w:rPr>
                <w:sz w:val="24"/>
                <w:szCs w:val="24"/>
                <w:color w:val="auto"/>
              </w:rPr>
            </w:pPr>
          </w:p>
        </w:tc>
      </w:tr>
      <w:tr>
        <w:trPr>
          <w:trHeight w:val="291"/>
        </w:trPr>
        <w:tc>
          <w:tcPr>
            <w:tcW w:w="1800" w:type="dxa"/>
            <w:vAlign w:val="bottom"/>
          </w:tcPr>
          <w:p>
            <w:pPr>
              <w:ind w:left="500"/>
              <w:spacing w:after="0"/>
              <w:rPr>
                <w:sz w:val="20"/>
                <w:szCs w:val="20"/>
                <w:color w:val="auto"/>
              </w:rPr>
            </w:pPr>
            <w:r>
              <w:rPr>
                <w:rFonts w:ascii="Arial" w:cs="Arial" w:eastAsia="Arial" w:hAnsi="Arial"/>
                <w:sz w:val="20"/>
                <w:szCs w:val="20"/>
                <w:color w:val="auto"/>
              </w:rPr>
              <w:t>Section 1.4.</w:t>
            </w:r>
          </w:p>
        </w:tc>
        <w:tc>
          <w:tcPr>
            <w:tcW w:w="800" w:type="dxa"/>
            <w:vAlign w:val="bottom"/>
            <w:tcBorders>
              <w:bottom w:val="single" w:sz="8" w:color="auto"/>
            </w:tcBorders>
            <w:gridSpan w:val="3"/>
          </w:tcPr>
          <w:p>
            <w:pPr>
              <w:spacing w:after="0"/>
              <w:rPr>
                <w:sz w:val="20"/>
                <w:szCs w:val="20"/>
                <w:color w:val="auto"/>
              </w:rPr>
            </w:pPr>
            <w:r>
              <w:rPr>
                <w:rFonts w:ascii="Arial" w:cs="Arial" w:eastAsia="Arial" w:hAnsi="Arial"/>
                <w:sz w:val="20"/>
                <w:szCs w:val="20"/>
                <w:color w:val="auto"/>
                <w:w w:val="91"/>
              </w:rPr>
              <w:t>Rounding</w:t>
            </w:r>
          </w:p>
        </w:tc>
        <w:tc>
          <w:tcPr>
            <w:tcW w:w="4040" w:type="dxa"/>
            <w:vAlign w:val="bottom"/>
            <w:gridSpan w:val="24"/>
          </w:tcPr>
          <w:p>
            <w:pPr>
              <w:spacing w:after="0"/>
              <w:rPr>
                <w:sz w:val="24"/>
                <w:szCs w:val="24"/>
                <w:color w:val="auto"/>
              </w:rPr>
            </w:pPr>
          </w:p>
        </w:tc>
      </w:tr>
      <w:tr>
        <w:trPr>
          <w:trHeight w:val="291"/>
        </w:trPr>
        <w:tc>
          <w:tcPr>
            <w:tcW w:w="1800" w:type="dxa"/>
            <w:vAlign w:val="bottom"/>
          </w:tcPr>
          <w:p>
            <w:pPr>
              <w:ind w:left="500"/>
              <w:spacing w:after="0"/>
              <w:rPr>
                <w:sz w:val="20"/>
                <w:szCs w:val="20"/>
                <w:color w:val="auto"/>
              </w:rPr>
            </w:pPr>
            <w:r>
              <w:rPr>
                <w:rFonts w:ascii="Arial" w:cs="Arial" w:eastAsia="Arial" w:hAnsi="Arial"/>
                <w:sz w:val="20"/>
                <w:szCs w:val="20"/>
                <w:color w:val="auto"/>
              </w:rPr>
              <w:t>Section 1.5.</w:t>
            </w:r>
          </w:p>
        </w:tc>
        <w:tc>
          <w:tcPr>
            <w:tcW w:w="2780" w:type="dxa"/>
            <w:vAlign w:val="bottom"/>
            <w:tcBorders>
              <w:bottom w:val="single" w:sz="8" w:color="auto"/>
            </w:tcBorders>
            <w:gridSpan w:val="21"/>
          </w:tcPr>
          <w:p>
            <w:pPr>
              <w:spacing w:after="0"/>
              <w:rPr>
                <w:sz w:val="20"/>
                <w:szCs w:val="20"/>
                <w:color w:val="auto"/>
              </w:rPr>
            </w:pPr>
            <w:r>
              <w:rPr>
                <w:rFonts w:ascii="Arial" w:cs="Arial" w:eastAsia="Arial" w:hAnsi="Arial"/>
                <w:sz w:val="20"/>
                <w:szCs w:val="20"/>
                <w:color w:val="auto"/>
                <w:w w:val="91"/>
              </w:rPr>
              <w:t>Interest Rates; LIBOR Notification</w:t>
            </w:r>
          </w:p>
        </w:tc>
        <w:tc>
          <w:tcPr>
            <w:tcW w:w="2060" w:type="dxa"/>
            <w:vAlign w:val="bottom"/>
            <w:gridSpan w:val="6"/>
          </w:tcPr>
          <w:p>
            <w:pPr>
              <w:spacing w:after="0"/>
              <w:rPr>
                <w:sz w:val="24"/>
                <w:szCs w:val="24"/>
                <w:color w:val="auto"/>
              </w:rPr>
            </w:pPr>
          </w:p>
        </w:tc>
      </w:tr>
      <w:tr>
        <w:trPr>
          <w:trHeight w:val="291"/>
        </w:trPr>
        <w:tc>
          <w:tcPr>
            <w:tcW w:w="1800" w:type="dxa"/>
            <w:vAlign w:val="bottom"/>
          </w:tcPr>
          <w:p>
            <w:pPr>
              <w:ind w:left="500"/>
              <w:spacing w:after="0"/>
              <w:rPr>
                <w:sz w:val="20"/>
                <w:szCs w:val="20"/>
                <w:color w:val="auto"/>
              </w:rPr>
            </w:pPr>
            <w:r>
              <w:rPr>
                <w:rFonts w:ascii="Arial" w:cs="Arial" w:eastAsia="Arial" w:hAnsi="Arial"/>
                <w:sz w:val="20"/>
                <w:szCs w:val="20"/>
                <w:color w:val="auto"/>
              </w:rPr>
              <w:t>Section 1.6.</w:t>
            </w:r>
          </w:p>
        </w:tc>
        <w:tc>
          <w:tcPr>
            <w:tcW w:w="2340" w:type="dxa"/>
            <w:vAlign w:val="bottom"/>
            <w:tcBorders>
              <w:bottom w:val="single" w:sz="8" w:color="auto"/>
            </w:tcBorders>
            <w:gridSpan w:val="19"/>
          </w:tcPr>
          <w:p>
            <w:pPr>
              <w:spacing w:after="0"/>
              <w:rPr>
                <w:sz w:val="20"/>
                <w:szCs w:val="20"/>
                <w:color w:val="auto"/>
              </w:rPr>
            </w:pPr>
            <w:r>
              <w:rPr>
                <w:rFonts w:ascii="Arial" w:cs="Arial" w:eastAsia="Arial" w:hAnsi="Arial"/>
                <w:sz w:val="20"/>
                <w:szCs w:val="20"/>
                <w:color w:val="auto"/>
                <w:w w:val="87"/>
              </w:rPr>
              <w:t>Amendment and Restatement</w:t>
            </w:r>
          </w:p>
        </w:tc>
        <w:tc>
          <w:tcPr>
            <w:tcW w:w="2500" w:type="dxa"/>
            <w:vAlign w:val="bottom"/>
            <w:gridSpan w:val="8"/>
          </w:tcPr>
          <w:p>
            <w:pPr>
              <w:spacing w:after="0"/>
              <w:rPr>
                <w:sz w:val="24"/>
                <w:szCs w:val="24"/>
                <w:color w:val="auto"/>
              </w:rPr>
            </w:pPr>
          </w:p>
        </w:tc>
      </w:tr>
      <w:tr>
        <w:trPr>
          <w:trHeight w:val="335"/>
        </w:trPr>
        <w:tc>
          <w:tcPr>
            <w:tcW w:w="6640" w:type="dxa"/>
            <w:vAlign w:val="bottom"/>
            <w:gridSpan w:val="28"/>
          </w:tcPr>
          <w:p>
            <w:pPr>
              <w:spacing w:after="0"/>
              <w:rPr>
                <w:sz w:val="20"/>
                <w:szCs w:val="20"/>
                <w:color w:val="auto"/>
              </w:rPr>
            </w:pPr>
            <w:r>
              <w:rPr>
                <w:rFonts w:ascii="Arial" w:cs="Arial" w:eastAsia="Arial" w:hAnsi="Arial"/>
                <w:sz w:val="20"/>
                <w:szCs w:val="20"/>
                <w:b w:val="1"/>
                <w:bCs w:val="1"/>
                <w:color w:val="010000"/>
              </w:rPr>
              <w:t xml:space="preserve">Article 2. </w:t>
            </w:r>
            <w:r>
              <w:rPr>
                <w:rFonts w:ascii="Arial" w:cs="Arial" w:eastAsia="Arial" w:hAnsi="Arial"/>
                <w:sz w:val="20"/>
                <w:szCs w:val="20"/>
                <w:b w:val="1"/>
                <w:bCs w:val="1"/>
                <w:color w:val="000000"/>
              </w:rPr>
              <w:t>THE CREDITS</w:t>
            </w:r>
          </w:p>
        </w:tc>
      </w:tr>
      <w:tr>
        <w:trPr>
          <w:trHeight w:val="266"/>
        </w:trPr>
        <w:tc>
          <w:tcPr>
            <w:tcW w:w="1800" w:type="dxa"/>
            <w:vAlign w:val="bottom"/>
          </w:tcPr>
          <w:p>
            <w:pPr>
              <w:ind w:left="500"/>
              <w:spacing w:after="0"/>
              <w:rPr>
                <w:sz w:val="20"/>
                <w:szCs w:val="20"/>
                <w:color w:val="auto"/>
              </w:rPr>
            </w:pPr>
            <w:r>
              <w:rPr>
                <w:rFonts w:ascii="Arial" w:cs="Arial" w:eastAsia="Arial" w:hAnsi="Arial"/>
                <w:sz w:val="20"/>
                <w:szCs w:val="20"/>
                <w:color w:val="auto"/>
              </w:rPr>
              <w:t>Section 2.1.</w:t>
            </w:r>
          </w:p>
        </w:tc>
        <w:tc>
          <w:tcPr>
            <w:tcW w:w="1160" w:type="dxa"/>
            <w:vAlign w:val="bottom"/>
            <w:tcBorders>
              <w:bottom w:val="single" w:sz="8" w:color="auto"/>
            </w:tcBorders>
            <w:gridSpan w:val="6"/>
          </w:tcPr>
          <w:p>
            <w:pPr>
              <w:spacing w:after="0"/>
              <w:rPr>
                <w:sz w:val="20"/>
                <w:szCs w:val="20"/>
                <w:color w:val="auto"/>
              </w:rPr>
            </w:pPr>
            <w:r>
              <w:rPr>
                <w:rFonts w:ascii="Arial" w:cs="Arial" w:eastAsia="Arial" w:hAnsi="Arial"/>
                <w:sz w:val="20"/>
                <w:szCs w:val="20"/>
                <w:color w:val="auto"/>
                <w:w w:val="90"/>
              </w:rPr>
              <w:t>Commitments</w:t>
            </w:r>
          </w:p>
        </w:tc>
        <w:tc>
          <w:tcPr>
            <w:tcW w:w="3680" w:type="dxa"/>
            <w:vAlign w:val="bottom"/>
            <w:gridSpan w:val="21"/>
          </w:tcPr>
          <w:p>
            <w:pPr>
              <w:spacing w:after="0"/>
              <w:rPr>
                <w:sz w:val="23"/>
                <w:szCs w:val="23"/>
                <w:color w:val="auto"/>
              </w:rPr>
            </w:pPr>
          </w:p>
        </w:tc>
      </w:tr>
      <w:tr>
        <w:trPr>
          <w:trHeight w:val="291"/>
        </w:trPr>
        <w:tc>
          <w:tcPr>
            <w:tcW w:w="1800" w:type="dxa"/>
            <w:vAlign w:val="bottom"/>
          </w:tcPr>
          <w:p>
            <w:pPr>
              <w:ind w:left="500"/>
              <w:spacing w:after="0"/>
              <w:rPr>
                <w:sz w:val="20"/>
                <w:szCs w:val="20"/>
                <w:color w:val="auto"/>
              </w:rPr>
            </w:pPr>
            <w:r>
              <w:rPr>
                <w:rFonts w:ascii="Arial" w:cs="Arial" w:eastAsia="Arial" w:hAnsi="Arial"/>
                <w:sz w:val="20"/>
                <w:szCs w:val="20"/>
                <w:color w:val="auto"/>
              </w:rPr>
              <w:t>Section 2.2.</w:t>
            </w:r>
          </w:p>
        </w:tc>
        <w:tc>
          <w:tcPr>
            <w:tcW w:w="2320" w:type="dxa"/>
            <w:vAlign w:val="bottom"/>
            <w:tcBorders>
              <w:bottom w:val="single" w:sz="8" w:color="auto"/>
            </w:tcBorders>
            <w:gridSpan w:val="18"/>
          </w:tcPr>
          <w:p>
            <w:pPr>
              <w:spacing w:after="0"/>
              <w:rPr>
                <w:sz w:val="20"/>
                <w:szCs w:val="20"/>
                <w:color w:val="auto"/>
              </w:rPr>
            </w:pPr>
            <w:r>
              <w:rPr>
                <w:rFonts w:ascii="Arial" w:cs="Arial" w:eastAsia="Arial" w:hAnsi="Arial"/>
                <w:sz w:val="20"/>
                <w:szCs w:val="20"/>
                <w:color w:val="auto"/>
                <w:w w:val="90"/>
              </w:rPr>
              <w:t>Funding of Incremental Loan</w:t>
            </w:r>
          </w:p>
        </w:tc>
        <w:tc>
          <w:tcPr>
            <w:tcW w:w="2520" w:type="dxa"/>
            <w:vAlign w:val="bottom"/>
            <w:gridSpan w:val="9"/>
          </w:tcPr>
          <w:p>
            <w:pPr>
              <w:spacing w:after="0"/>
              <w:rPr>
                <w:sz w:val="24"/>
                <w:szCs w:val="24"/>
                <w:color w:val="auto"/>
              </w:rPr>
            </w:pPr>
          </w:p>
        </w:tc>
      </w:tr>
      <w:tr>
        <w:trPr>
          <w:trHeight w:val="291"/>
        </w:trPr>
        <w:tc>
          <w:tcPr>
            <w:tcW w:w="1800" w:type="dxa"/>
            <w:vAlign w:val="bottom"/>
          </w:tcPr>
          <w:p>
            <w:pPr>
              <w:ind w:left="500"/>
              <w:spacing w:after="0"/>
              <w:rPr>
                <w:sz w:val="20"/>
                <w:szCs w:val="20"/>
                <w:color w:val="auto"/>
              </w:rPr>
            </w:pPr>
            <w:r>
              <w:rPr>
                <w:rFonts w:ascii="Arial" w:cs="Arial" w:eastAsia="Arial" w:hAnsi="Arial"/>
                <w:sz w:val="20"/>
                <w:szCs w:val="20"/>
                <w:color w:val="auto"/>
              </w:rPr>
              <w:t>Section 2.3.</w:t>
            </w:r>
          </w:p>
        </w:tc>
        <w:tc>
          <w:tcPr>
            <w:tcW w:w="3140" w:type="dxa"/>
            <w:vAlign w:val="bottom"/>
            <w:tcBorders>
              <w:bottom w:val="single" w:sz="8" w:color="auto"/>
            </w:tcBorders>
            <w:gridSpan w:val="23"/>
          </w:tcPr>
          <w:p>
            <w:pPr>
              <w:spacing w:after="0"/>
              <w:rPr>
                <w:sz w:val="20"/>
                <w:szCs w:val="20"/>
                <w:color w:val="auto"/>
              </w:rPr>
            </w:pPr>
            <w:r>
              <w:rPr>
                <w:rFonts w:ascii="Arial" w:cs="Arial" w:eastAsia="Arial" w:hAnsi="Arial"/>
                <w:sz w:val="20"/>
                <w:szCs w:val="20"/>
                <w:color w:val="auto"/>
                <w:w w:val="89"/>
              </w:rPr>
              <w:t>Repayment of Loans; Evidence of Debt</w:t>
            </w:r>
          </w:p>
        </w:tc>
        <w:tc>
          <w:tcPr>
            <w:tcW w:w="1700" w:type="dxa"/>
            <w:vAlign w:val="bottom"/>
            <w:gridSpan w:val="4"/>
          </w:tcPr>
          <w:p>
            <w:pPr>
              <w:spacing w:after="0"/>
              <w:rPr>
                <w:sz w:val="24"/>
                <w:szCs w:val="24"/>
                <w:color w:val="auto"/>
              </w:rPr>
            </w:pPr>
          </w:p>
        </w:tc>
      </w:tr>
      <w:tr>
        <w:trPr>
          <w:trHeight w:val="291"/>
        </w:trPr>
        <w:tc>
          <w:tcPr>
            <w:tcW w:w="1800" w:type="dxa"/>
            <w:vAlign w:val="bottom"/>
          </w:tcPr>
          <w:p>
            <w:pPr>
              <w:ind w:left="500"/>
              <w:spacing w:after="0"/>
              <w:rPr>
                <w:sz w:val="20"/>
                <w:szCs w:val="20"/>
                <w:color w:val="auto"/>
              </w:rPr>
            </w:pPr>
            <w:r>
              <w:rPr>
                <w:rFonts w:ascii="Arial" w:cs="Arial" w:eastAsia="Arial" w:hAnsi="Arial"/>
                <w:sz w:val="20"/>
                <w:szCs w:val="20"/>
                <w:color w:val="auto"/>
              </w:rPr>
              <w:t>Section 2.4.</w:t>
            </w:r>
          </w:p>
        </w:tc>
        <w:tc>
          <w:tcPr>
            <w:tcW w:w="1840" w:type="dxa"/>
            <w:vAlign w:val="bottom"/>
            <w:tcBorders>
              <w:bottom w:val="single" w:sz="8" w:color="auto"/>
            </w:tcBorders>
            <w:gridSpan w:val="12"/>
          </w:tcPr>
          <w:p>
            <w:pPr>
              <w:spacing w:after="0"/>
              <w:rPr>
                <w:sz w:val="20"/>
                <w:szCs w:val="20"/>
                <w:color w:val="auto"/>
              </w:rPr>
            </w:pPr>
            <w:r>
              <w:rPr>
                <w:rFonts w:ascii="Arial" w:cs="Arial" w:eastAsia="Arial" w:hAnsi="Arial"/>
                <w:sz w:val="20"/>
                <w:szCs w:val="20"/>
                <w:color w:val="auto"/>
                <w:w w:val="87"/>
              </w:rPr>
              <w:t>Voluntary Prepayments</w:t>
            </w:r>
          </w:p>
        </w:tc>
        <w:tc>
          <w:tcPr>
            <w:tcW w:w="3000" w:type="dxa"/>
            <w:vAlign w:val="bottom"/>
            <w:gridSpan w:val="15"/>
          </w:tcPr>
          <w:p>
            <w:pPr>
              <w:spacing w:after="0"/>
              <w:rPr>
                <w:sz w:val="24"/>
                <w:szCs w:val="24"/>
                <w:color w:val="auto"/>
              </w:rPr>
            </w:pPr>
          </w:p>
        </w:tc>
      </w:tr>
      <w:tr>
        <w:trPr>
          <w:trHeight w:val="291"/>
        </w:trPr>
        <w:tc>
          <w:tcPr>
            <w:tcW w:w="1800" w:type="dxa"/>
            <w:vAlign w:val="bottom"/>
          </w:tcPr>
          <w:p>
            <w:pPr>
              <w:ind w:left="500"/>
              <w:spacing w:after="0"/>
              <w:rPr>
                <w:sz w:val="20"/>
                <w:szCs w:val="20"/>
                <w:color w:val="auto"/>
              </w:rPr>
            </w:pPr>
            <w:r>
              <w:rPr>
                <w:rFonts w:ascii="Arial" w:cs="Arial" w:eastAsia="Arial" w:hAnsi="Arial"/>
                <w:sz w:val="20"/>
                <w:szCs w:val="20"/>
                <w:color w:val="auto"/>
              </w:rPr>
              <w:t>Section 2.5.</w:t>
            </w:r>
          </w:p>
        </w:tc>
        <w:tc>
          <w:tcPr>
            <w:tcW w:w="4840" w:type="dxa"/>
            <w:vAlign w:val="bottom"/>
            <w:tcBorders>
              <w:bottom w:val="single" w:sz="8" w:color="auto"/>
            </w:tcBorders>
            <w:gridSpan w:val="27"/>
          </w:tcPr>
          <w:p>
            <w:pPr>
              <w:spacing w:after="0"/>
              <w:rPr>
                <w:sz w:val="20"/>
                <w:szCs w:val="20"/>
                <w:color w:val="auto"/>
              </w:rPr>
            </w:pPr>
            <w:r>
              <w:rPr>
                <w:rFonts w:ascii="Arial" w:cs="Arial" w:eastAsia="Arial" w:hAnsi="Arial"/>
                <w:sz w:val="20"/>
                <w:szCs w:val="20"/>
                <w:color w:val="auto"/>
                <w:w w:val="88"/>
              </w:rPr>
              <w:t>Payments Generally; Pro Rata Treatment; Sharing of Set-offs</w:t>
            </w:r>
          </w:p>
        </w:tc>
      </w:tr>
      <w:tr>
        <w:trPr>
          <w:trHeight w:val="291"/>
        </w:trPr>
        <w:tc>
          <w:tcPr>
            <w:tcW w:w="1800" w:type="dxa"/>
            <w:vAlign w:val="bottom"/>
          </w:tcPr>
          <w:p>
            <w:pPr>
              <w:ind w:left="500"/>
              <w:spacing w:after="0"/>
              <w:rPr>
                <w:sz w:val="20"/>
                <w:szCs w:val="20"/>
                <w:color w:val="auto"/>
              </w:rPr>
            </w:pPr>
            <w:r>
              <w:rPr>
                <w:rFonts w:ascii="Arial" w:cs="Arial" w:eastAsia="Arial" w:hAnsi="Arial"/>
                <w:sz w:val="20"/>
                <w:szCs w:val="20"/>
                <w:color w:val="auto"/>
              </w:rPr>
              <w:t>Section 2.6.</w:t>
            </w:r>
          </w:p>
        </w:tc>
        <w:tc>
          <w:tcPr>
            <w:tcW w:w="4840" w:type="dxa"/>
            <w:vAlign w:val="bottom"/>
            <w:gridSpan w:val="27"/>
          </w:tcPr>
          <w:p>
            <w:pPr>
              <w:spacing w:after="0"/>
              <w:rPr>
                <w:sz w:val="20"/>
                <w:szCs w:val="20"/>
                <w:color w:val="auto"/>
              </w:rPr>
            </w:pPr>
            <w:r>
              <w:rPr>
                <w:rFonts w:ascii="Arial" w:cs="Arial" w:eastAsia="Arial" w:hAnsi="Arial"/>
                <w:sz w:val="20"/>
                <w:szCs w:val="20"/>
                <w:color w:val="auto"/>
              </w:rPr>
              <w:t>Defaulting Lenders</w:t>
            </w:r>
          </w:p>
        </w:tc>
      </w:tr>
      <w:tr>
        <w:trPr>
          <w:trHeight w:val="20"/>
        </w:trPr>
        <w:tc>
          <w:tcPr>
            <w:tcW w:w="18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35"/>
        </w:trPr>
        <w:tc>
          <w:tcPr>
            <w:tcW w:w="6640" w:type="dxa"/>
            <w:vAlign w:val="bottom"/>
            <w:gridSpan w:val="28"/>
          </w:tcPr>
          <w:p>
            <w:pPr>
              <w:spacing w:after="0"/>
              <w:rPr>
                <w:sz w:val="20"/>
                <w:szCs w:val="20"/>
                <w:color w:val="auto"/>
              </w:rPr>
            </w:pPr>
            <w:r>
              <w:rPr>
                <w:rFonts w:ascii="Arial" w:cs="Arial" w:eastAsia="Arial" w:hAnsi="Arial"/>
                <w:sz w:val="20"/>
                <w:szCs w:val="20"/>
                <w:b w:val="1"/>
                <w:bCs w:val="1"/>
                <w:color w:val="010000"/>
              </w:rPr>
              <w:t xml:space="preserve">Article 3. </w:t>
            </w:r>
            <w:r>
              <w:rPr>
                <w:rFonts w:ascii="Arial" w:cs="Arial" w:eastAsia="Arial" w:hAnsi="Arial"/>
                <w:sz w:val="20"/>
                <w:szCs w:val="20"/>
                <w:b w:val="1"/>
                <w:bCs w:val="1"/>
                <w:color w:val="000000"/>
              </w:rPr>
              <w:t>INTEREST, FEES, YIELD PROTECTION, ETC.</w:t>
            </w:r>
          </w:p>
        </w:tc>
      </w:tr>
      <w:tr>
        <w:trPr>
          <w:trHeight w:val="266"/>
        </w:trPr>
        <w:tc>
          <w:tcPr>
            <w:tcW w:w="1800" w:type="dxa"/>
            <w:vAlign w:val="bottom"/>
          </w:tcPr>
          <w:p>
            <w:pPr>
              <w:ind w:left="500"/>
              <w:spacing w:after="0"/>
              <w:rPr>
                <w:sz w:val="20"/>
                <w:szCs w:val="20"/>
                <w:color w:val="auto"/>
              </w:rPr>
            </w:pPr>
            <w:r>
              <w:rPr>
                <w:rFonts w:ascii="Arial" w:cs="Arial" w:eastAsia="Arial" w:hAnsi="Arial"/>
                <w:sz w:val="20"/>
                <w:szCs w:val="20"/>
                <w:color w:val="auto"/>
              </w:rPr>
              <w:t>Section 3.1.</w:t>
            </w:r>
          </w:p>
        </w:tc>
        <w:tc>
          <w:tcPr>
            <w:tcW w:w="4840" w:type="dxa"/>
            <w:vAlign w:val="bottom"/>
            <w:gridSpan w:val="27"/>
          </w:tcPr>
          <w:p>
            <w:pPr>
              <w:spacing w:after="0"/>
              <w:rPr>
                <w:sz w:val="20"/>
                <w:szCs w:val="20"/>
                <w:color w:val="auto"/>
              </w:rPr>
            </w:pPr>
            <w:r>
              <w:rPr>
                <w:rFonts w:ascii="Arial" w:cs="Arial" w:eastAsia="Arial" w:hAnsi="Arial"/>
                <w:sz w:val="20"/>
                <w:szCs w:val="20"/>
                <w:color w:val="auto"/>
              </w:rPr>
              <w:t>Interest</w:t>
            </w:r>
          </w:p>
        </w:tc>
      </w:tr>
      <w:tr>
        <w:trPr>
          <w:trHeight w:val="20"/>
        </w:trPr>
        <w:tc>
          <w:tcPr>
            <w:tcW w:w="18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91"/>
        </w:trPr>
        <w:tc>
          <w:tcPr>
            <w:tcW w:w="1800" w:type="dxa"/>
            <w:vAlign w:val="bottom"/>
          </w:tcPr>
          <w:p>
            <w:pPr>
              <w:ind w:left="500"/>
              <w:spacing w:after="0"/>
              <w:rPr>
                <w:sz w:val="20"/>
                <w:szCs w:val="20"/>
                <w:color w:val="auto"/>
              </w:rPr>
            </w:pPr>
            <w:r>
              <w:rPr>
                <w:rFonts w:ascii="Arial" w:cs="Arial" w:eastAsia="Arial" w:hAnsi="Arial"/>
                <w:sz w:val="20"/>
                <w:szCs w:val="20"/>
                <w:color w:val="auto"/>
              </w:rPr>
              <w:t>Section 3.2.</w:t>
            </w:r>
          </w:p>
        </w:tc>
        <w:tc>
          <w:tcPr>
            <w:tcW w:w="2020" w:type="dxa"/>
            <w:vAlign w:val="bottom"/>
            <w:tcBorders>
              <w:bottom w:val="single" w:sz="8" w:color="auto"/>
            </w:tcBorders>
            <w:gridSpan w:val="14"/>
          </w:tcPr>
          <w:p>
            <w:pPr>
              <w:spacing w:after="0"/>
              <w:rPr>
                <w:sz w:val="20"/>
                <w:szCs w:val="20"/>
                <w:color w:val="auto"/>
              </w:rPr>
            </w:pPr>
            <w:r>
              <w:rPr>
                <w:rFonts w:ascii="Arial" w:cs="Arial" w:eastAsia="Arial" w:hAnsi="Arial"/>
                <w:sz w:val="20"/>
                <w:szCs w:val="20"/>
                <w:color w:val="auto"/>
                <w:w w:val="89"/>
              </w:rPr>
              <w:t>Alternate Rate of Interest</w:t>
            </w:r>
          </w:p>
        </w:tc>
        <w:tc>
          <w:tcPr>
            <w:tcW w:w="2820" w:type="dxa"/>
            <w:vAlign w:val="bottom"/>
            <w:gridSpan w:val="13"/>
          </w:tcPr>
          <w:p>
            <w:pPr>
              <w:spacing w:after="0"/>
              <w:rPr>
                <w:sz w:val="24"/>
                <w:szCs w:val="24"/>
                <w:color w:val="auto"/>
              </w:rPr>
            </w:pPr>
          </w:p>
        </w:tc>
      </w:tr>
      <w:tr>
        <w:trPr>
          <w:trHeight w:val="291"/>
        </w:trPr>
        <w:tc>
          <w:tcPr>
            <w:tcW w:w="1800" w:type="dxa"/>
            <w:vAlign w:val="bottom"/>
          </w:tcPr>
          <w:p>
            <w:pPr>
              <w:ind w:left="500"/>
              <w:spacing w:after="0"/>
              <w:rPr>
                <w:sz w:val="20"/>
                <w:szCs w:val="20"/>
                <w:color w:val="auto"/>
              </w:rPr>
            </w:pPr>
            <w:r>
              <w:rPr>
                <w:rFonts w:ascii="Arial" w:cs="Arial" w:eastAsia="Arial" w:hAnsi="Arial"/>
                <w:sz w:val="20"/>
                <w:szCs w:val="20"/>
                <w:color w:val="010000"/>
              </w:rPr>
              <w:t>Section 3.3.</w:t>
            </w:r>
          </w:p>
        </w:tc>
        <w:tc>
          <w:tcPr>
            <w:tcW w:w="2060" w:type="dxa"/>
            <w:vAlign w:val="bottom"/>
            <w:tcBorders>
              <w:bottom w:val="single" w:sz="8" w:color="auto"/>
            </w:tcBorders>
            <w:gridSpan w:val="15"/>
          </w:tcPr>
          <w:p>
            <w:pPr>
              <w:spacing w:after="0"/>
              <w:rPr>
                <w:sz w:val="20"/>
                <w:szCs w:val="20"/>
                <w:color w:val="auto"/>
              </w:rPr>
            </w:pPr>
            <w:r>
              <w:rPr>
                <w:rFonts w:ascii="Arial" w:cs="Arial" w:eastAsia="Arial" w:hAnsi="Arial"/>
                <w:sz w:val="20"/>
                <w:szCs w:val="20"/>
                <w:color w:val="auto"/>
                <w:w w:val="89"/>
              </w:rPr>
              <w:t>Increased Costs; Illegality</w:t>
            </w:r>
          </w:p>
        </w:tc>
        <w:tc>
          <w:tcPr>
            <w:tcW w:w="2780" w:type="dxa"/>
            <w:vAlign w:val="bottom"/>
            <w:gridSpan w:val="12"/>
          </w:tcPr>
          <w:p>
            <w:pPr>
              <w:spacing w:after="0"/>
              <w:rPr>
                <w:sz w:val="24"/>
                <w:szCs w:val="24"/>
                <w:color w:val="auto"/>
              </w:rPr>
            </w:pPr>
          </w:p>
        </w:tc>
      </w:tr>
      <w:tr>
        <w:trPr>
          <w:trHeight w:val="291"/>
        </w:trPr>
        <w:tc>
          <w:tcPr>
            <w:tcW w:w="1800" w:type="dxa"/>
            <w:vAlign w:val="bottom"/>
          </w:tcPr>
          <w:p>
            <w:pPr>
              <w:ind w:left="500"/>
              <w:spacing w:after="0"/>
              <w:rPr>
                <w:sz w:val="20"/>
                <w:szCs w:val="20"/>
                <w:color w:val="auto"/>
              </w:rPr>
            </w:pPr>
            <w:r>
              <w:rPr>
                <w:rFonts w:ascii="Arial" w:cs="Arial" w:eastAsia="Arial" w:hAnsi="Arial"/>
                <w:sz w:val="20"/>
                <w:szCs w:val="20"/>
                <w:color w:val="auto"/>
              </w:rPr>
              <w:t>Section 3.4.</w:t>
            </w:r>
          </w:p>
        </w:tc>
        <w:tc>
          <w:tcPr>
            <w:tcW w:w="2000" w:type="dxa"/>
            <w:vAlign w:val="bottom"/>
            <w:tcBorders>
              <w:bottom w:val="single" w:sz="8" w:color="auto"/>
            </w:tcBorders>
            <w:gridSpan w:val="13"/>
          </w:tcPr>
          <w:p>
            <w:pPr>
              <w:spacing w:after="0"/>
              <w:rPr>
                <w:sz w:val="20"/>
                <w:szCs w:val="20"/>
                <w:color w:val="auto"/>
              </w:rPr>
            </w:pPr>
            <w:r>
              <w:rPr>
                <w:rFonts w:ascii="Arial" w:cs="Arial" w:eastAsia="Arial" w:hAnsi="Arial"/>
                <w:sz w:val="20"/>
                <w:szCs w:val="20"/>
                <w:color w:val="auto"/>
                <w:w w:val="88"/>
              </w:rPr>
              <w:t>Break Funding Payments</w:t>
            </w:r>
          </w:p>
        </w:tc>
        <w:tc>
          <w:tcPr>
            <w:tcW w:w="2840" w:type="dxa"/>
            <w:vAlign w:val="bottom"/>
            <w:gridSpan w:val="14"/>
          </w:tcPr>
          <w:p>
            <w:pPr>
              <w:spacing w:after="0"/>
              <w:rPr>
                <w:sz w:val="24"/>
                <w:szCs w:val="24"/>
                <w:color w:val="auto"/>
              </w:rPr>
            </w:pPr>
          </w:p>
        </w:tc>
      </w:tr>
      <w:tr>
        <w:trPr>
          <w:trHeight w:val="291"/>
        </w:trPr>
        <w:tc>
          <w:tcPr>
            <w:tcW w:w="1800" w:type="dxa"/>
            <w:vAlign w:val="bottom"/>
          </w:tcPr>
          <w:p>
            <w:pPr>
              <w:ind w:left="500"/>
              <w:spacing w:after="0"/>
              <w:rPr>
                <w:sz w:val="20"/>
                <w:szCs w:val="20"/>
                <w:color w:val="auto"/>
              </w:rPr>
            </w:pPr>
            <w:r>
              <w:rPr>
                <w:rFonts w:ascii="Arial" w:cs="Arial" w:eastAsia="Arial" w:hAnsi="Arial"/>
                <w:sz w:val="20"/>
                <w:szCs w:val="20"/>
                <w:color w:val="auto"/>
              </w:rPr>
              <w:t>Section 3.5.</w:t>
            </w:r>
          </w:p>
        </w:tc>
        <w:tc>
          <w:tcPr>
            <w:tcW w:w="4840" w:type="dxa"/>
            <w:vAlign w:val="bottom"/>
            <w:gridSpan w:val="27"/>
          </w:tcPr>
          <w:p>
            <w:pPr>
              <w:spacing w:after="0"/>
              <w:rPr>
                <w:sz w:val="20"/>
                <w:szCs w:val="20"/>
                <w:color w:val="auto"/>
              </w:rPr>
            </w:pPr>
            <w:r>
              <w:rPr>
                <w:rFonts w:ascii="Arial" w:cs="Arial" w:eastAsia="Arial" w:hAnsi="Arial"/>
                <w:sz w:val="20"/>
                <w:szCs w:val="20"/>
                <w:color w:val="auto"/>
              </w:rPr>
              <w:t>Withholding of Taxes; Gross-Up</w:t>
            </w:r>
          </w:p>
        </w:tc>
      </w:tr>
      <w:tr>
        <w:trPr>
          <w:trHeight w:val="291"/>
        </w:trPr>
        <w:tc>
          <w:tcPr>
            <w:tcW w:w="1800" w:type="dxa"/>
            <w:vAlign w:val="bottom"/>
          </w:tcPr>
          <w:p>
            <w:pPr>
              <w:ind w:left="500"/>
              <w:spacing w:after="0"/>
              <w:rPr>
                <w:sz w:val="20"/>
                <w:szCs w:val="20"/>
                <w:color w:val="auto"/>
              </w:rPr>
            </w:pPr>
            <w:r>
              <w:rPr>
                <w:rFonts w:ascii="Arial" w:cs="Arial" w:eastAsia="Arial" w:hAnsi="Arial"/>
                <w:sz w:val="20"/>
                <w:szCs w:val="20"/>
                <w:color w:val="auto"/>
              </w:rPr>
              <w:t>Section 3.6.</w:t>
            </w:r>
          </w:p>
        </w:tc>
        <w:tc>
          <w:tcPr>
            <w:tcW w:w="1800" w:type="dxa"/>
            <w:vAlign w:val="bottom"/>
            <w:tcBorders>
              <w:top w:val="single" w:sz="8" w:color="auto"/>
              <w:bottom w:val="single" w:sz="8" w:color="auto"/>
            </w:tcBorders>
            <w:gridSpan w:val="11"/>
          </w:tcPr>
          <w:p>
            <w:pPr>
              <w:spacing w:after="0"/>
              <w:rPr>
                <w:sz w:val="20"/>
                <w:szCs w:val="20"/>
                <w:color w:val="auto"/>
              </w:rPr>
            </w:pPr>
            <w:r>
              <w:rPr>
                <w:rFonts w:ascii="Arial" w:cs="Arial" w:eastAsia="Arial" w:hAnsi="Arial"/>
                <w:sz w:val="20"/>
                <w:szCs w:val="20"/>
                <w:color w:val="auto"/>
                <w:w w:val="93"/>
              </w:rPr>
              <w:t>Mitigation Obligations</w:t>
            </w:r>
          </w:p>
        </w:tc>
        <w:tc>
          <w:tcPr>
            <w:tcW w:w="780" w:type="dxa"/>
            <w:vAlign w:val="bottom"/>
            <w:tcBorders>
              <w:top w:val="single" w:sz="8" w:color="auto"/>
            </w:tcBorders>
            <w:gridSpan w:val="9"/>
          </w:tcPr>
          <w:p>
            <w:pPr>
              <w:spacing w:after="0"/>
              <w:rPr>
                <w:sz w:val="24"/>
                <w:szCs w:val="24"/>
                <w:color w:val="auto"/>
              </w:rPr>
            </w:pPr>
          </w:p>
        </w:tc>
        <w:tc>
          <w:tcPr>
            <w:tcW w:w="2260" w:type="dxa"/>
            <w:vAlign w:val="bottom"/>
            <w:gridSpan w:val="7"/>
          </w:tcPr>
          <w:p>
            <w:pPr>
              <w:spacing w:after="0"/>
              <w:rPr>
                <w:sz w:val="24"/>
                <w:szCs w:val="24"/>
                <w:color w:val="auto"/>
              </w:rPr>
            </w:pPr>
          </w:p>
        </w:tc>
      </w:tr>
      <w:tr>
        <w:trPr>
          <w:trHeight w:val="335"/>
        </w:trPr>
        <w:tc>
          <w:tcPr>
            <w:tcW w:w="6640" w:type="dxa"/>
            <w:vAlign w:val="bottom"/>
            <w:gridSpan w:val="28"/>
          </w:tcPr>
          <w:p>
            <w:pPr>
              <w:spacing w:after="0"/>
              <w:rPr>
                <w:sz w:val="20"/>
                <w:szCs w:val="20"/>
                <w:color w:val="auto"/>
              </w:rPr>
            </w:pPr>
            <w:r>
              <w:rPr>
                <w:rFonts w:ascii="Arial" w:cs="Arial" w:eastAsia="Arial" w:hAnsi="Arial"/>
                <w:sz w:val="20"/>
                <w:szCs w:val="20"/>
                <w:b w:val="1"/>
                <w:bCs w:val="1"/>
                <w:color w:val="010000"/>
              </w:rPr>
              <w:t xml:space="preserve">Article 4. </w:t>
            </w:r>
            <w:r>
              <w:rPr>
                <w:rFonts w:ascii="Arial" w:cs="Arial" w:eastAsia="Arial" w:hAnsi="Arial"/>
                <w:sz w:val="20"/>
                <w:szCs w:val="20"/>
                <w:b w:val="1"/>
                <w:bCs w:val="1"/>
                <w:color w:val="000000"/>
              </w:rPr>
              <w:t>REPRESENTATIONS AND WARRANTIES</w:t>
            </w:r>
          </w:p>
        </w:tc>
      </w:tr>
      <w:tr>
        <w:trPr>
          <w:trHeight w:val="266"/>
        </w:trPr>
        <w:tc>
          <w:tcPr>
            <w:tcW w:w="1800" w:type="dxa"/>
            <w:vAlign w:val="bottom"/>
          </w:tcPr>
          <w:p>
            <w:pPr>
              <w:ind w:left="500"/>
              <w:spacing w:after="0"/>
              <w:rPr>
                <w:sz w:val="20"/>
                <w:szCs w:val="20"/>
                <w:color w:val="auto"/>
              </w:rPr>
            </w:pPr>
            <w:r>
              <w:rPr>
                <w:rFonts w:ascii="Arial" w:cs="Arial" w:eastAsia="Arial" w:hAnsi="Arial"/>
                <w:sz w:val="20"/>
                <w:szCs w:val="20"/>
                <w:color w:val="auto"/>
              </w:rPr>
              <w:t>Section 4.1.</w:t>
            </w:r>
          </w:p>
        </w:tc>
        <w:tc>
          <w:tcPr>
            <w:tcW w:w="4840" w:type="dxa"/>
            <w:vAlign w:val="bottom"/>
            <w:gridSpan w:val="27"/>
          </w:tcPr>
          <w:p>
            <w:pPr>
              <w:spacing w:after="0"/>
              <w:rPr>
                <w:sz w:val="20"/>
                <w:szCs w:val="20"/>
                <w:color w:val="auto"/>
              </w:rPr>
            </w:pPr>
            <w:r>
              <w:rPr>
                <w:rFonts w:ascii="Arial" w:cs="Arial" w:eastAsia="Arial" w:hAnsi="Arial"/>
                <w:sz w:val="20"/>
                <w:szCs w:val="20"/>
                <w:color w:val="auto"/>
              </w:rPr>
              <w:t>Organization; Powers</w:t>
            </w:r>
          </w:p>
        </w:tc>
      </w:tr>
      <w:tr>
        <w:trPr>
          <w:trHeight w:val="20"/>
        </w:trPr>
        <w:tc>
          <w:tcPr>
            <w:tcW w:w="18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gridSpan w:val="4"/>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91"/>
        </w:trPr>
        <w:tc>
          <w:tcPr>
            <w:tcW w:w="1800" w:type="dxa"/>
            <w:vAlign w:val="bottom"/>
          </w:tcPr>
          <w:p>
            <w:pPr>
              <w:ind w:left="500"/>
              <w:spacing w:after="0"/>
              <w:rPr>
                <w:sz w:val="20"/>
                <w:szCs w:val="20"/>
                <w:color w:val="auto"/>
              </w:rPr>
            </w:pPr>
            <w:r>
              <w:rPr>
                <w:rFonts w:ascii="Arial" w:cs="Arial" w:eastAsia="Arial" w:hAnsi="Arial"/>
                <w:sz w:val="20"/>
                <w:szCs w:val="20"/>
                <w:color w:val="auto"/>
              </w:rPr>
              <w:t>Section 4.2.</w:t>
            </w:r>
          </w:p>
        </w:tc>
        <w:tc>
          <w:tcPr>
            <w:tcW w:w="4840" w:type="dxa"/>
            <w:vAlign w:val="bottom"/>
            <w:gridSpan w:val="27"/>
          </w:tcPr>
          <w:p>
            <w:pPr>
              <w:spacing w:after="0"/>
              <w:rPr>
                <w:sz w:val="20"/>
                <w:szCs w:val="20"/>
                <w:color w:val="auto"/>
              </w:rPr>
            </w:pPr>
            <w:r>
              <w:rPr>
                <w:rFonts w:ascii="Arial" w:cs="Arial" w:eastAsia="Arial" w:hAnsi="Arial"/>
                <w:sz w:val="20"/>
                <w:szCs w:val="20"/>
                <w:color w:val="auto"/>
              </w:rPr>
              <w:t>Authorization; Enforceability</w:t>
            </w:r>
          </w:p>
        </w:tc>
      </w:tr>
      <w:tr>
        <w:trPr>
          <w:trHeight w:val="20"/>
        </w:trPr>
        <w:tc>
          <w:tcPr>
            <w:tcW w:w="18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gridSpan w:val="5"/>
            <w:shd w:val="clear" w:color="auto" w:fill="000000"/>
          </w:tcPr>
          <w:p>
            <w:pPr>
              <w:spacing w:after="0" w:line="20" w:lineRule="exact"/>
              <w:rPr>
                <w:sz w:val="1"/>
                <w:szCs w:val="1"/>
                <w:color w:val="auto"/>
              </w:rPr>
            </w:pPr>
          </w:p>
        </w:tc>
        <w:tc>
          <w:tcPr>
            <w:tcW w:w="360" w:type="dxa"/>
            <w:vAlign w:val="bottom"/>
            <w:gridSpan w:val="6"/>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91"/>
        </w:trPr>
        <w:tc>
          <w:tcPr>
            <w:tcW w:w="1800" w:type="dxa"/>
            <w:vAlign w:val="bottom"/>
          </w:tcPr>
          <w:p>
            <w:pPr>
              <w:ind w:left="500"/>
              <w:spacing w:after="0"/>
              <w:rPr>
                <w:sz w:val="20"/>
                <w:szCs w:val="20"/>
                <w:color w:val="auto"/>
              </w:rPr>
            </w:pPr>
            <w:r>
              <w:rPr>
                <w:rFonts w:ascii="Arial" w:cs="Arial" w:eastAsia="Arial" w:hAnsi="Arial"/>
                <w:sz w:val="20"/>
                <w:szCs w:val="20"/>
                <w:color w:val="auto"/>
              </w:rPr>
              <w:t>Section 4.3.</w:t>
            </w:r>
          </w:p>
        </w:tc>
        <w:tc>
          <w:tcPr>
            <w:tcW w:w="3120" w:type="dxa"/>
            <w:vAlign w:val="bottom"/>
            <w:tcBorders>
              <w:bottom w:val="single" w:sz="8" w:color="auto"/>
            </w:tcBorders>
            <w:gridSpan w:val="22"/>
          </w:tcPr>
          <w:p>
            <w:pPr>
              <w:spacing w:after="0"/>
              <w:rPr>
                <w:sz w:val="20"/>
                <w:szCs w:val="20"/>
                <w:color w:val="auto"/>
              </w:rPr>
            </w:pPr>
            <w:r>
              <w:rPr>
                <w:rFonts w:ascii="Arial" w:cs="Arial" w:eastAsia="Arial" w:hAnsi="Arial"/>
                <w:sz w:val="20"/>
                <w:szCs w:val="20"/>
                <w:color w:val="auto"/>
                <w:w w:val="91"/>
              </w:rPr>
              <w:t>Governmental Approvals; No Conflicts</w:t>
            </w:r>
          </w:p>
        </w:tc>
        <w:tc>
          <w:tcPr>
            <w:tcW w:w="1720" w:type="dxa"/>
            <w:vAlign w:val="bottom"/>
            <w:gridSpan w:val="5"/>
          </w:tcPr>
          <w:p>
            <w:pPr>
              <w:spacing w:after="0"/>
              <w:rPr>
                <w:sz w:val="24"/>
                <w:szCs w:val="24"/>
                <w:color w:val="auto"/>
              </w:rPr>
            </w:pPr>
          </w:p>
        </w:tc>
      </w:tr>
      <w:tr>
        <w:trPr>
          <w:trHeight w:val="291"/>
        </w:trPr>
        <w:tc>
          <w:tcPr>
            <w:tcW w:w="1800" w:type="dxa"/>
            <w:vAlign w:val="bottom"/>
          </w:tcPr>
          <w:p>
            <w:pPr>
              <w:ind w:left="500"/>
              <w:spacing w:after="0"/>
              <w:rPr>
                <w:sz w:val="20"/>
                <w:szCs w:val="20"/>
                <w:color w:val="auto"/>
              </w:rPr>
            </w:pPr>
            <w:r>
              <w:rPr>
                <w:rFonts w:ascii="Arial" w:cs="Arial" w:eastAsia="Arial" w:hAnsi="Arial"/>
                <w:sz w:val="20"/>
                <w:szCs w:val="20"/>
                <w:color w:val="auto"/>
              </w:rPr>
              <w:t>Section 4.4.</w:t>
            </w:r>
          </w:p>
        </w:tc>
        <w:tc>
          <w:tcPr>
            <w:tcW w:w="4000" w:type="dxa"/>
            <w:vAlign w:val="bottom"/>
            <w:tcBorders>
              <w:bottom w:val="single" w:sz="8" w:color="auto"/>
            </w:tcBorders>
            <w:gridSpan w:val="25"/>
          </w:tcPr>
          <w:p>
            <w:pPr>
              <w:spacing w:after="0"/>
              <w:rPr>
                <w:sz w:val="20"/>
                <w:szCs w:val="20"/>
                <w:color w:val="auto"/>
              </w:rPr>
            </w:pPr>
            <w:r>
              <w:rPr>
                <w:rFonts w:ascii="Arial" w:cs="Arial" w:eastAsia="Arial" w:hAnsi="Arial"/>
                <w:sz w:val="20"/>
                <w:szCs w:val="20"/>
                <w:color w:val="auto"/>
                <w:w w:val="90"/>
              </w:rPr>
              <w:t>Financial Condition; No Material Adverse Change</w:t>
            </w:r>
          </w:p>
        </w:tc>
        <w:tc>
          <w:tcPr>
            <w:tcW w:w="840" w:type="dxa"/>
            <w:vAlign w:val="bottom"/>
            <w:gridSpan w:val="2"/>
          </w:tcPr>
          <w:p>
            <w:pPr>
              <w:spacing w:after="0"/>
              <w:rPr>
                <w:sz w:val="24"/>
                <w:szCs w:val="24"/>
                <w:color w:val="auto"/>
              </w:rPr>
            </w:pPr>
          </w:p>
        </w:tc>
      </w:tr>
      <w:tr>
        <w:trPr>
          <w:trHeight w:val="291"/>
        </w:trPr>
        <w:tc>
          <w:tcPr>
            <w:tcW w:w="1800" w:type="dxa"/>
            <w:vAlign w:val="bottom"/>
          </w:tcPr>
          <w:p>
            <w:pPr>
              <w:ind w:left="500"/>
              <w:spacing w:after="0"/>
              <w:rPr>
                <w:sz w:val="20"/>
                <w:szCs w:val="20"/>
                <w:color w:val="auto"/>
              </w:rPr>
            </w:pPr>
            <w:r>
              <w:rPr>
                <w:rFonts w:ascii="Arial" w:cs="Arial" w:eastAsia="Arial" w:hAnsi="Arial"/>
                <w:sz w:val="20"/>
                <w:szCs w:val="20"/>
                <w:color w:val="auto"/>
              </w:rPr>
              <w:t>Section 4.5.</w:t>
            </w:r>
          </w:p>
        </w:tc>
        <w:tc>
          <w:tcPr>
            <w:tcW w:w="4840" w:type="dxa"/>
            <w:vAlign w:val="bottom"/>
            <w:gridSpan w:val="27"/>
          </w:tcPr>
          <w:p>
            <w:pPr>
              <w:spacing w:after="0"/>
              <w:rPr>
                <w:sz w:val="20"/>
                <w:szCs w:val="20"/>
                <w:color w:val="auto"/>
              </w:rPr>
            </w:pPr>
            <w:r>
              <w:rPr>
                <w:rFonts w:ascii="Arial" w:cs="Arial" w:eastAsia="Arial" w:hAnsi="Arial"/>
                <w:sz w:val="20"/>
                <w:szCs w:val="20"/>
                <w:color w:val="auto"/>
              </w:rPr>
              <w:t>Litigation  31</w:t>
            </w:r>
          </w:p>
        </w:tc>
      </w:tr>
      <w:tr>
        <w:trPr>
          <w:trHeight w:val="20"/>
        </w:trPr>
        <w:tc>
          <w:tcPr>
            <w:tcW w:w="18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gridSpan w:val="7"/>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91"/>
        </w:trPr>
        <w:tc>
          <w:tcPr>
            <w:tcW w:w="1800" w:type="dxa"/>
            <w:vAlign w:val="bottom"/>
          </w:tcPr>
          <w:p>
            <w:pPr>
              <w:ind w:left="500"/>
              <w:spacing w:after="0"/>
              <w:rPr>
                <w:sz w:val="20"/>
                <w:szCs w:val="20"/>
                <w:color w:val="auto"/>
              </w:rPr>
            </w:pPr>
            <w:r>
              <w:rPr>
                <w:rFonts w:ascii="Arial" w:cs="Arial" w:eastAsia="Arial" w:hAnsi="Arial"/>
                <w:sz w:val="20"/>
                <w:szCs w:val="20"/>
                <w:color w:val="auto"/>
              </w:rPr>
              <w:t>Section 4.6.</w:t>
            </w:r>
          </w:p>
        </w:tc>
        <w:tc>
          <w:tcPr>
            <w:tcW w:w="4840" w:type="dxa"/>
            <w:vAlign w:val="bottom"/>
            <w:gridSpan w:val="27"/>
          </w:tcPr>
          <w:p>
            <w:pPr>
              <w:spacing w:after="0"/>
              <w:rPr>
                <w:sz w:val="20"/>
                <w:szCs w:val="20"/>
                <w:color w:val="auto"/>
              </w:rPr>
            </w:pPr>
            <w:r>
              <w:rPr>
                <w:rFonts w:ascii="Arial" w:cs="Arial" w:eastAsia="Arial" w:hAnsi="Arial"/>
                <w:sz w:val="20"/>
                <w:szCs w:val="20"/>
                <w:color w:val="auto"/>
              </w:rPr>
              <w:t>Environmental Matter</w:t>
            </w:r>
          </w:p>
        </w:tc>
      </w:tr>
      <w:tr>
        <w:trPr>
          <w:trHeight w:val="20"/>
        </w:trPr>
        <w:tc>
          <w:tcPr>
            <w:tcW w:w="18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gridSpan w:val="3"/>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gridSpan w:val="5"/>
            <w:shd w:val="clear" w:color="auto" w:fill="000000"/>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gridSpan w:val="7"/>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91"/>
        </w:trPr>
        <w:tc>
          <w:tcPr>
            <w:tcW w:w="1800" w:type="dxa"/>
            <w:vAlign w:val="bottom"/>
          </w:tcPr>
          <w:p>
            <w:pPr>
              <w:ind w:left="500"/>
              <w:spacing w:after="0"/>
              <w:rPr>
                <w:sz w:val="20"/>
                <w:szCs w:val="20"/>
                <w:color w:val="auto"/>
              </w:rPr>
            </w:pPr>
            <w:r>
              <w:rPr>
                <w:rFonts w:ascii="Arial" w:cs="Arial" w:eastAsia="Arial" w:hAnsi="Arial"/>
                <w:sz w:val="20"/>
                <w:szCs w:val="20"/>
                <w:color w:val="auto"/>
              </w:rPr>
              <w:t>Section 4.7.</w:t>
            </w:r>
          </w:p>
        </w:tc>
        <w:tc>
          <w:tcPr>
            <w:tcW w:w="4840" w:type="dxa"/>
            <w:vAlign w:val="bottom"/>
            <w:gridSpan w:val="27"/>
          </w:tcPr>
          <w:p>
            <w:pPr>
              <w:spacing w:after="0"/>
              <w:rPr>
                <w:sz w:val="20"/>
                <w:szCs w:val="20"/>
                <w:color w:val="auto"/>
              </w:rPr>
            </w:pPr>
            <w:r>
              <w:rPr>
                <w:rFonts w:ascii="Arial" w:cs="Arial" w:eastAsia="Arial" w:hAnsi="Arial"/>
                <w:sz w:val="20"/>
                <w:szCs w:val="20"/>
                <w:color w:val="auto"/>
              </w:rPr>
              <w:t>Investment Company Status</w:t>
            </w:r>
          </w:p>
        </w:tc>
      </w:tr>
      <w:tr>
        <w:trPr>
          <w:trHeight w:val="291"/>
        </w:trPr>
        <w:tc>
          <w:tcPr>
            <w:tcW w:w="1800" w:type="dxa"/>
            <w:vAlign w:val="bottom"/>
          </w:tcPr>
          <w:p>
            <w:pPr>
              <w:ind w:left="500"/>
              <w:spacing w:after="0"/>
              <w:rPr>
                <w:sz w:val="20"/>
                <w:szCs w:val="20"/>
                <w:color w:val="auto"/>
              </w:rPr>
            </w:pPr>
            <w:r>
              <w:rPr>
                <w:rFonts w:ascii="Arial" w:cs="Arial" w:eastAsia="Arial" w:hAnsi="Arial"/>
                <w:sz w:val="20"/>
                <w:szCs w:val="20"/>
                <w:color w:val="auto"/>
              </w:rPr>
              <w:t>Section 4.8.</w:t>
            </w:r>
          </w:p>
        </w:tc>
        <w:tc>
          <w:tcPr>
            <w:tcW w:w="2220" w:type="dxa"/>
            <w:vAlign w:val="bottom"/>
            <w:tcBorders>
              <w:top w:val="single" w:sz="8" w:color="auto"/>
            </w:tcBorders>
            <w:gridSpan w:val="17"/>
          </w:tcPr>
          <w:p>
            <w:pPr>
              <w:spacing w:after="0"/>
              <w:rPr>
                <w:sz w:val="20"/>
                <w:szCs w:val="20"/>
                <w:color w:val="auto"/>
              </w:rPr>
            </w:pPr>
            <w:r>
              <w:rPr>
                <w:rFonts w:ascii="Arial" w:cs="Arial" w:eastAsia="Arial" w:hAnsi="Arial"/>
                <w:sz w:val="20"/>
                <w:szCs w:val="20"/>
                <w:color w:val="auto"/>
              </w:rPr>
              <w:t>ERISA</w:t>
            </w:r>
          </w:p>
        </w:tc>
        <w:tc>
          <w:tcPr>
            <w:tcW w:w="2620" w:type="dxa"/>
            <w:vAlign w:val="bottom"/>
            <w:gridSpan w:val="10"/>
          </w:tcPr>
          <w:p>
            <w:pPr>
              <w:spacing w:after="0"/>
              <w:rPr>
                <w:sz w:val="24"/>
                <w:szCs w:val="24"/>
                <w:color w:val="auto"/>
              </w:rPr>
            </w:pPr>
          </w:p>
        </w:tc>
      </w:tr>
      <w:tr>
        <w:trPr>
          <w:trHeight w:val="20"/>
        </w:trPr>
        <w:tc>
          <w:tcPr>
            <w:tcW w:w="18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11"/>
          </w:tcPr>
          <w:p>
            <w:pPr>
              <w:spacing w:after="0" w:line="20" w:lineRule="exact"/>
              <w:rPr>
                <w:sz w:val="1"/>
                <w:szCs w:val="1"/>
                <w:color w:val="auto"/>
              </w:rPr>
            </w:pPr>
          </w:p>
        </w:tc>
        <w:tc>
          <w:tcPr>
            <w:tcW w:w="1560" w:type="dxa"/>
            <w:vAlign w:val="bottom"/>
            <w:gridSpan w:val="8"/>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91"/>
        </w:trPr>
        <w:tc>
          <w:tcPr>
            <w:tcW w:w="1800" w:type="dxa"/>
            <w:vAlign w:val="bottom"/>
          </w:tcPr>
          <w:p>
            <w:pPr>
              <w:ind w:left="500"/>
              <w:spacing w:after="0"/>
              <w:rPr>
                <w:sz w:val="20"/>
                <w:szCs w:val="20"/>
                <w:color w:val="auto"/>
              </w:rPr>
            </w:pPr>
            <w:r>
              <w:rPr>
                <w:rFonts w:ascii="Arial" w:cs="Arial" w:eastAsia="Arial" w:hAnsi="Arial"/>
                <w:sz w:val="20"/>
                <w:szCs w:val="20"/>
                <w:color w:val="auto"/>
              </w:rPr>
              <w:t>Section 4.9.</w:t>
            </w:r>
          </w:p>
        </w:tc>
        <w:tc>
          <w:tcPr>
            <w:tcW w:w="840" w:type="dxa"/>
            <w:vAlign w:val="bottom"/>
            <w:tcBorders>
              <w:bottom w:val="single" w:sz="8" w:color="auto"/>
            </w:tcBorders>
            <w:gridSpan w:val="4"/>
          </w:tcPr>
          <w:p>
            <w:pPr>
              <w:spacing w:after="0"/>
              <w:rPr>
                <w:sz w:val="20"/>
                <w:szCs w:val="20"/>
                <w:color w:val="auto"/>
              </w:rPr>
            </w:pPr>
            <w:r>
              <w:rPr>
                <w:rFonts w:ascii="Arial" w:cs="Arial" w:eastAsia="Arial" w:hAnsi="Arial"/>
                <w:sz w:val="20"/>
                <w:szCs w:val="20"/>
                <w:color w:val="auto"/>
                <w:w w:val="87"/>
              </w:rPr>
              <w:t>Disclosure</w:t>
            </w:r>
          </w:p>
        </w:tc>
        <w:tc>
          <w:tcPr>
            <w:tcW w:w="4000" w:type="dxa"/>
            <w:vAlign w:val="bottom"/>
            <w:gridSpan w:val="23"/>
          </w:tcPr>
          <w:p>
            <w:pPr>
              <w:spacing w:after="0"/>
              <w:rPr>
                <w:sz w:val="24"/>
                <w:szCs w:val="24"/>
                <w:color w:val="auto"/>
              </w:rPr>
            </w:pPr>
          </w:p>
        </w:tc>
      </w:tr>
      <w:tr>
        <w:trPr>
          <w:trHeight w:val="291"/>
        </w:trPr>
        <w:tc>
          <w:tcPr>
            <w:tcW w:w="1800" w:type="dxa"/>
            <w:vAlign w:val="bottom"/>
          </w:tcPr>
          <w:p>
            <w:pPr>
              <w:ind w:left="500"/>
              <w:spacing w:after="0"/>
              <w:rPr>
                <w:sz w:val="20"/>
                <w:szCs w:val="20"/>
                <w:color w:val="auto"/>
              </w:rPr>
            </w:pPr>
            <w:r>
              <w:rPr>
                <w:rFonts w:ascii="Arial" w:cs="Arial" w:eastAsia="Arial" w:hAnsi="Arial"/>
                <w:sz w:val="20"/>
                <w:szCs w:val="20"/>
                <w:color w:val="auto"/>
              </w:rPr>
              <w:t>Section 4.10.</w:t>
            </w:r>
          </w:p>
        </w:tc>
        <w:tc>
          <w:tcPr>
            <w:tcW w:w="960" w:type="dxa"/>
            <w:vAlign w:val="bottom"/>
            <w:tcBorders>
              <w:bottom w:val="single" w:sz="8" w:color="auto"/>
            </w:tcBorders>
            <w:gridSpan w:val="5"/>
          </w:tcPr>
          <w:p>
            <w:pPr>
              <w:spacing w:after="0"/>
              <w:rPr>
                <w:sz w:val="20"/>
                <w:szCs w:val="20"/>
                <w:color w:val="auto"/>
              </w:rPr>
            </w:pPr>
            <w:r>
              <w:rPr>
                <w:rFonts w:ascii="Arial" w:cs="Arial" w:eastAsia="Arial" w:hAnsi="Arial"/>
                <w:sz w:val="20"/>
                <w:szCs w:val="20"/>
                <w:color w:val="auto"/>
                <w:w w:val="86"/>
              </w:rPr>
              <w:t>Subsidiaries</w:t>
            </w:r>
          </w:p>
        </w:tc>
        <w:tc>
          <w:tcPr>
            <w:tcW w:w="3880" w:type="dxa"/>
            <w:vAlign w:val="bottom"/>
            <w:gridSpan w:val="22"/>
          </w:tcPr>
          <w:p>
            <w:pPr>
              <w:spacing w:after="0"/>
              <w:rPr>
                <w:sz w:val="24"/>
                <w:szCs w:val="24"/>
                <w:color w:val="auto"/>
              </w:rPr>
            </w:pPr>
          </w:p>
        </w:tc>
      </w:tr>
      <w:tr>
        <w:trPr>
          <w:trHeight w:val="291"/>
        </w:trPr>
        <w:tc>
          <w:tcPr>
            <w:tcW w:w="1800" w:type="dxa"/>
            <w:vAlign w:val="bottom"/>
          </w:tcPr>
          <w:p>
            <w:pPr>
              <w:ind w:left="500"/>
              <w:spacing w:after="0"/>
              <w:rPr>
                <w:sz w:val="20"/>
                <w:szCs w:val="20"/>
                <w:color w:val="auto"/>
              </w:rPr>
            </w:pPr>
            <w:r>
              <w:rPr>
                <w:rFonts w:ascii="Arial" w:cs="Arial" w:eastAsia="Arial" w:hAnsi="Arial"/>
                <w:sz w:val="20"/>
                <w:szCs w:val="20"/>
                <w:color w:val="auto"/>
              </w:rPr>
              <w:t>Section 4.11.</w:t>
            </w:r>
          </w:p>
        </w:tc>
        <w:tc>
          <w:tcPr>
            <w:tcW w:w="3660" w:type="dxa"/>
            <w:vAlign w:val="bottom"/>
            <w:tcBorders>
              <w:bottom w:val="single" w:sz="8" w:color="auto"/>
            </w:tcBorders>
            <w:gridSpan w:val="24"/>
          </w:tcPr>
          <w:p>
            <w:pPr>
              <w:spacing w:after="0"/>
              <w:rPr>
                <w:sz w:val="20"/>
                <w:szCs w:val="20"/>
                <w:color w:val="auto"/>
              </w:rPr>
            </w:pPr>
            <w:r>
              <w:rPr>
                <w:rFonts w:ascii="Arial" w:cs="Arial" w:eastAsia="Arial" w:hAnsi="Arial"/>
                <w:sz w:val="20"/>
                <w:szCs w:val="20"/>
                <w:color w:val="auto"/>
                <w:w w:val="87"/>
              </w:rPr>
              <w:t>Use of Proceeds; Federal Reserve Regulations</w:t>
            </w:r>
          </w:p>
        </w:tc>
        <w:tc>
          <w:tcPr>
            <w:tcW w:w="1180" w:type="dxa"/>
            <w:vAlign w:val="bottom"/>
            <w:gridSpan w:val="3"/>
          </w:tcPr>
          <w:p>
            <w:pPr>
              <w:spacing w:after="0"/>
              <w:rPr>
                <w:sz w:val="24"/>
                <w:szCs w:val="24"/>
                <w:color w:val="auto"/>
              </w:rPr>
            </w:pPr>
          </w:p>
        </w:tc>
      </w:tr>
      <w:tr>
        <w:trPr>
          <w:trHeight w:val="291"/>
        </w:trPr>
        <w:tc>
          <w:tcPr>
            <w:tcW w:w="1800" w:type="dxa"/>
            <w:vAlign w:val="bottom"/>
          </w:tcPr>
          <w:p>
            <w:pPr>
              <w:ind w:left="500"/>
              <w:spacing w:after="0"/>
              <w:rPr>
                <w:sz w:val="20"/>
                <w:szCs w:val="20"/>
                <w:color w:val="auto"/>
              </w:rPr>
            </w:pPr>
            <w:r>
              <w:rPr>
                <w:rFonts w:ascii="Arial" w:cs="Arial" w:eastAsia="Arial" w:hAnsi="Arial"/>
                <w:sz w:val="20"/>
                <w:szCs w:val="20"/>
                <w:color w:val="auto"/>
              </w:rPr>
              <w:t>Section 4.12.</w:t>
            </w:r>
          </w:p>
        </w:tc>
        <w:tc>
          <w:tcPr>
            <w:tcW w:w="4840" w:type="dxa"/>
            <w:vAlign w:val="bottom"/>
            <w:gridSpan w:val="27"/>
          </w:tcPr>
          <w:p>
            <w:pPr>
              <w:spacing w:after="0"/>
              <w:rPr>
                <w:sz w:val="20"/>
                <w:szCs w:val="20"/>
                <w:color w:val="auto"/>
              </w:rPr>
            </w:pPr>
            <w:r>
              <w:rPr>
                <w:rFonts w:ascii="Arial" w:cs="Arial" w:eastAsia="Arial" w:hAnsi="Arial"/>
                <w:sz w:val="20"/>
                <w:szCs w:val="20"/>
                <w:color w:val="auto"/>
              </w:rPr>
              <w:t>EEA Financial Institutions</w:t>
            </w:r>
          </w:p>
        </w:tc>
      </w:tr>
      <w:tr>
        <w:trPr>
          <w:trHeight w:val="20"/>
        </w:trPr>
        <w:tc>
          <w:tcPr>
            <w:tcW w:w="1800" w:type="dxa"/>
            <w:vAlign w:val="bottom"/>
          </w:tcPr>
          <w:p>
            <w:pPr>
              <w:spacing w:after="0" w:line="20" w:lineRule="exact"/>
              <w:rPr>
                <w:sz w:val="1"/>
                <w:szCs w:val="1"/>
                <w:color w:val="auto"/>
              </w:rPr>
            </w:pPr>
          </w:p>
        </w:tc>
        <w:tc>
          <w:tcPr>
            <w:tcW w:w="2100" w:type="dxa"/>
            <w:vAlign w:val="bottom"/>
            <w:gridSpan w:val="16"/>
            <w:shd w:val="clear" w:color="auto" w:fill="000000"/>
          </w:tcPr>
          <w:p>
            <w:pPr>
              <w:spacing w:after="0" w:line="20" w:lineRule="exact"/>
              <w:rPr>
                <w:sz w:val="1"/>
                <w:szCs w:val="1"/>
                <w:color w:val="auto"/>
              </w:rPr>
            </w:pPr>
          </w:p>
        </w:tc>
        <w:tc>
          <w:tcPr>
            <w:tcW w:w="2560" w:type="dxa"/>
            <w:vAlign w:val="bottom"/>
            <w:gridSpan w:val="1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91"/>
        </w:trPr>
        <w:tc>
          <w:tcPr>
            <w:tcW w:w="1800" w:type="dxa"/>
            <w:vAlign w:val="bottom"/>
          </w:tcPr>
          <w:p>
            <w:pPr>
              <w:ind w:left="500"/>
              <w:spacing w:after="0"/>
              <w:rPr>
                <w:sz w:val="20"/>
                <w:szCs w:val="20"/>
                <w:color w:val="auto"/>
              </w:rPr>
            </w:pPr>
            <w:r>
              <w:rPr>
                <w:rFonts w:ascii="Arial" w:cs="Arial" w:eastAsia="Arial" w:hAnsi="Arial"/>
                <w:sz w:val="20"/>
                <w:szCs w:val="20"/>
                <w:color w:val="auto"/>
              </w:rPr>
              <w:t>Section 4.13.</w:t>
            </w:r>
          </w:p>
        </w:tc>
        <w:tc>
          <w:tcPr>
            <w:tcW w:w="4840" w:type="dxa"/>
            <w:vAlign w:val="bottom"/>
            <w:gridSpan w:val="27"/>
          </w:tcPr>
          <w:p>
            <w:pPr>
              <w:spacing w:after="0"/>
              <w:rPr>
                <w:sz w:val="20"/>
                <w:szCs w:val="20"/>
                <w:color w:val="auto"/>
              </w:rPr>
            </w:pPr>
            <w:r>
              <w:rPr>
                <w:rFonts w:ascii="Arial" w:cs="Arial" w:eastAsia="Arial" w:hAnsi="Arial"/>
                <w:sz w:val="20"/>
                <w:szCs w:val="20"/>
                <w:color w:val="auto"/>
                <w:w w:val="95"/>
              </w:rPr>
              <w:t>Anti-Money Laundering and Anti-Terrorism Finance Laws</w:t>
            </w:r>
          </w:p>
        </w:tc>
      </w:tr>
      <w:tr>
        <w:trPr>
          <w:trHeight w:val="20"/>
        </w:trPr>
        <w:tc>
          <w:tcPr>
            <w:tcW w:w="18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ectPr>
          <w:pgSz w:w="11900" w:h="16838" w:orient="portrait"/>
          <w:cols w:equalWidth="0" w:num="1">
            <w:col w:w="11420"/>
          </w:cols>
          <w:pgMar w:left="240" w:top="337"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4</w:t>
      </w:r>
    </w:p>
    <w:p>
      <w:pPr>
        <w:spacing w:after="0" w:line="254" w:lineRule="exact"/>
        <w:rPr>
          <w:sz w:val="20"/>
          <w:szCs w:val="20"/>
          <w:color w:val="auto"/>
        </w:rPr>
      </w:pPr>
    </w:p>
    <w:p>
      <w:pPr>
        <w:ind w:left="500"/>
        <w:spacing w:after="0"/>
        <w:tabs>
          <w:tab w:leader="none" w:pos="1780" w:val="left"/>
        </w:tabs>
        <w:rPr>
          <w:sz w:val="20"/>
          <w:szCs w:val="20"/>
          <w:color w:val="auto"/>
        </w:rPr>
      </w:pPr>
      <w:r>
        <w:rPr>
          <w:rFonts w:ascii="Arial" w:cs="Arial" w:eastAsia="Arial" w:hAnsi="Arial"/>
          <w:sz w:val="20"/>
          <w:szCs w:val="20"/>
          <w:color w:val="auto"/>
        </w:rPr>
        <w:t>Section 4.14.</w:t>
      </w:r>
      <w:r>
        <w:rPr>
          <w:sz w:val="20"/>
          <w:szCs w:val="20"/>
          <w:color w:val="auto"/>
        </w:rPr>
        <w:tab/>
      </w:r>
      <w:r>
        <w:rPr>
          <w:rFonts w:ascii="Arial" w:cs="Arial" w:eastAsia="Arial" w:hAnsi="Arial"/>
          <w:sz w:val="18"/>
          <w:szCs w:val="18"/>
          <w:u w:val="single" w:color="auto"/>
          <w:color w:val="auto"/>
        </w:rPr>
        <w:t>Foreign Corrupt Practices Act</w:t>
      </w:r>
    </w:p>
    <w:p>
      <w:pPr>
        <w:spacing w:after="0" w:line="81" w:lineRule="exact"/>
        <w:rPr>
          <w:sz w:val="20"/>
          <w:szCs w:val="20"/>
          <w:color w:val="auto"/>
        </w:rPr>
      </w:pPr>
    </w:p>
    <w:p>
      <w:pPr>
        <w:ind w:left="500"/>
        <w:spacing w:after="0"/>
        <w:tabs>
          <w:tab w:leader="none" w:pos="1780" w:val="left"/>
        </w:tabs>
        <w:rPr>
          <w:sz w:val="20"/>
          <w:szCs w:val="20"/>
          <w:color w:val="auto"/>
        </w:rPr>
      </w:pPr>
      <w:r>
        <w:rPr>
          <w:rFonts w:ascii="Arial" w:cs="Arial" w:eastAsia="Arial" w:hAnsi="Arial"/>
          <w:sz w:val="20"/>
          <w:szCs w:val="20"/>
          <w:color w:val="auto"/>
        </w:rPr>
        <w:t>Section 4.15.</w:t>
      </w:r>
      <w:r>
        <w:rPr>
          <w:sz w:val="20"/>
          <w:szCs w:val="20"/>
          <w:color w:val="auto"/>
        </w:rPr>
        <w:tab/>
      </w:r>
      <w:r>
        <w:rPr>
          <w:rFonts w:ascii="Arial" w:cs="Arial" w:eastAsia="Arial" w:hAnsi="Arial"/>
          <w:sz w:val="16"/>
          <w:szCs w:val="16"/>
          <w:u w:val="single" w:color="auto"/>
          <w:color w:val="auto"/>
        </w:rPr>
        <w:t>Sanctions Laws</w:t>
      </w:r>
    </w:p>
    <w:p>
      <w:pPr>
        <w:spacing w:after="0" w:line="81" w:lineRule="exact"/>
        <w:rPr>
          <w:sz w:val="20"/>
          <w:szCs w:val="20"/>
          <w:color w:val="auto"/>
        </w:rPr>
      </w:pPr>
    </w:p>
    <w:p>
      <w:pPr>
        <w:ind w:left="500"/>
        <w:spacing w:after="0"/>
        <w:tabs>
          <w:tab w:leader="none" w:pos="1780" w:val="left"/>
        </w:tabs>
        <w:rPr>
          <w:sz w:val="20"/>
          <w:szCs w:val="20"/>
          <w:color w:val="auto"/>
        </w:rPr>
      </w:pPr>
      <w:r>
        <w:rPr>
          <w:rFonts w:ascii="Arial" w:cs="Arial" w:eastAsia="Arial" w:hAnsi="Arial"/>
          <w:sz w:val="20"/>
          <w:szCs w:val="20"/>
          <w:color w:val="auto"/>
        </w:rPr>
        <w:t>Section 4.16.</w:t>
      </w:r>
      <w:r>
        <w:rPr>
          <w:sz w:val="20"/>
          <w:szCs w:val="20"/>
          <w:color w:val="auto"/>
        </w:rPr>
        <w:tab/>
      </w:r>
      <w:r>
        <w:rPr>
          <w:rFonts w:ascii="Arial" w:cs="Arial" w:eastAsia="Arial" w:hAnsi="Arial"/>
          <w:sz w:val="16"/>
          <w:szCs w:val="16"/>
          <w:u w:val="single" w:color="auto"/>
          <w:color w:val="auto"/>
        </w:rPr>
        <w:t>Plan Assets; Prohibited Transactions</w:t>
      </w:r>
    </w:p>
    <w:p>
      <w:pPr>
        <w:spacing w:after="0" w:line="75" w:lineRule="exact"/>
        <w:rPr>
          <w:sz w:val="20"/>
          <w:szCs w:val="20"/>
          <w:color w:val="auto"/>
        </w:rPr>
      </w:pPr>
    </w:p>
    <w:p>
      <w:pPr>
        <w:spacing w:after="0"/>
        <w:rPr>
          <w:sz w:val="20"/>
          <w:szCs w:val="20"/>
          <w:color w:val="auto"/>
        </w:rPr>
      </w:pPr>
      <w:r>
        <w:rPr>
          <w:rFonts w:ascii="Arial" w:cs="Arial" w:eastAsia="Arial" w:hAnsi="Arial"/>
          <w:sz w:val="20"/>
          <w:szCs w:val="20"/>
          <w:b w:val="1"/>
          <w:bCs w:val="1"/>
          <w:color w:val="010000"/>
        </w:rPr>
        <w:t xml:space="preserve">Article 5. </w:t>
      </w:r>
      <w:r>
        <w:rPr>
          <w:rFonts w:ascii="Arial" w:cs="Arial" w:eastAsia="Arial" w:hAnsi="Arial"/>
          <w:sz w:val="20"/>
          <w:szCs w:val="20"/>
          <w:b w:val="1"/>
          <w:bCs w:val="1"/>
          <w:color w:val="000000"/>
        </w:rPr>
        <w:t>CONDITIONS</w:t>
      </w:r>
    </w:p>
    <w:p>
      <w:pPr>
        <w:spacing w:after="0" w:line="87" w:lineRule="exact"/>
        <w:rPr>
          <w:sz w:val="20"/>
          <w:szCs w:val="20"/>
          <w:color w:val="auto"/>
        </w:rPr>
      </w:pPr>
    </w:p>
    <w:p>
      <w:pPr>
        <w:ind w:left="500"/>
        <w:spacing w:after="0"/>
        <w:tabs>
          <w:tab w:leader="none" w:pos="1780" w:val="left"/>
        </w:tabs>
        <w:rPr>
          <w:sz w:val="20"/>
          <w:szCs w:val="20"/>
          <w:color w:val="auto"/>
        </w:rPr>
      </w:pPr>
      <w:r>
        <w:rPr>
          <w:rFonts w:ascii="Arial" w:cs="Arial" w:eastAsia="Arial" w:hAnsi="Arial"/>
          <w:sz w:val="20"/>
          <w:szCs w:val="20"/>
          <w:color w:val="auto"/>
        </w:rPr>
        <w:t>Section 5.1.</w:t>
      </w:r>
      <w:r>
        <w:rPr>
          <w:sz w:val="20"/>
          <w:szCs w:val="20"/>
          <w:color w:val="auto"/>
        </w:rPr>
        <w:tab/>
      </w:r>
      <w:r>
        <w:rPr>
          <w:rFonts w:ascii="Arial" w:cs="Arial" w:eastAsia="Arial" w:hAnsi="Arial"/>
          <w:sz w:val="16"/>
          <w:szCs w:val="16"/>
          <w:u w:val="single" w:color="auto"/>
          <w:color w:val="auto"/>
        </w:rPr>
        <w:t>Effectiveness</w:t>
      </w:r>
    </w:p>
    <w:p>
      <w:pPr>
        <w:spacing w:after="0" w:line="75" w:lineRule="exact"/>
        <w:rPr>
          <w:sz w:val="20"/>
          <w:szCs w:val="20"/>
          <w:color w:val="auto"/>
        </w:rPr>
      </w:pPr>
    </w:p>
    <w:p>
      <w:pPr>
        <w:spacing w:after="0"/>
        <w:rPr>
          <w:sz w:val="20"/>
          <w:szCs w:val="20"/>
          <w:color w:val="auto"/>
        </w:rPr>
      </w:pPr>
      <w:r>
        <w:rPr>
          <w:rFonts w:ascii="Arial" w:cs="Arial" w:eastAsia="Arial" w:hAnsi="Arial"/>
          <w:sz w:val="20"/>
          <w:szCs w:val="20"/>
          <w:b w:val="1"/>
          <w:bCs w:val="1"/>
          <w:color w:val="010000"/>
        </w:rPr>
        <w:t xml:space="preserve">Article 6. </w:t>
      </w:r>
      <w:r>
        <w:rPr>
          <w:rFonts w:ascii="Arial" w:cs="Arial" w:eastAsia="Arial" w:hAnsi="Arial"/>
          <w:sz w:val="20"/>
          <w:szCs w:val="20"/>
          <w:b w:val="1"/>
          <w:bCs w:val="1"/>
          <w:color w:val="000000"/>
        </w:rPr>
        <w:t>AFFIRMATIVE COVENANTS</w:t>
      </w:r>
    </w:p>
    <w:p>
      <w:pPr>
        <w:spacing w:after="0" w:line="63"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1300" w:type="dxa"/>
            <w:vAlign w:val="bottom"/>
          </w:tcPr>
          <w:p>
            <w:pPr>
              <w:spacing w:after="0"/>
              <w:rPr>
                <w:sz w:val="20"/>
                <w:szCs w:val="20"/>
                <w:color w:val="auto"/>
              </w:rPr>
            </w:pPr>
            <w:r>
              <w:rPr>
                <w:rFonts w:ascii="Arial" w:cs="Arial" w:eastAsia="Arial" w:hAnsi="Arial"/>
                <w:sz w:val="20"/>
                <w:szCs w:val="20"/>
                <w:color w:val="auto"/>
              </w:rPr>
              <w:t>Section 6.1.</w:t>
            </w:r>
          </w:p>
        </w:tc>
        <w:tc>
          <w:tcPr>
            <w:tcW w:w="3480" w:type="dxa"/>
            <w:vAlign w:val="bottom"/>
            <w:tcBorders>
              <w:bottom w:val="single" w:sz="8" w:color="auto"/>
            </w:tcBorders>
            <w:gridSpan w:val="7"/>
          </w:tcPr>
          <w:p>
            <w:pPr>
              <w:spacing w:after="0"/>
              <w:rPr>
                <w:sz w:val="20"/>
                <w:szCs w:val="20"/>
                <w:color w:val="auto"/>
              </w:rPr>
            </w:pPr>
            <w:r>
              <w:rPr>
                <w:rFonts w:ascii="Arial" w:cs="Arial" w:eastAsia="Arial" w:hAnsi="Arial"/>
                <w:sz w:val="20"/>
                <w:szCs w:val="20"/>
                <w:color w:val="auto"/>
                <w:w w:val="89"/>
              </w:rPr>
              <w:t>Financial Statements and Other Information</w:t>
            </w:r>
          </w:p>
        </w:tc>
        <w:tc>
          <w:tcPr>
            <w:tcW w:w="980" w:type="dxa"/>
            <w:vAlign w:val="bottom"/>
          </w:tcPr>
          <w:p>
            <w:pPr>
              <w:spacing w:after="0"/>
              <w:rPr>
                <w:sz w:val="19"/>
                <w:szCs w:val="19"/>
                <w:color w:val="auto"/>
              </w:rPr>
            </w:pPr>
          </w:p>
        </w:tc>
      </w:tr>
      <w:tr>
        <w:trPr>
          <w:trHeight w:val="291"/>
        </w:trPr>
        <w:tc>
          <w:tcPr>
            <w:tcW w:w="1300" w:type="dxa"/>
            <w:vAlign w:val="bottom"/>
          </w:tcPr>
          <w:p>
            <w:pPr>
              <w:spacing w:after="0"/>
              <w:rPr>
                <w:sz w:val="20"/>
                <w:szCs w:val="20"/>
                <w:color w:val="auto"/>
              </w:rPr>
            </w:pPr>
            <w:r>
              <w:rPr>
                <w:rFonts w:ascii="Arial" w:cs="Arial" w:eastAsia="Arial" w:hAnsi="Arial"/>
                <w:sz w:val="20"/>
                <w:szCs w:val="20"/>
                <w:color w:val="auto"/>
              </w:rPr>
              <w:t>Section 6.2.</w:t>
            </w:r>
          </w:p>
        </w:tc>
        <w:tc>
          <w:tcPr>
            <w:tcW w:w="2120" w:type="dxa"/>
            <w:vAlign w:val="bottom"/>
            <w:tcBorders>
              <w:bottom w:val="single" w:sz="8" w:color="auto"/>
            </w:tcBorders>
            <w:gridSpan w:val="5"/>
          </w:tcPr>
          <w:p>
            <w:pPr>
              <w:spacing w:after="0"/>
              <w:rPr>
                <w:sz w:val="20"/>
                <w:szCs w:val="20"/>
                <w:color w:val="auto"/>
              </w:rPr>
            </w:pPr>
            <w:r>
              <w:rPr>
                <w:rFonts w:ascii="Arial" w:cs="Arial" w:eastAsia="Arial" w:hAnsi="Arial"/>
                <w:sz w:val="20"/>
                <w:szCs w:val="20"/>
                <w:color w:val="auto"/>
                <w:w w:val="90"/>
              </w:rPr>
              <w:t>Notices of Material Events</w:t>
            </w:r>
          </w:p>
        </w:tc>
        <w:tc>
          <w:tcPr>
            <w:tcW w:w="2340" w:type="dxa"/>
            <w:vAlign w:val="bottom"/>
            <w:gridSpan w:val="3"/>
          </w:tcPr>
          <w:p>
            <w:pPr>
              <w:spacing w:after="0"/>
              <w:rPr>
                <w:sz w:val="24"/>
                <w:szCs w:val="24"/>
                <w:color w:val="auto"/>
              </w:rPr>
            </w:pPr>
          </w:p>
        </w:tc>
      </w:tr>
      <w:tr>
        <w:trPr>
          <w:trHeight w:val="291"/>
        </w:trPr>
        <w:tc>
          <w:tcPr>
            <w:tcW w:w="1300" w:type="dxa"/>
            <w:vAlign w:val="bottom"/>
          </w:tcPr>
          <w:p>
            <w:pPr>
              <w:spacing w:after="0"/>
              <w:rPr>
                <w:sz w:val="20"/>
                <w:szCs w:val="20"/>
                <w:color w:val="auto"/>
              </w:rPr>
            </w:pPr>
            <w:r>
              <w:rPr>
                <w:rFonts w:ascii="Arial" w:cs="Arial" w:eastAsia="Arial" w:hAnsi="Arial"/>
                <w:sz w:val="20"/>
                <w:szCs w:val="20"/>
                <w:color w:val="auto"/>
              </w:rPr>
              <w:t>Section 6.3.</w:t>
            </w:r>
          </w:p>
        </w:tc>
        <w:tc>
          <w:tcPr>
            <w:tcW w:w="4460" w:type="dxa"/>
            <w:vAlign w:val="bottom"/>
            <w:gridSpan w:val="8"/>
          </w:tcPr>
          <w:p>
            <w:pPr>
              <w:spacing w:after="0"/>
              <w:rPr>
                <w:sz w:val="20"/>
                <w:szCs w:val="20"/>
                <w:color w:val="auto"/>
              </w:rPr>
            </w:pPr>
            <w:r>
              <w:rPr>
                <w:rFonts w:ascii="Arial" w:cs="Arial" w:eastAsia="Arial" w:hAnsi="Arial"/>
                <w:sz w:val="20"/>
                <w:szCs w:val="20"/>
                <w:color w:val="auto"/>
              </w:rPr>
              <w:t>Legal Existence</w:t>
            </w:r>
          </w:p>
        </w:tc>
      </w:tr>
      <w:tr>
        <w:trPr>
          <w:trHeight w:val="291"/>
        </w:trPr>
        <w:tc>
          <w:tcPr>
            <w:tcW w:w="1300" w:type="dxa"/>
            <w:vAlign w:val="bottom"/>
          </w:tcPr>
          <w:p>
            <w:pPr>
              <w:spacing w:after="0"/>
              <w:rPr>
                <w:sz w:val="20"/>
                <w:szCs w:val="20"/>
                <w:color w:val="auto"/>
              </w:rPr>
            </w:pPr>
            <w:r>
              <w:rPr>
                <w:rFonts w:ascii="Arial" w:cs="Arial" w:eastAsia="Arial" w:hAnsi="Arial"/>
                <w:sz w:val="20"/>
                <w:szCs w:val="20"/>
                <w:color w:val="auto"/>
              </w:rPr>
              <w:t>Section 6.4.</w:t>
            </w:r>
          </w:p>
        </w:tc>
        <w:tc>
          <w:tcPr>
            <w:tcW w:w="1260" w:type="dxa"/>
            <w:vAlign w:val="bottom"/>
            <w:tcBorders>
              <w:top w:val="single" w:sz="8" w:color="auto"/>
            </w:tcBorders>
            <w:gridSpan w:val="3"/>
          </w:tcPr>
          <w:p>
            <w:pPr>
              <w:spacing w:after="0"/>
              <w:rPr>
                <w:sz w:val="20"/>
                <w:szCs w:val="20"/>
                <w:color w:val="auto"/>
              </w:rPr>
            </w:pPr>
            <w:r>
              <w:rPr>
                <w:rFonts w:ascii="Arial" w:cs="Arial" w:eastAsia="Arial" w:hAnsi="Arial"/>
                <w:sz w:val="20"/>
                <w:szCs w:val="20"/>
                <w:color w:val="auto"/>
              </w:rPr>
              <w:t>Taxes</w:t>
            </w:r>
          </w:p>
        </w:tc>
        <w:tc>
          <w:tcPr>
            <w:tcW w:w="3200" w:type="dxa"/>
            <w:vAlign w:val="bottom"/>
            <w:gridSpan w:val="5"/>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r>
      <w:tr>
        <w:trPr>
          <w:trHeight w:val="291"/>
        </w:trPr>
        <w:tc>
          <w:tcPr>
            <w:tcW w:w="1300" w:type="dxa"/>
            <w:vAlign w:val="bottom"/>
          </w:tcPr>
          <w:p>
            <w:pPr>
              <w:spacing w:after="0"/>
              <w:rPr>
                <w:sz w:val="20"/>
                <w:szCs w:val="20"/>
                <w:color w:val="auto"/>
              </w:rPr>
            </w:pPr>
            <w:r>
              <w:rPr>
                <w:rFonts w:ascii="Arial" w:cs="Arial" w:eastAsia="Arial" w:hAnsi="Arial"/>
                <w:sz w:val="20"/>
                <w:szCs w:val="20"/>
                <w:color w:val="auto"/>
              </w:rPr>
              <w:t>Section 6.5.</w:t>
            </w:r>
          </w:p>
        </w:tc>
        <w:tc>
          <w:tcPr>
            <w:tcW w:w="4460" w:type="dxa"/>
            <w:vAlign w:val="bottom"/>
            <w:gridSpan w:val="8"/>
          </w:tcPr>
          <w:p>
            <w:pPr>
              <w:spacing w:after="0"/>
              <w:rPr>
                <w:sz w:val="20"/>
                <w:szCs w:val="20"/>
                <w:color w:val="auto"/>
              </w:rPr>
            </w:pPr>
            <w:r>
              <w:rPr>
                <w:rFonts w:ascii="Arial" w:cs="Arial" w:eastAsia="Arial" w:hAnsi="Arial"/>
                <w:sz w:val="20"/>
                <w:szCs w:val="20"/>
                <w:color w:val="auto"/>
              </w:rPr>
              <w:t>Insurance</w:t>
            </w:r>
          </w:p>
        </w:tc>
      </w:tr>
      <w:tr>
        <w:trPr>
          <w:trHeight w:val="20"/>
        </w:trPr>
        <w:tc>
          <w:tcPr>
            <w:tcW w:w="1300" w:type="dxa"/>
            <w:vAlign w:val="bottom"/>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r>
      <w:tr>
        <w:trPr>
          <w:trHeight w:val="291"/>
        </w:trPr>
        <w:tc>
          <w:tcPr>
            <w:tcW w:w="1300" w:type="dxa"/>
            <w:vAlign w:val="bottom"/>
          </w:tcPr>
          <w:p>
            <w:pPr>
              <w:spacing w:after="0"/>
              <w:rPr>
                <w:sz w:val="20"/>
                <w:szCs w:val="20"/>
                <w:color w:val="auto"/>
              </w:rPr>
            </w:pPr>
            <w:r>
              <w:rPr>
                <w:rFonts w:ascii="Arial" w:cs="Arial" w:eastAsia="Arial" w:hAnsi="Arial"/>
                <w:sz w:val="20"/>
                <w:szCs w:val="20"/>
                <w:color w:val="auto"/>
              </w:rPr>
              <w:t>Section 6.6.</w:t>
            </w:r>
          </w:p>
        </w:tc>
        <w:tc>
          <w:tcPr>
            <w:tcW w:w="4460" w:type="dxa"/>
            <w:vAlign w:val="bottom"/>
            <w:gridSpan w:val="8"/>
          </w:tcPr>
          <w:p>
            <w:pPr>
              <w:spacing w:after="0"/>
              <w:rPr>
                <w:sz w:val="20"/>
                <w:szCs w:val="20"/>
                <w:color w:val="auto"/>
              </w:rPr>
            </w:pPr>
            <w:r>
              <w:rPr>
                <w:rFonts w:ascii="Arial" w:cs="Arial" w:eastAsia="Arial" w:hAnsi="Arial"/>
                <w:sz w:val="20"/>
                <w:szCs w:val="20"/>
                <w:color w:val="auto"/>
              </w:rPr>
              <w:t>Condition of Property</w:t>
            </w:r>
          </w:p>
        </w:tc>
      </w:tr>
      <w:tr>
        <w:trPr>
          <w:trHeight w:val="20"/>
        </w:trPr>
        <w:tc>
          <w:tcPr>
            <w:tcW w:w="1300" w:type="dxa"/>
            <w:vAlign w:val="bottom"/>
          </w:tcPr>
          <w:p>
            <w:pPr>
              <w:spacing w:after="0" w:line="20" w:lineRule="exact"/>
              <w:rPr>
                <w:sz w:val="1"/>
                <w:szCs w:val="1"/>
                <w:color w:val="auto"/>
              </w:rPr>
            </w:pPr>
          </w:p>
        </w:tc>
        <w:tc>
          <w:tcPr>
            <w:tcW w:w="1720" w:type="dxa"/>
            <w:vAlign w:val="bottom"/>
            <w:gridSpan w:val="4"/>
            <w:shd w:val="clear" w:color="auto" w:fill="000000"/>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r>
      <w:tr>
        <w:trPr>
          <w:trHeight w:val="291"/>
        </w:trPr>
        <w:tc>
          <w:tcPr>
            <w:tcW w:w="1300" w:type="dxa"/>
            <w:vAlign w:val="bottom"/>
          </w:tcPr>
          <w:p>
            <w:pPr>
              <w:spacing w:after="0"/>
              <w:rPr>
                <w:sz w:val="20"/>
                <w:szCs w:val="20"/>
                <w:color w:val="auto"/>
              </w:rPr>
            </w:pPr>
            <w:r>
              <w:rPr>
                <w:rFonts w:ascii="Arial" w:cs="Arial" w:eastAsia="Arial" w:hAnsi="Arial"/>
                <w:sz w:val="20"/>
                <w:szCs w:val="20"/>
                <w:color w:val="auto"/>
              </w:rPr>
              <w:t>Section 6.7.</w:t>
            </w:r>
          </w:p>
        </w:tc>
        <w:tc>
          <w:tcPr>
            <w:tcW w:w="4460" w:type="dxa"/>
            <w:vAlign w:val="bottom"/>
            <w:gridSpan w:val="8"/>
          </w:tcPr>
          <w:p>
            <w:pPr>
              <w:spacing w:after="0"/>
              <w:rPr>
                <w:sz w:val="20"/>
                <w:szCs w:val="20"/>
                <w:color w:val="auto"/>
              </w:rPr>
            </w:pPr>
            <w:r>
              <w:rPr>
                <w:rFonts w:ascii="Arial" w:cs="Arial" w:eastAsia="Arial" w:hAnsi="Arial"/>
                <w:sz w:val="20"/>
                <w:szCs w:val="20"/>
                <w:color w:val="auto"/>
              </w:rPr>
              <w:t>Observance of Legal Requirements</w:t>
            </w:r>
          </w:p>
        </w:tc>
      </w:tr>
      <w:tr>
        <w:trPr>
          <w:trHeight w:val="20"/>
        </w:trPr>
        <w:tc>
          <w:tcPr>
            <w:tcW w:w="1300" w:type="dxa"/>
            <w:vAlign w:val="bottom"/>
          </w:tcPr>
          <w:p>
            <w:pPr>
              <w:spacing w:after="0" w:line="20" w:lineRule="exact"/>
              <w:rPr>
                <w:sz w:val="1"/>
                <w:szCs w:val="1"/>
                <w:color w:val="auto"/>
              </w:rPr>
            </w:pPr>
          </w:p>
        </w:tc>
        <w:tc>
          <w:tcPr>
            <w:tcW w:w="2780" w:type="dxa"/>
            <w:vAlign w:val="bottom"/>
            <w:gridSpan w:val="6"/>
            <w:shd w:val="clear" w:color="auto" w:fill="000000"/>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r>
      <w:tr>
        <w:trPr>
          <w:trHeight w:val="291"/>
        </w:trPr>
        <w:tc>
          <w:tcPr>
            <w:tcW w:w="1300" w:type="dxa"/>
            <w:vAlign w:val="bottom"/>
          </w:tcPr>
          <w:p>
            <w:pPr>
              <w:spacing w:after="0"/>
              <w:rPr>
                <w:sz w:val="20"/>
                <w:szCs w:val="20"/>
                <w:color w:val="auto"/>
              </w:rPr>
            </w:pPr>
            <w:r>
              <w:rPr>
                <w:rFonts w:ascii="Arial" w:cs="Arial" w:eastAsia="Arial" w:hAnsi="Arial"/>
                <w:sz w:val="20"/>
                <w:szCs w:val="20"/>
                <w:color w:val="auto"/>
              </w:rPr>
              <w:t>Section 6.8.</w:t>
            </w:r>
          </w:p>
        </w:tc>
        <w:tc>
          <w:tcPr>
            <w:tcW w:w="4460" w:type="dxa"/>
            <w:vAlign w:val="bottom"/>
            <w:tcBorders>
              <w:bottom w:val="single" w:sz="8" w:color="auto"/>
            </w:tcBorders>
            <w:gridSpan w:val="8"/>
          </w:tcPr>
          <w:p>
            <w:pPr>
              <w:spacing w:after="0"/>
              <w:rPr>
                <w:sz w:val="20"/>
                <w:szCs w:val="20"/>
                <w:color w:val="auto"/>
              </w:rPr>
            </w:pPr>
            <w:r>
              <w:rPr>
                <w:rFonts w:ascii="Arial" w:cs="Arial" w:eastAsia="Arial" w:hAnsi="Arial"/>
                <w:sz w:val="20"/>
                <w:szCs w:val="20"/>
                <w:color w:val="auto"/>
                <w:w w:val="89"/>
              </w:rPr>
              <w:t>Inspection of Property; Books and Records; Discussions</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20"/>
          <w:szCs w:val="20"/>
          <w:b w:val="1"/>
          <w:bCs w:val="1"/>
          <w:color w:val="010000"/>
        </w:rPr>
        <w:t xml:space="preserve">Article 7. </w:t>
      </w:r>
      <w:r>
        <w:rPr>
          <w:rFonts w:ascii="Arial" w:cs="Arial" w:eastAsia="Arial" w:hAnsi="Arial"/>
          <w:sz w:val="20"/>
          <w:szCs w:val="20"/>
          <w:b w:val="1"/>
          <w:bCs w:val="1"/>
          <w:color w:val="000000"/>
        </w:rPr>
        <w:t>NEGATIVE COVENANTS</w:t>
      </w:r>
    </w:p>
    <w:p>
      <w:pPr>
        <w:spacing w:after="0" w:line="87" w:lineRule="exact"/>
        <w:rPr>
          <w:sz w:val="20"/>
          <w:szCs w:val="20"/>
          <w:color w:val="auto"/>
        </w:rPr>
      </w:pPr>
    </w:p>
    <w:p>
      <w:pPr>
        <w:ind w:left="500"/>
        <w:spacing w:after="0"/>
        <w:tabs>
          <w:tab w:leader="none" w:pos="1780" w:val="left"/>
        </w:tabs>
        <w:rPr>
          <w:sz w:val="20"/>
          <w:szCs w:val="20"/>
          <w:color w:val="auto"/>
        </w:rPr>
      </w:pPr>
      <w:r>
        <w:rPr>
          <w:rFonts w:ascii="Arial" w:cs="Arial" w:eastAsia="Arial" w:hAnsi="Arial"/>
          <w:sz w:val="20"/>
          <w:szCs w:val="20"/>
          <w:color w:val="auto"/>
        </w:rPr>
        <w:t>Section 7.1.</w:t>
      </w:r>
      <w:r>
        <w:rPr>
          <w:sz w:val="20"/>
          <w:szCs w:val="20"/>
          <w:color w:val="auto"/>
        </w:rPr>
        <w:tab/>
      </w:r>
      <w:r>
        <w:rPr>
          <w:rFonts w:ascii="Arial" w:cs="Arial" w:eastAsia="Arial" w:hAnsi="Arial"/>
          <w:sz w:val="18"/>
          <w:szCs w:val="18"/>
          <w:u w:val="single" w:color="auto"/>
          <w:color w:val="auto"/>
        </w:rPr>
        <w:t>Liens</w:t>
      </w:r>
    </w:p>
    <w:p>
      <w:pPr>
        <w:spacing w:after="0" w:line="81" w:lineRule="exact"/>
        <w:rPr>
          <w:sz w:val="20"/>
          <w:szCs w:val="20"/>
          <w:color w:val="auto"/>
        </w:rPr>
      </w:pPr>
    </w:p>
    <w:p>
      <w:pPr>
        <w:ind w:left="500"/>
        <w:spacing w:after="0"/>
        <w:tabs>
          <w:tab w:leader="none" w:pos="1780" w:val="left"/>
        </w:tabs>
        <w:rPr>
          <w:sz w:val="20"/>
          <w:szCs w:val="20"/>
          <w:color w:val="auto"/>
        </w:rPr>
      </w:pPr>
      <w:r>
        <w:rPr>
          <w:rFonts w:ascii="Arial" w:cs="Arial" w:eastAsia="Arial" w:hAnsi="Arial"/>
          <w:sz w:val="20"/>
          <w:szCs w:val="20"/>
          <w:color w:val="auto"/>
        </w:rPr>
        <w:t>Section 7.2.</w:t>
      </w:r>
      <w:r>
        <w:rPr>
          <w:sz w:val="20"/>
          <w:szCs w:val="20"/>
          <w:color w:val="auto"/>
        </w:rPr>
        <w:tab/>
      </w:r>
      <w:r>
        <w:rPr>
          <w:rFonts w:ascii="Arial" w:cs="Arial" w:eastAsia="Arial" w:hAnsi="Arial"/>
          <w:sz w:val="18"/>
          <w:szCs w:val="18"/>
          <w:u w:val="single" w:color="auto"/>
          <w:color w:val="auto"/>
        </w:rPr>
        <w:t>Merger; Consolidation</w:t>
      </w:r>
    </w:p>
    <w:p>
      <w:pPr>
        <w:spacing w:after="0" w:line="81" w:lineRule="exact"/>
        <w:rPr>
          <w:sz w:val="20"/>
          <w:szCs w:val="20"/>
          <w:color w:val="auto"/>
        </w:rPr>
      </w:pPr>
    </w:p>
    <w:p>
      <w:pPr>
        <w:ind w:left="500"/>
        <w:spacing w:after="0"/>
        <w:tabs>
          <w:tab w:leader="none" w:pos="1780" w:val="left"/>
        </w:tabs>
        <w:rPr>
          <w:sz w:val="20"/>
          <w:szCs w:val="20"/>
          <w:color w:val="auto"/>
        </w:rPr>
      </w:pPr>
      <w:r>
        <w:rPr>
          <w:rFonts w:ascii="Arial" w:cs="Arial" w:eastAsia="Arial" w:hAnsi="Arial"/>
          <w:sz w:val="20"/>
          <w:szCs w:val="20"/>
          <w:color w:val="auto"/>
        </w:rPr>
        <w:t>Section 7.3.</w:t>
      </w:r>
      <w:r>
        <w:rPr>
          <w:sz w:val="20"/>
          <w:szCs w:val="20"/>
          <w:color w:val="auto"/>
        </w:rPr>
        <w:tab/>
      </w:r>
      <w:r>
        <w:rPr>
          <w:rFonts w:ascii="Arial" w:cs="Arial" w:eastAsia="Arial" w:hAnsi="Arial"/>
          <w:sz w:val="18"/>
          <w:szCs w:val="18"/>
          <w:u w:val="single" w:color="auto"/>
          <w:color w:val="auto"/>
        </w:rPr>
        <w:t>Transactions with Affiliates</w:t>
      </w:r>
    </w:p>
    <w:p>
      <w:pPr>
        <w:spacing w:after="0" w:line="81" w:lineRule="exact"/>
        <w:rPr>
          <w:sz w:val="20"/>
          <w:szCs w:val="20"/>
          <w:color w:val="auto"/>
        </w:rPr>
      </w:pPr>
    </w:p>
    <w:p>
      <w:pPr>
        <w:ind w:left="500"/>
        <w:spacing w:after="0"/>
        <w:tabs>
          <w:tab w:leader="none" w:pos="1780" w:val="left"/>
        </w:tabs>
        <w:rPr>
          <w:sz w:val="20"/>
          <w:szCs w:val="20"/>
          <w:color w:val="auto"/>
        </w:rPr>
      </w:pPr>
      <w:r>
        <w:rPr>
          <w:rFonts w:ascii="Arial" w:cs="Arial" w:eastAsia="Arial" w:hAnsi="Arial"/>
          <w:sz w:val="20"/>
          <w:szCs w:val="20"/>
          <w:color w:val="auto"/>
        </w:rPr>
        <w:t>Section 7.4.</w:t>
      </w:r>
      <w:r>
        <w:rPr>
          <w:sz w:val="20"/>
          <w:szCs w:val="20"/>
          <w:color w:val="auto"/>
        </w:rPr>
        <w:tab/>
      </w:r>
      <w:r>
        <w:rPr>
          <w:rFonts w:ascii="Arial" w:cs="Arial" w:eastAsia="Arial" w:hAnsi="Arial"/>
          <w:sz w:val="16"/>
          <w:szCs w:val="16"/>
          <w:u w:val="single" w:color="auto"/>
          <w:color w:val="auto"/>
        </w:rPr>
        <w:t>Permitted Hedge Agreements</w:t>
      </w:r>
    </w:p>
    <w:p>
      <w:pPr>
        <w:spacing w:after="0" w:line="81" w:lineRule="exact"/>
        <w:rPr>
          <w:sz w:val="20"/>
          <w:szCs w:val="20"/>
          <w:color w:val="auto"/>
        </w:rPr>
      </w:pPr>
    </w:p>
    <w:p>
      <w:pPr>
        <w:ind w:left="500"/>
        <w:spacing w:after="0"/>
        <w:tabs>
          <w:tab w:leader="none" w:pos="1780" w:val="left"/>
        </w:tabs>
        <w:rPr>
          <w:sz w:val="20"/>
          <w:szCs w:val="20"/>
          <w:color w:val="auto"/>
        </w:rPr>
      </w:pPr>
      <w:r>
        <w:rPr>
          <w:rFonts w:ascii="Arial" w:cs="Arial" w:eastAsia="Arial" w:hAnsi="Arial"/>
          <w:sz w:val="20"/>
          <w:szCs w:val="20"/>
          <w:color w:val="auto"/>
        </w:rPr>
        <w:t>Section 7.5.</w:t>
      </w:r>
      <w:r>
        <w:rPr>
          <w:sz w:val="20"/>
          <w:szCs w:val="20"/>
          <w:color w:val="auto"/>
        </w:rPr>
        <w:tab/>
      </w:r>
      <w:r>
        <w:rPr>
          <w:rFonts w:ascii="Arial" w:cs="Arial" w:eastAsia="Arial" w:hAnsi="Arial"/>
          <w:sz w:val="16"/>
          <w:szCs w:val="16"/>
          <w:u w:val="single" w:color="auto"/>
          <w:color w:val="auto"/>
        </w:rPr>
        <w:t>Financial Covenant</w:t>
      </w:r>
    </w:p>
    <w:p>
      <w:pPr>
        <w:spacing w:after="0" w:line="81" w:lineRule="exact"/>
        <w:rPr>
          <w:sz w:val="20"/>
          <w:szCs w:val="20"/>
          <w:color w:val="auto"/>
        </w:rPr>
      </w:pPr>
    </w:p>
    <w:p>
      <w:pPr>
        <w:ind w:left="1800" w:right="220" w:hanging="1296"/>
        <w:spacing w:after="0" w:line="260" w:lineRule="auto"/>
        <w:tabs>
          <w:tab w:leader="none" w:pos="1780" w:val="left"/>
        </w:tabs>
        <w:rPr>
          <w:sz w:val="20"/>
          <w:szCs w:val="20"/>
          <w:color w:val="auto"/>
        </w:rPr>
      </w:pPr>
      <w:r>
        <w:rPr>
          <w:rFonts w:ascii="Arial" w:cs="Arial" w:eastAsia="Arial" w:hAnsi="Arial"/>
          <w:sz w:val="20"/>
          <w:szCs w:val="20"/>
          <w:color w:val="auto"/>
        </w:rPr>
        <w:t>Section 7.6.</w:t>
      </w:r>
      <w:r>
        <w:rPr>
          <w:sz w:val="20"/>
          <w:szCs w:val="20"/>
          <w:color w:val="auto"/>
        </w:rPr>
        <w:tab/>
      </w:r>
      <w:r>
        <w:rPr>
          <w:rFonts w:ascii="Arial" w:cs="Arial" w:eastAsia="Arial" w:hAnsi="Arial"/>
          <w:sz w:val="20"/>
          <w:szCs w:val="20"/>
          <w:u w:val="single" w:color="auto"/>
          <w:color w:val="auto"/>
        </w:rPr>
        <w:t>Anti-Money Laundering and Anti-Terrorism Finance Laws; Foreign Corrupt Practices Act; Sanctions Laws; Restricted Person</w:t>
      </w:r>
    </w:p>
    <w:p>
      <w:pPr>
        <w:spacing w:after="0" w:line="36" w:lineRule="exact"/>
        <w:rPr>
          <w:sz w:val="20"/>
          <w:szCs w:val="20"/>
          <w:color w:val="auto"/>
        </w:rPr>
      </w:pPr>
    </w:p>
    <w:p>
      <w:pPr>
        <w:spacing w:after="0"/>
        <w:rPr>
          <w:sz w:val="20"/>
          <w:szCs w:val="20"/>
          <w:color w:val="auto"/>
        </w:rPr>
      </w:pPr>
      <w:r>
        <w:rPr>
          <w:rFonts w:ascii="Arial" w:cs="Arial" w:eastAsia="Arial" w:hAnsi="Arial"/>
          <w:sz w:val="20"/>
          <w:szCs w:val="20"/>
          <w:b w:val="1"/>
          <w:bCs w:val="1"/>
          <w:color w:val="010000"/>
        </w:rPr>
        <w:t xml:space="preserve">Article 8. </w:t>
      </w:r>
      <w:r>
        <w:rPr>
          <w:rFonts w:ascii="Arial" w:cs="Arial" w:eastAsia="Arial" w:hAnsi="Arial"/>
          <w:sz w:val="20"/>
          <w:szCs w:val="20"/>
          <w:b w:val="1"/>
          <w:bCs w:val="1"/>
          <w:color w:val="000000"/>
        </w:rPr>
        <w:t>EVENTS OF DEFAULT</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b w:val="1"/>
          <w:bCs w:val="1"/>
          <w:color w:val="010000"/>
        </w:rPr>
        <w:t xml:space="preserve">Article 9. </w:t>
      </w:r>
      <w:r>
        <w:rPr>
          <w:rFonts w:ascii="Arial" w:cs="Arial" w:eastAsia="Arial" w:hAnsi="Arial"/>
          <w:sz w:val="20"/>
          <w:szCs w:val="20"/>
          <w:b w:val="1"/>
          <w:bCs w:val="1"/>
          <w:color w:val="000000"/>
        </w:rPr>
        <w:t>THE ADMINISTRATIVE AGENT</w:t>
      </w:r>
    </w:p>
    <w:p>
      <w:pPr>
        <w:spacing w:after="0" w:line="87" w:lineRule="exact"/>
        <w:rPr>
          <w:sz w:val="20"/>
          <w:szCs w:val="20"/>
          <w:color w:val="auto"/>
        </w:rPr>
      </w:pPr>
    </w:p>
    <w:p>
      <w:pPr>
        <w:ind w:left="500"/>
        <w:spacing w:after="0"/>
        <w:tabs>
          <w:tab w:leader="none" w:pos="1780" w:val="left"/>
        </w:tabs>
        <w:rPr>
          <w:sz w:val="20"/>
          <w:szCs w:val="20"/>
          <w:color w:val="auto"/>
        </w:rPr>
      </w:pPr>
      <w:r>
        <w:rPr>
          <w:rFonts w:ascii="Arial" w:cs="Arial" w:eastAsia="Arial" w:hAnsi="Arial"/>
          <w:sz w:val="20"/>
          <w:szCs w:val="20"/>
          <w:color w:val="auto"/>
        </w:rPr>
        <w:t>Section 9.1.</w:t>
      </w:r>
      <w:r>
        <w:rPr>
          <w:sz w:val="20"/>
          <w:szCs w:val="20"/>
          <w:color w:val="auto"/>
        </w:rPr>
        <w:tab/>
      </w:r>
      <w:r>
        <w:rPr>
          <w:rFonts w:ascii="Arial" w:cs="Arial" w:eastAsia="Arial" w:hAnsi="Arial"/>
          <w:sz w:val="18"/>
          <w:szCs w:val="18"/>
          <w:u w:val="single" w:color="auto"/>
          <w:color w:val="auto"/>
        </w:rPr>
        <w:t>Authorization and Action</w:t>
      </w:r>
      <w:r>
        <w:rPr>
          <w:rFonts w:ascii="Arial" w:cs="Arial" w:eastAsia="Arial" w:hAnsi="Arial"/>
          <w:sz w:val="18"/>
          <w:szCs w:val="18"/>
          <w:color w:val="auto"/>
        </w:rPr>
        <w:t>.</w:t>
      </w:r>
    </w:p>
    <w:p>
      <w:pPr>
        <w:spacing w:after="0" w:line="81" w:lineRule="exact"/>
        <w:rPr>
          <w:sz w:val="20"/>
          <w:szCs w:val="20"/>
          <w:color w:val="auto"/>
        </w:rPr>
      </w:pPr>
    </w:p>
    <w:p>
      <w:pPr>
        <w:ind w:left="500"/>
        <w:spacing w:after="0"/>
        <w:tabs>
          <w:tab w:leader="none" w:pos="1780" w:val="left"/>
        </w:tabs>
        <w:rPr>
          <w:sz w:val="20"/>
          <w:szCs w:val="20"/>
          <w:color w:val="auto"/>
        </w:rPr>
      </w:pPr>
      <w:r>
        <w:rPr>
          <w:rFonts w:ascii="Arial" w:cs="Arial" w:eastAsia="Arial" w:hAnsi="Arial"/>
          <w:sz w:val="20"/>
          <w:szCs w:val="20"/>
          <w:color w:val="auto"/>
        </w:rPr>
        <w:t>Section 9.2.</w:t>
      </w:r>
      <w:r>
        <w:rPr>
          <w:sz w:val="20"/>
          <w:szCs w:val="20"/>
          <w:color w:val="auto"/>
        </w:rPr>
        <w:tab/>
      </w:r>
      <w:r>
        <w:rPr>
          <w:rFonts w:ascii="Arial" w:cs="Arial" w:eastAsia="Arial" w:hAnsi="Arial"/>
          <w:sz w:val="18"/>
          <w:szCs w:val="18"/>
          <w:u w:val="single" w:color="auto"/>
          <w:color w:val="auto"/>
        </w:rPr>
        <w:t>Administrative Agent’s Reliance, Indemnification, Etc.</w:t>
      </w:r>
    </w:p>
    <w:p>
      <w:pPr>
        <w:spacing w:after="0" w:line="81" w:lineRule="exact"/>
        <w:rPr>
          <w:sz w:val="20"/>
          <w:szCs w:val="20"/>
          <w:color w:val="auto"/>
        </w:rPr>
      </w:pPr>
    </w:p>
    <w:p>
      <w:pPr>
        <w:ind w:left="500"/>
        <w:spacing w:after="0"/>
        <w:tabs>
          <w:tab w:leader="none" w:pos="1780" w:val="left"/>
        </w:tabs>
        <w:rPr>
          <w:sz w:val="20"/>
          <w:szCs w:val="20"/>
          <w:color w:val="auto"/>
        </w:rPr>
      </w:pPr>
      <w:r>
        <w:rPr>
          <w:rFonts w:ascii="Arial" w:cs="Arial" w:eastAsia="Arial" w:hAnsi="Arial"/>
          <w:sz w:val="20"/>
          <w:szCs w:val="20"/>
          <w:color w:val="auto"/>
        </w:rPr>
        <w:t>Section 9.3.</w:t>
      </w:r>
      <w:r>
        <w:rPr>
          <w:sz w:val="20"/>
          <w:szCs w:val="20"/>
          <w:color w:val="auto"/>
        </w:rPr>
        <w:tab/>
      </w:r>
      <w:r>
        <w:rPr>
          <w:rFonts w:ascii="Arial" w:cs="Arial" w:eastAsia="Arial" w:hAnsi="Arial"/>
          <w:sz w:val="18"/>
          <w:szCs w:val="18"/>
          <w:u w:val="single" w:color="auto"/>
          <w:color w:val="auto"/>
        </w:rPr>
        <w:t>Posting of Communications</w:t>
      </w:r>
      <w:r>
        <w:rPr>
          <w:rFonts w:ascii="Arial" w:cs="Arial" w:eastAsia="Arial" w:hAnsi="Arial"/>
          <w:sz w:val="18"/>
          <w:szCs w:val="18"/>
          <w:color w:val="auto"/>
        </w:rPr>
        <w:t>.</w:t>
      </w:r>
    </w:p>
    <w:p>
      <w:pPr>
        <w:spacing w:after="0" w:line="81" w:lineRule="exact"/>
        <w:rPr>
          <w:sz w:val="20"/>
          <w:szCs w:val="20"/>
          <w:color w:val="auto"/>
        </w:rPr>
      </w:pPr>
    </w:p>
    <w:p>
      <w:pPr>
        <w:ind w:left="500"/>
        <w:spacing w:after="0"/>
        <w:tabs>
          <w:tab w:leader="none" w:pos="1780" w:val="left"/>
        </w:tabs>
        <w:rPr>
          <w:sz w:val="20"/>
          <w:szCs w:val="20"/>
          <w:color w:val="auto"/>
        </w:rPr>
      </w:pPr>
      <w:r>
        <w:rPr>
          <w:rFonts w:ascii="Arial" w:cs="Arial" w:eastAsia="Arial" w:hAnsi="Arial"/>
          <w:sz w:val="20"/>
          <w:szCs w:val="20"/>
          <w:color w:val="auto"/>
        </w:rPr>
        <w:t>Section 9.4.</w:t>
      </w:r>
      <w:r>
        <w:rPr>
          <w:sz w:val="20"/>
          <w:szCs w:val="20"/>
          <w:color w:val="auto"/>
        </w:rPr>
        <w:tab/>
      </w:r>
      <w:r>
        <w:rPr>
          <w:rFonts w:ascii="Arial" w:cs="Arial" w:eastAsia="Arial" w:hAnsi="Arial"/>
          <w:sz w:val="18"/>
          <w:szCs w:val="18"/>
          <w:u w:val="single" w:color="auto"/>
          <w:color w:val="auto"/>
        </w:rPr>
        <w:t>The Administrative Agent Individually</w:t>
      </w:r>
      <w:r>
        <w:rPr>
          <w:rFonts w:ascii="Arial" w:cs="Arial" w:eastAsia="Arial" w:hAnsi="Arial"/>
          <w:sz w:val="18"/>
          <w:szCs w:val="18"/>
          <w:color w:val="auto"/>
        </w:rPr>
        <w:t>.</w:t>
      </w:r>
    </w:p>
    <w:p>
      <w:pPr>
        <w:spacing w:after="0" w:line="81" w:lineRule="exact"/>
        <w:rPr>
          <w:sz w:val="20"/>
          <w:szCs w:val="20"/>
          <w:color w:val="auto"/>
        </w:rPr>
      </w:pPr>
    </w:p>
    <w:p>
      <w:pPr>
        <w:ind w:left="500"/>
        <w:spacing w:after="0"/>
        <w:tabs>
          <w:tab w:leader="none" w:pos="1780" w:val="left"/>
        </w:tabs>
        <w:rPr>
          <w:sz w:val="20"/>
          <w:szCs w:val="20"/>
          <w:color w:val="auto"/>
        </w:rPr>
      </w:pPr>
      <w:r>
        <w:rPr>
          <w:rFonts w:ascii="Arial" w:cs="Arial" w:eastAsia="Arial" w:hAnsi="Arial"/>
          <w:sz w:val="20"/>
          <w:szCs w:val="20"/>
          <w:color w:val="auto"/>
        </w:rPr>
        <w:t>Section 9.5.</w:t>
      </w:r>
      <w:r>
        <w:rPr>
          <w:sz w:val="20"/>
          <w:szCs w:val="20"/>
          <w:color w:val="auto"/>
        </w:rPr>
        <w:tab/>
      </w:r>
      <w:r>
        <w:rPr>
          <w:rFonts w:ascii="Arial" w:cs="Arial" w:eastAsia="Arial" w:hAnsi="Arial"/>
          <w:sz w:val="18"/>
          <w:szCs w:val="18"/>
          <w:u w:val="single" w:color="auto"/>
          <w:color w:val="auto"/>
        </w:rPr>
        <w:t>Successor Administrative Agent</w:t>
      </w:r>
      <w:r>
        <w:rPr>
          <w:rFonts w:ascii="Arial" w:cs="Arial" w:eastAsia="Arial" w:hAnsi="Arial"/>
          <w:sz w:val="18"/>
          <w:szCs w:val="18"/>
          <w:color w:val="auto"/>
        </w:rPr>
        <w:t>.</w:t>
      </w:r>
    </w:p>
    <w:p>
      <w:pPr>
        <w:spacing w:after="0" w:line="81" w:lineRule="exact"/>
        <w:rPr>
          <w:sz w:val="20"/>
          <w:szCs w:val="20"/>
          <w:color w:val="auto"/>
        </w:rPr>
      </w:pPr>
    </w:p>
    <w:p>
      <w:pPr>
        <w:ind w:left="500"/>
        <w:spacing w:after="0"/>
        <w:tabs>
          <w:tab w:leader="none" w:pos="1780" w:val="left"/>
        </w:tabs>
        <w:rPr>
          <w:sz w:val="20"/>
          <w:szCs w:val="20"/>
          <w:color w:val="auto"/>
        </w:rPr>
      </w:pPr>
      <w:r>
        <w:rPr>
          <w:rFonts w:ascii="Arial" w:cs="Arial" w:eastAsia="Arial" w:hAnsi="Arial"/>
          <w:sz w:val="20"/>
          <w:szCs w:val="20"/>
          <w:color w:val="auto"/>
        </w:rPr>
        <w:t>Section 9.6.</w:t>
      </w:r>
      <w:r>
        <w:rPr>
          <w:sz w:val="20"/>
          <w:szCs w:val="20"/>
          <w:color w:val="auto"/>
        </w:rPr>
        <w:tab/>
      </w:r>
      <w:r>
        <w:rPr>
          <w:rFonts w:ascii="Arial" w:cs="Arial" w:eastAsia="Arial" w:hAnsi="Arial"/>
          <w:sz w:val="18"/>
          <w:szCs w:val="18"/>
          <w:u w:val="single" w:color="auto"/>
          <w:color w:val="auto"/>
        </w:rPr>
        <w:t>Acknowledgements of Lenders</w:t>
      </w:r>
      <w:r>
        <w:rPr>
          <w:rFonts w:ascii="Arial" w:cs="Arial" w:eastAsia="Arial" w:hAnsi="Arial"/>
          <w:sz w:val="18"/>
          <w:szCs w:val="18"/>
          <w:color w:val="auto"/>
        </w:rPr>
        <w:t>.</w:t>
      </w:r>
    </w:p>
    <w:p>
      <w:pPr>
        <w:spacing w:after="0" w:line="81" w:lineRule="exact"/>
        <w:rPr>
          <w:sz w:val="20"/>
          <w:szCs w:val="20"/>
          <w:color w:val="auto"/>
        </w:rPr>
      </w:pPr>
    </w:p>
    <w:p>
      <w:pPr>
        <w:ind w:left="500"/>
        <w:spacing w:after="0"/>
        <w:tabs>
          <w:tab w:leader="none" w:pos="1780" w:val="left"/>
        </w:tabs>
        <w:rPr>
          <w:sz w:val="20"/>
          <w:szCs w:val="20"/>
          <w:color w:val="auto"/>
        </w:rPr>
      </w:pPr>
      <w:r>
        <w:rPr>
          <w:rFonts w:ascii="Arial" w:cs="Arial" w:eastAsia="Arial" w:hAnsi="Arial"/>
          <w:sz w:val="20"/>
          <w:szCs w:val="20"/>
          <w:color w:val="auto"/>
        </w:rPr>
        <w:t>Section 9.7.</w:t>
      </w:r>
      <w:r>
        <w:rPr>
          <w:sz w:val="20"/>
          <w:szCs w:val="20"/>
          <w:color w:val="auto"/>
        </w:rPr>
        <w:tab/>
      </w:r>
      <w:r>
        <w:rPr>
          <w:rFonts w:ascii="Arial" w:cs="Arial" w:eastAsia="Arial" w:hAnsi="Arial"/>
          <w:sz w:val="18"/>
          <w:szCs w:val="18"/>
          <w:u w:val="single" w:color="auto"/>
          <w:color w:val="auto"/>
        </w:rPr>
        <w:t>Certain ERISA Matters</w:t>
      </w:r>
      <w:r>
        <w:rPr>
          <w:rFonts w:ascii="Arial" w:cs="Arial" w:eastAsia="Arial" w:hAnsi="Arial"/>
          <w:sz w:val="18"/>
          <w:szCs w:val="18"/>
          <w:color w:val="auto"/>
        </w:rPr>
        <w:t>.</w:t>
      </w:r>
    </w:p>
    <w:p>
      <w:pPr>
        <w:spacing w:after="0" w:line="75" w:lineRule="exact"/>
        <w:rPr>
          <w:sz w:val="20"/>
          <w:szCs w:val="20"/>
          <w:color w:val="auto"/>
        </w:rPr>
      </w:pPr>
    </w:p>
    <w:p>
      <w:pPr>
        <w:spacing w:after="0"/>
        <w:rPr>
          <w:sz w:val="20"/>
          <w:szCs w:val="20"/>
          <w:color w:val="auto"/>
        </w:rPr>
      </w:pPr>
      <w:r>
        <w:rPr>
          <w:rFonts w:ascii="Arial" w:cs="Arial" w:eastAsia="Arial" w:hAnsi="Arial"/>
          <w:sz w:val="20"/>
          <w:szCs w:val="20"/>
          <w:b w:val="1"/>
          <w:bCs w:val="1"/>
          <w:color w:val="010000"/>
        </w:rPr>
        <w:t xml:space="preserve">Article 10. </w:t>
      </w:r>
      <w:r>
        <w:rPr>
          <w:rFonts w:ascii="Arial" w:cs="Arial" w:eastAsia="Arial" w:hAnsi="Arial"/>
          <w:sz w:val="20"/>
          <w:szCs w:val="20"/>
          <w:b w:val="1"/>
          <w:bCs w:val="1"/>
          <w:color w:val="000000"/>
        </w:rPr>
        <w:t>MISCELLANEOUS</w:t>
      </w:r>
    </w:p>
    <w:p>
      <w:pPr>
        <w:spacing w:after="0" w:line="63"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1300" w:type="dxa"/>
            <w:vAlign w:val="bottom"/>
          </w:tcPr>
          <w:p>
            <w:pPr>
              <w:spacing w:after="0"/>
              <w:rPr>
                <w:sz w:val="20"/>
                <w:szCs w:val="20"/>
                <w:color w:val="auto"/>
              </w:rPr>
            </w:pPr>
            <w:r>
              <w:rPr>
                <w:rFonts w:ascii="Arial" w:cs="Arial" w:eastAsia="Arial" w:hAnsi="Arial"/>
                <w:sz w:val="20"/>
                <w:szCs w:val="20"/>
                <w:color w:val="auto"/>
              </w:rPr>
              <w:t>Section 10.1.</w:t>
            </w:r>
          </w:p>
        </w:tc>
        <w:tc>
          <w:tcPr>
            <w:tcW w:w="60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86"/>
              </w:rPr>
              <w:t>Notices</w:t>
            </w:r>
          </w:p>
        </w:tc>
        <w:tc>
          <w:tcPr>
            <w:tcW w:w="4320" w:type="dxa"/>
            <w:vAlign w:val="bottom"/>
            <w:gridSpan w:val="6"/>
          </w:tcPr>
          <w:p>
            <w:pPr>
              <w:spacing w:after="0"/>
              <w:rPr>
                <w:sz w:val="19"/>
                <w:szCs w:val="19"/>
                <w:color w:val="auto"/>
              </w:rPr>
            </w:pPr>
          </w:p>
        </w:tc>
      </w:tr>
      <w:tr>
        <w:trPr>
          <w:trHeight w:val="291"/>
        </w:trPr>
        <w:tc>
          <w:tcPr>
            <w:tcW w:w="1300" w:type="dxa"/>
            <w:vAlign w:val="bottom"/>
          </w:tcPr>
          <w:p>
            <w:pPr>
              <w:spacing w:after="0"/>
              <w:rPr>
                <w:sz w:val="20"/>
                <w:szCs w:val="20"/>
                <w:color w:val="auto"/>
              </w:rPr>
            </w:pPr>
            <w:r>
              <w:rPr>
                <w:rFonts w:ascii="Arial" w:cs="Arial" w:eastAsia="Arial" w:hAnsi="Arial"/>
                <w:sz w:val="20"/>
                <w:szCs w:val="20"/>
                <w:color w:val="auto"/>
              </w:rPr>
              <w:t>Section 10.2.</w:t>
            </w:r>
          </w:p>
        </w:tc>
        <w:tc>
          <w:tcPr>
            <w:tcW w:w="1800" w:type="dxa"/>
            <w:vAlign w:val="bottom"/>
            <w:tcBorders>
              <w:bottom w:val="single" w:sz="8" w:color="auto"/>
            </w:tcBorders>
            <w:gridSpan w:val="4"/>
          </w:tcPr>
          <w:p>
            <w:pPr>
              <w:spacing w:after="0"/>
              <w:rPr>
                <w:sz w:val="20"/>
                <w:szCs w:val="20"/>
                <w:color w:val="auto"/>
              </w:rPr>
            </w:pPr>
            <w:r>
              <w:rPr>
                <w:rFonts w:ascii="Arial" w:cs="Arial" w:eastAsia="Arial" w:hAnsi="Arial"/>
                <w:sz w:val="20"/>
                <w:szCs w:val="20"/>
                <w:color w:val="auto"/>
                <w:w w:val="88"/>
              </w:rPr>
              <w:t>Waivers; Amendments</w:t>
            </w:r>
          </w:p>
        </w:tc>
        <w:tc>
          <w:tcPr>
            <w:tcW w:w="3120" w:type="dxa"/>
            <w:vAlign w:val="bottom"/>
            <w:gridSpan w:val="3"/>
          </w:tcPr>
          <w:p>
            <w:pPr>
              <w:spacing w:after="0"/>
              <w:rPr>
                <w:sz w:val="24"/>
                <w:szCs w:val="24"/>
                <w:color w:val="auto"/>
              </w:rPr>
            </w:pPr>
          </w:p>
        </w:tc>
      </w:tr>
      <w:tr>
        <w:trPr>
          <w:trHeight w:val="291"/>
        </w:trPr>
        <w:tc>
          <w:tcPr>
            <w:tcW w:w="1300" w:type="dxa"/>
            <w:vAlign w:val="bottom"/>
          </w:tcPr>
          <w:p>
            <w:pPr>
              <w:spacing w:after="0"/>
              <w:rPr>
                <w:sz w:val="20"/>
                <w:szCs w:val="20"/>
                <w:color w:val="auto"/>
              </w:rPr>
            </w:pPr>
            <w:r>
              <w:rPr>
                <w:rFonts w:ascii="Arial" w:cs="Arial" w:eastAsia="Arial" w:hAnsi="Arial"/>
                <w:sz w:val="20"/>
                <w:szCs w:val="20"/>
                <w:color w:val="auto"/>
              </w:rPr>
              <w:t>Section 10.3.</w:t>
            </w:r>
          </w:p>
        </w:tc>
        <w:tc>
          <w:tcPr>
            <w:tcW w:w="3040" w:type="dxa"/>
            <w:vAlign w:val="bottom"/>
            <w:tcBorders>
              <w:bottom w:val="single" w:sz="8" w:color="auto"/>
            </w:tcBorders>
            <w:gridSpan w:val="6"/>
          </w:tcPr>
          <w:p>
            <w:pPr>
              <w:spacing w:after="0"/>
              <w:rPr>
                <w:sz w:val="20"/>
                <w:szCs w:val="20"/>
                <w:color w:val="auto"/>
              </w:rPr>
            </w:pPr>
            <w:r>
              <w:rPr>
                <w:rFonts w:ascii="Arial" w:cs="Arial" w:eastAsia="Arial" w:hAnsi="Arial"/>
                <w:sz w:val="20"/>
                <w:szCs w:val="20"/>
                <w:color w:val="auto"/>
                <w:w w:val="88"/>
              </w:rPr>
              <w:t>Expenses; Indemnity; Damage Waiver</w:t>
            </w:r>
          </w:p>
        </w:tc>
        <w:tc>
          <w:tcPr>
            <w:tcW w:w="1880" w:type="dxa"/>
            <w:vAlign w:val="bottom"/>
          </w:tcPr>
          <w:p>
            <w:pPr>
              <w:spacing w:after="0"/>
              <w:rPr>
                <w:sz w:val="24"/>
                <w:szCs w:val="24"/>
                <w:color w:val="auto"/>
              </w:rPr>
            </w:pPr>
          </w:p>
        </w:tc>
      </w:tr>
      <w:tr>
        <w:trPr>
          <w:trHeight w:val="291"/>
        </w:trPr>
        <w:tc>
          <w:tcPr>
            <w:tcW w:w="1300" w:type="dxa"/>
            <w:vAlign w:val="bottom"/>
          </w:tcPr>
          <w:p>
            <w:pPr>
              <w:spacing w:after="0"/>
              <w:rPr>
                <w:sz w:val="20"/>
                <w:szCs w:val="20"/>
                <w:color w:val="auto"/>
              </w:rPr>
            </w:pPr>
            <w:r>
              <w:rPr>
                <w:rFonts w:ascii="Arial" w:cs="Arial" w:eastAsia="Arial" w:hAnsi="Arial"/>
                <w:sz w:val="20"/>
                <w:szCs w:val="20"/>
                <w:color w:val="auto"/>
              </w:rPr>
              <w:t>Section 10.4.</w:t>
            </w:r>
          </w:p>
        </w:tc>
        <w:tc>
          <w:tcPr>
            <w:tcW w:w="1880" w:type="dxa"/>
            <w:vAlign w:val="bottom"/>
            <w:tcBorders>
              <w:bottom w:val="single" w:sz="8" w:color="auto"/>
            </w:tcBorders>
            <w:gridSpan w:val="5"/>
          </w:tcPr>
          <w:p>
            <w:pPr>
              <w:spacing w:after="0"/>
              <w:rPr>
                <w:sz w:val="20"/>
                <w:szCs w:val="20"/>
                <w:color w:val="auto"/>
              </w:rPr>
            </w:pPr>
            <w:r>
              <w:rPr>
                <w:rFonts w:ascii="Arial" w:cs="Arial" w:eastAsia="Arial" w:hAnsi="Arial"/>
                <w:sz w:val="20"/>
                <w:szCs w:val="20"/>
                <w:color w:val="auto"/>
                <w:w w:val="85"/>
              </w:rPr>
              <w:t>Successors and Assigns</w:t>
            </w:r>
          </w:p>
        </w:tc>
        <w:tc>
          <w:tcPr>
            <w:tcW w:w="3040" w:type="dxa"/>
            <w:vAlign w:val="bottom"/>
            <w:gridSpan w:val="2"/>
          </w:tcPr>
          <w:p>
            <w:pPr>
              <w:spacing w:after="0"/>
              <w:rPr>
                <w:sz w:val="24"/>
                <w:szCs w:val="24"/>
                <w:color w:val="auto"/>
              </w:rPr>
            </w:pPr>
          </w:p>
        </w:tc>
      </w:tr>
      <w:tr>
        <w:trPr>
          <w:trHeight w:val="291"/>
        </w:trPr>
        <w:tc>
          <w:tcPr>
            <w:tcW w:w="1300" w:type="dxa"/>
            <w:vAlign w:val="bottom"/>
          </w:tcPr>
          <w:p>
            <w:pPr>
              <w:spacing w:after="0"/>
              <w:rPr>
                <w:sz w:val="20"/>
                <w:szCs w:val="20"/>
                <w:color w:val="auto"/>
              </w:rPr>
            </w:pPr>
            <w:r>
              <w:rPr>
                <w:rFonts w:ascii="Arial" w:cs="Arial" w:eastAsia="Arial" w:hAnsi="Arial"/>
                <w:sz w:val="20"/>
                <w:szCs w:val="20"/>
                <w:color w:val="auto"/>
              </w:rPr>
              <w:t>Section 10.5.</w:t>
            </w:r>
          </w:p>
        </w:tc>
        <w:tc>
          <w:tcPr>
            <w:tcW w:w="4920" w:type="dxa"/>
            <w:vAlign w:val="bottom"/>
            <w:gridSpan w:val="7"/>
          </w:tcPr>
          <w:p>
            <w:pPr>
              <w:spacing w:after="0"/>
              <w:rPr>
                <w:sz w:val="20"/>
                <w:szCs w:val="20"/>
                <w:color w:val="auto"/>
              </w:rPr>
            </w:pPr>
            <w:r>
              <w:rPr>
                <w:rFonts w:ascii="Arial" w:cs="Arial" w:eastAsia="Arial" w:hAnsi="Arial"/>
                <w:sz w:val="20"/>
                <w:szCs w:val="20"/>
                <w:color w:val="auto"/>
              </w:rPr>
              <w:t>Survival</w:t>
            </w:r>
          </w:p>
        </w:tc>
      </w:tr>
      <w:tr>
        <w:trPr>
          <w:trHeight w:val="20"/>
        </w:trPr>
        <w:tc>
          <w:tcPr>
            <w:tcW w:w="130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980" w:type="dxa"/>
            <w:vAlign w:val="bottom"/>
            <w:gridSpan w:val="4"/>
          </w:tcPr>
          <w:p>
            <w:pPr>
              <w:spacing w:after="0" w:line="20" w:lineRule="exact"/>
              <w:rPr>
                <w:sz w:val="1"/>
                <w:szCs w:val="1"/>
                <w:color w:val="auto"/>
              </w:rPr>
            </w:pPr>
          </w:p>
        </w:tc>
      </w:tr>
      <w:tr>
        <w:trPr>
          <w:trHeight w:val="291"/>
        </w:trPr>
        <w:tc>
          <w:tcPr>
            <w:tcW w:w="1300" w:type="dxa"/>
            <w:vAlign w:val="bottom"/>
          </w:tcPr>
          <w:p>
            <w:pPr>
              <w:spacing w:after="0"/>
              <w:rPr>
                <w:sz w:val="20"/>
                <w:szCs w:val="20"/>
                <w:color w:val="auto"/>
              </w:rPr>
            </w:pPr>
            <w:r>
              <w:rPr>
                <w:rFonts w:ascii="Arial" w:cs="Arial" w:eastAsia="Arial" w:hAnsi="Arial"/>
                <w:sz w:val="20"/>
                <w:szCs w:val="20"/>
                <w:color w:val="auto"/>
              </w:rPr>
              <w:t>Section 10.6.</w:t>
            </w:r>
          </w:p>
        </w:tc>
        <w:tc>
          <w:tcPr>
            <w:tcW w:w="4920" w:type="dxa"/>
            <w:vAlign w:val="bottom"/>
            <w:tcBorders>
              <w:bottom w:val="single" w:sz="8" w:color="auto"/>
            </w:tcBorders>
            <w:gridSpan w:val="7"/>
          </w:tcPr>
          <w:p>
            <w:pPr>
              <w:spacing w:after="0"/>
              <w:rPr>
                <w:sz w:val="20"/>
                <w:szCs w:val="20"/>
                <w:color w:val="auto"/>
              </w:rPr>
            </w:pPr>
            <w:r>
              <w:rPr>
                <w:rFonts w:ascii="Arial" w:cs="Arial" w:eastAsia="Arial" w:hAnsi="Arial"/>
                <w:sz w:val="20"/>
                <w:szCs w:val="20"/>
                <w:color w:val="auto"/>
                <w:w w:val="90"/>
              </w:rPr>
              <w:t>Counterparts; Integration; Effectiveness; Electronic Execution</w:t>
            </w:r>
          </w:p>
        </w:tc>
      </w:tr>
      <w:tr>
        <w:trPr>
          <w:trHeight w:val="291"/>
        </w:trPr>
        <w:tc>
          <w:tcPr>
            <w:tcW w:w="1300" w:type="dxa"/>
            <w:vAlign w:val="bottom"/>
          </w:tcPr>
          <w:p>
            <w:pPr>
              <w:spacing w:after="0"/>
              <w:rPr>
                <w:sz w:val="20"/>
                <w:szCs w:val="20"/>
                <w:color w:val="auto"/>
              </w:rPr>
            </w:pPr>
            <w:r>
              <w:rPr>
                <w:rFonts w:ascii="Arial" w:cs="Arial" w:eastAsia="Arial" w:hAnsi="Arial"/>
                <w:sz w:val="20"/>
                <w:szCs w:val="20"/>
                <w:color w:val="auto"/>
              </w:rPr>
              <w:t>Section 10.7.</w:t>
            </w:r>
          </w:p>
        </w:tc>
        <w:tc>
          <w:tcPr>
            <w:tcW w:w="4920" w:type="dxa"/>
            <w:vAlign w:val="bottom"/>
            <w:gridSpan w:val="7"/>
          </w:tcPr>
          <w:p>
            <w:pPr>
              <w:spacing w:after="0"/>
              <w:rPr>
                <w:sz w:val="20"/>
                <w:szCs w:val="20"/>
                <w:color w:val="auto"/>
              </w:rPr>
            </w:pPr>
            <w:r>
              <w:rPr>
                <w:rFonts w:ascii="Arial" w:cs="Arial" w:eastAsia="Arial" w:hAnsi="Arial"/>
                <w:sz w:val="20"/>
                <w:szCs w:val="20"/>
                <w:color w:val="auto"/>
              </w:rPr>
              <w:t>Severability</w:t>
            </w:r>
          </w:p>
        </w:tc>
      </w:tr>
      <w:tr>
        <w:trPr>
          <w:trHeight w:val="20"/>
        </w:trPr>
        <w:tc>
          <w:tcPr>
            <w:tcW w:w="1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bl>
    <w:p>
      <w:pPr>
        <w:sectPr>
          <w:pgSz w:w="11900" w:h="16838" w:orient="portrait"/>
          <w:cols w:equalWidth="0" w:num="1">
            <w:col w:w="11420"/>
          </w:cols>
          <w:pgMar w:left="240" w:top="337"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4</w:t>
      </w:r>
    </w:p>
    <w:p>
      <w:pPr>
        <w:spacing w:after="0" w:line="254" w:lineRule="exact"/>
        <w:rPr>
          <w:sz w:val="20"/>
          <w:szCs w:val="20"/>
          <w:color w:val="auto"/>
        </w:rPr>
      </w:pPr>
    </w:p>
    <w:p>
      <w:pPr>
        <w:ind w:left="500"/>
        <w:spacing w:after="0"/>
        <w:tabs>
          <w:tab w:leader="none" w:pos="1780" w:val="left"/>
        </w:tabs>
        <w:rPr>
          <w:sz w:val="20"/>
          <w:szCs w:val="20"/>
          <w:color w:val="auto"/>
        </w:rPr>
      </w:pPr>
      <w:r>
        <w:rPr>
          <w:rFonts w:ascii="Arial" w:cs="Arial" w:eastAsia="Arial" w:hAnsi="Arial"/>
          <w:sz w:val="20"/>
          <w:szCs w:val="20"/>
          <w:color w:val="auto"/>
        </w:rPr>
        <w:t>Section 10.8.</w:t>
      </w:r>
      <w:r>
        <w:rPr>
          <w:sz w:val="20"/>
          <w:szCs w:val="20"/>
          <w:color w:val="auto"/>
        </w:rPr>
        <w:tab/>
      </w:r>
      <w:r>
        <w:rPr>
          <w:rFonts w:ascii="Arial" w:cs="Arial" w:eastAsia="Arial" w:hAnsi="Arial"/>
          <w:sz w:val="18"/>
          <w:szCs w:val="18"/>
          <w:u w:val="single" w:color="auto"/>
          <w:color w:val="auto"/>
        </w:rPr>
        <w:t>Right of Set-off</w:t>
      </w:r>
    </w:p>
    <w:p>
      <w:pPr>
        <w:spacing w:after="0" w:line="81" w:lineRule="exact"/>
        <w:rPr>
          <w:sz w:val="20"/>
          <w:szCs w:val="20"/>
          <w:color w:val="auto"/>
        </w:rPr>
      </w:pPr>
    </w:p>
    <w:p>
      <w:pPr>
        <w:ind w:left="500"/>
        <w:spacing w:after="0"/>
        <w:tabs>
          <w:tab w:leader="none" w:pos="1780" w:val="left"/>
        </w:tabs>
        <w:rPr>
          <w:sz w:val="20"/>
          <w:szCs w:val="20"/>
          <w:color w:val="auto"/>
        </w:rPr>
      </w:pPr>
      <w:r>
        <w:rPr>
          <w:rFonts w:ascii="Arial" w:cs="Arial" w:eastAsia="Arial" w:hAnsi="Arial"/>
          <w:sz w:val="20"/>
          <w:szCs w:val="20"/>
          <w:color w:val="auto"/>
        </w:rPr>
        <w:t>Section 10.9.</w:t>
      </w:r>
      <w:r>
        <w:rPr>
          <w:sz w:val="20"/>
          <w:szCs w:val="20"/>
          <w:color w:val="auto"/>
        </w:rPr>
        <w:tab/>
      </w:r>
      <w:r>
        <w:rPr>
          <w:rFonts w:ascii="Arial" w:cs="Arial" w:eastAsia="Arial" w:hAnsi="Arial"/>
          <w:sz w:val="18"/>
          <w:szCs w:val="18"/>
          <w:u w:val="single" w:color="auto"/>
          <w:color w:val="auto"/>
        </w:rPr>
        <w:t>Governing Law; Jurisdiction; Consent to Service of Process</w:t>
      </w:r>
    </w:p>
    <w:p>
      <w:pPr>
        <w:spacing w:after="0" w:line="81" w:lineRule="exact"/>
        <w:rPr>
          <w:sz w:val="20"/>
          <w:szCs w:val="20"/>
          <w:color w:val="auto"/>
        </w:rPr>
      </w:pPr>
    </w:p>
    <w:p>
      <w:pPr>
        <w:ind w:left="500"/>
        <w:spacing w:after="0"/>
        <w:tabs>
          <w:tab w:leader="none" w:pos="1780" w:val="left"/>
        </w:tabs>
        <w:rPr>
          <w:sz w:val="20"/>
          <w:szCs w:val="20"/>
          <w:color w:val="auto"/>
        </w:rPr>
      </w:pPr>
      <w:r>
        <w:rPr>
          <w:rFonts w:ascii="Arial" w:cs="Arial" w:eastAsia="Arial" w:hAnsi="Arial"/>
          <w:sz w:val="20"/>
          <w:szCs w:val="20"/>
          <w:color w:val="auto"/>
        </w:rPr>
        <w:t>Section 10.10.</w:t>
      </w:r>
      <w:r>
        <w:rPr>
          <w:sz w:val="20"/>
          <w:szCs w:val="20"/>
          <w:color w:val="auto"/>
        </w:rPr>
        <w:tab/>
      </w:r>
      <w:r>
        <w:rPr>
          <w:rFonts w:ascii="Arial" w:cs="Arial" w:eastAsia="Arial" w:hAnsi="Arial"/>
          <w:sz w:val="19"/>
          <w:szCs w:val="19"/>
          <w:u w:val="single" w:color="auto"/>
          <w:color w:val="auto"/>
        </w:rPr>
        <w:t>WAIVER OF JURY TRIAL</w:t>
      </w:r>
    </w:p>
    <w:p>
      <w:pPr>
        <w:spacing w:after="0" w:line="81" w:lineRule="exact"/>
        <w:rPr>
          <w:sz w:val="20"/>
          <w:szCs w:val="20"/>
          <w:color w:val="auto"/>
        </w:rPr>
      </w:pPr>
    </w:p>
    <w:p>
      <w:pPr>
        <w:ind w:left="500"/>
        <w:spacing w:after="0"/>
        <w:tabs>
          <w:tab w:leader="none" w:pos="1780" w:val="left"/>
        </w:tabs>
        <w:rPr>
          <w:sz w:val="20"/>
          <w:szCs w:val="20"/>
          <w:color w:val="auto"/>
        </w:rPr>
      </w:pPr>
      <w:r>
        <w:rPr>
          <w:rFonts w:ascii="Arial" w:cs="Arial" w:eastAsia="Arial" w:hAnsi="Arial"/>
          <w:sz w:val="20"/>
          <w:szCs w:val="20"/>
          <w:color w:val="auto"/>
        </w:rPr>
        <w:t>Section 10.11.</w:t>
      </w:r>
      <w:r>
        <w:rPr>
          <w:sz w:val="20"/>
          <w:szCs w:val="20"/>
          <w:color w:val="auto"/>
        </w:rPr>
        <w:tab/>
      </w:r>
      <w:r>
        <w:rPr>
          <w:rFonts w:ascii="Arial" w:cs="Arial" w:eastAsia="Arial" w:hAnsi="Arial"/>
          <w:sz w:val="16"/>
          <w:szCs w:val="16"/>
          <w:u w:val="single" w:color="auto"/>
          <w:color w:val="auto"/>
        </w:rPr>
        <w:t>Headings</w:t>
      </w:r>
    </w:p>
    <w:p>
      <w:pPr>
        <w:spacing w:after="0" w:line="81" w:lineRule="exact"/>
        <w:rPr>
          <w:sz w:val="20"/>
          <w:szCs w:val="20"/>
          <w:color w:val="auto"/>
        </w:rPr>
      </w:pPr>
    </w:p>
    <w:p>
      <w:pPr>
        <w:ind w:left="500"/>
        <w:spacing w:after="0"/>
        <w:tabs>
          <w:tab w:leader="none" w:pos="1780" w:val="left"/>
        </w:tabs>
        <w:rPr>
          <w:sz w:val="20"/>
          <w:szCs w:val="20"/>
          <w:color w:val="auto"/>
        </w:rPr>
      </w:pPr>
      <w:r>
        <w:rPr>
          <w:rFonts w:ascii="Arial" w:cs="Arial" w:eastAsia="Arial" w:hAnsi="Arial"/>
          <w:sz w:val="20"/>
          <w:szCs w:val="20"/>
          <w:color w:val="auto"/>
        </w:rPr>
        <w:t>Section 10.12.</w:t>
      </w:r>
      <w:r>
        <w:rPr>
          <w:sz w:val="20"/>
          <w:szCs w:val="20"/>
          <w:color w:val="auto"/>
        </w:rPr>
        <w:tab/>
      </w:r>
      <w:r>
        <w:rPr>
          <w:rFonts w:ascii="Arial" w:cs="Arial" w:eastAsia="Arial" w:hAnsi="Arial"/>
          <w:sz w:val="18"/>
          <w:szCs w:val="18"/>
          <w:u w:val="single" w:color="auto"/>
          <w:color w:val="auto"/>
        </w:rPr>
        <w:t>Interest Rate Limitation</w:t>
      </w:r>
    </w:p>
    <w:p>
      <w:pPr>
        <w:spacing w:after="0" w:line="81" w:lineRule="exact"/>
        <w:rPr>
          <w:sz w:val="20"/>
          <w:szCs w:val="20"/>
          <w:color w:val="auto"/>
        </w:rPr>
      </w:pPr>
    </w:p>
    <w:p>
      <w:pPr>
        <w:ind w:left="500"/>
        <w:spacing w:after="0"/>
        <w:tabs>
          <w:tab w:leader="none" w:pos="1780" w:val="left"/>
        </w:tabs>
        <w:rPr>
          <w:sz w:val="20"/>
          <w:szCs w:val="20"/>
          <w:color w:val="auto"/>
        </w:rPr>
      </w:pPr>
      <w:r>
        <w:rPr>
          <w:rFonts w:ascii="Arial" w:cs="Arial" w:eastAsia="Arial" w:hAnsi="Arial"/>
          <w:sz w:val="20"/>
          <w:szCs w:val="20"/>
          <w:color w:val="auto"/>
        </w:rPr>
        <w:t>Section 10.13.</w:t>
      </w:r>
      <w:r>
        <w:rPr>
          <w:sz w:val="20"/>
          <w:szCs w:val="20"/>
          <w:color w:val="auto"/>
        </w:rPr>
        <w:tab/>
      </w:r>
      <w:r>
        <w:rPr>
          <w:rFonts w:ascii="Arial" w:cs="Arial" w:eastAsia="Arial" w:hAnsi="Arial"/>
          <w:sz w:val="18"/>
          <w:szCs w:val="18"/>
          <w:u w:val="single" w:color="auto"/>
          <w:color w:val="auto"/>
        </w:rPr>
        <w:t>Advertisement</w:t>
      </w:r>
    </w:p>
    <w:p>
      <w:pPr>
        <w:spacing w:after="0" w:line="81" w:lineRule="exact"/>
        <w:rPr>
          <w:sz w:val="20"/>
          <w:szCs w:val="20"/>
          <w:color w:val="auto"/>
        </w:rPr>
      </w:pPr>
    </w:p>
    <w:p>
      <w:pPr>
        <w:ind w:left="500"/>
        <w:spacing w:after="0"/>
        <w:tabs>
          <w:tab w:leader="none" w:pos="1780" w:val="left"/>
        </w:tabs>
        <w:rPr>
          <w:sz w:val="20"/>
          <w:szCs w:val="20"/>
          <w:color w:val="auto"/>
        </w:rPr>
      </w:pPr>
      <w:r>
        <w:rPr>
          <w:rFonts w:ascii="Arial" w:cs="Arial" w:eastAsia="Arial" w:hAnsi="Arial"/>
          <w:sz w:val="20"/>
          <w:szCs w:val="20"/>
          <w:color w:val="auto"/>
        </w:rPr>
        <w:t>Section 10.14.</w:t>
      </w:r>
      <w:r>
        <w:rPr>
          <w:sz w:val="20"/>
          <w:szCs w:val="20"/>
          <w:color w:val="auto"/>
        </w:rPr>
        <w:tab/>
      </w:r>
      <w:r>
        <w:rPr>
          <w:rFonts w:ascii="Arial" w:cs="Arial" w:eastAsia="Arial" w:hAnsi="Arial"/>
          <w:sz w:val="18"/>
          <w:szCs w:val="18"/>
          <w:u w:val="single" w:color="auto"/>
          <w:color w:val="auto"/>
        </w:rPr>
        <w:t>USA PATRIOT Act Notice</w:t>
      </w:r>
    </w:p>
    <w:p>
      <w:pPr>
        <w:spacing w:after="0" w:line="81" w:lineRule="exact"/>
        <w:rPr>
          <w:sz w:val="20"/>
          <w:szCs w:val="20"/>
          <w:color w:val="auto"/>
        </w:rPr>
      </w:pPr>
    </w:p>
    <w:p>
      <w:pPr>
        <w:ind w:left="500"/>
        <w:spacing w:after="0"/>
        <w:tabs>
          <w:tab w:leader="none" w:pos="1780" w:val="left"/>
        </w:tabs>
        <w:rPr>
          <w:sz w:val="20"/>
          <w:szCs w:val="20"/>
          <w:color w:val="auto"/>
        </w:rPr>
      </w:pPr>
      <w:r>
        <w:rPr>
          <w:rFonts w:ascii="Arial" w:cs="Arial" w:eastAsia="Arial" w:hAnsi="Arial"/>
          <w:sz w:val="20"/>
          <w:szCs w:val="20"/>
          <w:color w:val="auto"/>
        </w:rPr>
        <w:t>Section 10.15.</w:t>
      </w:r>
      <w:r>
        <w:rPr>
          <w:sz w:val="20"/>
          <w:szCs w:val="20"/>
          <w:color w:val="auto"/>
        </w:rPr>
        <w:tab/>
      </w:r>
      <w:r>
        <w:rPr>
          <w:rFonts w:ascii="Arial" w:cs="Arial" w:eastAsia="Arial" w:hAnsi="Arial"/>
          <w:sz w:val="18"/>
          <w:szCs w:val="18"/>
          <w:u w:val="single" w:color="auto"/>
          <w:color w:val="auto"/>
        </w:rPr>
        <w:t>Treatment of Certain Information</w:t>
      </w:r>
    </w:p>
    <w:p>
      <w:pPr>
        <w:spacing w:after="0" w:line="81" w:lineRule="exact"/>
        <w:rPr>
          <w:sz w:val="20"/>
          <w:szCs w:val="20"/>
          <w:color w:val="auto"/>
        </w:rPr>
      </w:pPr>
    </w:p>
    <w:p>
      <w:pPr>
        <w:ind w:left="500"/>
        <w:spacing w:after="0"/>
        <w:tabs>
          <w:tab w:leader="none" w:pos="1780" w:val="left"/>
        </w:tabs>
        <w:rPr>
          <w:sz w:val="20"/>
          <w:szCs w:val="20"/>
          <w:color w:val="auto"/>
        </w:rPr>
      </w:pPr>
      <w:r>
        <w:rPr>
          <w:rFonts w:ascii="Arial" w:cs="Arial" w:eastAsia="Arial" w:hAnsi="Arial"/>
          <w:sz w:val="20"/>
          <w:szCs w:val="20"/>
          <w:color w:val="auto"/>
        </w:rPr>
        <w:t>Section 10.16.</w:t>
      </w:r>
      <w:r>
        <w:rPr>
          <w:sz w:val="20"/>
          <w:szCs w:val="20"/>
          <w:color w:val="auto"/>
        </w:rPr>
        <w:tab/>
      </w:r>
      <w:r>
        <w:rPr>
          <w:rFonts w:ascii="Arial" w:cs="Arial" w:eastAsia="Arial" w:hAnsi="Arial"/>
          <w:sz w:val="18"/>
          <w:szCs w:val="18"/>
          <w:u w:val="single" w:color="auto"/>
          <w:color w:val="auto"/>
        </w:rPr>
        <w:t>No Fiduciary Duty</w:t>
      </w:r>
    </w:p>
    <w:p>
      <w:pPr>
        <w:spacing w:after="0" w:line="81" w:lineRule="exact"/>
        <w:rPr>
          <w:sz w:val="20"/>
          <w:szCs w:val="20"/>
          <w:color w:val="auto"/>
        </w:rPr>
      </w:pPr>
    </w:p>
    <w:p>
      <w:pPr>
        <w:ind w:left="500"/>
        <w:spacing w:after="0"/>
        <w:tabs>
          <w:tab w:leader="none" w:pos="1780" w:val="left"/>
        </w:tabs>
        <w:rPr>
          <w:sz w:val="20"/>
          <w:szCs w:val="20"/>
          <w:color w:val="auto"/>
        </w:rPr>
      </w:pPr>
      <w:r>
        <w:rPr>
          <w:rFonts w:ascii="Arial" w:cs="Arial" w:eastAsia="Arial" w:hAnsi="Arial"/>
          <w:sz w:val="20"/>
          <w:szCs w:val="20"/>
          <w:color w:val="auto"/>
        </w:rPr>
        <w:t>Section 10.17.</w:t>
      </w:r>
      <w:r>
        <w:rPr>
          <w:sz w:val="20"/>
          <w:szCs w:val="20"/>
          <w:color w:val="auto"/>
        </w:rPr>
        <w:tab/>
      </w:r>
      <w:r>
        <w:rPr>
          <w:rFonts w:ascii="Arial" w:cs="Arial" w:eastAsia="Arial" w:hAnsi="Arial"/>
          <w:sz w:val="18"/>
          <w:szCs w:val="18"/>
          <w:u w:val="single" w:color="auto"/>
          <w:color w:val="auto"/>
        </w:rPr>
        <w:t>Acknowledgment and Consent to Bail-In of EEA Financial Institutions</w:t>
      </w:r>
    </w:p>
    <w:p>
      <w:pPr>
        <w:spacing w:after="0" w:line="81" w:lineRule="exact"/>
        <w:rPr>
          <w:sz w:val="20"/>
          <w:szCs w:val="20"/>
          <w:color w:val="auto"/>
        </w:rPr>
      </w:pPr>
    </w:p>
    <w:p>
      <w:pPr>
        <w:ind w:left="500"/>
        <w:spacing w:after="0"/>
        <w:tabs>
          <w:tab w:leader="none" w:pos="1780" w:val="left"/>
        </w:tabs>
        <w:rPr>
          <w:sz w:val="20"/>
          <w:szCs w:val="20"/>
          <w:color w:val="auto"/>
        </w:rPr>
      </w:pPr>
      <w:r>
        <w:rPr>
          <w:rFonts w:ascii="Arial" w:cs="Arial" w:eastAsia="Arial" w:hAnsi="Arial"/>
          <w:sz w:val="20"/>
          <w:szCs w:val="20"/>
          <w:color w:val="auto"/>
        </w:rPr>
        <w:t>Section 10.18.</w:t>
      </w:r>
      <w:r>
        <w:rPr>
          <w:sz w:val="20"/>
          <w:szCs w:val="20"/>
          <w:color w:val="auto"/>
        </w:rPr>
        <w:tab/>
      </w:r>
      <w:r>
        <w:rPr>
          <w:rFonts w:ascii="Arial" w:cs="Arial" w:eastAsia="Arial" w:hAnsi="Arial"/>
          <w:sz w:val="18"/>
          <w:szCs w:val="18"/>
          <w:u w:val="single" w:color="auto"/>
          <w:color w:val="auto"/>
        </w:rPr>
        <w:t>Acknowledgement Regarding Any Supported QFCs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SCHEDULES</w:t>
      </w:r>
      <w:r>
        <w:rPr>
          <w:rFonts w:ascii="Arial" w:cs="Arial" w:eastAsia="Arial" w:hAnsi="Arial"/>
          <w:sz w:val="20"/>
          <w:szCs w:val="20"/>
          <w:color w:val="auto"/>
        </w:rPr>
        <w:t>:</w:t>
      </w:r>
    </w:p>
    <w:p>
      <w:pPr>
        <w:spacing w:after="0" w:line="229"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color w:val="auto"/>
        </w:rPr>
        <w:t>Schedule 2.1</w:t>
      </w:r>
      <w:r>
        <w:rPr>
          <w:sz w:val="20"/>
          <w:szCs w:val="20"/>
          <w:color w:val="auto"/>
        </w:rPr>
        <w:tab/>
      </w:r>
      <w:r>
        <w:rPr>
          <w:rFonts w:ascii="Arial" w:cs="Arial" w:eastAsia="Arial" w:hAnsi="Arial"/>
          <w:sz w:val="18"/>
          <w:szCs w:val="18"/>
          <w:color w:val="auto"/>
        </w:rPr>
        <w:t>List of Existing Loans and Commitments</w:t>
      </w:r>
    </w:p>
    <w:p>
      <w:pPr>
        <w:spacing w:after="0" w:line="15" w:lineRule="exact"/>
        <w:rPr>
          <w:sz w:val="20"/>
          <w:szCs w:val="20"/>
          <w:color w:val="auto"/>
        </w:rPr>
      </w:pPr>
    </w:p>
    <w:p>
      <w:pPr>
        <w:spacing w:after="0"/>
        <w:tabs>
          <w:tab w:leader="none" w:pos="1500" w:val="left"/>
        </w:tabs>
        <w:rPr>
          <w:sz w:val="20"/>
          <w:szCs w:val="20"/>
          <w:color w:val="auto"/>
        </w:rPr>
      </w:pPr>
      <w:r>
        <w:rPr>
          <w:rFonts w:ascii="Arial" w:cs="Arial" w:eastAsia="Arial" w:hAnsi="Arial"/>
          <w:sz w:val="20"/>
          <w:szCs w:val="20"/>
          <w:color w:val="auto"/>
        </w:rPr>
        <w:t>Schedule 4.5/4.6</w:t>
      </w:r>
      <w:r>
        <w:rPr>
          <w:sz w:val="20"/>
          <w:szCs w:val="20"/>
          <w:color w:val="auto"/>
        </w:rPr>
        <w:tab/>
      </w:r>
      <w:r>
        <w:rPr>
          <w:rFonts w:ascii="Arial" w:cs="Arial" w:eastAsia="Arial" w:hAnsi="Arial"/>
          <w:sz w:val="16"/>
          <w:szCs w:val="16"/>
          <w:color w:val="auto"/>
        </w:rPr>
        <w:t>Disclosed Matters</w:t>
      </w:r>
    </w:p>
    <w:p>
      <w:pPr>
        <w:spacing w:after="0"/>
        <w:tabs>
          <w:tab w:leader="none" w:pos="1280" w:val="left"/>
        </w:tabs>
        <w:rPr>
          <w:sz w:val="20"/>
          <w:szCs w:val="20"/>
          <w:color w:val="auto"/>
        </w:rPr>
      </w:pPr>
      <w:r>
        <w:rPr>
          <w:rFonts w:ascii="Arial" w:cs="Arial" w:eastAsia="Arial" w:hAnsi="Arial"/>
          <w:sz w:val="20"/>
          <w:szCs w:val="20"/>
          <w:color w:val="auto"/>
        </w:rPr>
        <w:t>Schedule 4.10</w:t>
      </w:r>
      <w:r>
        <w:rPr>
          <w:sz w:val="20"/>
          <w:szCs w:val="20"/>
          <w:color w:val="auto"/>
        </w:rPr>
        <w:tab/>
      </w:r>
      <w:r>
        <w:rPr>
          <w:rFonts w:ascii="Arial" w:cs="Arial" w:eastAsia="Arial" w:hAnsi="Arial"/>
          <w:sz w:val="18"/>
          <w:szCs w:val="18"/>
          <w:color w:val="auto"/>
        </w:rPr>
        <w:t>List of Subsidiaries</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EXHIBITS</w:t>
      </w:r>
      <w:r>
        <w:rPr>
          <w:rFonts w:ascii="Arial" w:cs="Arial" w:eastAsia="Arial" w:hAnsi="Arial"/>
          <w:sz w:val="20"/>
          <w:szCs w:val="20"/>
          <w:color w:val="auto"/>
        </w:rPr>
        <w:t>:</w:t>
      </w:r>
    </w:p>
    <w:p>
      <w:pPr>
        <w:spacing w:after="0" w:line="229" w:lineRule="exact"/>
        <w:rPr>
          <w:sz w:val="20"/>
          <w:szCs w:val="20"/>
          <w:color w:val="auto"/>
        </w:rPr>
      </w:pPr>
    </w:p>
    <w:p>
      <w:pPr>
        <w:spacing w:after="0"/>
        <w:tabs>
          <w:tab w:leader="none" w:pos="940" w:val="left"/>
        </w:tabs>
        <w:rPr>
          <w:sz w:val="20"/>
          <w:szCs w:val="20"/>
          <w:color w:val="auto"/>
        </w:rPr>
      </w:pPr>
      <w:r>
        <w:rPr>
          <w:rFonts w:ascii="Arial" w:cs="Arial" w:eastAsia="Arial" w:hAnsi="Arial"/>
          <w:sz w:val="20"/>
          <w:szCs w:val="20"/>
          <w:color w:val="auto"/>
        </w:rPr>
        <w:t>Exhibit A</w:t>
      </w:r>
      <w:r>
        <w:rPr>
          <w:sz w:val="20"/>
          <w:szCs w:val="20"/>
          <w:color w:val="auto"/>
        </w:rPr>
        <w:tab/>
      </w:r>
      <w:r>
        <w:rPr>
          <w:rFonts w:ascii="Arial" w:cs="Arial" w:eastAsia="Arial" w:hAnsi="Arial"/>
          <w:sz w:val="18"/>
          <w:szCs w:val="18"/>
          <w:color w:val="auto"/>
        </w:rPr>
        <w:t>Form of Assignment and Assumption</w:t>
      </w:r>
    </w:p>
    <w:p>
      <w:pPr>
        <w:spacing w:after="0" w:line="15" w:lineRule="exact"/>
        <w:rPr>
          <w:sz w:val="20"/>
          <w:szCs w:val="20"/>
          <w:color w:val="auto"/>
        </w:rPr>
      </w:pPr>
    </w:p>
    <w:p>
      <w:pPr>
        <w:spacing w:after="0"/>
        <w:tabs>
          <w:tab w:leader="none" w:pos="940" w:val="left"/>
        </w:tabs>
        <w:rPr>
          <w:sz w:val="20"/>
          <w:szCs w:val="20"/>
          <w:color w:val="auto"/>
        </w:rPr>
      </w:pPr>
      <w:r>
        <w:rPr>
          <w:rFonts w:ascii="Arial" w:cs="Arial" w:eastAsia="Arial" w:hAnsi="Arial"/>
          <w:sz w:val="20"/>
          <w:szCs w:val="20"/>
          <w:color w:val="auto"/>
        </w:rPr>
        <w:t>Exhibit B</w:t>
      </w:r>
      <w:r>
        <w:rPr>
          <w:sz w:val="20"/>
          <w:szCs w:val="20"/>
          <w:color w:val="auto"/>
        </w:rPr>
        <w:tab/>
      </w:r>
      <w:r>
        <w:rPr>
          <w:rFonts w:ascii="Arial" w:cs="Arial" w:eastAsia="Arial" w:hAnsi="Arial"/>
          <w:sz w:val="18"/>
          <w:szCs w:val="18"/>
          <w:color w:val="auto"/>
        </w:rPr>
        <w:t>Form of Note</w:t>
      </w:r>
    </w:p>
    <w:p>
      <w:pPr>
        <w:spacing w:after="0"/>
        <w:tabs>
          <w:tab w:leader="none" w:pos="940" w:val="left"/>
        </w:tabs>
        <w:rPr>
          <w:sz w:val="20"/>
          <w:szCs w:val="20"/>
          <w:color w:val="auto"/>
        </w:rPr>
      </w:pPr>
      <w:r>
        <w:rPr>
          <w:rFonts w:ascii="Arial" w:cs="Arial" w:eastAsia="Arial" w:hAnsi="Arial"/>
          <w:sz w:val="20"/>
          <w:szCs w:val="20"/>
          <w:color w:val="auto"/>
        </w:rPr>
        <w:t>Exhibit C</w:t>
      </w:r>
      <w:r>
        <w:rPr>
          <w:sz w:val="20"/>
          <w:szCs w:val="20"/>
          <w:color w:val="auto"/>
        </w:rPr>
        <w:tab/>
      </w:r>
      <w:r>
        <w:rPr>
          <w:rFonts w:ascii="Arial" w:cs="Arial" w:eastAsia="Arial" w:hAnsi="Arial"/>
          <w:sz w:val="18"/>
          <w:szCs w:val="18"/>
          <w:color w:val="auto"/>
        </w:rPr>
        <w:t>Form of Compliance Certificate</w:t>
      </w:r>
    </w:p>
    <w:p>
      <w:pPr>
        <w:spacing w:after="0"/>
        <w:tabs>
          <w:tab w:leader="none" w:pos="940" w:val="left"/>
        </w:tabs>
        <w:rPr>
          <w:sz w:val="20"/>
          <w:szCs w:val="20"/>
          <w:color w:val="auto"/>
        </w:rPr>
      </w:pPr>
      <w:r>
        <w:rPr>
          <w:rFonts w:ascii="Arial" w:cs="Arial" w:eastAsia="Arial" w:hAnsi="Arial"/>
          <w:sz w:val="20"/>
          <w:szCs w:val="20"/>
          <w:color w:val="auto"/>
        </w:rPr>
        <w:t>Exhibit D</w:t>
      </w:r>
      <w:r>
        <w:rPr>
          <w:sz w:val="20"/>
          <w:szCs w:val="20"/>
          <w:color w:val="auto"/>
        </w:rPr>
        <w:tab/>
      </w:r>
      <w:r>
        <w:rPr>
          <w:rFonts w:ascii="Arial" w:cs="Arial" w:eastAsia="Arial" w:hAnsi="Arial"/>
          <w:sz w:val="18"/>
          <w:szCs w:val="18"/>
          <w:color w:val="auto"/>
        </w:rPr>
        <w:t>Form of U.S. Tax Compliance Certificates</w:t>
      </w:r>
    </w:p>
    <w:p>
      <w:pPr>
        <w:sectPr>
          <w:pgSz w:w="11900" w:h="16838" w:orient="portrait"/>
          <w:cols w:equalWidth="0" w:num="1">
            <w:col w:w="11420"/>
          </w:cols>
          <w:pgMar w:left="240" w:top="337" w:right="239" w:bottom="1440" w:gutter="0" w:footer="0" w:header="0"/>
        </w:sectPr>
      </w:pPr>
    </w:p>
    <w:bookmarkStart w:id="55" w:name="page56"/>
    <w:bookmarkEnd w:id="55"/>
    <w:p>
      <w:pPr>
        <w:ind w:left="10720"/>
        <w:spacing w:after="0"/>
        <w:rPr>
          <w:sz w:val="20"/>
          <w:szCs w:val="20"/>
          <w:color w:val="auto"/>
        </w:rPr>
      </w:pPr>
      <w:r>
        <w:rPr>
          <w:rFonts w:ascii="Arial" w:cs="Arial" w:eastAsia="Arial" w:hAnsi="Arial"/>
          <w:sz w:val="16"/>
          <w:szCs w:val="16"/>
          <w:b w:val="1"/>
          <w:bCs w:val="1"/>
          <w:color w:val="auto"/>
        </w:rPr>
        <w:t>Exhibit 4</w:t>
      </w:r>
    </w:p>
    <w:p>
      <w:pPr>
        <w:spacing w:after="0" w:line="2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THIS AMENDED AND RESTATED TERM LOAN AGREEMENT (this “</w:t>
      </w:r>
      <w:r>
        <w:rPr>
          <w:rFonts w:ascii="Arial" w:cs="Arial" w:eastAsia="Arial" w:hAnsi="Arial"/>
          <w:sz w:val="20"/>
          <w:szCs w:val="20"/>
          <w:u w:val="single" w:color="auto"/>
          <w:color w:val="auto"/>
        </w:rPr>
        <w:t>Agreement</w:t>
      </w:r>
      <w:r>
        <w:rPr>
          <w:rFonts w:ascii="Arial" w:cs="Arial" w:eastAsia="Arial" w:hAnsi="Arial"/>
          <w:sz w:val="20"/>
          <w:szCs w:val="20"/>
          <w:color w:val="auto"/>
        </w:rPr>
        <w:t>”) dated as of August 14, 2019, is among ALLETE, INC., the Lenders party hereto, JPMORGAN CHASE BANK, N.A., as Administrative Agent, and BANK OF AMERICA, N.A., as Syndication Agent.</w:t>
      </w:r>
    </w:p>
    <w:p>
      <w:pPr>
        <w:spacing w:after="0" w:line="15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WHEREAS, the Borrower, the Lenders and the Administrative Agent are parties to that certain Term Loan Agreement, dated as of August 25, 2017 (as amended, restated, supplemented or otherwise modified prior to the date hereof, the “</w:t>
      </w:r>
      <w:r>
        <w:rPr>
          <w:rFonts w:ascii="Arial" w:cs="Arial" w:eastAsia="Arial" w:hAnsi="Arial"/>
          <w:sz w:val="20"/>
          <w:szCs w:val="20"/>
          <w:u w:val="single" w:color="auto"/>
          <w:color w:val="auto"/>
        </w:rPr>
        <w:t>Existing Term Loan Agreement</w:t>
      </w:r>
      <w:r>
        <w:rPr>
          <w:rFonts w:ascii="Arial" w:cs="Arial" w:eastAsia="Arial" w:hAnsi="Arial"/>
          <w:sz w:val="20"/>
          <w:szCs w:val="20"/>
          <w:color w:val="auto"/>
        </w:rPr>
        <w:t>”); and</w:t>
      </w:r>
    </w:p>
    <w:p>
      <w:pPr>
        <w:spacing w:after="0" w:line="15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WHEREAS, the Borrower has informed the Administrative Agent and the Lenders under (and as defined in) the Existing Term Loan Agreement that it wishes to obtain incremental term loans pursuant to Section 2.7 of the Existing Term Loan Agreement in the aggregate principal amount of $100,000,000 (the “</w:t>
      </w:r>
      <w:r>
        <w:rPr>
          <w:rFonts w:ascii="Arial" w:cs="Arial" w:eastAsia="Arial" w:hAnsi="Arial"/>
          <w:sz w:val="20"/>
          <w:szCs w:val="20"/>
          <w:u w:val="single" w:color="auto"/>
          <w:color w:val="auto"/>
        </w:rPr>
        <w:t>Incremental Loan</w:t>
      </w:r>
      <w:r>
        <w:rPr>
          <w:rFonts w:ascii="Arial" w:cs="Arial" w:eastAsia="Arial" w:hAnsi="Arial"/>
          <w:sz w:val="20"/>
          <w:szCs w:val="20"/>
          <w:color w:val="auto"/>
        </w:rPr>
        <w:t>”), (b) to use the proceeds of the Incremental Loan for general corporate purposes, including working capital, capital expenditures, permitted acquisitions and other lawful corporate purposes permitted by this Agreement and (c) to amend the Existing Term Loan Agreement to provide for the Incremental Loan and to effect the other modifications to the Existing Term Loan Agreement set forth herein; and</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parties hereto have agreed to amend and restate the Existing Term Loan Agreement pursuant to this Agreement; and</w:t>
      </w:r>
    </w:p>
    <w:p>
      <w:pPr>
        <w:spacing w:after="0" w:line="21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WHEREAS, the parties hereto intend that this Agreement and the documents executed in connection herewith not effect a novation of the obligations of the Borrower under the Existing Term Loan Agreement, but merely a restatement of and, where applicable, an amendment to the terms governing such obligations;</w:t>
      </w:r>
    </w:p>
    <w:p>
      <w:pPr>
        <w:spacing w:after="0" w:line="15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NOW, THEREFORE, for good and valuable consideration, the receipt and sufficiency of which are acknowledged hereby, the parties hereto agree as follows:</w:t>
      </w:r>
    </w:p>
    <w:p>
      <w:pPr>
        <w:spacing w:after="0" w:line="150" w:lineRule="exact"/>
        <w:rPr>
          <w:sz w:val="20"/>
          <w:szCs w:val="20"/>
          <w:color w:val="auto"/>
        </w:rPr>
      </w:pPr>
    </w:p>
    <w:tbl>
      <w:tblPr>
        <w:tblLayout w:type="fixed"/>
        <w:tblInd w:w="660" w:type="dxa"/>
        <w:tblCellMar>
          <w:top w:w="0" w:type="dxa"/>
          <w:left w:w="0" w:type="dxa"/>
          <w:bottom w:w="0" w:type="dxa"/>
          <w:right w:w="0" w:type="dxa"/>
        </w:tblCellMar>
      </w:tblPr>
      <w:tr>
        <w:trPr>
          <w:trHeight w:val="250"/>
        </w:trPr>
        <w:tc>
          <w:tcPr>
            <w:tcW w:w="2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480" w:type="dxa"/>
            <w:vAlign w:val="bottom"/>
          </w:tcPr>
          <w:p>
            <w:pPr>
              <w:jc w:val="center"/>
              <w:spacing w:after="0"/>
              <w:rPr>
                <w:sz w:val="20"/>
                <w:szCs w:val="20"/>
                <w:color w:val="auto"/>
              </w:rPr>
            </w:pPr>
            <w:r>
              <w:rPr>
                <w:rFonts w:ascii="Arial" w:cs="Arial" w:eastAsia="Arial" w:hAnsi="Arial"/>
                <w:sz w:val="20"/>
                <w:szCs w:val="20"/>
                <w:color w:val="auto"/>
                <w:w w:val="95"/>
              </w:rPr>
              <w:t>ARTICLE 1.</w:t>
            </w:r>
          </w:p>
        </w:tc>
      </w:tr>
      <w:tr>
        <w:trPr>
          <w:trHeight w:val="459"/>
        </w:trPr>
        <w:tc>
          <w:tcPr>
            <w:tcW w:w="2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80" w:type="dxa"/>
            <w:vAlign w:val="bottom"/>
          </w:tcPr>
          <w:p>
            <w:pPr>
              <w:jc w:val="center"/>
              <w:spacing w:after="0"/>
              <w:rPr>
                <w:sz w:val="20"/>
                <w:szCs w:val="20"/>
                <w:color w:val="auto"/>
              </w:rPr>
            </w:pPr>
            <w:r>
              <w:rPr>
                <w:rFonts w:ascii="Arial" w:cs="Arial" w:eastAsia="Arial" w:hAnsi="Arial"/>
                <w:sz w:val="20"/>
                <w:szCs w:val="20"/>
                <w:color w:val="auto"/>
                <w:w w:val="95"/>
              </w:rPr>
              <w:t>DEFINITIONS AND INTERPRETATION</w:t>
            </w:r>
          </w:p>
        </w:tc>
      </w:tr>
      <w:tr>
        <w:trPr>
          <w:trHeight w:val="428"/>
        </w:trPr>
        <w:tc>
          <w:tcPr>
            <w:tcW w:w="2100" w:type="dxa"/>
            <w:vAlign w:val="bottom"/>
          </w:tcPr>
          <w:p>
            <w:pPr>
              <w:spacing w:after="0"/>
              <w:rPr>
                <w:sz w:val="20"/>
                <w:szCs w:val="20"/>
                <w:color w:val="auto"/>
              </w:rPr>
            </w:pPr>
            <w:r>
              <w:rPr>
                <w:rFonts w:ascii="Arial" w:cs="Arial" w:eastAsia="Arial" w:hAnsi="Arial"/>
                <w:sz w:val="18"/>
                <w:szCs w:val="18"/>
                <w:color w:val="auto"/>
              </w:rPr>
              <w:t>Section 1.3</w:t>
            </w:r>
          </w:p>
        </w:tc>
        <w:tc>
          <w:tcPr>
            <w:tcW w:w="4660" w:type="dxa"/>
            <w:vAlign w:val="bottom"/>
            <w:gridSpan w:val="2"/>
          </w:tcPr>
          <w:p>
            <w:pPr>
              <w:spacing w:after="0"/>
              <w:rPr>
                <w:sz w:val="20"/>
                <w:szCs w:val="20"/>
                <w:color w:val="auto"/>
              </w:rPr>
            </w:pPr>
            <w:r>
              <w:rPr>
                <w:rFonts w:ascii="Arial" w:cs="Arial" w:eastAsia="Arial" w:hAnsi="Arial"/>
                <w:sz w:val="20"/>
                <w:szCs w:val="20"/>
                <w:color w:val="auto"/>
              </w:rPr>
              <w:t>Defined Terms</w:t>
            </w:r>
          </w:p>
        </w:tc>
      </w:tr>
      <w:tr>
        <w:trPr>
          <w:trHeight w:val="20"/>
        </w:trPr>
        <w:tc>
          <w:tcPr>
            <w:tcW w:w="21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r>
    </w:tbl>
    <w:p>
      <w:pPr>
        <w:spacing w:after="0" w:line="2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As used in this Agreement, the following terms have the meanings specified below:</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Accountants</w:t>
      </w:r>
      <w:r>
        <w:rPr>
          <w:rFonts w:ascii="Arial" w:cs="Arial" w:eastAsia="Arial" w:hAnsi="Arial"/>
          <w:sz w:val="18"/>
          <w:szCs w:val="18"/>
          <w:color w:val="auto"/>
        </w:rPr>
        <w:t>” means PricewaterhouseCoopers, L.L.P. or another registered public accounting firm of recognized national standing.</w:t>
      </w:r>
    </w:p>
    <w:p>
      <w:pPr>
        <w:spacing w:after="0" w:line="21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Adjusted LIBO Rate</w:t>
      </w:r>
      <w:r>
        <w:rPr>
          <w:rFonts w:ascii="Arial" w:cs="Arial" w:eastAsia="Arial" w:hAnsi="Arial"/>
          <w:sz w:val="20"/>
          <w:szCs w:val="20"/>
          <w:color w:val="auto"/>
        </w:rPr>
        <w:t xml:space="preserve">” means, for any Interest Period, an interest rate </w:t>
      </w:r>
      <w:r>
        <w:rPr>
          <w:rFonts w:ascii="Arial" w:cs="Arial" w:eastAsia="Arial" w:hAnsi="Arial"/>
          <w:sz w:val="20"/>
          <w:szCs w:val="20"/>
          <w:u w:val="single" w:color="auto"/>
          <w:color w:val="auto"/>
        </w:rPr>
        <w:t>per annum</w:t>
      </w:r>
      <w:r>
        <w:rPr>
          <w:rFonts w:ascii="Arial" w:cs="Arial" w:eastAsia="Arial" w:hAnsi="Arial"/>
          <w:sz w:val="20"/>
          <w:szCs w:val="20"/>
          <w:color w:val="auto"/>
        </w:rPr>
        <w:t xml:space="preserve"> (rounded upwards, if necessary, to the next 1/100 of 1%) equal to (a) the LIBO Rate for such Interest Period </w:t>
      </w:r>
      <w:r>
        <w:rPr>
          <w:rFonts w:ascii="Arial" w:cs="Arial" w:eastAsia="Arial" w:hAnsi="Arial"/>
          <w:sz w:val="20"/>
          <w:szCs w:val="20"/>
          <w:u w:val="single" w:color="auto"/>
          <w:color w:val="auto"/>
        </w:rPr>
        <w:t>multiplied by</w:t>
      </w:r>
      <w:r>
        <w:rPr>
          <w:rFonts w:ascii="Arial" w:cs="Arial" w:eastAsia="Arial" w:hAnsi="Arial"/>
          <w:sz w:val="20"/>
          <w:szCs w:val="20"/>
          <w:color w:val="auto"/>
        </w:rPr>
        <w:t xml:space="preserve"> (b) the Statutory Reserve Rate.</w:t>
      </w:r>
    </w:p>
    <w:p>
      <w:pPr>
        <w:spacing w:after="0" w:line="150"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Agent</w:t>
      </w:r>
      <w:r>
        <w:rPr>
          <w:rFonts w:ascii="Arial" w:cs="Arial" w:eastAsia="Arial" w:hAnsi="Arial"/>
          <w:sz w:val="20"/>
          <w:szCs w:val="20"/>
          <w:color w:val="auto"/>
        </w:rPr>
        <w:t>” means JPMorgan Chase Bank, N.A. (together with its branches and Affiliates), in its capacity as administrative agent for the Lenders hereunder, and any successor in such capacity.</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Questionnaire</w:t>
      </w:r>
      <w:r>
        <w:rPr>
          <w:rFonts w:ascii="Arial" w:cs="Arial" w:eastAsia="Arial" w:hAnsi="Arial"/>
          <w:sz w:val="20"/>
          <w:szCs w:val="20"/>
          <w:color w:val="auto"/>
        </w:rPr>
        <w:t>” means an administrative questionnaire in a form supplied by the Administrative Agent.</w:t>
      </w:r>
    </w:p>
    <w:p>
      <w:pPr>
        <w:spacing w:after="0" w:line="189"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Affiliate</w:t>
      </w:r>
      <w:r>
        <w:rPr>
          <w:rFonts w:ascii="Arial" w:cs="Arial" w:eastAsia="Arial" w:hAnsi="Arial"/>
          <w:sz w:val="20"/>
          <w:szCs w:val="20"/>
          <w:color w:val="auto"/>
        </w:rPr>
        <w:t>” means, with respect to a specified Person, another Person that directly, or indirectly through one or more intermediaries, Controls or is Controlled by or is under common Control with the Person specified.</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Agreement</w:t>
      </w:r>
      <w:r>
        <w:rPr>
          <w:rFonts w:ascii="Arial" w:cs="Arial" w:eastAsia="Arial" w:hAnsi="Arial"/>
          <w:sz w:val="20"/>
          <w:szCs w:val="20"/>
          <w:color w:val="auto"/>
        </w:rPr>
        <w:t>” has the meaning assigned to such term in the Preamble hereto.</w:t>
      </w:r>
    </w:p>
    <w:p>
      <w:pPr>
        <w:sectPr>
          <w:pgSz w:w="11900" w:h="16838" w:orient="portrait"/>
          <w:cols w:equalWidth="0" w:num="1">
            <w:col w:w="11420"/>
          </w:cols>
          <w:pgMar w:left="240" w:top="337" w:right="239" w:bottom="1440" w:gutter="0" w:footer="0" w:header="0"/>
        </w:sectPr>
      </w:pPr>
    </w:p>
    <w:bookmarkStart w:id="56" w:name="page57"/>
    <w:bookmarkEnd w:id="56"/>
    <w:p>
      <w:pPr>
        <w:ind w:left="10720"/>
        <w:spacing w:after="0"/>
        <w:rPr>
          <w:sz w:val="20"/>
          <w:szCs w:val="20"/>
          <w:color w:val="auto"/>
        </w:rPr>
      </w:pPr>
      <w:r>
        <w:rPr>
          <w:rFonts w:ascii="Arial" w:cs="Arial" w:eastAsia="Arial" w:hAnsi="Arial"/>
          <w:sz w:val="16"/>
          <w:szCs w:val="16"/>
          <w:b w:val="1"/>
          <w:bCs w:val="1"/>
          <w:color w:val="auto"/>
        </w:rPr>
        <w:t>Exhibit 4</w:t>
      </w:r>
    </w:p>
    <w:p>
      <w:pPr>
        <w:spacing w:after="0" w:line="27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Alternate Base Rate</w:t>
      </w:r>
      <w:r>
        <w:rPr>
          <w:rFonts w:ascii="Arial" w:cs="Arial" w:eastAsia="Arial" w:hAnsi="Arial"/>
          <w:sz w:val="19"/>
          <w:szCs w:val="19"/>
          <w:color w:val="auto"/>
        </w:rPr>
        <w:t xml:space="preserve">” means, for any day, a rate </w:t>
      </w:r>
      <w:r>
        <w:rPr>
          <w:rFonts w:ascii="Arial" w:cs="Arial" w:eastAsia="Arial" w:hAnsi="Arial"/>
          <w:sz w:val="19"/>
          <w:szCs w:val="19"/>
          <w:u w:val="single" w:color="auto"/>
          <w:color w:val="auto"/>
        </w:rPr>
        <w:t>per annum</w:t>
      </w:r>
      <w:r>
        <w:rPr>
          <w:rFonts w:ascii="Arial" w:cs="Arial" w:eastAsia="Arial" w:hAnsi="Arial"/>
          <w:sz w:val="19"/>
          <w:szCs w:val="19"/>
          <w:color w:val="auto"/>
        </w:rPr>
        <w:t xml:space="preserve"> equal to the greatest of (a) the Prime Rate in effect on such day, (b) the NYFRB Rate in effect on such day plus 1/2 of 1%, and (c) the Adjusted LIBO Rate for a one month Interest Period on such day (or if such day is not a Business Day, the immediately preceding Business Day) plus 1% </w:t>
      </w:r>
      <w:r>
        <w:rPr>
          <w:rFonts w:ascii="Arial" w:cs="Arial" w:eastAsia="Arial" w:hAnsi="Arial"/>
          <w:sz w:val="19"/>
          <w:szCs w:val="19"/>
          <w:u w:val="single" w:color="auto"/>
          <w:color w:val="auto"/>
        </w:rPr>
        <w:t>per annum</w:t>
      </w:r>
      <w:r>
        <w:rPr>
          <w:rFonts w:ascii="Arial" w:cs="Arial" w:eastAsia="Arial" w:hAnsi="Arial"/>
          <w:sz w:val="19"/>
          <w:szCs w:val="19"/>
          <w:color w:val="auto"/>
        </w:rPr>
        <w:t xml:space="preserve"> (provided that, for the avoidance of doubt, the Adjusted LIBO Rate for any day shall be based on the LIBOR Screen Rate (or if the LIBOR Screen Rate is not available for such one month Interest Period, the Interpolated Rate) at approximately 11:00 a.m. London time on such day). Any change in the Alternate Base Rate due to a change in the Prime Rate, the NYFRB Rate or the Adjusted LIBO Rate shall be effective from and including the effective date of such change in the Prime Rate, the NYFRB Rate or the Adjusted LIBO Rate, respectively. If the Alternate Base Rate is being used as an alternate rate of interest pursuant to </w:t>
      </w:r>
      <w:r>
        <w:rPr>
          <w:rFonts w:ascii="Arial" w:cs="Arial" w:eastAsia="Arial" w:hAnsi="Arial"/>
          <w:sz w:val="19"/>
          <w:szCs w:val="19"/>
          <w:u w:val="single" w:color="auto"/>
          <w:color w:val="auto"/>
        </w:rPr>
        <w:t>Section 3.2</w:t>
      </w:r>
      <w:r>
        <w:rPr>
          <w:rFonts w:ascii="Arial" w:cs="Arial" w:eastAsia="Arial" w:hAnsi="Arial"/>
          <w:sz w:val="19"/>
          <w:szCs w:val="19"/>
          <w:color w:val="auto"/>
        </w:rPr>
        <w:t>, then the Alternate Base Rate shall be the greater of clause (a) and (b) above and shall be determined without reference to clause (c) above. For the avoidance of doubt, if the Alternate Base Rate shall be less than zero, such rate shall be deemed to be zero for purposes of this Agreement.</w:t>
      </w:r>
    </w:p>
    <w:p>
      <w:pPr>
        <w:spacing w:after="0" w:line="15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Anti-Corruption Laws</w:t>
      </w:r>
      <w:r>
        <w:rPr>
          <w:rFonts w:ascii="Arial" w:cs="Arial" w:eastAsia="Arial" w:hAnsi="Arial"/>
          <w:sz w:val="20"/>
          <w:szCs w:val="20"/>
          <w:color w:val="auto"/>
        </w:rPr>
        <w:t>” means all laws, rules, and regulations of any jurisdiction applicable to the Borrower or any of its Subsidiaries from time to time concerning or relating to bribery or corruption.</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Anti-Terrorism Laws</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4.12</w:t>
      </w:r>
      <w:r>
        <w:rPr>
          <w:rFonts w:ascii="Arial" w:cs="Arial" w:eastAsia="Arial" w:hAnsi="Arial"/>
          <w:sz w:val="20"/>
          <w:szCs w:val="20"/>
          <w:color w:val="auto"/>
        </w:rPr>
        <w:t>.</w:t>
      </w:r>
    </w:p>
    <w:p>
      <w:pPr>
        <w:spacing w:after="0" w:line="18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Applicable Percentage</w:t>
      </w:r>
      <w:r>
        <w:rPr>
          <w:rFonts w:ascii="Arial" w:cs="Arial" w:eastAsia="Arial" w:hAnsi="Arial"/>
          <w:sz w:val="19"/>
          <w:szCs w:val="19"/>
          <w:color w:val="auto"/>
        </w:rPr>
        <w:t>” means, with respect to any Lender, (a) prior to the making of the Incremental Loan, the percentage of the total Commitments and Existing Loans represented by such Lender’s Commitment and Existing Loans and (b) thereafter, the percentage of the aggregate principal amount of the Loans represented by the principal amount of such Lender’s Loan.</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Approved Electronic Platform</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9.3(a)</w:t>
      </w:r>
      <w:r>
        <w:rPr>
          <w:rFonts w:ascii="Arial" w:cs="Arial" w:eastAsia="Arial" w:hAnsi="Arial"/>
          <w:sz w:val="20"/>
          <w:szCs w:val="20"/>
          <w:color w:val="auto"/>
        </w:rPr>
        <w:t>.</w:t>
      </w:r>
    </w:p>
    <w:p>
      <w:pPr>
        <w:spacing w:after="0" w:line="189"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means, with respect to any Lender that is a fund that invests in commercial loans, any other fund that invests in commercial loans and is managed or advised by the same investment advisor as such Lender or by an Affiliate of such investment advisor.</w:t>
      </w:r>
    </w:p>
    <w:p>
      <w:pPr>
        <w:spacing w:after="0" w:line="10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Assignment and Assumption</w:t>
      </w:r>
      <w:r>
        <w:rPr>
          <w:rFonts w:ascii="Arial" w:cs="Arial" w:eastAsia="Arial" w:hAnsi="Arial"/>
          <w:sz w:val="20"/>
          <w:szCs w:val="20"/>
          <w:color w:val="auto"/>
        </w:rPr>
        <w:t xml:space="preserve">” means an assignment and assumption agreement entered into by a Lender and an Eligible Assignee (with the consent of any party whose consent is required by </w:t>
      </w:r>
      <w:r>
        <w:rPr>
          <w:rFonts w:ascii="Arial" w:cs="Arial" w:eastAsia="Arial" w:hAnsi="Arial"/>
          <w:sz w:val="20"/>
          <w:szCs w:val="20"/>
          <w:u w:val="single" w:color="auto"/>
          <w:color w:val="auto"/>
        </w:rPr>
        <w:t>Section 10.4</w:t>
      </w:r>
      <w:r>
        <w:rPr>
          <w:rFonts w:ascii="Arial" w:cs="Arial" w:eastAsia="Arial" w:hAnsi="Arial"/>
          <w:sz w:val="20"/>
          <w:szCs w:val="20"/>
          <w:color w:val="auto"/>
        </w:rPr>
        <w:t xml:space="preserve">), and accepted by the Administrative Agent, substantially in the form of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or in such other form as shall be acceptable to the Administrative Agent.</w:t>
      </w:r>
    </w:p>
    <w:p>
      <w:pPr>
        <w:spacing w:after="0" w:line="15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Bail-In Action</w:t>
      </w:r>
      <w:r>
        <w:rPr>
          <w:rFonts w:ascii="Arial" w:cs="Arial" w:eastAsia="Arial" w:hAnsi="Arial"/>
          <w:sz w:val="20"/>
          <w:szCs w:val="20"/>
          <w:color w:val="auto"/>
        </w:rPr>
        <w:t>” means the exercise of any Write-Down and Conversion Powers by the applicable EEA Resolution Authority in respect of any liability of an EEA Financial Institution.</w:t>
      </w:r>
    </w:p>
    <w:p>
      <w:pPr>
        <w:spacing w:after="0" w:line="15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Bail-In Legislation</w:t>
      </w:r>
      <w:r>
        <w:rPr>
          <w:rFonts w:ascii="Arial" w:cs="Arial" w:eastAsia="Arial" w:hAnsi="Arial"/>
          <w:sz w:val="20"/>
          <w:szCs w:val="20"/>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5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Bankruptcy Event</w:t>
      </w:r>
      <w:r>
        <w:rPr>
          <w:rFonts w:ascii="Arial" w:cs="Arial" w:eastAsia="Arial" w:hAnsi="Arial"/>
          <w:sz w:val="19"/>
          <w:szCs w:val="19"/>
          <w:color w:val="auto"/>
        </w:rPr>
        <w:t xml:space="preserve">” means, with respect to any Person, such Person becomes the subject of a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Bankruptcy Event shall not result solely by virtue of any ownership interest, or the acquisition of any ownership interest, in such Person by a Governmental Authority or instrumentality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such ownership interest does not result in or provide such Person with immunity from the jurisdiction of courts within the United States or from the enforcement of judgments or writs of attachment on its assets or permit such Person (or such Governmental Authority or instrumentality) to reject, repudiate, disavow or disaffirm any contracts or agreements made by such Person.</w:t>
      </w:r>
    </w:p>
    <w:p>
      <w:pPr>
        <w:spacing w:after="0" w:line="15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Beneficial Ownership Certification</w:t>
      </w:r>
      <w:r>
        <w:rPr>
          <w:rFonts w:ascii="Arial" w:cs="Arial" w:eastAsia="Arial" w:hAnsi="Arial"/>
          <w:sz w:val="20"/>
          <w:szCs w:val="20"/>
          <w:color w:val="auto"/>
        </w:rPr>
        <w:t>” means a certification regarding beneficial ownership or control as required by the Beneficial Ownership Regulation.</w:t>
      </w:r>
    </w:p>
    <w:p>
      <w:pPr>
        <w:sectPr>
          <w:pgSz w:w="11900" w:h="16838" w:orient="portrait"/>
          <w:cols w:equalWidth="0" w:num="1">
            <w:col w:w="11420"/>
          </w:cols>
          <w:pgMar w:left="240" w:top="337"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4</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Beneficial Ownership Regulation</w:t>
      </w:r>
      <w:r>
        <w:rPr>
          <w:rFonts w:ascii="Arial" w:cs="Arial" w:eastAsia="Arial" w:hAnsi="Arial"/>
          <w:sz w:val="20"/>
          <w:szCs w:val="20"/>
          <w:color w:val="auto"/>
        </w:rPr>
        <w:t>” means 31 C.F.R. § 1010.230.</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Benefit Plan</w:t>
      </w:r>
      <w:r>
        <w:rPr>
          <w:rFonts w:ascii="Arial" w:cs="Arial" w:eastAsia="Arial" w:hAnsi="Arial"/>
          <w:sz w:val="18"/>
          <w:szCs w:val="18"/>
          <w:color w:val="auto"/>
        </w:rPr>
        <w:t>” means any of (a) an “employee benefit plan” (as defined in Section 3(3) of ERISA) that is subject to Title I of ERISA,</w:t>
      </w:r>
    </w:p>
    <w:p>
      <w:pPr>
        <w:spacing w:after="0" w:line="39" w:lineRule="exact"/>
        <w:rPr>
          <w:sz w:val="20"/>
          <w:szCs w:val="20"/>
          <w:color w:val="auto"/>
        </w:rPr>
      </w:pPr>
    </w:p>
    <w:p>
      <w:pPr>
        <w:jc w:val="both"/>
        <w:ind w:firstLine="8"/>
        <w:spacing w:after="0" w:line="241" w:lineRule="auto"/>
        <w:tabs>
          <w:tab w:leader="none" w:pos="293" w:val="left"/>
        </w:tabs>
        <w:numPr>
          <w:ilvl w:val="0"/>
          <w:numId w:val="17"/>
        </w:numPr>
        <w:rPr>
          <w:rFonts w:ascii="Arial" w:cs="Arial" w:eastAsia="Arial" w:hAnsi="Arial"/>
          <w:sz w:val="20"/>
          <w:szCs w:val="20"/>
          <w:color w:val="auto"/>
        </w:rPr>
      </w:pPr>
      <w:r>
        <w:rPr>
          <w:rFonts w:ascii="Arial" w:cs="Arial" w:eastAsia="Arial" w:hAnsi="Arial"/>
          <w:sz w:val="20"/>
          <w:szCs w:val="20"/>
          <w:color w:val="auto"/>
        </w:rPr>
        <w:t>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w:t>
      </w:r>
    </w:p>
    <w:p>
      <w:pPr>
        <w:spacing w:after="0" w:line="38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Board</w:t>
      </w:r>
      <w:r>
        <w:rPr>
          <w:rFonts w:ascii="Arial" w:cs="Arial" w:eastAsia="Arial" w:hAnsi="Arial"/>
          <w:sz w:val="20"/>
          <w:szCs w:val="20"/>
          <w:color w:val="auto"/>
        </w:rPr>
        <w:t>” means the Board of Governors of the Federal Reserve System of the United States of America.</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Borrower</w:t>
      </w:r>
      <w:r>
        <w:rPr>
          <w:rFonts w:ascii="Arial" w:cs="Arial" w:eastAsia="Arial" w:hAnsi="Arial"/>
          <w:sz w:val="20"/>
          <w:szCs w:val="20"/>
          <w:color w:val="auto"/>
        </w:rPr>
        <w:t>” means ALLETE, Inc., a Minnesota corporation.</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Borrower Financial Statements</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4.4(a)</w:t>
      </w:r>
      <w:r>
        <w:rPr>
          <w:rFonts w:ascii="Arial" w:cs="Arial" w:eastAsia="Arial" w:hAnsi="Arial"/>
          <w:sz w:val="20"/>
          <w:szCs w:val="20"/>
          <w:color w:val="auto"/>
        </w:rPr>
        <w:t>.</w:t>
      </w:r>
    </w:p>
    <w:p>
      <w:pPr>
        <w:spacing w:after="0" w:line="18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Business Day</w:t>
      </w:r>
      <w:r>
        <w:rPr>
          <w:rFonts w:ascii="Arial" w:cs="Arial" w:eastAsia="Arial" w:hAnsi="Arial"/>
          <w:sz w:val="20"/>
          <w:szCs w:val="20"/>
          <w:color w:val="auto"/>
        </w:rPr>
        <w:t xml:space="preserve">” means any day that is not a Saturday, Sunday or other day on which commercial banks in New York City are authorized or required by law to remain closed,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when used in connection with borrowing or continuing, or paying principal of or interest on, or determining the interest rate for, the Loans, the term “Business Day” shall also exclude any day on which banks are not open for dealings in dollar deposits in the London interbank market.</w:t>
      </w:r>
    </w:p>
    <w:p>
      <w:pPr>
        <w:spacing w:after="0" w:line="16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Capital Lease Obligations</w:t>
      </w:r>
      <w:r>
        <w:rPr>
          <w:rFonts w:ascii="Arial" w:cs="Arial" w:eastAsia="Arial" w:hAnsi="Arial"/>
          <w:sz w:val="19"/>
          <w:szCs w:val="19"/>
          <w:color w:val="auto"/>
        </w:rPr>
        <w:t>” means with respect to any Person, obligations of such Person to pay rent or other amounts under any lease (or other arrangement conveying the right to use) real or personal property, or a combination thereof, which obligations are required to be classified and accounted for as capital lease obligations or finance lease obligations on a balance sheet of such Person under GAAP, and the amount of such obligations shall be the capitalized amount thereof determined in accordance with GAAP, provided that no power purchase agreement or operating lease shall constitute a Capital Lease Obligation.</w:t>
      </w:r>
    </w:p>
    <w:p>
      <w:pPr>
        <w:spacing w:after="0" w:line="15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in Control</w:t>
      </w:r>
      <w:r>
        <w:rPr>
          <w:rFonts w:ascii="Arial" w:cs="Arial" w:eastAsia="Arial" w:hAnsi="Arial"/>
          <w:sz w:val="19"/>
          <w:szCs w:val="19"/>
          <w:color w:val="auto"/>
        </w:rPr>
        <w:t>” means the occurrence of any of the following: (a) the consummation of any transaction the result of which is that any “person” or “group” (within the meaning of Section 13(d)(3) of the Securities Exchange Act of 1934 but excluding any employee benefit plan of the Borrower or its Subsidiaries, and any Person acting in its capacity as trustee, agent or other fiduciary or administrator of any such plan) becomes the “beneficial owner” (as such term is defined in Rule 13d-3 under the Securities Exchange Act of 1934) of more than 30% of the total voting power in the aggregate of all classes of the Voting Securities of the Borrower then outstanding, (b) during any period of two consecutive calendar years, individuals who at the beginning of such period constituted the board of directors of the Borrower cease for any reason to constitute a majority of the directors of the Borrower then in office unless (i) such new directors were elected or nominated by a majority of the directors of the Borrower who constituted the board of directors of the Borrower at the beginning of such period or (ii) the reason for such directors failing to constitute a majority is a result of retirement by directors due to age, death or disability or (c) any event or condition relating to a change of control of the Borrower shall occur which requires or permits the holder or holders of indebtedness of the Borrower in an aggregate principal amount of $35,000,000 or more, or any agent or trustee for such holders, to require payment, purchase, redemption or defeasance of such indebtedness prior to its expressed maturity.</w:t>
      </w:r>
    </w:p>
    <w:p>
      <w:pPr>
        <w:spacing w:after="0" w:line="15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Law</w:t>
      </w:r>
      <w:r>
        <w:rPr>
          <w:rFonts w:ascii="Arial" w:cs="Arial" w:eastAsia="Arial" w:hAnsi="Arial"/>
          <w:sz w:val="18"/>
          <w:szCs w:val="18"/>
          <w:color w:val="auto"/>
        </w:rPr>
        <w:t xml:space="preserve">”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requirement or directive (whether or not having the force of law) by any Governmental Authority;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anything herein to the contrary, (i) the Dodd-Frank Wall Street Reform and Consumer Protection Act and all requests, rules, guidelines, requirements or directives thereunder or issued in connection therewith or in implementation thereof and (ii) all requests, rules, guidelines, requirements or directives promulgated by the Bank for International Settlements, the Basel Committee on Banking Supervision (or any successor or similar authority) or any United States or foreign regulatory authority, in each case pursuant to Basel III, shall, in each case referred to in the foregoing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be deemed to be a “Change in Law,” regardless of the date enacted, adopted, promulgated, implemented or issued.</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Charges</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10.12</w:t>
      </w:r>
      <w:r>
        <w:rPr>
          <w:rFonts w:ascii="Arial" w:cs="Arial" w:eastAsia="Arial" w:hAnsi="Arial"/>
          <w:sz w:val="20"/>
          <w:szCs w:val="20"/>
          <w:color w:val="auto"/>
        </w:rPr>
        <w:t>.</w:t>
      </w:r>
    </w:p>
    <w:p>
      <w:pPr>
        <w:sectPr>
          <w:pgSz w:w="11900" w:h="16838" w:orient="portrait"/>
          <w:cols w:equalWidth="0" w:num="1">
            <w:col w:w="11420"/>
          </w:cols>
          <w:pgMar w:left="240" w:top="337"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4</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CoBank</w:t>
      </w:r>
      <w:r>
        <w:rPr>
          <w:rFonts w:ascii="Arial" w:cs="Arial" w:eastAsia="Arial" w:hAnsi="Arial"/>
          <w:sz w:val="20"/>
          <w:szCs w:val="20"/>
          <w:color w:val="auto"/>
        </w:rPr>
        <w:t>” means CoBank ACB.</w:t>
      </w:r>
    </w:p>
    <w:p>
      <w:pPr>
        <w:spacing w:after="0" w:line="189"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CoBank Equities</w:t>
      </w:r>
      <w:r>
        <w:rPr>
          <w:rFonts w:ascii="Arial" w:cs="Arial" w:eastAsia="Arial" w:hAnsi="Arial"/>
          <w:sz w:val="20"/>
          <w:szCs w:val="20"/>
          <w:color w:val="auto"/>
        </w:rPr>
        <w:t>” means all of the Borrower’s cash patronage, stock and other equities in CoBank acquired in connection with its patronage loan from CoBank (or its Affiliate).</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Code</w:t>
      </w:r>
      <w:r>
        <w:rPr>
          <w:rFonts w:ascii="Arial" w:cs="Arial" w:eastAsia="Arial" w:hAnsi="Arial"/>
          <w:sz w:val="20"/>
          <w:szCs w:val="20"/>
          <w:color w:val="auto"/>
        </w:rPr>
        <w:t>” means the Internal Revenue Code of 1986.</w:t>
      </w:r>
    </w:p>
    <w:p>
      <w:pPr>
        <w:spacing w:after="0" w:line="18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Commitment</w:t>
      </w:r>
      <w:r>
        <w:rPr>
          <w:rFonts w:ascii="Arial" w:cs="Arial" w:eastAsia="Arial" w:hAnsi="Arial"/>
          <w:sz w:val="20"/>
          <w:szCs w:val="20"/>
          <w:color w:val="auto"/>
        </w:rPr>
        <w:t xml:space="preserve">” means, with respect to each Lender, the commitment of such Lender to make its Incremental Loan on the Effective Date in the amount set forth opposite such Lender’s name on </w:t>
      </w:r>
      <w:r>
        <w:rPr>
          <w:rFonts w:ascii="Arial" w:cs="Arial" w:eastAsia="Arial" w:hAnsi="Arial"/>
          <w:sz w:val="20"/>
          <w:szCs w:val="20"/>
          <w:u w:val="single" w:color="auto"/>
          <w:color w:val="auto"/>
        </w:rPr>
        <w:t>Schedule 2.1</w:t>
      </w:r>
      <w:r>
        <w:rPr>
          <w:rFonts w:ascii="Arial" w:cs="Arial" w:eastAsia="Arial" w:hAnsi="Arial"/>
          <w:sz w:val="20"/>
          <w:szCs w:val="20"/>
          <w:color w:val="auto"/>
        </w:rPr>
        <w:t>. The aggregate amount of the Commitments with respect to the Incremental Loan is $100,000,000.</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Communications</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9.3(c)</w:t>
      </w:r>
      <w:r>
        <w:rPr>
          <w:rFonts w:ascii="Arial" w:cs="Arial" w:eastAsia="Arial" w:hAnsi="Arial"/>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Compliance Certificate</w:t>
      </w:r>
      <w:r>
        <w:rPr>
          <w:rFonts w:ascii="Arial" w:cs="Arial" w:eastAsia="Arial" w:hAnsi="Arial"/>
          <w:sz w:val="20"/>
          <w:szCs w:val="20"/>
          <w:color w:val="auto"/>
        </w:rPr>
        <w:t xml:space="preserve">” means a certificate, substantially in the form of </w:t>
      </w:r>
      <w:r>
        <w:rPr>
          <w:rFonts w:ascii="Arial" w:cs="Arial" w:eastAsia="Arial" w:hAnsi="Arial"/>
          <w:sz w:val="20"/>
          <w:szCs w:val="20"/>
          <w:u w:val="single" w:color="auto"/>
          <w:color w:val="auto"/>
        </w:rPr>
        <w:t>Exhibit C</w:t>
      </w:r>
      <w:r>
        <w:rPr>
          <w:rFonts w:ascii="Arial" w:cs="Arial" w:eastAsia="Arial" w:hAnsi="Arial"/>
          <w:sz w:val="20"/>
          <w:szCs w:val="20"/>
          <w:color w:val="auto"/>
        </w:rPr>
        <w:t>.</w:t>
      </w:r>
    </w:p>
    <w:p>
      <w:pPr>
        <w:spacing w:after="0" w:line="18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Assets</w:t>
      </w:r>
      <w:r>
        <w:rPr>
          <w:rFonts w:ascii="Arial" w:cs="Arial" w:eastAsia="Arial" w:hAnsi="Arial"/>
          <w:sz w:val="20"/>
          <w:szCs w:val="20"/>
          <w:color w:val="auto"/>
        </w:rPr>
        <w:t>” means the total amount of assets shown on the consolidated balance sheet of the Borrower and its Subsidiaries, determined in accordance with GAAP and prepared as of the end of the fiscal quarter then most recently ended for which financial statements have been filed with the SEC.</w:t>
      </w:r>
    </w:p>
    <w:p>
      <w:pPr>
        <w:spacing w:after="0" w:line="15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Control</w:t>
      </w:r>
      <w:r>
        <w:rPr>
          <w:rFonts w:ascii="Arial" w:cs="Arial" w:eastAsia="Arial" w:hAnsi="Arial"/>
          <w:sz w:val="20"/>
          <w:szCs w:val="20"/>
          <w:color w:val="auto"/>
        </w:rPr>
        <w:t>” means the possession, directly or indirectly, of the power to direct or cause the direction of the management or policies of a Person, whether through the ability to exercise voting power, by contract or otherwise. The terms “</w:t>
      </w:r>
      <w:r>
        <w:rPr>
          <w:rFonts w:ascii="Arial" w:cs="Arial" w:eastAsia="Arial" w:hAnsi="Arial"/>
          <w:sz w:val="20"/>
          <w:szCs w:val="20"/>
          <w:u w:val="single" w:color="auto"/>
          <w:color w:val="auto"/>
        </w:rPr>
        <w:t>Controlling</w:t>
      </w:r>
      <w:r>
        <w:rPr>
          <w:rFonts w:ascii="Arial" w:cs="Arial" w:eastAsia="Arial" w:hAnsi="Arial"/>
          <w:sz w:val="20"/>
          <w:szCs w:val="20"/>
          <w:color w:val="auto"/>
        </w:rPr>
        <w:t>” and “</w:t>
      </w:r>
      <w:r>
        <w:rPr>
          <w:rFonts w:ascii="Arial" w:cs="Arial" w:eastAsia="Arial" w:hAnsi="Arial"/>
          <w:sz w:val="20"/>
          <w:szCs w:val="20"/>
          <w:u w:val="single" w:color="auto"/>
          <w:color w:val="auto"/>
        </w:rPr>
        <w:t>Controlled</w:t>
      </w:r>
      <w:r>
        <w:rPr>
          <w:rFonts w:ascii="Arial" w:cs="Arial" w:eastAsia="Arial" w:hAnsi="Arial"/>
          <w:sz w:val="20"/>
          <w:szCs w:val="20"/>
          <w:color w:val="auto"/>
        </w:rPr>
        <w:t>” have meanings correlative thereto.</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Covered Entity</w:t>
      </w:r>
      <w:r>
        <w:rPr>
          <w:rFonts w:ascii="Arial" w:cs="Arial" w:eastAsia="Arial" w:hAnsi="Arial"/>
          <w:sz w:val="20"/>
          <w:szCs w:val="20"/>
          <w:color w:val="auto"/>
        </w:rPr>
        <w:t>” means any of the following:</w:t>
      </w:r>
    </w:p>
    <w:p>
      <w:pPr>
        <w:spacing w:after="0" w:line="189" w:lineRule="exact"/>
        <w:rPr>
          <w:sz w:val="20"/>
          <w:szCs w:val="20"/>
          <w:color w:val="auto"/>
        </w:rPr>
      </w:pPr>
    </w:p>
    <w:p>
      <w:pPr>
        <w:ind w:left="1300" w:hanging="644"/>
        <w:spacing w:after="0"/>
        <w:tabs>
          <w:tab w:leader="none" w:pos="1300" w:val="left"/>
        </w:tabs>
        <w:numPr>
          <w:ilvl w:val="0"/>
          <w:numId w:val="18"/>
        </w:numPr>
        <w:rPr>
          <w:rFonts w:ascii="Arial" w:cs="Arial" w:eastAsia="Arial" w:hAnsi="Arial"/>
          <w:sz w:val="20"/>
          <w:szCs w:val="20"/>
          <w:color w:val="auto"/>
        </w:rPr>
      </w:pPr>
      <w:r>
        <w:rPr>
          <w:rFonts w:ascii="Arial" w:cs="Arial" w:eastAsia="Arial" w:hAnsi="Arial"/>
          <w:sz w:val="20"/>
          <w:szCs w:val="20"/>
          <w:color w:val="auto"/>
        </w:rPr>
        <w:t>a “covered entity” as that term is defined in, and interpreted in accordance with, 12 C.F.R. § 252.82(b);</w:t>
      </w:r>
    </w:p>
    <w:p>
      <w:pPr>
        <w:spacing w:after="0" w:line="188" w:lineRule="exact"/>
        <w:rPr>
          <w:rFonts w:ascii="Arial" w:cs="Arial" w:eastAsia="Arial" w:hAnsi="Arial"/>
          <w:sz w:val="20"/>
          <w:szCs w:val="20"/>
          <w:color w:val="auto"/>
        </w:rPr>
      </w:pPr>
    </w:p>
    <w:p>
      <w:pPr>
        <w:ind w:left="1300" w:hanging="644"/>
        <w:spacing w:after="0"/>
        <w:tabs>
          <w:tab w:leader="none" w:pos="1300" w:val="left"/>
        </w:tabs>
        <w:numPr>
          <w:ilvl w:val="0"/>
          <w:numId w:val="18"/>
        </w:numPr>
        <w:rPr>
          <w:rFonts w:ascii="Arial" w:cs="Arial" w:eastAsia="Arial" w:hAnsi="Arial"/>
          <w:sz w:val="20"/>
          <w:szCs w:val="20"/>
          <w:color w:val="auto"/>
        </w:rPr>
      </w:pPr>
      <w:r>
        <w:rPr>
          <w:rFonts w:ascii="Arial" w:cs="Arial" w:eastAsia="Arial" w:hAnsi="Arial"/>
          <w:sz w:val="20"/>
          <w:szCs w:val="20"/>
          <w:color w:val="auto"/>
        </w:rPr>
        <w:t>a “covered bank” as that term is defined in, and interpreted in accordance with, 12 C.F.R. § 47.3(b); or</w:t>
      </w:r>
    </w:p>
    <w:p>
      <w:pPr>
        <w:spacing w:after="0" w:line="188" w:lineRule="exact"/>
        <w:rPr>
          <w:rFonts w:ascii="Arial" w:cs="Arial" w:eastAsia="Arial" w:hAnsi="Arial"/>
          <w:sz w:val="20"/>
          <w:szCs w:val="20"/>
          <w:color w:val="auto"/>
        </w:rPr>
      </w:pPr>
    </w:p>
    <w:p>
      <w:pPr>
        <w:ind w:left="1300" w:hanging="644"/>
        <w:spacing w:after="0"/>
        <w:tabs>
          <w:tab w:leader="none" w:pos="1300" w:val="left"/>
        </w:tabs>
        <w:numPr>
          <w:ilvl w:val="0"/>
          <w:numId w:val="18"/>
        </w:numPr>
        <w:rPr>
          <w:rFonts w:ascii="Arial" w:cs="Arial" w:eastAsia="Arial" w:hAnsi="Arial"/>
          <w:sz w:val="20"/>
          <w:szCs w:val="20"/>
          <w:color w:val="auto"/>
        </w:rPr>
      </w:pPr>
      <w:r>
        <w:rPr>
          <w:rFonts w:ascii="Arial" w:cs="Arial" w:eastAsia="Arial" w:hAnsi="Arial"/>
          <w:sz w:val="20"/>
          <w:szCs w:val="20"/>
          <w:color w:val="auto"/>
        </w:rPr>
        <w:t>a “covered FSI” as that term is defined in, and interpreted in accordance with, 12 C.F.R. § 382.2(b).</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Covered Party</w:t>
      </w:r>
      <w:r>
        <w:rPr>
          <w:rFonts w:ascii="Arial" w:cs="Arial" w:eastAsia="Arial" w:hAnsi="Arial"/>
          <w:sz w:val="20"/>
          <w:szCs w:val="20"/>
          <w:color w:val="auto"/>
        </w:rPr>
        <w:t xml:space="preserve">” has the meaning assigned to it in </w:t>
      </w:r>
      <w:r>
        <w:rPr>
          <w:rFonts w:ascii="Arial" w:cs="Arial" w:eastAsia="Arial" w:hAnsi="Arial"/>
          <w:sz w:val="20"/>
          <w:szCs w:val="20"/>
          <w:u w:val="single" w:color="auto"/>
          <w:color w:val="auto"/>
        </w:rPr>
        <w:t>Section 10.18</w:t>
      </w:r>
      <w:r>
        <w:rPr>
          <w:rFonts w:ascii="Arial" w:cs="Arial" w:eastAsia="Arial" w:hAnsi="Arial"/>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Credit Parties</w:t>
      </w:r>
      <w:r>
        <w:rPr>
          <w:rFonts w:ascii="Arial" w:cs="Arial" w:eastAsia="Arial" w:hAnsi="Arial"/>
          <w:sz w:val="20"/>
          <w:szCs w:val="20"/>
          <w:color w:val="auto"/>
        </w:rPr>
        <w:t>” means the Administrative Agent and the Lenders.</w:t>
      </w:r>
    </w:p>
    <w:p>
      <w:pPr>
        <w:spacing w:after="0" w:line="18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w:t>
      </w:r>
      <w:r>
        <w:rPr>
          <w:rFonts w:ascii="Arial" w:cs="Arial" w:eastAsia="Arial" w:hAnsi="Arial"/>
          <w:sz w:val="20"/>
          <w:szCs w:val="20"/>
          <w:color w:val="auto"/>
        </w:rPr>
        <w:t>” means any event or condition that constitutes an Event of Default or that upon notice, lapse of time or both would, unless cured or waived, become an Event of Default.</w:t>
      </w:r>
    </w:p>
    <w:p>
      <w:pPr>
        <w:spacing w:after="0" w:line="15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Defaulting Lender</w:t>
      </w:r>
      <w:r>
        <w:rPr>
          <w:rFonts w:ascii="Arial" w:cs="Arial" w:eastAsia="Arial" w:hAnsi="Arial"/>
          <w:sz w:val="18"/>
          <w:szCs w:val="18"/>
          <w:color w:val="auto"/>
        </w:rPr>
        <w:t xml:space="preserve">” means any Lender, as determined by the Administrative Agent (or if the Administrative Agent is the Defaulting Lender, by the Required Lenders), that (a) has failed, within three (3) Business Days of the date required to be funded or paid, to (i) fund any portion of its Loans, or (ii) pay over to any Credit Party any other amount required to be paid by it hereunder, unless, in the case of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above, such Lender notifies the Administrative Agent in writing that such failure is the result of such Lender’s good faith determination that a condition precedent to funding (specifically identified and including the particular default, if any) has not been satisfied, (b) has notified the Borrower or any Credit Party in writing, or has made a public statement to the effect, that it does not intend or expect to comply with any of its funding obligations under this Agreement or generally under other agreements in which it commits to extend credit, (c) has failed, within three</w:t>
      </w:r>
    </w:p>
    <w:p>
      <w:pPr>
        <w:spacing w:after="0" w:line="5" w:lineRule="exact"/>
        <w:rPr>
          <w:sz w:val="20"/>
          <w:szCs w:val="20"/>
          <w:color w:val="auto"/>
        </w:rPr>
      </w:pPr>
    </w:p>
    <w:p>
      <w:pPr>
        <w:jc w:val="both"/>
        <w:ind w:firstLine="8"/>
        <w:spacing w:after="0" w:line="266" w:lineRule="auto"/>
        <w:tabs>
          <w:tab w:leader="none" w:pos="284"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Business Days after requested by a Credit Party (based on the reasonable belief that it may not fulfill its funding obligation), acting in good faith, to provide a certification in writing from an authorized officer of such Lender that it will comply with its obligations (and is financially able to meet such obligations) to fund Loans under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Lender shall cease to be a Defaulting Lender pursuant to this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upon such Credit Party’s receipt of such certification in form and substance satisfactory to it and the Administrative Agent, or</w:t>
      </w:r>
    </w:p>
    <w:p>
      <w:pPr>
        <w:spacing w:after="0"/>
        <w:rPr>
          <w:rFonts w:ascii="Arial" w:cs="Arial" w:eastAsia="Arial" w:hAnsi="Arial"/>
          <w:sz w:val="18"/>
          <w:szCs w:val="18"/>
          <w:color w:val="auto"/>
        </w:rPr>
      </w:pPr>
      <w:r>
        <w:rPr>
          <w:rFonts w:ascii="Arial" w:cs="Arial" w:eastAsia="Arial" w:hAnsi="Arial"/>
          <w:sz w:val="20"/>
          <w:szCs w:val="20"/>
          <w:color w:val="auto"/>
        </w:rPr>
        <w:t>(d) has become the subject of (A) a Bankruptcy Event or (B) a Bail-In Action.</w:t>
      </w:r>
    </w:p>
    <w:p>
      <w:pPr>
        <w:spacing w:after="0" w:line="173"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 Right</w:t>
      </w:r>
      <w:r>
        <w:rPr>
          <w:rFonts w:ascii="Arial" w:cs="Arial" w:eastAsia="Arial" w:hAnsi="Arial"/>
          <w:sz w:val="20"/>
          <w:szCs w:val="20"/>
          <w:color w:val="auto"/>
        </w:rPr>
        <w:t>” has the meaning assigned to that term in, and shall be interpreted in accordance with, 12 C.F.R. §§ 252.81, 47.2 or 382.1, as applicable.</w:t>
      </w:r>
    </w:p>
    <w:p>
      <w:pPr>
        <w:sectPr>
          <w:pgSz w:w="11900" w:h="16838" w:orient="portrait"/>
          <w:cols w:equalWidth="0" w:num="1">
            <w:col w:w="11420"/>
          </w:cols>
          <w:pgMar w:left="240" w:top="337" w:right="239" w:bottom="1440" w:gutter="0" w:footer="0" w:header="0"/>
        </w:sectPr>
      </w:pPr>
    </w:p>
    <w:bookmarkStart w:id="59" w:name="page60"/>
    <w:bookmarkEnd w:id="59"/>
    <w:p>
      <w:pPr>
        <w:ind w:left="10720"/>
        <w:spacing w:after="0"/>
        <w:rPr>
          <w:sz w:val="20"/>
          <w:szCs w:val="20"/>
          <w:color w:val="auto"/>
        </w:rPr>
      </w:pPr>
      <w:r>
        <w:rPr>
          <w:rFonts w:ascii="Arial" w:cs="Arial" w:eastAsia="Arial" w:hAnsi="Arial"/>
          <w:sz w:val="16"/>
          <w:szCs w:val="16"/>
          <w:b w:val="1"/>
          <w:bCs w:val="1"/>
          <w:color w:val="auto"/>
        </w:rPr>
        <w:t>Exhibit 4</w:t>
      </w:r>
    </w:p>
    <w:p>
      <w:pPr>
        <w:spacing w:after="0" w:line="27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Disclosed Matters</w:t>
      </w:r>
      <w:r>
        <w:rPr>
          <w:rFonts w:ascii="Arial" w:cs="Arial" w:eastAsia="Arial" w:hAnsi="Arial"/>
          <w:sz w:val="20"/>
          <w:szCs w:val="20"/>
          <w:color w:val="auto"/>
        </w:rPr>
        <w:t xml:space="preserve">” means the actions, suits, proceedings and environmental matters disclosed in (a) </w:t>
      </w:r>
      <w:r>
        <w:rPr>
          <w:rFonts w:ascii="Arial" w:cs="Arial" w:eastAsia="Arial" w:hAnsi="Arial"/>
          <w:sz w:val="20"/>
          <w:szCs w:val="20"/>
          <w:u w:val="single" w:color="auto"/>
          <w:color w:val="auto"/>
        </w:rPr>
        <w:t>Schedule 4.5/4.6</w:t>
      </w:r>
      <w:r>
        <w:rPr>
          <w:rFonts w:ascii="Arial" w:cs="Arial" w:eastAsia="Arial" w:hAnsi="Arial"/>
          <w:sz w:val="20"/>
          <w:szCs w:val="20"/>
          <w:color w:val="auto"/>
        </w:rPr>
        <w:t>, (b) the current and periodic reports filed by the Borrower from time to time with the SEC pursuant to the requirements of the Securities Exchange Act of 1934 and the rules and regulations promulgated thereunder, or (c) disclosed by the Borrower to the Lenders (either directly or indirectly through the Administrative Agent) in writing.</w:t>
      </w:r>
    </w:p>
    <w:p>
      <w:pPr>
        <w:spacing w:after="0" w:line="16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Disqualified Stock</w:t>
      </w:r>
      <w:r>
        <w:rPr>
          <w:rFonts w:ascii="Arial" w:cs="Arial" w:eastAsia="Arial" w:hAnsi="Arial"/>
          <w:sz w:val="19"/>
          <w:szCs w:val="19"/>
          <w:color w:val="auto"/>
        </w:rPr>
        <w:t>” means any Equity Interest that, by its terms (or by the terms of any security into which it is convertible or for which it is exchangeable at the option of the holder thereof), or upon the happening of any event, matures (excluding any maturity as a result of an optional redemption by the issuer thereof) or is mandatorily redeemable, pursuant to a sinking fund obligation or otherwise, or is redeemable at the unconditional sole option of the holder thereof (other than solely for Equity Interests that do not constitute Disqualified Stock), in whole or in part, on or prior to the date that is 180 days after the Maturity Date.</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dollars</w:t>
      </w:r>
      <w:r>
        <w:rPr>
          <w:rFonts w:ascii="Arial" w:cs="Arial" w:eastAsia="Arial" w:hAnsi="Arial"/>
          <w:sz w:val="20"/>
          <w:szCs w:val="20"/>
          <w:color w:val="auto"/>
        </w:rPr>
        <w:t>” or “</w:t>
      </w:r>
      <w:r>
        <w:rPr>
          <w:rFonts w:ascii="Arial" w:cs="Arial" w:eastAsia="Arial" w:hAnsi="Arial"/>
          <w:sz w:val="20"/>
          <w:szCs w:val="20"/>
          <w:u w:val="single" w:color="auto"/>
          <w:color w:val="auto"/>
        </w:rPr>
        <w:t>$</w:t>
      </w:r>
      <w:r>
        <w:rPr>
          <w:rFonts w:ascii="Arial" w:cs="Arial" w:eastAsia="Arial" w:hAnsi="Arial"/>
          <w:sz w:val="20"/>
          <w:szCs w:val="20"/>
          <w:color w:val="auto"/>
        </w:rPr>
        <w:t>” refers to lawful money of the United States of America.</w:t>
      </w:r>
    </w:p>
    <w:p>
      <w:pPr>
        <w:spacing w:after="0" w:line="18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Financial Institution</w:t>
      </w:r>
      <w:r>
        <w:rPr>
          <w:rFonts w:ascii="Arial" w:cs="Arial" w:eastAsia="Arial" w:hAnsi="Arial"/>
          <w:sz w:val="18"/>
          <w:szCs w:val="18"/>
          <w:color w:val="auto"/>
        </w:rPr>
        <w:t xml:space="preserve">” means (a) any institution established in any EEA Member Country which is subject to the supervision of an EEA Resolution Authority, (b) any entity established in an EEA Member Country which is a parent of an institution described in clause (a) of this definition, or (c) any institution established in an EEA Member Country which is a subsidiary of an institution described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or</w:t>
      </w:r>
    </w:p>
    <w:p>
      <w:pPr>
        <w:spacing w:after="0" w:line="1" w:lineRule="exact"/>
        <w:rPr>
          <w:sz w:val="20"/>
          <w:szCs w:val="20"/>
          <w:color w:val="auto"/>
        </w:rPr>
      </w:pPr>
    </w:p>
    <w:p>
      <w:pPr>
        <w:ind w:left="280" w:hanging="272"/>
        <w:spacing w:after="0"/>
        <w:tabs>
          <w:tab w:leader="none" w:pos="280" w:val="left"/>
        </w:tabs>
        <w:numPr>
          <w:ilvl w:val="0"/>
          <w:numId w:val="20"/>
        </w:numPr>
        <w:rPr>
          <w:rFonts w:ascii="Arial" w:cs="Arial" w:eastAsia="Arial" w:hAnsi="Arial"/>
          <w:sz w:val="20"/>
          <w:szCs w:val="20"/>
          <w:u w:val="single" w:color="auto"/>
          <w:color w:val="auto"/>
        </w:rPr>
      </w:pPr>
      <w:r>
        <w:rPr>
          <w:rFonts w:ascii="Arial" w:cs="Arial" w:eastAsia="Arial" w:hAnsi="Arial"/>
          <w:sz w:val="20"/>
          <w:szCs w:val="20"/>
          <w:color w:val="auto"/>
        </w:rPr>
        <w:t>of this definition and is subject to consolidated supervision with its parent.</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EEA Member Country</w:t>
      </w:r>
      <w:r>
        <w:rPr>
          <w:rFonts w:ascii="Arial" w:cs="Arial" w:eastAsia="Arial" w:hAnsi="Arial"/>
          <w:sz w:val="20"/>
          <w:szCs w:val="20"/>
          <w:color w:val="auto"/>
        </w:rPr>
        <w:t>” means any of the member states of the European Union, Iceland, Liechtenstein, and Norway.</w:t>
      </w:r>
    </w:p>
    <w:p>
      <w:pPr>
        <w:spacing w:after="0" w:line="18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EEA Resolution Authority</w:t>
      </w:r>
      <w:r>
        <w:rPr>
          <w:rFonts w:ascii="Arial" w:cs="Arial" w:eastAsia="Arial" w:hAnsi="Arial"/>
          <w:sz w:val="19"/>
          <w:szCs w:val="19"/>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Effective Date</w:t>
      </w:r>
      <w:r>
        <w:rPr>
          <w:rFonts w:ascii="Arial" w:cs="Arial" w:eastAsia="Arial" w:hAnsi="Arial"/>
          <w:sz w:val="20"/>
          <w:szCs w:val="20"/>
          <w:color w:val="auto"/>
        </w:rPr>
        <w:t>” means August 14, 2019.</w:t>
      </w:r>
    </w:p>
    <w:p>
      <w:pPr>
        <w:spacing w:after="0" w:line="18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Electronic Signature</w:t>
      </w:r>
      <w:r>
        <w:rPr>
          <w:rFonts w:ascii="Arial" w:cs="Arial" w:eastAsia="Arial" w:hAnsi="Arial"/>
          <w:sz w:val="20"/>
          <w:szCs w:val="20"/>
          <w:color w:val="auto"/>
        </w:rPr>
        <w:t>” means an electronic sound, symbol, or process attached to, or associated with, a contract or other record and adopted by a Person with the intent to sign, authenticate or accept such contract or record.</w:t>
      </w:r>
    </w:p>
    <w:p>
      <w:pPr>
        <w:spacing w:after="0" w:line="15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Assignees</w:t>
      </w:r>
      <w:r>
        <w:rPr>
          <w:rFonts w:ascii="Arial" w:cs="Arial" w:eastAsia="Arial" w:hAnsi="Arial"/>
          <w:sz w:val="18"/>
          <w:szCs w:val="18"/>
          <w:color w:val="auto"/>
        </w:rPr>
        <w:t xml:space="preserve">” means any of the following (a) any commercial banks, finance companies, insurance companies and other financial institutions and funds (whether a corporation, partnership or other entity) engaged generally in making, purchasing or otherwise investing in commercial loans in the ordinary course of its business,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unless such entity is a Lender or an Affiliate of a Lender, such entity has been approved by the Administrative Agent and, unless an Event of Default has occurred and is continuing at the time of assignment to such entity, the Borrower (each such approval not to be unreasonably withheld or delayed),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any such entity shall be entitled, as of the date such entity becomes a Lender, to receive payments under its Note without deduction or withholding with respect to United States federal income tax, (b) each of the Lenders and (c) any Affiliate or Approved Fund of a Lender, and each is an “Eligible Assignee”;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neither a natural person nor the Borrower or any of the Borrower’s Affiliates shall be an Eligible Assignee.</w:t>
      </w:r>
    </w:p>
    <w:p>
      <w:pPr>
        <w:spacing w:after="0" w:line="14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Environmental Law</w:t>
      </w:r>
      <w:r>
        <w:rPr>
          <w:rFonts w:ascii="Arial" w:cs="Arial" w:eastAsia="Arial" w:hAnsi="Arial"/>
          <w:sz w:val="20"/>
          <w:szCs w:val="20"/>
          <w:color w:val="auto"/>
        </w:rPr>
        <w:t>” means any and all applicable present and future treaties, laws, rules, regulations, codes, ordinances, orders, decrees, judgments, injunctions, notices or binding agreements issued, promulgated or entered into by or with any Governmental Authority, relating in any way to the environment, preservation or reclamation of natural resources, the presence, management, release or threatened release of any Hazardous Material or to health and safety matters.</w:t>
      </w:r>
    </w:p>
    <w:p>
      <w:pPr>
        <w:spacing w:after="0" w:line="165" w:lineRule="exact"/>
        <w:rPr>
          <w:sz w:val="20"/>
          <w:szCs w:val="20"/>
          <w:color w:val="auto"/>
        </w:rPr>
      </w:pPr>
    </w:p>
    <w:p>
      <w:pPr>
        <w:jc w:val="both"/>
        <w:ind w:firstLine="648"/>
        <w:spacing w:after="0" w:line="30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Equity Interest</w:t>
      </w:r>
      <w:r>
        <w:rPr>
          <w:rFonts w:ascii="Arial" w:cs="Arial" w:eastAsia="Arial" w:hAnsi="Arial"/>
          <w:sz w:val="16"/>
          <w:szCs w:val="16"/>
          <w:color w:val="auto"/>
        </w:rPr>
        <w:t>” means (a) shares of corporate stock, partnership interests, limited liability company membership interests, and any other interest that confers on a Person the right to receive a share of the profits and losses of, or distribution of assets of, the issuing Person, and</w:t>
      </w:r>
    </w:p>
    <w:p>
      <w:pPr>
        <w:spacing w:after="0" w:line="1" w:lineRule="exact"/>
        <w:rPr>
          <w:sz w:val="20"/>
          <w:szCs w:val="20"/>
          <w:color w:val="auto"/>
        </w:rPr>
      </w:pPr>
    </w:p>
    <w:p>
      <w:pPr>
        <w:ind w:left="660" w:right="3080" w:hanging="652"/>
        <w:spacing w:after="0" w:line="441" w:lineRule="auto"/>
        <w:tabs>
          <w:tab w:leader="none" w:pos="292" w:val="left"/>
        </w:tabs>
        <w:numPr>
          <w:ilvl w:val="0"/>
          <w:numId w:val="21"/>
        </w:numPr>
        <w:rPr>
          <w:rFonts w:ascii="Arial" w:cs="Arial" w:eastAsia="Arial" w:hAnsi="Arial"/>
          <w:sz w:val="20"/>
          <w:szCs w:val="20"/>
          <w:color w:val="auto"/>
        </w:rPr>
      </w:pPr>
      <w:r>
        <w:rPr>
          <w:rFonts w:ascii="Arial" w:cs="Arial" w:eastAsia="Arial" w:hAnsi="Arial"/>
          <w:sz w:val="20"/>
          <w:szCs w:val="20"/>
          <w:color w:val="auto"/>
        </w:rPr>
        <w:t xml:space="preserve">all warrants, options or other rights to acquire any Equity Interest set forth in the foregoing </w:t>
      </w:r>
      <w:r>
        <w:rPr>
          <w:rFonts w:ascii="Arial" w:cs="Arial" w:eastAsia="Arial" w:hAnsi="Arial"/>
          <w:sz w:val="20"/>
          <w:szCs w:val="20"/>
          <w:u w:val="single" w:color="auto"/>
          <w:color w:val="auto"/>
        </w:rPr>
        <w:t>clause (a)</w:t>
      </w:r>
      <w:r>
        <w:rPr>
          <w:rFonts w:ascii="Arial" w:cs="Arial" w:eastAsia="Arial" w:hAnsi="Arial"/>
          <w:sz w:val="20"/>
          <w:szCs w:val="20"/>
          <w:color w:val="auto"/>
        </w:rPr>
        <w:t>. “</w:t>
      </w:r>
      <w:r>
        <w:rPr>
          <w:rFonts w:ascii="Arial" w:cs="Arial" w:eastAsia="Arial" w:hAnsi="Arial"/>
          <w:sz w:val="20"/>
          <w:szCs w:val="20"/>
          <w:u w:val="single" w:color="auto"/>
          <w:color w:val="auto"/>
        </w:rPr>
        <w:t>ERISA</w:t>
      </w:r>
      <w:r>
        <w:rPr>
          <w:rFonts w:ascii="Arial" w:cs="Arial" w:eastAsia="Arial" w:hAnsi="Arial"/>
          <w:sz w:val="20"/>
          <w:szCs w:val="20"/>
          <w:color w:val="auto"/>
        </w:rPr>
        <w:t>” means the Employee Retirement Income Security Act of 1974.</w:t>
      </w:r>
    </w:p>
    <w:p>
      <w:pPr>
        <w:sectPr>
          <w:pgSz w:w="11900" w:h="16838" w:orient="portrait"/>
          <w:cols w:equalWidth="0" w:num="1">
            <w:col w:w="11420"/>
          </w:cols>
          <w:pgMar w:left="240" w:top="337" w:right="239" w:bottom="1440" w:gutter="0" w:footer="0" w:header="0"/>
        </w:sectPr>
      </w:pPr>
    </w:p>
    <w:bookmarkStart w:id="60" w:name="page61"/>
    <w:bookmarkEnd w:id="60"/>
    <w:p>
      <w:pPr>
        <w:ind w:left="10720"/>
        <w:spacing w:after="0"/>
        <w:rPr>
          <w:sz w:val="20"/>
          <w:szCs w:val="20"/>
          <w:color w:val="auto"/>
        </w:rPr>
      </w:pPr>
      <w:r>
        <w:rPr>
          <w:rFonts w:ascii="Arial" w:cs="Arial" w:eastAsia="Arial" w:hAnsi="Arial"/>
          <w:sz w:val="16"/>
          <w:szCs w:val="16"/>
          <w:b w:val="1"/>
          <w:bCs w:val="1"/>
          <w:color w:val="auto"/>
        </w:rPr>
        <w:t>Exhibit 4</w:t>
      </w:r>
    </w:p>
    <w:p>
      <w:pPr>
        <w:spacing w:after="0" w:line="2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ERISA Affiliate</w:t>
      </w:r>
      <w:r>
        <w:rPr>
          <w:rFonts w:ascii="Arial" w:cs="Arial" w:eastAsia="Arial" w:hAnsi="Arial"/>
          <w:sz w:val="20"/>
          <w:szCs w:val="20"/>
          <w:color w:val="auto"/>
        </w:rPr>
        <w:t>” means any trade or business (whether or not incorporated) that, together with the Borrower or any Subsidiary, is treated as a single employer under Section 414(b) or (c) of the Code or, solely for purposes of Section 302 of ERISA and Section 412 of the Code, is treated as a single employer under Section 414 of the Code.</w:t>
      </w:r>
    </w:p>
    <w:p>
      <w:pPr>
        <w:spacing w:after="0" w:line="15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ERISA Event</w:t>
      </w:r>
      <w:r>
        <w:rPr>
          <w:rFonts w:ascii="Arial" w:cs="Arial" w:eastAsia="Arial" w:hAnsi="Arial"/>
          <w:sz w:val="19"/>
          <w:szCs w:val="19"/>
          <w:color w:val="auto"/>
        </w:rPr>
        <w:t>” means (a) any “reportable event”, as defined in Section 4043 of ERISA or the regulations issued thereunder with respect to a Plan (other than an event for which the 30 day notice period is waived), (b) any failure to satisfy the minimum funding standards of Section 412 of the Code or Section 302 of ERISA with respect to any Plan, whether or not waived, (c) the incurrence by the Borrower, any Subsidiary or any ERISA Affiliate of any liability under Title IV of ERISA with respect to the termination of any Plan, (d) the receipt by the Borrower, any Subsidiary or any ERISA Affiliate from the PBGC or a plan administrator of any notice relating to an intention to terminate any Plan or Plans or to appoint a trustee to administer any Plan, (e) the incurrence by the Borrower, any Subsidiary or any ERISA Affiliate of any liability with respect to the withdrawal or partial withdrawal from any Plan or Multiemployer Plan or (f) the receipt by the Borrower, any Subsidiary or any ERISA Affiliate of any notice, or the receipt by any Multiemployer Plan from the Borrower, any Subsidiary or any ERISA Affiliate of any notice, concerning the imposition of Withdrawal Liability or a determination that a Multiemployer Plan is, or is expected to be, insolvent or in reorganization, within the meaning of Title IV of ERISA.</w:t>
      </w:r>
    </w:p>
    <w:p>
      <w:pPr>
        <w:spacing w:after="0" w:line="15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 Bail-In Legislation Schedule</w:t>
      </w:r>
      <w:r>
        <w:rPr>
          <w:rFonts w:ascii="Arial" w:cs="Arial" w:eastAsia="Arial" w:hAnsi="Arial"/>
          <w:sz w:val="20"/>
          <w:szCs w:val="20"/>
          <w:color w:val="auto"/>
        </w:rPr>
        <w:t>” means the EU Bail-In Legislation Schedule published by the Loan Market Association (or any successor Person), as in effect from time to time.</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Event of Default</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Article 8</w:t>
      </w:r>
      <w:r>
        <w:rPr>
          <w:rFonts w:ascii="Arial" w:cs="Arial" w:eastAsia="Arial" w:hAnsi="Arial"/>
          <w:sz w:val="20"/>
          <w:szCs w:val="20"/>
          <w:color w:val="auto"/>
        </w:rPr>
        <w:t>.</w:t>
      </w:r>
    </w:p>
    <w:p>
      <w:pPr>
        <w:spacing w:after="0" w:line="18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Taxes</w:t>
      </w:r>
      <w:r>
        <w:rPr>
          <w:rFonts w:ascii="Arial" w:cs="Arial" w:eastAsia="Arial" w:hAnsi="Arial"/>
          <w:sz w:val="19"/>
          <w:szCs w:val="19"/>
          <w:color w:val="auto"/>
        </w:rPr>
        <w:t xml:space="preserve">”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w:t>
      </w:r>
      <w:r>
        <w:rPr>
          <w:rFonts w:ascii="Arial" w:cs="Arial" w:eastAsia="Arial" w:hAnsi="Arial"/>
          <w:sz w:val="19"/>
          <w:szCs w:val="19"/>
          <w:u w:val="single" w:color="auto"/>
          <w:color w:val="auto"/>
        </w:rPr>
        <w:t>Section 3.6(b)</w:t>
      </w:r>
      <w:r>
        <w:rPr>
          <w:rFonts w:ascii="Arial" w:cs="Arial" w:eastAsia="Arial" w:hAnsi="Arial"/>
          <w:sz w:val="19"/>
          <w:szCs w:val="19"/>
          <w:color w:val="auto"/>
        </w:rPr>
        <w:t xml:space="preserve">) or (ii) such Lender changes its lending office, except in each case to the extent that, pursuant to </w:t>
      </w:r>
      <w:r>
        <w:rPr>
          <w:rFonts w:ascii="Arial" w:cs="Arial" w:eastAsia="Arial" w:hAnsi="Arial"/>
          <w:sz w:val="19"/>
          <w:szCs w:val="19"/>
          <w:u w:val="single" w:color="auto"/>
          <w:color w:val="auto"/>
        </w:rPr>
        <w:t>Section 3.5</w:t>
      </w:r>
      <w:r>
        <w:rPr>
          <w:rFonts w:ascii="Arial" w:cs="Arial" w:eastAsia="Arial" w:hAnsi="Arial"/>
          <w:sz w:val="19"/>
          <w:szCs w:val="19"/>
          <w:color w:val="auto"/>
        </w:rPr>
        <w:t xml:space="preserve">, amounts with respect to such Taxes were payable either to such Lender’s assignor immediately before such Lender acquired the applicable interest in a Loan or Commitment or to such Lender immediately before it changed its lending office, (c) Taxes attributable to such Recipient’s failure to comply with </w:t>
      </w:r>
      <w:r>
        <w:rPr>
          <w:rFonts w:ascii="Arial" w:cs="Arial" w:eastAsia="Arial" w:hAnsi="Arial"/>
          <w:sz w:val="19"/>
          <w:szCs w:val="19"/>
          <w:u w:val="single" w:color="auto"/>
          <w:color w:val="auto"/>
        </w:rPr>
        <w:t>Section 3.5(f)</w:t>
      </w:r>
      <w:r>
        <w:rPr>
          <w:rFonts w:ascii="Arial" w:cs="Arial" w:eastAsia="Arial" w:hAnsi="Arial"/>
          <w:sz w:val="19"/>
          <w:szCs w:val="19"/>
          <w:color w:val="auto"/>
        </w:rPr>
        <w:t>, and (d) any withholding Taxes imposed under FATCA.</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Existing Loans</w:t>
      </w:r>
      <w:r>
        <w:rPr>
          <w:rFonts w:ascii="Arial" w:cs="Arial" w:eastAsia="Arial" w:hAnsi="Arial"/>
          <w:sz w:val="20"/>
          <w:szCs w:val="20"/>
          <w:color w:val="auto"/>
        </w:rPr>
        <w:t>” has the meaning assigned to such term in Section 2.1.</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Existing Term Loan Agreement</w:t>
      </w:r>
      <w:r>
        <w:rPr>
          <w:rFonts w:ascii="Arial" w:cs="Arial" w:eastAsia="Arial" w:hAnsi="Arial"/>
          <w:sz w:val="20"/>
          <w:szCs w:val="20"/>
          <w:color w:val="auto"/>
        </w:rPr>
        <w:t>” has the meaning assigned to such term in the Preamble hereto.</w:t>
      </w:r>
    </w:p>
    <w:p>
      <w:pPr>
        <w:spacing w:after="0" w:line="18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FATCA</w:t>
      </w:r>
      <w:r>
        <w:rPr>
          <w:rFonts w:ascii="Arial" w:cs="Arial" w:eastAsia="Arial" w:hAnsi="Arial"/>
          <w:sz w:val="20"/>
          <w:szCs w:val="20"/>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16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Federal Funds Effective Rate</w:t>
      </w:r>
      <w:r>
        <w:rPr>
          <w:rFonts w:ascii="Arial" w:cs="Arial" w:eastAsia="Arial" w:hAnsi="Arial"/>
          <w:sz w:val="19"/>
          <w:szCs w:val="19"/>
          <w:color w:val="auto"/>
        </w:rPr>
        <w:t>” means, for any day, the rate calculated by the NYFRB based on such day’s federal funds transactions by depository institutions (as determined in such manner as the NYFRB shall set forth on its public website from time to time) and published on the next succeeding Business Day by the NYFRB as the federal funds effective rate. For the avoidance of doubt, if the Federal Funds Effective Rate shall be less than zero, such rate shall be deemed to be zero for purposes of this Agreement.</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Financial Officer</w:t>
      </w:r>
      <w:r>
        <w:rPr>
          <w:rFonts w:ascii="Arial" w:cs="Arial" w:eastAsia="Arial" w:hAnsi="Arial"/>
          <w:sz w:val="20"/>
          <w:szCs w:val="20"/>
          <w:color w:val="auto"/>
        </w:rPr>
        <w:t>” means the chief financial officer, principal accounting officer, treasurer or controller of the Borrower.</w:t>
      </w:r>
    </w:p>
    <w:p>
      <w:pPr>
        <w:sectPr>
          <w:pgSz w:w="11900" w:h="16838" w:orient="portrait"/>
          <w:cols w:equalWidth="0" w:num="1">
            <w:col w:w="11420"/>
          </w:cols>
          <w:pgMar w:left="240" w:top="337"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4</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Fitch</w:t>
      </w:r>
      <w:r>
        <w:rPr>
          <w:rFonts w:ascii="Arial" w:cs="Arial" w:eastAsia="Arial" w:hAnsi="Arial"/>
          <w:sz w:val="20"/>
          <w:szCs w:val="20"/>
          <w:color w:val="auto"/>
        </w:rPr>
        <w:t>” means Fitch Ratings, Inc. or any successor thereto.</w:t>
      </w:r>
    </w:p>
    <w:p>
      <w:pPr>
        <w:spacing w:after="0" w:line="18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Lender</w:t>
      </w:r>
      <w:r>
        <w:rPr>
          <w:rFonts w:ascii="Arial" w:cs="Arial" w:eastAsia="Arial" w:hAnsi="Arial"/>
          <w:sz w:val="20"/>
          <w:szCs w:val="20"/>
          <w:color w:val="auto"/>
        </w:rPr>
        <w:t>” means any Lender that is organized under the laws of a jurisdiction other than that in which the Borrower is located. For purposes of this definition, the United States of America, each State thereof and the District of Columbia shall be deemed to constitute a single jurisdiction.</w:t>
      </w:r>
    </w:p>
    <w:p>
      <w:pPr>
        <w:spacing w:after="0" w:line="15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GAAP</w:t>
      </w:r>
      <w:r>
        <w:rPr>
          <w:rFonts w:ascii="Arial" w:cs="Arial" w:eastAsia="Arial" w:hAnsi="Arial"/>
          <w:sz w:val="19"/>
          <w:szCs w:val="19"/>
          <w:color w:val="auto"/>
        </w:rPr>
        <w:t xml:space="preserve">” means generally accepted accounting principles set forth in the opinions and pronouncements of the Accounting Principles Board and the American Institute of Certified Public Accountants and in the statements and pronouncements of the Financial Accounting Standards Board or in such other statement by such other entity as may be approved by a significant segment of the accounting profession, which are applicable to the circumstances as of the date of determination, consistently applied;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event Borrower converts to use the International Financial Reporting Standards by the International Accounting Standards Board or other method of accounting, as may hereafter be required or permitted by the SEC, then the term “GAAP” as used in this Agreement shall be deemed to mean and refer to such International Financial Reporting Standards or such other method of accounting instead, which are applicable to the circumstances as of the date of determination, consistently applied.</w:t>
      </w:r>
    </w:p>
    <w:p>
      <w:pPr>
        <w:spacing w:after="0" w:line="15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Governmental Authority</w:t>
      </w:r>
      <w:r>
        <w:rPr>
          <w:rFonts w:ascii="Arial" w:cs="Arial" w:eastAsia="Arial" w:hAnsi="Arial"/>
          <w:sz w:val="19"/>
          <w:szCs w:val="19"/>
          <w:color w:val="auto"/>
        </w:rPr>
        <w:t>” means the government of the United States of America, any other nation or any political subdivision thereof, whether state or local, and any agency, commission, exchange, association, board, authority, instrumentality, regulatory body, court, central bank or other entity exercising executive, legislative, judicial, taxing, regulatory or administrative powers or functions of or pertaining to government (including supranational bodies such as the European Union or European Central Bank).</w:t>
      </w:r>
    </w:p>
    <w:p>
      <w:pPr>
        <w:spacing w:after="0" w:line="15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w:t>
      </w:r>
      <w:r>
        <w:rPr>
          <w:rFonts w:ascii="Arial" w:cs="Arial" w:eastAsia="Arial" w:hAnsi="Arial"/>
          <w:sz w:val="18"/>
          <w:szCs w:val="18"/>
          <w:color w:val="auto"/>
        </w:rPr>
        <w:t>” of or by any Person (the “</w:t>
      </w:r>
      <w:r>
        <w:rPr>
          <w:rFonts w:ascii="Arial" w:cs="Arial" w:eastAsia="Arial" w:hAnsi="Arial"/>
          <w:sz w:val="18"/>
          <w:szCs w:val="18"/>
          <w:u w:val="single" w:color="auto"/>
          <w:color w:val="auto"/>
        </w:rPr>
        <w:t>guarantor</w:t>
      </w:r>
      <w:r>
        <w:rPr>
          <w:rFonts w:ascii="Arial" w:cs="Arial" w:eastAsia="Arial" w:hAnsi="Arial"/>
          <w:sz w:val="18"/>
          <w:szCs w:val="18"/>
          <w:color w:val="auto"/>
        </w:rPr>
        <w:t>”) means any obligation, contingent or otherwise, of the guarantor guaranteeing or having the economic effect of guaranteeing any Indebtedness or other obligation of any other Person (the “</w:t>
      </w:r>
      <w:r>
        <w:rPr>
          <w:rFonts w:ascii="Arial" w:cs="Arial" w:eastAsia="Arial" w:hAnsi="Arial"/>
          <w:sz w:val="18"/>
          <w:szCs w:val="18"/>
          <w:u w:val="single" w:color="auto"/>
          <w:color w:val="auto"/>
        </w:rPr>
        <w:t>primary obligor</w:t>
      </w:r>
      <w:r>
        <w:rPr>
          <w:rFonts w:ascii="Arial" w:cs="Arial" w:eastAsia="Arial" w:hAnsi="Arial"/>
          <w:sz w:val="18"/>
          <w:szCs w:val="18"/>
          <w:color w:val="auto"/>
        </w:rPr>
        <w:t xml:space="preserve">”)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as to enable the primary obligor to pay such Indebtedness or other obligation or (d) as an account party in respect of any letter of credit or letter of guaranty issued to support such Indebtedness or obligation,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term “Guarantee” shall not include endorsements for collection or deposit in the ordinary course of business. The term “</w:t>
      </w:r>
      <w:r>
        <w:rPr>
          <w:rFonts w:ascii="Arial" w:cs="Arial" w:eastAsia="Arial" w:hAnsi="Arial"/>
          <w:sz w:val="18"/>
          <w:szCs w:val="18"/>
          <w:u w:val="single" w:color="auto"/>
          <w:color w:val="auto"/>
        </w:rPr>
        <w:t>Guaranteed</w:t>
      </w:r>
      <w:r>
        <w:rPr>
          <w:rFonts w:ascii="Arial" w:cs="Arial" w:eastAsia="Arial" w:hAnsi="Arial"/>
          <w:sz w:val="18"/>
          <w:szCs w:val="18"/>
          <w:color w:val="auto"/>
        </w:rPr>
        <w:t xml:space="preserve">” has a meaning correlative thereto. The amount of any Guarantee of a Person shall be deemed to be an amount equal to the stated or determinable amount of the primary obligation in respect of which such Guarantee is made (or, if less, the maximum amount of such primary obligation for which such Person may be liable pursuant to the terms of the instrument evidencing such Guarantee) or, if not stated or determinable, the maximum reasonably anticipated liability in respect thereof as determined by such Person in good faith,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anything in this definition to the contrary, the amount of any Guarantee of a Person in respect of any Permitted Hedge Agreement by any other Person with a counterparty shall be deemed to be the maximum reasonably anticipated liability of such other Person, as determined in good faith by such Person, net of any obligation or liability of such counterparty in respect of any Permitted Hedge Agreement with such Person,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the obligations of such other Person under such Permitted Hedge Agreement with such counterparty shall be terminable at the election of such other Person in the event of a default by such counterparty in its obligations to such other Person.</w:t>
      </w:r>
    </w:p>
    <w:p>
      <w:pPr>
        <w:spacing w:after="0" w:line="14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Hazardous Materials</w:t>
      </w:r>
      <w:r>
        <w:rPr>
          <w:rFonts w:ascii="Arial" w:cs="Arial" w:eastAsia="Arial" w:hAnsi="Arial"/>
          <w:sz w:val="19"/>
          <w:szCs w:val="19"/>
          <w:color w:val="auto"/>
        </w:rPr>
        <w:t>” means all explosive or radioactive substances or wastes and all hazardous or toxic substances, wastes or other pollutants, including petroleum or petroleum distillates, asbestos or asbestos containing materials, polychlorinated biphenyls, radon gas, infectious or medical wastes and all other substances or wastes of any nature regulated pursuant to any Environmental Law.</w:t>
      </w:r>
    </w:p>
    <w:p>
      <w:pPr>
        <w:spacing w:after="0" w:line="14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Hedge Agreement</w:t>
      </w:r>
      <w:r>
        <w:rPr>
          <w:rFonts w:ascii="Arial" w:cs="Arial" w:eastAsia="Arial" w:hAnsi="Arial"/>
          <w:sz w:val="20"/>
          <w:szCs w:val="20"/>
          <w:color w:val="auto"/>
        </w:rPr>
        <w:t>” means any interest rate protection agreement, foreign currency exchange agreement, commodity price protection agreement or other interest rate, currency exchange rate or commodity price hedge, future, forward, swap, option, cap, floor, collar or similar agreement or arrangement (including both physical and financial settlement transactions).</w:t>
      </w:r>
    </w:p>
    <w:p>
      <w:pPr>
        <w:sectPr>
          <w:pgSz w:w="11900" w:h="16838" w:orient="portrait"/>
          <w:cols w:equalWidth="0" w:num="1">
            <w:col w:w="11420"/>
          </w:cols>
          <w:pgMar w:left="240" w:top="337"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4</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IBA</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1.5</w:t>
      </w:r>
      <w:r>
        <w:rPr>
          <w:rFonts w:ascii="Arial" w:cs="Arial" w:eastAsia="Arial" w:hAnsi="Arial"/>
          <w:sz w:val="20"/>
          <w:szCs w:val="20"/>
          <w:color w:val="auto"/>
        </w:rPr>
        <w:t>.</w:t>
      </w:r>
    </w:p>
    <w:p>
      <w:pPr>
        <w:spacing w:after="0" w:line="189" w:lineRule="exact"/>
        <w:rPr>
          <w:sz w:val="20"/>
          <w:szCs w:val="20"/>
          <w:color w:val="auto"/>
        </w:rPr>
      </w:pPr>
    </w:p>
    <w:p>
      <w:pPr>
        <w:jc w:val="both"/>
        <w:ind w:right="20"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Immaterial Subsidiary</w:t>
      </w:r>
      <w:r>
        <w:rPr>
          <w:rFonts w:ascii="Arial" w:cs="Arial" w:eastAsia="Arial" w:hAnsi="Arial"/>
          <w:sz w:val="18"/>
          <w:szCs w:val="18"/>
          <w:color w:val="auto"/>
        </w:rPr>
        <w:t>” means a Subsidiary that (a) has consolidated total assets with a book value not exceeding 5% of Consolidated Assets as of the end of the most recent fiscal quarter for which financial statements have been filed with the SEC and (b) had total revenues not exceeding 5% of the Borrower’s consolidated total revenues for the period ending on the last day of such fiscal quarter.</w:t>
      </w:r>
    </w:p>
    <w:p>
      <w:pPr>
        <w:spacing w:after="0" w:line="125"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Immaterial Transaction</w:t>
      </w:r>
      <w:r>
        <w:rPr>
          <w:rFonts w:ascii="Arial" w:cs="Arial" w:eastAsia="Arial" w:hAnsi="Arial"/>
          <w:sz w:val="18"/>
          <w:szCs w:val="18"/>
          <w:color w:val="auto"/>
        </w:rPr>
        <w:t xml:space="preserve">” means any transaction or event described in </w:t>
      </w:r>
      <w:r>
        <w:rPr>
          <w:rFonts w:ascii="Arial" w:cs="Arial" w:eastAsia="Arial" w:hAnsi="Arial"/>
          <w:sz w:val="18"/>
          <w:szCs w:val="18"/>
          <w:u w:val="single" w:color="auto"/>
          <w:color w:val="auto"/>
        </w:rPr>
        <w:t>paragraph (i)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(j)</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Article 8</w:t>
      </w:r>
      <w:r>
        <w:rPr>
          <w:rFonts w:ascii="Arial" w:cs="Arial" w:eastAsia="Arial" w:hAnsi="Arial"/>
          <w:sz w:val="18"/>
          <w:szCs w:val="18"/>
          <w:color w:val="auto"/>
        </w:rPr>
        <w:t xml:space="preserve"> so long as, after giving effect to such transaction or event, all Subsidiaries that have become subject to such transactions or events during the 12-month period ending on the date of such transaction or event (a) had consolidated total assets with a fair market value not exceeding 5% of Consolidated Assets as of the end of the most recent fiscal quarter for which financial statements have been filed with the SEC and (b) had total revenues not exceeding 5% of the Borrower’s consolidated total revenues for the period ending on the last day of such fiscal quarter.</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Impacted Interest Period</w:t>
      </w:r>
      <w:r>
        <w:rPr>
          <w:rFonts w:ascii="Arial" w:cs="Arial" w:eastAsia="Arial" w:hAnsi="Arial"/>
          <w:sz w:val="20"/>
          <w:szCs w:val="20"/>
          <w:color w:val="auto"/>
        </w:rPr>
        <w:t>” has the meaning assigned to such term in the definition of “LIBO Rate”.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Loan</w:t>
      </w:r>
      <w:r>
        <w:rPr>
          <w:rFonts w:ascii="Arial" w:cs="Arial" w:eastAsia="Arial" w:hAnsi="Arial"/>
          <w:sz w:val="20"/>
          <w:szCs w:val="20"/>
          <w:color w:val="auto"/>
        </w:rPr>
        <w:t>” has the meaning assigned to such term in the Preamble hereto.</w:t>
      </w:r>
    </w:p>
    <w:p>
      <w:pPr>
        <w:spacing w:after="0" w:line="18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xml:space="preserve">” means as to any Person, at a particular time, all items which constitute, without duplication, (a) indebtedness for borrowed money or the deferred purchase price of property (excluding trade payables incurred in the ordinary course of business and excluding any such obligations payable solely through the Borrower’s issuance of Equity Interests (other than the Disqualified Stock and Equity Interests convertible into Disqualified Stock)), (b) indebtedness evidenced by notes, bonds, debentures or similar instruments, (c) obligations with respect to any conditional sale or title retention agreement, (d) indebtedness arising under acceptance facilities and the amount available to be drawn under all letters of credit issued for the account of such Person and, without duplication, all drafts drawn thereunder to the extent such Person shall not have reimbursed the issuer in respect of the issuer’s payment of such drafts, (e) all liabilities secured by any Lien on any property owned by such Person even though such Person has not assumed or otherwise become liable for the payment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amount of such liabilities included for purposes of this definition will be the amount equal to the lesser of the fair market value of such property and the amount of the liabilities so secured, (f) indebtedness in respect of Disqualified Stock valued at the greater of its voluntary or involuntary maximum fixed repurchase price plus accrued dividends, (g) liabilities in respect of any obligation (contingent or otherwise) to purchase, redeem, retire, acquire or make any other payment in respect of any shares of equity securities or any option, warrant or other right to acquire any shares of equity securities, (h) obligations under Capital Lease Obligations, (i) Guarantees of such Person in respect of Indebtedness of others, and (i) to the extent not otherwise included, all net obligations of such Person under Permitted Hedge Agreements.</w:t>
      </w:r>
    </w:p>
    <w:p>
      <w:pPr>
        <w:spacing w:after="0" w:line="143" w:lineRule="exact"/>
        <w:rPr>
          <w:sz w:val="20"/>
          <w:szCs w:val="20"/>
          <w:color w:val="auto"/>
        </w:rPr>
      </w:pPr>
    </w:p>
    <w:p>
      <w:pPr>
        <w:jc w:val="both"/>
        <w:ind w:right="20"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Taxes</w:t>
      </w:r>
      <w:r>
        <w:rPr>
          <w:rFonts w:ascii="Arial" w:cs="Arial" w:eastAsia="Arial" w:hAnsi="Arial"/>
          <w:sz w:val="18"/>
          <w:szCs w:val="18"/>
          <w:color w:val="auto"/>
        </w:rPr>
        <w:t>” means (a) Taxes, other than Excluded Taxes, imposed on or with respect to any payment made by or on account of any obligation of the Borrower under any Loan Document and (b) to the extent not otherwise described in (a) hereof, Other Taxes.</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Indemnitee</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10.3(b)</w:t>
      </w:r>
      <w:r>
        <w:rPr>
          <w:rFonts w:ascii="Arial" w:cs="Arial" w:eastAsia="Arial" w:hAnsi="Arial"/>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Information</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10.15</w:t>
      </w:r>
      <w:r>
        <w:rPr>
          <w:rFonts w:ascii="Arial" w:cs="Arial" w:eastAsia="Arial" w:hAnsi="Arial"/>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Intellectual Property</w:t>
      </w:r>
      <w:r>
        <w:rPr>
          <w:rFonts w:ascii="Arial" w:cs="Arial" w:eastAsia="Arial" w:hAnsi="Arial"/>
          <w:sz w:val="20"/>
          <w:szCs w:val="20"/>
          <w:color w:val="auto"/>
        </w:rPr>
        <w:t>” means all copyrights, trademarks, service marks, patents, trade names and service names.</w:t>
      </w:r>
    </w:p>
    <w:p>
      <w:pPr>
        <w:spacing w:after="0" w:line="18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Interest Payment Date</w:t>
      </w:r>
      <w:r>
        <w:rPr>
          <w:rFonts w:ascii="Arial" w:cs="Arial" w:eastAsia="Arial" w:hAnsi="Arial"/>
          <w:sz w:val="20"/>
          <w:szCs w:val="20"/>
          <w:color w:val="auto"/>
        </w:rPr>
        <w:t>” means (i) to the extent any of the Loans shall accrue interest at the Alternate Base Rate, the last day of each March, June, September and December, (ii) the last day of each Interest Period, (iii) the date of payment or prepayment of any of the Loans (due to acceleration or otherwise) and (iv) the Maturity Date.</w:t>
      </w:r>
    </w:p>
    <w:p>
      <w:pPr>
        <w:sectPr>
          <w:pgSz w:w="11900" w:h="16838" w:orient="portrait"/>
          <w:cols w:equalWidth="0" w:num="1">
            <w:col w:w="11420"/>
          </w:cols>
          <w:pgMar w:left="240" w:top="337" w:right="239" w:bottom="1440" w:gutter="0" w:footer="0" w:header="0"/>
        </w:sectPr>
      </w:pPr>
    </w:p>
    <w:bookmarkStart w:id="63" w:name="page64"/>
    <w:bookmarkEnd w:id="63"/>
    <w:p>
      <w:pPr>
        <w:ind w:left="10720"/>
        <w:spacing w:after="0"/>
        <w:rPr>
          <w:sz w:val="20"/>
          <w:szCs w:val="20"/>
          <w:color w:val="auto"/>
        </w:rPr>
      </w:pPr>
      <w:r>
        <w:rPr>
          <w:rFonts w:ascii="Arial" w:cs="Arial" w:eastAsia="Arial" w:hAnsi="Arial"/>
          <w:sz w:val="16"/>
          <w:szCs w:val="16"/>
          <w:b w:val="1"/>
          <w:bCs w:val="1"/>
          <w:color w:val="auto"/>
        </w:rPr>
        <w:t>Exhibit 4</w:t>
      </w:r>
    </w:p>
    <w:p>
      <w:pPr>
        <w:spacing w:after="0" w:line="27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Interest Period</w:t>
      </w:r>
      <w:r>
        <w:rPr>
          <w:rFonts w:ascii="Arial" w:cs="Arial" w:eastAsia="Arial" w:hAnsi="Arial"/>
          <w:sz w:val="20"/>
          <w:szCs w:val="20"/>
          <w:color w:val="auto"/>
        </w:rPr>
        <w:t xml:space="preserve">” means (a) a period commencing on the Effective Date or on the last day of the preceding Interest Period and ending on the numerically corresponding day in the immediately following calendar month,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(b) any Interest Period that commences on the last Business Day of a calendar month (or on a day for which there is no numerically corresponding day in the last calendar month of such Interest Period) shall end on the last Business Day of the next calendar month and (c) no Interest Period shall extend beyond the Maturity Date.</w:t>
      </w:r>
    </w:p>
    <w:p>
      <w:pPr>
        <w:spacing w:after="0" w:line="166"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Interpolated Rate</w:t>
      </w:r>
      <w:r>
        <w:rPr>
          <w:rFonts w:ascii="Arial" w:cs="Arial" w:eastAsia="Arial" w:hAnsi="Arial"/>
          <w:sz w:val="18"/>
          <w:szCs w:val="18"/>
          <w:color w:val="auto"/>
        </w:rPr>
        <w:t>” means, at any time, for any Interest Period, the rate per annum (rounded to the same number of decimal places as the LIBOR Screen Rate) determined by the Administrative Agent (which determination shall be conclusive and binding absent manifest error) to be equal to the rate that results from interpolating on a linear basis between: (a) the LIBOR Screen Rate for the longest period (for which the LIBOR Screen Rate is available) that is shorter than the Impacted Interest Period and (b) the LIBOR Screen Rate for the shortest period (for which the LIBOR Screen Rate is available) that exceeds the Impacted Interest Period, in each case, at such time.</w:t>
      </w:r>
    </w:p>
    <w:p>
      <w:pPr>
        <w:spacing w:after="0" w:line="138" w:lineRule="exact"/>
        <w:rPr>
          <w:sz w:val="20"/>
          <w:szCs w:val="20"/>
          <w:color w:val="auto"/>
        </w:rPr>
      </w:pPr>
    </w:p>
    <w:p>
      <w:pPr>
        <w:ind w:left="660" w:right="4160"/>
        <w:spacing w:after="0" w:line="4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Investment Grade Rating</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7.2.ar</w:t>
      </w:r>
      <w:r>
        <w:rPr>
          <w:rFonts w:ascii="Arial" w:cs="Arial" w:eastAsia="Arial" w:hAnsi="Arial"/>
          <w:sz w:val="20"/>
          <w:szCs w:val="20"/>
          <w:color w:val="auto"/>
        </w:rPr>
        <w:t xml:space="preserve"> “</w:t>
      </w:r>
      <w:r>
        <w:rPr>
          <w:rFonts w:ascii="Arial" w:cs="Arial" w:eastAsia="Arial" w:hAnsi="Arial"/>
          <w:sz w:val="20"/>
          <w:szCs w:val="20"/>
          <w:u w:val="single" w:color="auto"/>
          <w:color w:val="auto"/>
        </w:rPr>
        <w:t>JPMorgan Chase</w:t>
      </w:r>
      <w:r>
        <w:rPr>
          <w:rFonts w:ascii="Arial" w:cs="Arial" w:eastAsia="Arial" w:hAnsi="Arial"/>
          <w:sz w:val="20"/>
          <w:szCs w:val="20"/>
          <w:color w:val="auto"/>
        </w:rPr>
        <w:t>” means JPMorgan Chase Bank, N.A.</w:t>
      </w:r>
    </w:p>
    <w:p>
      <w:pPr>
        <w:spacing w:after="0" w:line="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Lenders</w:t>
      </w:r>
      <w:r>
        <w:rPr>
          <w:rFonts w:ascii="Arial" w:cs="Arial" w:eastAsia="Arial" w:hAnsi="Arial"/>
          <w:sz w:val="20"/>
          <w:szCs w:val="20"/>
          <w:color w:val="auto"/>
        </w:rPr>
        <w:t xml:space="preserve">” means the Persons listed on </w:t>
      </w:r>
      <w:r>
        <w:rPr>
          <w:rFonts w:ascii="Arial" w:cs="Arial" w:eastAsia="Arial" w:hAnsi="Arial"/>
          <w:sz w:val="20"/>
          <w:szCs w:val="20"/>
          <w:u w:val="single" w:color="auto"/>
          <w:color w:val="auto"/>
        </w:rPr>
        <w:t>Schedule 2.1</w:t>
      </w:r>
      <w:r>
        <w:rPr>
          <w:rFonts w:ascii="Arial" w:cs="Arial" w:eastAsia="Arial" w:hAnsi="Arial"/>
          <w:sz w:val="20"/>
          <w:szCs w:val="20"/>
          <w:color w:val="auto"/>
        </w:rPr>
        <w:t xml:space="preserve"> and any other Person that shall have become a party hereto pursuant to an Assignment and Assumption or other documentation contemplated hereby, other than any such Person that ceases to be a party hereto pursuant to an Assignment and Assumption or other documentation contemplated hereby.</w:t>
      </w:r>
    </w:p>
    <w:p>
      <w:pPr>
        <w:spacing w:after="0" w:line="15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LIBO Rate</w:t>
      </w:r>
      <w:r>
        <w:rPr>
          <w:rFonts w:ascii="Arial" w:cs="Arial" w:eastAsia="Arial" w:hAnsi="Arial"/>
          <w:sz w:val="20"/>
          <w:szCs w:val="20"/>
          <w:color w:val="auto"/>
        </w:rPr>
        <w:t xml:space="preserve">” means, with respect to any Loan and for any applicable Interest Period, the LIBOR Screen Rate at approximately 11:00 a.m., London time, two (2) Business Days prior to the commencement of such Interest Period;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the LIBOR Screen Rate shall not be available at such time for such Interest Period (the “</w:t>
      </w:r>
      <w:r>
        <w:rPr>
          <w:rFonts w:ascii="Arial" w:cs="Arial" w:eastAsia="Arial" w:hAnsi="Arial"/>
          <w:sz w:val="20"/>
          <w:szCs w:val="20"/>
          <w:u w:val="single" w:color="auto"/>
          <w:color w:val="auto"/>
        </w:rPr>
        <w:t>Impacted Interest Period</w:t>
      </w:r>
      <w:r>
        <w:rPr>
          <w:rFonts w:ascii="Arial" w:cs="Arial" w:eastAsia="Arial" w:hAnsi="Arial"/>
          <w:sz w:val="20"/>
          <w:szCs w:val="20"/>
          <w:color w:val="auto"/>
        </w:rPr>
        <w:t xml:space="preserve">”), then the LIBO Rate for such Interest Period shall be the Interpolated Rate. It is understood and agreed that all of the terms and conditions of this definition of “LIBO Rate” shall be subject to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3.2</w:t>
      </w:r>
      <w:r>
        <w:rPr>
          <w:rFonts w:ascii="Arial" w:cs="Arial" w:eastAsia="Arial" w:hAnsi="Arial"/>
          <w:sz w:val="20"/>
          <w:szCs w:val="20"/>
          <w:color w:val="auto"/>
        </w:rPr>
        <w:t>.</w:t>
      </w:r>
    </w:p>
    <w:p>
      <w:pPr>
        <w:spacing w:after="0" w:line="16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LIBOR Screen Rate</w:t>
      </w:r>
      <w:r>
        <w:rPr>
          <w:rFonts w:ascii="Arial" w:cs="Arial" w:eastAsia="Arial" w:hAnsi="Arial"/>
          <w:sz w:val="20"/>
          <w:szCs w:val="20"/>
          <w:color w:val="auto"/>
        </w:rPr>
        <w:t xml:space="preserve">” means, for any date and time, with respect to any Loan and for any Interest Period, the London interbank offered rate as administered by the IBA (or any other Person that takes over the administration of such rate) for dollars for a period equal in length to such Interest Period as displayed on such day and time on pages LIBOR01 or LIBOR02 of the Reuters screen that displays such rate (or, in the event such rate does not appear on such Reuters pages or screens, on any successor or substitute page on such screen that displays such rate, or on the appropriate page of such other information service that publishes such rate as shall be selected by the Administrative Agent from time to time in its reasonable discretion);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the LIBOR Screen Rate shall be less than zero, such rate shall be deemed to be zero for the purposes of this Agreement.</w:t>
      </w:r>
    </w:p>
    <w:p>
      <w:pPr>
        <w:spacing w:after="0" w:line="16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Lien</w:t>
      </w:r>
      <w:r>
        <w:rPr>
          <w:rFonts w:ascii="Arial" w:cs="Arial" w:eastAsia="Arial" w:hAnsi="Arial"/>
          <w:sz w:val="19"/>
          <w:szCs w:val="19"/>
          <w:color w:val="auto"/>
        </w:rPr>
        <w:t>” means, with respect to any asset, (a) any mortgage, deed of trust, lien (statutory or other), assignment, deposit arrangement, pledge, hypothecation, encumbrance or preference, priority, charge or other security interest in, on or of such asset, (b) the interest of a vendor or a lessor under any conditional sale agreement, capital lease or title retention agreement relating to such asset and (c) in the case of securities, any purchase option, call or similar right of a third party with respect to such securities.</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w:t>
      </w:r>
      <w:r>
        <w:rPr>
          <w:rFonts w:ascii="Arial" w:cs="Arial" w:eastAsia="Arial" w:hAnsi="Arial"/>
          <w:sz w:val="20"/>
          <w:szCs w:val="20"/>
          <w:color w:val="auto"/>
        </w:rPr>
        <w:t>” means the Existing Loans and the Incremental Loan.</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 Documents</w:t>
      </w:r>
      <w:r>
        <w:rPr>
          <w:rFonts w:ascii="Arial" w:cs="Arial" w:eastAsia="Arial" w:hAnsi="Arial"/>
          <w:sz w:val="20"/>
          <w:szCs w:val="20"/>
          <w:color w:val="auto"/>
        </w:rPr>
        <w:t xml:space="preserve">” means this Agreement and each Note issued pursuant to </w:t>
      </w:r>
      <w:r>
        <w:rPr>
          <w:rFonts w:ascii="Arial" w:cs="Arial" w:eastAsia="Arial" w:hAnsi="Arial"/>
          <w:sz w:val="20"/>
          <w:szCs w:val="20"/>
          <w:u w:val="single" w:color="auto"/>
          <w:color w:val="auto"/>
        </w:rPr>
        <w:t>Section 2.3(e)</w:t>
      </w:r>
      <w:r>
        <w:rPr>
          <w:rFonts w:ascii="Arial" w:cs="Arial" w:eastAsia="Arial" w:hAnsi="Arial"/>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Margin Stock</w:t>
      </w:r>
      <w:r>
        <w:rPr>
          <w:rFonts w:ascii="Arial" w:cs="Arial" w:eastAsia="Arial" w:hAnsi="Arial"/>
          <w:sz w:val="20"/>
          <w:szCs w:val="20"/>
          <w:color w:val="auto"/>
        </w:rPr>
        <w:t>” has the meaning assigned to such term in Regulation U.</w:t>
      </w:r>
    </w:p>
    <w:p>
      <w:pPr>
        <w:sectPr>
          <w:pgSz w:w="11900" w:h="16838" w:orient="portrait"/>
          <w:cols w:equalWidth="0" w:num="1">
            <w:col w:w="11420"/>
          </w:cols>
          <w:pgMar w:left="240" w:top="337" w:right="239" w:bottom="1440" w:gutter="0" w:footer="0" w:header="0"/>
        </w:sectPr>
      </w:pPr>
    </w:p>
    <w:bookmarkStart w:id="64" w:name="page65"/>
    <w:bookmarkEnd w:id="64"/>
    <w:p>
      <w:pPr>
        <w:ind w:left="10720"/>
        <w:spacing w:after="0"/>
        <w:rPr>
          <w:sz w:val="20"/>
          <w:szCs w:val="20"/>
          <w:color w:val="auto"/>
        </w:rPr>
      </w:pPr>
      <w:r>
        <w:rPr>
          <w:rFonts w:ascii="Arial" w:cs="Arial" w:eastAsia="Arial" w:hAnsi="Arial"/>
          <w:sz w:val="16"/>
          <w:szCs w:val="16"/>
          <w:b w:val="1"/>
          <w:bCs w:val="1"/>
          <w:color w:val="auto"/>
        </w:rPr>
        <w:t>Exhibit 4</w:t>
      </w:r>
    </w:p>
    <w:p>
      <w:pPr>
        <w:spacing w:after="0" w:line="277"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Adverse Change</w:t>
      </w:r>
      <w:r>
        <w:rPr>
          <w:rFonts w:ascii="Arial" w:cs="Arial" w:eastAsia="Arial" w:hAnsi="Arial"/>
          <w:sz w:val="19"/>
          <w:szCs w:val="19"/>
          <w:color w:val="auto"/>
        </w:rPr>
        <w:t>” means a material adverse change in (a) the financial condition, operations, business or property of (i) the Borrower or (ii) the Borrower and its Subsidiaries, taken as a whole, (b) the ability of the Borrower to perform its obligations under the Loan Documents or (c) the ability of the Credit Parties to enforce their rights and remedies under the Loan Documents.</w:t>
      </w:r>
    </w:p>
    <w:p>
      <w:pPr>
        <w:spacing w:after="0" w:line="14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Adverse Effect</w:t>
      </w:r>
      <w:r>
        <w:rPr>
          <w:rFonts w:ascii="Arial" w:cs="Arial" w:eastAsia="Arial" w:hAnsi="Arial"/>
          <w:sz w:val="19"/>
          <w:szCs w:val="19"/>
          <w:color w:val="auto"/>
        </w:rPr>
        <w:t>” means a material adverse effect on (a) the financial condition, operations, business or property of (i) the Borrower or (ii) the Borrower and its Subsidiaries, taken as a whole, (b) the ability of the Borrower to perform its obligations under the Loan Documents or (c) the ability of the Credit Parties to enforce their rights and remedies under the Loan Documents.</w:t>
      </w:r>
    </w:p>
    <w:p>
      <w:pPr>
        <w:spacing w:after="0" w:line="143" w:lineRule="exact"/>
        <w:rPr>
          <w:sz w:val="20"/>
          <w:szCs w:val="20"/>
          <w:color w:val="auto"/>
        </w:rPr>
      </w:pPr>
    </w:p>
    <w:p>
      <w:pPr>
        <w:jc w:val="both"/>
        <w:ind w:firstLine="648"/>
        <w:spacing w:after="0" w:line="32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Obligations</w:t>
      </w:r>
      <w:r>
        <w:rPr>
          <w:rFonts w:ascii="Arial" w:cs="Arial" w:eastAsia="Arial" w:hAnsi="Arial"/>
          <w:sz w:val="16"/>
          <w:szCs w:val="16"/>
          <w:color w:val="auto"/>
        </w:rPr>
        <w:t>” means as of any date, Indebtedness (other than Indebtedness under the Loan Documents) or operating leases of any one or more of the Borrower or any Subsidiary or, in the case of the Borrower only, any Guarantee, in an aggregate principal amount exceeding $35,000,000. For purposes of determining Material Obligations, the “principal amount” of Indebtedness, operating leases or Guarantees at any time shall be the maximum aggregate amount (giving effect to any netting agreements) that the Borrower or such Subsidiary, as applicable, would be required to pay if such Indebtedness, operating leases or Guarantees became due and payable on such day.</w:t>
      </w:r>
    </w:p>
    <w:p>
      <w:pPr>
        <w:spacing w:after="0" w:line="10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Maturity Date</w:t>
      </w:r>
      <w:r>
        <w:rPr>
          <w:rFonts w:ascii="Arial" w:cs="Arial" w:eastAsia="Arial" w:hAnsi="Arial"/>
          <w:sz w:val="20"/>
          <w:szCs w:val="20"/>
          <w:color w:val="auto"/>
        </w:rPr>
        <w:t>” means the August 25, 2020.</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Maximum Rate</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10.12</w:t>
      </w:r>
      <w:r>
        <w:rPr>
          <w:rFonts w:ascii="Arial" w:cs="Arial" w:eastAsia="Arial" w:hAnsi="Arial"/>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Moody’s</w:t>
      </w:r>
      <w:r>
        <w:rPr>
          <w:rFonts w:ascii="Arial" w:cs="Arial" w:eastAsia="Arial" w:hAnsi="Arial"/>
          <w:sz w:val="20"/>
          <w:szCs w:val="20"/>
          <w:color w:val="auto"/>
        </w:rPr>
        <w:t>” means Moody’s Investors Service, Inc., or any successor thereto.</w:t>
      </w:r>
    </w:p>
    <w:p>
      <w:pPr>
        <w:spacing w:after="0" w:line="18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Mortgage</w:t>
      </w:r>
      <w:r>
        <w:rPr>
          <w:rFonts w:ascii="Arial" w:cs="Arial" w:eastAsia="Arial" w:hAnsi="Arial"/>
          <w:sz w:val="20"/>
          <w:szCs w:val="20"/>
          <w:color w:val="auto"/>
        </w:rPr>
        <w:t>” means the Mortgage and Deed of Trust, dated as of September 1, 1945, among the Borrower, The Bank of New York Mellon (formerly Irving Trust Company) and Andres Serrano (successor to Philip L. Watson), Trustees.</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MPUC</w:t>
      </w:r>
      <w:r>
        <w:rPr>
          <w:rFonts w:ascii="Arial" w:cs="Arial" w:eastAsia="Arial" w:hAnsi="Arial"/>
          <w:sz w:val="19"/>
          <w:szCs w:val="19"/>
          <w:color w:val="auto"/>
        </w:rPr>
        <w:t>” means the Minnesota Public Utilities Commission or any Governmental Authority succeeding to the functions thereof.</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Multiemployer Plan</w:t>
      </w:r>
      <w:r>
        <w:rPr>
          <w:rFonts w:ascii="Arial" w:cs="Arial" w:eastAsia="Arial" w:hAnsi="Arial"/>
          <w:sz w:val="20"/>
          <w:szCs w:val="20"/>
          <w:color w:val="auto"/>
        </w:rPr>
        <w:t>” means a multiemployer plan as defined in Section 4001(a)(3) of ERISA.</w:t>
      </w:r>
    </w:p>
    <w:p>
      <w:pPr>
        <w:spacing w:after="0" w:line="18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Note</w:t>
      </w:r>
      <w:r>
        <w:rPr>
          <w:rFonts w:ascii="Arial" w:cs="Arial" w:eastAsia="Arial" w:hAnsi="Arial"/>
          <w:sz w:val="20"/>
          <w:szCs w:val="20"/>
          <w:color w:val="auto"/>
        </w:rPr>
        <w:t xml:space="preserve">” means a promissory note substantially in the form of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issued at the request of a Lender pursuant to </w:t>
      </w:r>
      <w:r>
        <w:rPr>
          <w:rFonts w:ascii="Arial" w:cs="Arial" w:eastAsia="Arial" w:hAnsi="Arial"/>
          <w:sz w:val="20"/>
          <w:szCs w:val="20"/>
          <w:u w:val="single" w:color="auto"/>
          <w:color w:val="auto"/>
        </w:rPr>
        <w:t>Section 2.3(e)</w:t>
      </w:r>
      <w:r>
        <w:rPr>
          <w:rFonts w:ascii="Arial" w:cs="Arial" w:eastAsia="Arial" w:hAnsi="Arial"/>
          <w:sz w:val="20"/>
          <w:szCs w:val="20"/>
          <w:color w:val="auto"/>
        </w:rPr>
        <w:t xml:space="preserve"> to evidence its Loans.</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NYFRB</w:t>
      </w:r>
      <w:r>
        <w:rPr>
          <w:rFonts w:ascii="Arial" w:cs="Arial" w:eastAsia="Arial" w:hAnsi="Arial"/>
          <w:sz w:val="20"/>
          <w:szCs w:val="20"/>
          <w:color w:val="auto"/>
        </w:rPr>
        <w:t>” means the Federal Reserve Bank of New York.</w:t>
      </w:r>
    </w:p>
    <w:p>
      <w:pPr>
        <w:spacing w:after="0" w:line="189"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NYFRB Rate</w:t>
      </w:r>
      <w:r>
        <w:rPr>
          <w:rFonts w:ascii="Arial" w:cs="Arial" w:eastAsia="Arial" w:hAnsi="Arial"/>
          <w:sz w:val="18"/>
          <w:szCs w:val="18"/>
          <w:color w:val="auto"/>
        </w:rPr>
        <w:t xml:space="preserve">” means, for any day, the greater of (a) the Federal Funds Effective Rate in effect on such day and (b) the Overnight Bank Funding Rate in effect on such day (or for any day that is not a Business Day, for the immediately preceding Business Day);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none of such rates are published for any day that is a Business Day, the term “</w:t>
      </w:r>
      <w:r>
        <w:rPr>
          <w:rFonts w:ascii="Arial" w:cs="Arial" w:eastAsia="Arial" w:hAnsi="Arial"/>
          <w:sz w:val="18"/>
          <w:szCs w:val="18"/>
          <w:u w:val="single" w:color="auto"/>
          <w:color w:val="auto"/>
        </w:rPr>
        <w:t>NYFRB Rate</w:t>
      </w:r>
      <w:r>
        <w:rPr>
          <w:rFonts w:ascii="Arial" w:cs="Arial" w:eastAsia="Arial" w:hAnsi="Arial"/>
          <w:sz w:val="18"/>
          <w:szCs w:val="18"/>
          <w:color w:val="auto"/>
        </w:rPr>
        <w:t xml:space="preserve">” means the rate for a federal funds transaction quoted at 11:00 a.m. on such day received by the Administrative Agent from a Federal funds broker of recognized standing selected by it; </w:t>
      </w:r>
      <w:r>
        <w:rPr>
          <w:rFonts w:ascii="Arial" w:cs="Arial" w:eastAsia="Arial" w:hAnsi="Arial"/>
          <w:sz w:val="18"/>
          <w:szCs w:val="18"/>
          <w:u w:val="single" w:color="auto"/>
          <w:color w:val="auto"/>
        </w:rPr>
        <w:t>provided, further</w:t>
      </w:r>
      <w:r>
        <w:rPr>
          <w:rFonts w:ascii="Arial" w:cs="Arial" w:eastAsia="Arial" w:hAnsi="Arial"/>
          <w:sz w:val="18"/>
          <w:szCs w:val="18"/>
          <w:color w:val="auto"/>
        </w:rPr>
        <w:t>, that if any of the aforesaid rates shall be less than zero, such rate shall be deemed to be zero for purposes of this Agreement.</w:t>
      </w:r>
    </w:p>
    <w:p>
      <w:pPr>
        <w:spacing w:after="0" w:line="13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Obligations</w:t>
      </w:r>
      <w:r>
        <w:rPr>
          <w:rFonts w:ascii="Arial" w:cs="Arial" w:eastAsia="Arial" w:hAnsi="Arial"/>
          <w:sz w:val="18"/>
          <w:szCs w:val="18"/>
          <w:color w:val="auto"/>
        </w:rPr>
        <w:t>” means (a) the due and punctual payment of (i) principal of and premium, if any, and interest (including interest accruing during the pendency of any bankruptcy, insolvency, receivership or other similar proceeding, regardless of whether allowed or allowable in such proceeding) on the Loans, when and as due, whether at maturity, by acceleration, upon one or more dates set for prepayment or otherwise,</w:t>
      </w:r>
    </w:p>
    <w:p>
      <w:pPr>
        <w:spacing w:after="0" w:line="1" w:lineRule="exact"/>
        <w:rPr>
          <w:sz w:val="20"/>
          <w:szCs w:val="20"/>
          <w:color w:val="auto"/>
        </w:rPr>
      </w:pPr>
    </w:p>
    <w:p>
      <w:pPr>
        <w:jc w:val="both"/>
        <w:ind w:firstLine="8"/>
        <w:spacing w:after="0" w:line="256" w:lineRule="auto"/>
        <w:tabs>
          <w:tab w:leader="none" w:pos="340" w:val="left"/>
        </w:tabs>
        <w:numPr>
          <w:ilvl w:val="0"/>
          <w:numId w:val="22"/>
        </w:numPr>
        <w:rPr>
          <w:rFonts w:ascii="Arial" w:cs="Arial" w:eastAsia="Arial" w:hAnsi="Arial"/>
          <w:sz w:val="19"/>
          <w:szCs w:val="19"/>
          <w:color w:val="auto"/>
        </w:rPr>
      </w:pPr>
      <w:r>
        <w:rPr>
          <w:rFonts w:ascii="Arial" w:cs="Arial" w:eastAsia="Arial" w:hAnsi="Arial"/>
          <w:sz w:val="19"/>
          <w:szCs w:val="19"/>
          <w:color w:val="auto"/>
        </w:rPr>
        <w:t>all other monetary obligations, including fees, commissions, costs, expenses and indemnities, whether primary, secondary, direct, contingent, fixed or otherwise (including monetary obligations incurred during the pendency of any bankruptcy, insolvency, receivership or other similar proceeding, regardless of whether allowed or allowable in such proceeding), of the Borrower to the Lenders, or that are otherwise payable to any Credit Party, in each case under the Loan Documents and (c) the due and punctual performance of all covenants, agreements, obligations and liabilities of the Borrower under or pursuant to the Loan Documents.</w:t>
      </w:r>
    </w:p>
    <w:p>
      <w:pPr>
        <w:sectPr>
          <w:pgSz w:w="11900" w:h="16838" w:orient="portrait"/>
          <w:cols w:equalWidth="0" w:num="1">
            <w:col w:w="11420"/>
          </w:cols>
          <w:pgMar w:left="240" w:top="337"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4</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OFAC</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4.15</w:t>
      </w:r>
      <w:r>
        <w:rPr>
          <w:rFonts w:ascii="Arial" w:cs="Arial" w:eastAsia="Arial" w:hAnsi="Arial"/>
          <w:sz w:val="20"/>
          <w:szCs w:val="20"/>
          <w:color w:val="auto"/>
        </w:rPr>
        <w:t>.</w:t>
      </w:r>
    </w:p>
    <w:p>
      <w:pPr>
        <w:spacing w:after="0" w:line="18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Connection Taxes</w:t>
      </w:r>
      <w:r>
        <w:rPr>
          <w:rFonts w:ascii="Arial" w:cs="Arial" w:eastAsia="Arial" w:hAnsi="Arial"/>
          <w:sz w:val="18"/>
          <w:szCs w:val="18"/>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3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Other Taxes</w:t>
      </w:r>
      <w:r>
        <w:rPr>
          <w:rFonts w:ascii="Arial" w:cs="Arial" w:eastAsia="Arial" w:hAnsi="Arial"/>
          <w:sz w:val="20"/>
          <w:szCs w:val="20"/>
          <w:color w:val="auto"/>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Overnight Bank Funding Rate</w:t>
      </w:r>
      <w:r>
        <w:rPr>
          <w:rFonts w:ascii="Arial" w:cs="Arial" w:eastAsia="Arial" w:hAnsi="Arial"/>
          <w:sz w:val="19"/>
          <w:szCs w:val="19"/>
          <w:color w:val="auto"/>
        </w:rPr>
        <w:t>” means, for any day, the rate comprised of both overnight federal funds and overnight eurodollar borrowings by U.S.-managed banking offices of depository institutions (as such composite rate shall be determined by the NYFRB as set forth on its public website from time to time) and published on the next succeeding Business Day by the NYFRB as an overnight bank funding rate (from and after such date as the NYFRB shall commence to publish such composite rate).</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10.4(d)</w:t>
      </w:r>
      <w:r>
        <w:rPr>
          <w:rFonts w:ascii="Arial" w:cs="Arial" w:eastAsia="Arial" w:hAnsi="Arial"/>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 Register</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10.4(d)</w:t>
      </w:r>
      <w:r>
        <w:rPr>
          <w:rFonts w:ascii="Arial" w:cs="Arial" w:eastAsia="Arial" w:hAnsi="Arial"/>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PATRIOT Act</w:t>
      </w:r>
      <w:r>
        <w:rPr>
          <w:rFonts w:ascii="Arial" w:cs="Arial" w:eastAsia="Arial" w:hAnsi="Arial"/>
          <w:sz w:val="20"/>
          <w:szCs w:val="20"/>
          <w:color w:val="auto"/>
        </w:rPr>
        <w:t>” means the USA PATRIOT Act (Title III of Pub. L. 107-56 (signed into law October 26, 2001)).</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PBGC</w:t>
      </w:r>
      <w:r>
        <w:rPr>
          <w:rFonts w:ascii="Arial" w:cs="Arial" w:eastAsia="Arial" w:hAnsi="Arial"/>
          <w:sz w:val="20"/>
          <w:szCs w:val="20"/>
          <w:color w:val="auto"/>
        </w:rPr>
        <w:t>” means the Pension Benefit Guaranty Corporation referred to and defined in ERISA.</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Encumbrances</w:t>
      </w:r>
      <w:r>
        <w:rPr>
          <w:rFonts w:ascii="Arial" w:cs="Arial" w:eastAsia="Arial" w:hAnsi="Arial"/>
          <w:sz w:val="20"/>
          <w:szCs w:val="20"/>
          <w:color w:val="auto"/>
        </w:rPr>
        <w:t>” means:</w:t>
      </w:r>
    </w:p>
    <w:p>
      <w:pPr>
        <w:spacing w:after="0" w:line="202" w:lineRule="exact"/>
        <w:rPr>
          <w:sz w:val="20"/>
          <w:szCs w:val="20"/>
          <w:color w:val="auto"/>
        </w:rPr>
      </w:pPr>
    </w:p>
    <w:p>
      <w:pPr>
        <w:ind w:left="660" w:hanging="4"/>
        <w:spacing w:after="0" w:line="347" w:lineRule="auto"/>
        <w:tabs>
          <w:tab w:leader="none" w:pos="1508" w:val="left"/>
        </w:tabs>
        <w:numPr>
          <w:ilvl w:val="0"/>
          <w:numId w:val="23"/>
        </w:numPr>
        <w:rPr>
          <w:rFonts w:ascii="Arial" w:cs="Arial" w:eastAsia="Arial" w:hAnsi="Arial"/>
          <w:sz w:val="16"/>
          <w:szCs w:val="16"/>
          <w:color w:val="auto"/>
        </w:rPr>
      </w:pPr>
      <w:r>
        <w:rPr>
          <w:rFonts w:ascii="Arial" w:cs="Arial" w:eastAsia="Arial" w:hAnsi="Arial"/>
          <w:sz w:val="18"/>
          <w:szCs w:val="18"/>
          <w:color w:val="auto"/>
        </w:rPr>
        <w:t xml:space="preserve">Liens imposed by law for taxes, assessments or similar charges incurred in the ordinary course of business that are not yet due or are being contested in compliance with </w:t>
      </w:r>
      <w:r>
        <w:rPr>
          <w:rFonts w:ascii="Arial" w:cs="Arial" w:eastAsia="Arial" w:hAnsi="Arial"/>
          <w:sz w:val="18"/>
          <w:szCs w:val="18"/>
          <w:u w:val="single" w:color="auto"/>
          <w:color w:val="auto"/>
        </w:rPr>
        <w:t>Section 6.4</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enforcement of such Liens is stayed pending such contest;</w:t>
      </w:r>
    </w:p>
    <w:p>
      <w:pPr>
        <w:spacing w:after="0" w:line="144" w:lineRule="exact"/>
        <w:rPr>
          <w:rFonts w:ascii="Arial" w:cs="Arial" w:eastAsia="Arial" w:hAnsi="Arial"/>
          <w:sz w:val="16"/>
          <w:szCs w:val="16"/>
          <w:color w:val="auto"/>
        </w:rPr>
      </w:pPr>
    </w:p>
    <w:p>
      <w:pPr>
        <w:jc w:val="both"/>
        <w:ind w:firstLine="656"/>
        <w:spacing w:after="0" w:line="278" w:lineRule="auto"/>
        <w:tabs>
          <w:tab w:leader="none" w:pos="1506" w:val="left"/>
        </w:tabs>
        <w:numPr>
          <w:ilvl w:val="0"/>
          <w:numId w:val="23"/>
        </w:numPr>
        <w:rPr>
          <w:rFonts w:ascii="Arial" w:cs="Arial" w:eastAsia="Arial" w:hAnsi="Arial"/>
          <w:sz w:val="18"/>
          <w:szCs w:val="18"/>
          <w:color w:val="auto"/>
        </w:rPr>
      </w:pPr>
      <w:r>
        <w:rPr>
          <w:rFonts w:ascii="Arial" w:cs="Arial" w:eastAsia="Arial" w:hAnsi="Arial"/>
          <w:sz w:val="20"/>
          <w:szCs w:val="20"/>
          <w:color w:val="auto"/>
        </w:rPr>
        <w:t xml:space="preserve">landlords’, vendors’, carriers’, warehousemen’s, mechanics’, materialmen’s, contractors’, repairmen’s and other like Liens imposed by law, arising in the ordinary course of business and securing obligations which are not delinquent or are being contested,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enforcement of such Liens is stayed pending such contest;</w:t>
      </w:r>
    </w:p>
    <w:p>
      <w:pPr>
        <w:spacing w:after="0" w:line="200" w:lineRule="exact"/>
        <w:rPr>
          <w:rFonts w:ascii="Arial" w:cs="Arial" w:eastAsia="Arial" w:hAnsi="Arial"/>
          <w:sz w:val="18"/>
          <w:szCs w:val="18"/>
          <w:color w:val="auto"/>
        </w:rPr>
      </w:pPr>
    </w:p>
    <w:p>
      <w:pPr>
        <w:ind w:firstLine="656"/>
        <w:spacing w:after="0" w:line="289" w:lineRule="auto"/>
        <w:tabs>
          <w:tab w:leader="none" w:pos="1496" w:val="left"/>
        </w:tabs>
        <w:numPr>
          <w:ilvl w:val="0"/>
          <w:numId w:val="23"/>
        </w:numPr>
        <w:rPr>
          <w:rFonts w:ascii="Arial" w:cs="Arial" w:eastAsia="Arial" w:hAnsi="Arial"/>
          <w:sz w:val="18"/>
          <w:szCs w:val="18"/>
          <w:color w:val="auto"/>
        </w:rPr>
      </w:pPr>
      <w:r>
        <w:rPr>
          <w:rFonts w:ascii="Arial" w:cs="Arial" w:eastAsia="Arial" w:hAnsi="Arial"/>
          <w:sz w:val="20"/>
          <w:szCs w:val="20"/>
          <w:color w:val="auto"/>
        </w:rPr>
        <w:t>pledges and deposits made in the ordinary course of business in compliance with workers’ compensation, unemployment insurance and other social security laws or regulations (but not ERISA);</w:t>
      </w:r>
    </w:p>
    <w:p>
      <w:pPr>
        <w:spacing w:after="0" w:line="188" w:lineRule="exact"/>
        <w:rPr>
          <w:rFonts w:ascii="Arial" w:cs="Arial" w:eastAsia="Arial" w:hAnsi="Arial"/>
          <w:sz w:val="18"/>
          <w:szCs w:val="18"/>
          <w:color w:val="auto"/>
        </w:rPr>
      </w:pPr>
    </w:p>
    <w:p>
      <w:pPr>
        <w:jc w:val="both"/>
        <w:ind w:firstLine="656"/>
        <w:spacing w:after="0" w:line="299" w:lineRule="auto"/>
        <w:tabs>
          <w:tab w:leader="none" w:pos="1506" w:val="left"/>
        </w:tabs>
        <w:numPr>
          <w:ilvl w:val="0"/>
          <w:numId w:val="23"/>
        </w:numPr>
        <w:rPr>
          <w:rFonts w:ascii="Arial" w:cs="Arial" w:eastAsia="Arial" w:hAnsi="Arial"/>
          <w:sz w:val="17"/>
          <w:szCs w:val="17"/>
          <w:color w:val="auto"/>
        </w:rPr>
      </w:pPr>
      <w:r>
        <w:rPr>
          <w:rFonts w:ascii="Arial" w:cs="Arial" w:eastAsia="Arial" w:hAnsi="Arial"/>
          <w:sz w:val="19"/>
          <w:szCs w:val="19"/>
          <w:color w:val="auto"/>
        </w:rPr>
        <w:t>pledges and deposits to secure the performance of bids, trade contracts, leases, purchase agreements, government contracts, statutory obligations, surety and appeal bonds, performance bonds and other obligations of a like nature, in each case in the ordinary course of business, and other than promissory notes and contracts for the repayment of borrowed money;</w:t>
      </w:r>
    </w:p>
    <w:p>
      <w:pPr>
        <w:spacing w:after="0" w:line="182" w:lineRule="exact"/>
        <w:rPr>
          <w:rFonts w:ascii="Arial" w:cs="Arial" w:eastAsia="Arial" w:hAnsi="Arial"/>
          <w:sz w:val="17"/>
          <w:szCs w:val="17"/>
          <w:color w:val="auto"/>
        </w:rPr>
      </w:pPr>
    </w:p>
    <w:p>
      <w:pPr>
        <w:jc w:val="both"/>
        <w:ind w:firstLine="656"/>
        <w:spacing w:after="0" w:line="273" w:lineRule="auto"/>
        <w:tabs>
          <w:tab w:leader="none" w:pos="1496" w:val="left"/>
        </w:tabs>
        <w:numPr>
          <w:ilvl w:val="0"/>
          <w:numId w:val="23"/>
        </w:numPr>
        <w:rPr>
          <w:rFonts w:ascii="Arial" w:cs="Arial" w:eastAsia="Arial" w:hAnsi="Arial"/>
          <w:sz w:val="18"/>
          <w:szCs w:val="18"/>
          <w:color w:val="auto"/>
        </w:rPr>
      </w:pPr>
      <w:r>
        <w:rPr>
          <w:rFonts w:ascii="Arial" w:cs="Arial" w:eastAsia="Arial" w:hAnsi="Arial"/>
          <w:sz w:val="20"/>
          <w:szCs w:val="20"/>
          <w:color w:val="auto"/>
        </w:rPr>
        <w:t>Liens (including contractual security interests) in favor of a financial institution (including securities firms) encumbering deposit accounts or checks or instruments for collection, commodity accounts or securities accounts (including the right of set-off) at or held by such financial institution in the ordinary course of its commercial business and which secure only liabilities owed to such financial institution arising out of or resulting from its maintenance of such account or otherwise are within the general parameters customary in the financial industry;</w:t>
      </w:r>
    </w:p>
    <w:p>
      <w:pPr>
        <w:spacing w:after="0" w:line="204" w:lineRule="exact"/>
        <w:rPr>
          <w:rFonts w:ascii="Arial" w:cs="Arial" w:eastAsia="Arial" w:hAnsi="Arial"/>
          <w:sz w:val="18"/>
          <w:szCs w:val="18"/>
          <w:color w:val="auto"/>
        </w:rPr>
      </w:pPr>
    </w:p>
    <w:p>
      <w:pPr>
        <w:ind w:left="1480" w:hanging="824"/>
        <w:spacing w:after="0"/>
        <w:tabs>
          <w:tab w:leader="none" w:pos="1480" w:val="left"/>
        </w:tabs>
        <w:numPr>
          <w:ilvl w:val="0"/>
          <w:numId w:val="23"/>
        </w:numPr>
        <w:rPr>
          <w:rFonts w:ascii="Arial" w:cs="Arial" w:eastAsia="Arial" w:hAnsi="Arial"/>
          <w:sz w:val="17"/>
          <w:szCs w:val="17"/>
          <w:color w:val="auto"/>
        </w:rPr>
      </w:pPr>
      <w:r>
        <w:rPr>
          <w:rFonts w:ascii="Arial" w:cs="Arial" w:eastAsia="Arial" w:hAnsi="Arial"/>
          <w:sz w:val="19"/>
          <w:szCs w:val="19"/>
          <w:color w:val="auto"/>
        </w:rPr>
        <w:t xml:space="preserve">judgment liens in respect of judgments that do not constitute an Event of Default under </w:t>
      </w:r>
      <w:r>
        <w:rPr>
          <w:rFonts w:ascii="Arial" w:cs="Arial" w:eastAsia="Arial" w:hAnsi="Arial"/>
          <w:sz w:val="19"/>
          <w:szCs w:val="19"/>
          <w:u w:val="single" w:color="auto"/>
          <w:color w:val="auto"/>
        </w:rPr>
        <w:t>paragraph (k)</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Article 8</w:t>
      </w:r>
      <w:r>
        <w:rPr>
          <w:rFonts w:ascii="Arial" w:cs="Arial" w:eastAsia="Arial" w:hAnsi="Arial"/>
          <w:sz w:val="19"/>
          <w:szCs w:val="19"/>
          <w:color w:val="auto"/>
        </w:rPr>
        <w:t>;</w:t>
      </w:r>
    </w:p>
    <w:p>
      <w:pPr>
        <w:sectPr>
          <w:pgSz w:w="11900" w:h="16838" w:orient="portrait"/>
          <w:cols w:equalWidth="0" w:num="1">
            <w:col w:w="11420"/>
          </w:cols>
          <w:pgMar w:left="240" w:top="337"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4</w:t>
      </w:r>
    </w:p>
    <w:p>
      <w:pPr>
        <w:spacing w:after="0" w:line="267" w:lineRule="exact"/>
        <w:rPr>
          <w:sz w:val="20"/>
          <w:szCs w:val="20"/>
          <w:color w:val="auto"/>
        </w:rPr>
      </w:pPr>
    </w:p>
    <w:p>
      <w:pPr>
        <w:ind w:firstLine="656"/>
        <w:spacing w:after="0" w:line="289" w:lineRule="auto"/>
        <w:tabs>
          <w:tab w:leader="none" w:pos="1506" w:val="left"/>
        </w:tabs>
        <w:numPr>
          <w:ilvl w:val="0"/>
          <w:numId w:val="24"/>
        </w:numPr>
        <w:rPr>
          <w:rFonts w:ascii="Arial" w:cs="Arial" w:eastAsia="Arial" w:hAnsi="Arial"/>
          <w:sz w:val="18"/>
          <w:szCs w:val="18"/>
          <w:color w:val="auto"/>
        </w:rPr>
      </w:pPr>
      <w:r>
        <w:rPr>
          <w:rFonts w:ascii="Arial" w:cs="Arial" w:eastAsia="Arial" w:hAnsi="Arial"/>
          <w:sz w:val="20"/>
          <w:szCs w:val="20"/>
          <w:color w:val="auto"/>
        </w:rPr>
        <w:t>any interest of a lessor or licensor in property under an operating lease under which the Borrower or any Subsidiary is lessee or licensee, and any restriction or encumbrance to which the interest of such lessor or licensor is subject;</w:t>
      </w:r>
    </w:p>
    <w:p>
      <w:pPr>
        <w:spacing w:after="0" w:line="188" w:lineRule="exact"/>
        <w:rPr>
          <w:rFonts w:ascii="Arial" w:cs="Arial" w:eastAsia="Arial" w:hAnsi="Arial"/>
          <w:sz w:val="18"/>
          <w:szCs w:val="18"/>
          <w:color w:val="auto"/>
        </w:rPr>
      </w:pPr>
    </w:p>
    <w:p>
      <w:pPr>
        <w:ind w:left="1520" w:hanging="864"/>
        <w:spacing w:after="0"/>
        <w:tabs>
          <w:tab w:leader="none" w:pos="1520" w:val="left"/>
        </w:tabs>
        <w:numPr>
          <w:ilvl w:val="0"/>
          <w:numId w:val="24"/>
        </w:numPr>
        <w:rPr>
          <w:rFonts w:ascii="Arial" w:cs="Arial" w:eastAsia="Arial" w:hAnsi="Arial"/>
          <w:sz w:val="18"/>
          <w:szCs w:val="18"/>
          <w:color w:val="auto"/>
        </w:rPr>
      </w:pPr>
      <w:r>
        <w:rPr>
          <w:rFonts w:ascii="Arial" w:cs="Arial" w:eastAsia="Arial" w:hAnsi="Arial"/>
          <w:sz w:val="20"/>
          <w:szCs w:val="20"/>
          <w:color w:val="auto"/>
        </w:rPr>
        <w:t>Liens arising from filed UCC-1 financing statements relating solely to leases not prohibited by this Agreement;</w:t>
      </w:r>
    </w:p>
    <w:p>
      <w:pPr>
        <w:spacing w:after="0" w:line="256" w:lineRule="exact"/>
        <w:rPr>
          <w:rFonts w:ascii="Arial" w:cs="Arial" w:eastAsia="Arial" w:hAnsi="Arial"/>
          <w:sz w:val="18"/>
          <w:szCs w:val="18"/>
          <w:color w:val="auto"/>
        </w:rPr>
      </w:pPr>
    </w:p>
    <w:p>
      <w:pPr>
        <w:ind w:firstLine="656"/>
        <w:spacing w:after="0" w:line="289" w:lineRule="auto"/>
        <w:tabs>
          <w:tab w:leader="none" w:pos="1466" w:val="left"/>
        </w:tabs>
        <w:numPr>
          <w:ilvl w:val="0"/>
          <w:numId w:val="24"/>
        </w:numPr>
        <w:rPr>
          <w:rFonts w:ascii="Arial" w:cs="Arial" w:eastAsia="Arial" w:hAnsi="Arial"/>
          <w:sz w:val="18"/>
          <w:szCs w:val="18"/>
          <w:color w:val="auto"/>
        </w:rPr>
      </w:pPr>
      <w:r>
        <w:rPr>
          <w:rFonts w:ascii="Arial" w:cs="Arial" w:eastAsia="Arial" w:hAnsi="Arial"/>
          <w:sz w:val="20"/>
          <w:szCs w:val="20"/>
          <w:color w:val="auto"/>
        </w:rPr>
        <w:t>leases or subleases granted to others that do not materially interfere with the ordinary conduct of business of the Borrower and its Subsidiaries;</w:t>
      </w:r>
    </w:p>
    <w:p>
      <w:pPr>
        <w:spacing w:after="0" w:line="188" w:lineRule="exact"/>
        <w:rPr>
          <w:rFonts w:ascii="Arial" w:cs="Arial" w:eastAsia="Arial" w:hAnsi="Arial"/>
          <w:sz w:val="18"/>
          <w:szCs w:val="18"/>
          <w:color w:val="auto"/>
        </w:rPr>
      </w:pPr>
    </w:p>
    <w:p>
      <w:pPr>
        <w:ind w:right="20" w:firstLine="656"/>
        <w:spacing w:after="0" w:line="289" w:lineRule="auto"/>
        <w:tabs>
          <w:tab w:leader="none" w:pos="1466" w:val="left"/>
        </w:tabs>
        <w:numPr>
          <w:ilvl w:val="0"/>
          <w:numId w:val="24"/>
        </w:numPr>
        <w:rPr>
          <w:rFonts w:ascii="Arial" w:cs="Arial" w:eastAsia="Arial" w:hAnsi="Arial"/>
          <w:sz w:val="18"/>
          <w:szCs w:val="18"/>
          <w:color w:val="auto"/>
        </w:rPr>
      </w:pPr>
      <w:r>
        <w:rPr>
          <w:rFonts w:ascii="Arial" w:cs="Arial" w:eastAsia="Arial" w:hAnsi="Arial"/>
          <w:sz w:val="20"/>
          <w:szCs w:val="20"/>
          <w:color w:val="auto"/>
        </w:rPr>
        <w:t>licenses of Intellectual Property granted by the Borrower or any Subsidiary in the ordinary course of business and not materially interfering with the ordinary conduct of the business of the Borrower and its Subsidiaries;</w:t>
      </w:r>
    </w:p>
    <w:p>
      <w:pPr>
        <w:spacing w:after="0" w:line="188" w:lineRule="exact"/>
        <w:rPr>
          <w:rFonts w:ascii="Arial" w:cs="Arial" w:eastAsia="Arial" w:hAnsi="Arial"/>
          <w:sz w:val="18"/>
          <w:szCs w:val="18"/>
          <w:color w:val="auto"/>
        </w:rPr>
      </w:pPr>
    </w:p>
    <w:p>
      <w:pPr>
        <w:jc w:val="both"/>
        <w:ind w:firstLine="656"/>
        <w:spacing w:after="0" w:line="293" w:lineRule="auto"/>
        <w:tabs>
          <w:tab w:leader="none" w:pos="1506" w:val="left"/>
        </w:tabs>
        <w:numPr>
          <w:ilvl w:val="0"/>
          <w:numId w:val="24"/>
        </w:numPr>
        <w:rPr>
          <w:rFonts w:ascii="Arial" w:cs="Arial" w:eastAsia="Arial" w:hAnsi="Arial"/>
          <w:sz w:val="17"/>
          <w:szCs w:val="17"/>
          <w:color w:val="auto"/>
        </w:rPr>
      </w:pPr>
      <w:r>
        <w:rPr>
          <w:rFonts w:ascii="Arial" w:cs="Arial" w:eastAsia="Arial" w:hAnsi="Arial"/>
          <w:sz w:val="19"/>
          <w:szCs w:val="19"/>
          <w:color w:val="auto"/>
        </w:rPr>
        <w:t>easements, servitudes (contractual and legal), zoning restrictions, rights of way, encroachments, minor defects and irregularities in title and other similar encumbrances on real property imposed by law or arising in the ordinary course of business that do not secure any monetary obligations and do not render title to such property unmarketable or materially interfere with the ability of the Borrower and its Subsidiaries, as the case may be, to utilize their respective properties for their intended purposes;</w:t>
      </w:r>
    </w:p>
    <w:p>
      <w:pPr>
        <w:spacing w:after="0" w:line="189" w:lineRule="exact"/>
        <w:rPr>
          <w:rFonts w:ascii="Arial" w:cs="Arial" w:eastAsia="Arial" w:hAnsi="Arial"/>
          <w:sz w:val="17"/>
          <w:szCs w:val="17"/>
          <w:color w:val="auto"/>
        </w:rPr>
      </w:pPr>
    </w:p>
    <w:p>
      <w:pPr>
        <w:jc w:val="both"/>
        <w:ind w:firstLine="656"/>
        <w:spacing w:after="0" w:line="273" w:lineRule="auto"/>
        <w:tabs>
          <w:tab w:leader="none" w:pos="1466" w:val="left"/>
        </w:tabs>
        <w:numPr>
          <w:ilvl w:val="0"/>
          <w:numId w:val="24"/>
        </w:numPr>
        <w:rPr>
          <w:rFonts w:ascii="Arial" w:cs="Arial" w:eastAsia="Arial" w:hAnsi="Arial"/>
          <w:sz w:val="18"/>
          <w:szCs w:val="18"/>
          <w:color w:val="auto"/>
        </w:rPr>
      </w:pPr>
      <w:r>
        <w:rPr>
          <w:rFonts w:ascii="Arial" w:cs="Arial" w:eastAsia="Arial" w:hAnsi="Arial"/>
          <w:sz w:val="20"/>
          <w:szCs w:val="20"/>
          <w:color w:val="auto"/>
        </w:rPr>
        <w:t>Liens securing obligations, neither assumed by the Borrower or any Subsidiary nor on account of which the Borrower or any Subsidiary customarily pays interest, upon real estate on which the Borrower or any Subsidiary has a right-of-way, easement, franchise or other servitude or of which the Borrower or any Subsidiary is the lessee, for the purpose of locating transmission and distribution lines and related support structures, pipe lines, substations, measuring stations, tanks, pumping or delivery equipment or similar equipment, or service buildings incidental to any of the foregoing;</w:t>
      </w:r>
    </w:p>
    <w:p>
      <w:pPr>
        <w:spacing w:after="0" w:line="204" w:lineRule="exact"/>
        <w:rPr>
          <w:rFonts w:ascii="Arial" w:cs="Arial" w:eastAsia="Arial" w:hAnsi="Arial"/>
          <w:sz w:val="18"/>
          <w:szCs w:val="18"/>
          <w:color w:val="auto"/>
        </w:rPr>
      </w:pPr>
    </w:p>
    <w:p>
      <w:pPr>
        <w:jc w:val="both"/>
        <w:ind w:firstLine="656"/>
        <w:spacing w:after="0" w:line="274" w:lineRule="auto"/>
        <w:tabs>
          <w:tab w:leader="none" w:pos="1556" w:val="left"/>
        </w:tabs>
        <w:numPr>
          <w:ilvl w:val="0"/>
          <w:numId w:val="24"/>
        </w:numPr>
        <w:rPr>
          <w:rFonts w:ascii="Arial" w:cs="Arial" w:eastAsia="Arial" w:hAnsi="Arial"/>
          <w:sz w:val="18"/>
          <w:szCs w:val="18"/>
          <w:color w:val="auto"/>
        </w:rPr>
      </w:pPr>
      <w:r>
        <w:rPr>
          <w:rFonts w:ascii="Arial" w:cs="Arial" w:eastAsia="Arial" w:hAnsi="Arial"/>
          <w:sz w:val="20"/>
          <w:szCs w:val="20"/>
          <w:color w:val="auto"/>
        </w:rPr>
        <w:t>Liens with respect to properties involved in the production of oil, gas and other minerals, unitization and pooling agreements and orders, operating agreements, royalties, reversionary interests, preferential purchase rights, farmout agreements, gas balancing agreements and other agreements, in each case that are customary in the oil, gas and mineral production business in the general area of such property and that are entered into in the ordinary course of business;</w:t>
      </w:r>
    </w:p>
    <w:p>
      <w:pPr>
        <w:spacing w:after="0" w:line="205" w:lineRule="exact"/>
        <w:rPr>
          <w:rFonts w:ascii="Arial" w:cs="Arial" w:eastAsia="Arial" w:hAnsi="Arial"/>
          <w:sz w:val="18"/>
          <w:szCs w:val="18"/>
          <w:color w:val="auto"/>
        </w:rPr>
      </w:pPr>
    </w:p>
    <w:p>
      <w:pPr>
        <w:jc w:val="both"/>
        <w:ind w:right="20" w:firstLine="656"/>
        <w:spacing w:after="0" w:line="278" w:lineRule="auto"/>
        <w:tabs>
          <w:tab w:leader="none" w:pos="1506" w:val="left"/>
        </w:tabs>
        <w:numPr>
          <w:ilvl w:val="0"/>
          <w:numId w:val="24"/>
        </w:numPr>
        <w:rPr>
          <w:rFonts w:ascii="Arial" w:cs="Arial" w:eastAsia="Arial" w:hAnsi="Arial"/>
          <w:sz w:val="18"/>
          <w:szCs w:val="18"/>
          <w:color w:val="auto"/>
        </w:rPr>
      </w:pPr>
      <w:r>
        <w:rPr>
          <w:rFonts w:ascii="Arial" w:cs="Arial" w:eastAsia="Arial" w:hAnsi="Arial"/>
          <w:sz w:val="20"/>
          <w:szCs w:val="20"/>
          <w:color w:val="auto"/>
        </w:rPr>
        <w:t>Liens in favor of Governmental Authorities encumbering assets acquired in connection with a government grant program, and the right reserved to, or vested in, any Governmental Authority by the terms of any right, power, franchise, grant, license, or permit, or by any provision of law, to purchase, condemn, recapture or designate a purchaser of any property;</w:t>
      </w:r>
    </w:p>
    <w:p>
      <w:pPr>
        <w:spacing w:after="0" w:line="200" w:lineRule="exact"/>
        <w:rPr>
          <w:rFonts w:ascii="Arial" w:cs="Arial" w:eastAsia="Arial" w:hAnsi="Arial"/>
          <w:sz w:val="18"/>
          <w:szCs w:val="18"/>
          <w:color w:val="auto"/>
        </w:rPr>
      </w:pPr>
    </w:p>
    <w:p>
      <w:pPr>
        <w:ind w:left="1520" w:hanging="864"/>
        <w:spacing w:after="0"/>
        <w:tabs>
          <w:tab w:leader="none" w:pos="1520" w:val="left"/>
        </w:tabs>
        <w:numPr>
          <w:ilvl w:val="0"/>
          <w:numId w:val="24"/>
        </w:numPr>
        <w:rPr>
          <w:rFonts w:ascii="Arial" w:cs="Arial" w:eastAsia="Arial" w:hAnsi="Arial"/>
          <w:sz w:val="18"/>
          <w:szCs w:val="18"/>
          <w:color w:val="auto"/>
        </w:rPr>
      </w:pPr>
      <w:r>
        <w:rPr>
          <w:rFonts w:ascii="Arial" w:cs="Arial" w:eastAsia="Arial" w:hAnsi="Arial"/>
          <w:sz w:val="20"/>
          <w:szCs w:val="20"/>
          <w:color w:val="auto"/>
        </w:rPr>
        <w:t>Liens on Margin Stock to the extent that a prohibition on such Liens would violate Regulation U;</w:t>
      </w:r>
    </w:p>
    <w:p>
      <w:pPr>
        <w:spacing w:after="0" w:line="256" w:lineRule="exact"/>
        <w:rPr>
          <w:rFonts w:ascii="Arial" w:cs="Arial" w:eastAsia="Arial" w:hAnsi="Arial"/>
          <w:sz w:val="18"/>
          <w:szCs w:val="18"/>
          <w:color w:val="auto"/>
        </w:rPr>
      </w:pPr>
    </w:p>
    <w:p>
      <w:pPr>
        <w:jc w:val="both"/>
        <w:ind w:firstLine="656"/>
        <w:spacing w:after="0" w:line="278" w:lineRule="auto"/>
        <w:tabs>
          <w:tab w:leader="none" w:pos="1506" w:val="left"/>
        </w:tabs>
        <w:numPr>
          <w:ilvl w:val="0"/>
          <w:numId w:val="24"/>
        </w:numPr>
        <w:rPr>
          <w:rFonts w:ascii="Arial" w:cs="Arial" w:eastAsia="Arial" w:hAnsi="Arial"/>
          <w:sz w:val="18"/>
          <w:szCs w:val="18"/>
          <w:color w:val="auto"/>
        </w:rPr>
      </w:pPr>
      <w:r>
        <w:rPr>
          <w:rFonts w:ascii="Arial" w:cs="Arial" w:eastAsia="Arial" w:hAnsi="Arial"/>
          <w:sz w:val="20"/>
          <w:szCs w:val="20"/>
          <w:color w:val="auto"/>
        </w:rPr>
        <w:t>Liens on any cash collateral for letters of credit issued under the Borrower’s primary revolving credit facility upon the occurrence of an event of default thereunder or to cover an issuing lender’s credit exposure under such facility with respect to a defaulting lender thereunder;</w:t>
      </w:r>
    </w:p>
    <w:p>
      <w:pPr>
        <w:spacing w:after="0" w:line="200" w:lineRule="exact"/>
        <w:rPr>
          <w:rFonts w:ascii="Arial" w:cs="Arial" w:eastAsia="Arial" w:hAnsi="Arial"/>
          <w:sz w:val="18"/>
          <w:szCs w:val="18"/>
          <w:color w:val="auto"/>
        </w:rPr>
      </w:pPr>
    </w:p>
    <w:p>
      <w:pPr>
        <w:ind w:firstLine="656"/>
        <w:spacing w:after="0" w:line="289" w:lineRule="auto"/>
        <w:tabs>
          <w:tab w:leader="none" w:pos="1506" w:val="left"/>
        </w:tabs>
        <w:numPr>
          <w:ilvl w:val="0"/>
          <w:numId w:val="24"/>
        </w:numPr>
        <w:rPr>
          <w:rFonts w:ascii="Arial" w:cs="Arial" w:eastAsia="Arial" w:hAnsi="Arial"/>
          <w:sz w:val="18"/>
          <w:szCs w:val="18"/>
          <w:color w:val="auto"/>
        </w:rPr>
      </w:pPr>
      <w:r>
        <w:rPr>
          <w:rFonts w:ascii="Arial" w:cs="Arial" w:eastAsia="Arial" w:hAnsi="Arial"/>
          <w:sz w:val="20"/>
          <w:szCs w:val="20"/>
          <w:color w:val="auto"/>
        </w:rPr>
        <w:t>customary Liens for the fees and expenses of trustees and escrow agents pursuant to any indenture, escrow agreement or similar agreement establishing a trust or escrow arrangement;</w:t>
      </w:r>
    </w:p>
    <w:p>
      <w:pPr>
        <w:spacing w:after="0" w:line="188" w:lineRule="exact"/>
        <w:rPr>
          <w:rFonts w:ascii="Arial" w:cs="Arial" w:eastAsia="Arial" w:hAnsi="Arial"/>
          <w:sz w:val="18"/>
          <w:szCs w:val="18"/>
          <w:color w:val="auto"/>
        </w:rPr>
      </w:pPr>
    </w:p>
    <w:p>
      <w:pPr>
        <w:jc w:val="both"/>
        <w:ind w:firstLine="656"/>
        <w:spacing w:after="0" w:line="322" w:lineRule="auto"/>
        <w:tabs>
          <w:tab w:leader="none" w:pos="1476" w:val="left"/>
        </w:tabs>
        <w:numPr>
          <w:ilvl w:val="0"/>
          <w:numId w:val="24"/>
        </w:numPr>
        <w:rPr>
          <w:rFonts w:ascii="Arial" w:cs="Arial" w:eastAsia="Arial" w:hAnsi="Arial"/>
          <w:sz w:val="16"/>
          <w:szCs w:val="16"/>
          <w:color w:val="auto"/>
        </w:rPr>
      </w:pPr>
      <w:r>
        <w:rPr>
          <w:rFonts w:ascii="Arial" w:cs="Arial" w:eastAsia="Arial" w:hAnsi="Arial"/>
          <w:sz w:val="18"/>
          <w:szCs w:val="18"/>
          <w:color w:val="auto"/>
        </w:rPr>
        <w:t>agreements for and obligations (other than repayment of borrowed money) relating to the joint or common ownership, operation, and use of property, including Liens under joint venture or similar agreements securing obligations incurred in the conduct of operations or consisting of a purchase option, call or right of first refusal with respect to the Equity Interests in such jointly owned Person; and</w:t>
      </w:r>
    </w:p>
    <w:p>
      <w:pPr>
        <w:sectPr>
          <w:pgSz w:w="11900" w:h="16838" w:orient="portrait"/>
          <w:cols w:equalWidth="0" w:num="1">
            <w:col w:w="11420"/>
          </w:cols>
          <w:pgMar w:left="240" w:top="337"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4</w:t>
      </w:r>
    </w:p>
    <w:p>
      <w:pPr>
        <w:spacing w:after="0" w:line="267" w:lineRule="exact"/>
        <w:rPr>
          <w:sz w:val="20"/>
          <w:szCs w:val="20"/>
          <w:color w:val="auto"/>
        </w:rPr>
      </w:pPr>
    </w:p>
    <w:p>
      <w:pPr>
        <w:jc w:val="both"/>
        <w:ind w:firstLine="656"/>
        <w:spacing w:after="0" w:line="278" w:lineRule="auto"/>
        <w:tabs>
          <w:tab w:leader="none" w:pos="1505" w:val="left"/>
        </w:tabs>
        <w:numPr>
          <w:ilvl w:val="0"/>
          <w:numId w:val="25"/>
        </w:numPr>
        <w:rPr>
          <w:rFonts w:ascii="Arial" w:cs="Arial" w:eastAsia="Arial" w:hAnsi="Arial"/>
          <w:sz w:val="20"/>
          <w:szCs w:val="20"/>
          <w:color w:val="auto"/>
        </w:rPr>
      </w:pPr>
      <w:r>
        <w:rPr>
          <w:rFonts w:ascii="Arial" w:cs="Arial" w:eastAsia="Arial" w:hAnsi="Arial"/>
          <w:sz w:val="20"/>
          <w:szCs w:val="20"/>
          <w:color w:val="auto"/>
        </w:rPr>
        <w:t>Liens granted on cash or invested funds constituting proceeds of any sale or disposition of property deposited into escrow accounts to secure indemnification, adjustment of purchase price or similar obligations incurred in connection with such sale or disposition, in an amount not to exceed the amount of gross proceeds received from such sale or disposition.</w:t>
      </w:r>
    </w:p>
    <w:p>
      <w:pPr>
        <w:spacing w:after="0" w:line="18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Hedge Agreement</w:t>
      </w:r>
      <w:r>
        <w:rPr>
          <w:rFonts w:ascii="Arial" w:cs="Arial" w:eastAsia="Arial" w:hAnsi="Arial"/>
          <w:sz w:val="20"/>
          <w:szCs w:val="20"/>
          <w:color w:val="auto"/>
        </w:rPr>
        <w:t>” means any Hedge Agreement engaged in by a Person as part of its normal business operations with the purpose and effect of hedging and protecting such Person against fluctuations or adverse changes in the prices of electricity, gas, fuel or other commodities, interest rates or currency exchange rates, which Hedge Agreement is part of a risk management strategy and not for purposes of speculation and not intended primarily as a borrowing of funds.</w:t>
      </w:r>
    </w:p>
    <w:p>
      <w:pPr>
        <w:spacing w:after="0" w:line="165"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Person</w:t>
      </w:r>
      <w:r>
        <w:rPr>
          <w:rFonts w:ascii="Arial" w:cs="Arial" w:eastAsia="Arial" w:hAnsi="Arial"/>
          <w:sz w:val="20"/>
          <w:szCs w:val="20"/>
          <w:color w:val="auto"/>
        </w:rPr>
        <w:t>” means any natural person, corporation, limited liability company, trust, joint venture, association, company, partnership, Governmental Authority or other entity.</w:t>
      </w:r>
    </w:p>
    <w:p>
      <w:pPr>
        <w:spacing w:after="0" w:line="15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Plan</w:t>
      </w:r>
      <w:r>
        <w:rPr>
          <w:rFonts w:ascii="Arial" w:cs="Arial" w:eastAsia="Arial" w:hAnsi="Arial"/>
          <w:sz w:val="19"/>
          <w:szCs w:val="19"/>
          <w:color w:val="auto"/>
        </w:rPr>
        <w:t>” means any employee pension benefit plan (other than a Multiemployer Plan) subject to the provisions of Title IV of ERISA or Section 412 of the Code or Section 302 of ERISA, and in respect of which the Borrower, any Subsidiary or any ERISA Affiliate is (or, if such plan were terminated, would under Section 4069 of ERISA be deemed to be) an “employer” as defined in Section 3(5) of ERISA.</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 Asset Regulations</w:t>
      </w:r>
      <w:r>
        <w:rPr>
          <w:rFonts w:ascii="Arial" w:cs="Arial" w:eastAsia="Arial" w:hAnsi="Arial"/>
          <w:sz w:val="18"/>
          <w:szCs w:val="18"/>
          <w:color w:val="auto"/>
        </w:rPr>
        <w:t xml:space="preserve">” means 29 CFR § 2510.3-101 </w:t>
      </w:r>
      <w:r>
        <w:rPr>
          <w:rFonts w:ascii="Arial" w:cs="Arial" w:eastAsia="Arial" w:hAnsi="Arial"/>
          <w:sz w:val="18"/>
          <w:szCs w:val="18"/>
          <w:i w:val="1"/>
          <w:iCs w:val="1"/>
          <w:color w:val="auto"/>
        </w:rPr>
        <w:t>et seq.</w:t>
      </w:r>
      <w:r>
        <w:rPr>
          <w:rFonts w:ascii="Arial" w:cs="Arial" w:eastAsia="Arial" w:hAnsi="Arial"/>
          <w:sz w:val="18"/>
          <w:szCs w:val="18"/>
          <w:color w:val="auto"/>
        </w:rPr>
        <w:t>, as modified by Section 3(42) of ERISA, as amended from time to time.</w:t>
      </w:r>
    </w:p>
    <w:p>
      <w:pPr>
        <w:spacing w:after="0" w:line="23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Prime Rate</w:t>
      </w:r>
      <w:r>
        <w:rPr>
          <w:rFonts w:ascii="Arial" w:cs="Arial" w:eastAsia="Arial" w:hAnsi="Arial"/>
          <w:sz w:val="20"/>
          <w:szCs w:val="20"/>
          <w:color w:val="auto"/>
        </w:rPr>
        <w:t>” means the rate of interest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w:t>
      </w:r>
    </w:p>
    <w:p>
      <w:pPr>
        <w:spacing w:after="0" w:line="16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PTE</w:t>
      </w:r>
      <w:r>
        <w:rPr>
          <w:rFonts w:ascii="Arial" w:cs="Arial" w:eastAsia="Arial" w:hAnsi="Arial"/>
          <w:sz w:val="20"/>
          <w:szCs w:val="20"/>
          <w:color w:val="auto"/>
        </w:rPr>
        <w:t>” means a prohibited transaction class exemption issued by the U.S. Department of Labor, as any such exemption may be amended from time to time.</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QFC</w:t>
      </w:r>
      <w:r>
        <w:rPr>
          <w:rFonts w:ascii="Arial" w:cs="Arial" w:eastAsia="Arial" w:hAnsi="Arial"/>
          <w:sz w:val="18"/>
          <w:szCs w:val="18"/>
          <w:color w:val="auto"/>
        </w:rPr>
        <w:t>” has the meaning assigned to the term “qualified financial contract” in, and shall be interpreted in accordance with, 12 U.S.C.</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5390(c)(8)(D).</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QFC Credit Support</w:t>
      </w:r>
      <w:r>
        <w:rPr>
          <w:rFonts w:ascii="Arial" w:cs="Arial" w:eastAsia="Arial" w:hAnsi="Arial"/>
          <w:sz w:val="20"/>
          <w:szCs w:val="20"/>
          <w:color w:val="auto"/>
        </w:rPr>
        <w:t xml:space="preserve">” has the meaning assigned to it in </w:t>
      </w:r>
      <w:r>
        <w:rPr>
          <w:rFonts w:ascii="Arial" w:cs="Arial" w:eastAsia="Arial" w:hAnsi="Arial"/>
          <w:sz w:val="20"/>
          <w:szCs w:val="20"/>
          <w:u w:val="single" w:color="auto"/>
          <w:color w:val="auto"/>
        </w:rPr>
        <w:t>Section 10.19</w:t>
      </w:r>
      <w:r>
        <w:rPr>
          <w:rFonts w:ascii="Arial" w:cs="Arial" w:eastAsia="Arial" w:hAnsi="Arial"/>
          <w:sz w:val="20"/>
          <w:szCs w:val="20"/>
          <w:color w:val="auto"/>
        </w:rPr>
        <w:t>.</w:t>
      </w:r>
    </w:p>
    <w:p>
      <w:pPr>
        <w:spacing w:after="0" w:line="18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Rating Agencies</w:t>
      </w:r>
      <w:r>
        <w:rPr>
          <w:rFonts w:ascii="Arial" w:cs="Arial" w:eastAsia="Arial" w:hAnsi="Arial"/>
          <w:sz w:val="19"/>
          <w:szCs w:val="19"/>
          <w:color w:val="auto"/>
        </w:rPr>
        <w:t>” means Fitch, Moody’s and S&amp;P (or, if any of the foregoing ceases to provide Senior Debt Ratings as contemplated hereby, such other nationally recognized rating agency as shall be agreed by the Borrower and the Administrative Agent).</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Recipient</w:t>
      </w:r>
      <w:r>
        <w:rPr>
          <w:rFonts w:ascii="Arial" w:cs="Arial" w:eastAsia="Arial" w:hAnsi="Arial"/>
          <w:sz w:val="20"/>
          <w:szCs w:val="20"/>
          <w:color w:val="auto"/>
        </w:rPr>
        <w:t>” means (a) the Administrative Agent and (b) any Lender, as applicable.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Register</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10.4(c)</w:t>
      </w:r>
      <w:r>
        <w:rPr>
          <w:rFonts w:ascii="Arial" w:cs="Arial" w:eastAsia="Arial" w:hAnsi="Arial"/>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D</w:t>
      </w:r>
      <w:r>
        <w:rPr>
          <w:rFonts w:ascii="Arial" w:cs="Arial" w:eastAsia="Arial" w:hAnsi="Arial"/>
          <w:sz w:val="18"/>
          <w:szCs w:val="18"/>
          <w:color w:val="auto"/>
        </w:rPr>
        <w:t>” means Regulation D of the Board as from time to time in effect and all official rulings and interpretations thereunder or</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thereof.</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T</w:t>
      </w:r>
      <w:r>
        <w:rPr>
          <w:rFonts w:ascii="Arial" w:cs="Arial" w:eastAsia="Arial" w:hAnsi="Arial"/>
          <w:sz w:val="18"/>
          <w:szCs w:val="18"/>
          <w:color w:val="auto"/>
        </w:rPr>
        <w:t>” means Regulation T of the Board as from time to time in effect and all official rulings and interpretations thereunder or</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thereof.</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U</w:t>
      </w:r>
      <w:r>
        <w:rPr>
          <w:rFonts w:ascii="Arial" w:cs="Arial" w:eastAsia="Arial" w:hAnsi="Arial"/>
          <w:sz w:val="18"/>
          <w:szCs w:val="18"/>
          <w:color w:val="auto"/>
        </w:rPr>
        <w:t>” means Regulation U of the Board as from time to time in effect and all official rulings and interpretations thereunder or</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thereof.</w:t>
      </w:r>
    </w:p>
    <w:p>
      <w:pPr>
        <w:sectPr>
          <w:pgSz w:w="11900" w:h="16838" w:orient="portrait"/>
          <w:cols w:equalWidth="0" w:num="1">
            <w:col w:w="11420"/>
          </w:cols>
          <w:pgMar w:left="240" w:top="337" w:right="239" w:bottom="1440" w:gutter="0" w:footer="0" w:header="0"/>
        </w:sectPr>
      </w:pPr>
    </w:p>
    <w:bookmarkStart w:id="68" w:name="page69"/>
    <w:bookmarkEnd w:id="68"/>
    <w:p>
      <w:pPr>
        <w:ind w:left="10720"/>
        <w:spacing w:after="0"/>
        <w:rPr>
          <w:sz w:val="20"/>
          <w:szCs w:val="20"/>
          <w:color w:val="auto"/>
        </w:rPr>
      </w:pPr>
      <w:r>
        <w:rPr>
          <w:rFonts w:ascii="Arial" w:cs="Arial" w:eastAsia="Arial" w:hAnsi="Arial"/>
          <w:sz w:val="16"/>
          <w:szCs w:val="16"/>
          <w:b w:val="1"/>
          <w:bCs w:val="1"/>
          <w:color w:val="auto"/>
        </w:rPr>
        <w:t>Exhibit 4</w:t>
      </w:r>
    </w:p>
    <w:p>
      <w:pPr>
        <w:spacing w:after="0" w:line="2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X</w:t>
      </w:r>
      <w:r>
        <w:rPr>
          <w:rFonts w:ascii="Arial" w:cs="Arial" w:eastAsia="Arial" w:hAnsi="Arial"/>
          <w:sz w:val="18"/>
          <w:szCs w:val="18"/>
          <w:color w:val="auto"/>
        </w:rPr>
        <w:t>” means Regulation X of the Board as from time to time in effect and all official rulings and interpretations thereunder or</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thereof.</w:t>
      </w:r>
    </w:p>
    <w:p>
      <w:pPr>
        <w:spacing w:after="0" w:line="173"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Related Parties</w:t>
      </w:r>
      <w:r>
        <w:rPr>
          <w:rFonts w:ascii="Arial" w:cs="Arial" w:eastAsia="Arial" w:hAnsi="Arial"/>
          <w:sz w:val="20"/>
          <w:szCs w:val="20"/>
          <w:color w:val="auto"/>
        </w:rPr>
        <w:t>” means, with respect to any specified Person, such Person’s Affiliates and the respective directors, officers, employees, agents, representatives and advisors of such Person and such Person’s Affiliates.</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Required Lenders</w:t>
      </w:r>
      <w:r>
        <w:rPr>
          <w:rFonts w:ascii="Arial" w:cs="Arial" w:eastAsia="Arial" w:hAnsi="Arial"/>
          <w:sz w:val="20"/>
          <w:szCs w:val="20"/>
          <w:color w:val="auto"/>
        </w:rPr>
        <w:t>” means, at any time, two or more Lenders holding Applicable Percentages totaling more than 50%.</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Restricted Person</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4.15</w:t>
      </w:r>
      <w:r>
        <w:rPr>
          <w:rFonts w:ascii="Arial" w:cs="Arial" w:eastAsia="Arial" w:hAnsi="Arial"/>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Standard &amp; Poor’s Ratings Services, a Standard &amp; Poor’s Financial Services LLC business, or any successor thereto.</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United States Securities and Exchange Commission or any Governmental Authority succeeding to the functions</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thereof.</w:t>
      </w:r>
    </w:p>
    <w:p>
      <w:pPr>
        <w:spacing w:after="0" w:line="17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Senior Debt Rating</w:t>
      </w:r>
      <w:r>
        <w:rPr>
          <w:rFonts w:ascii="Arial" w:cs="Arial" w:eastAsia="Arial" w:hAnsi="Arial"/>
          <w:sz w:val="20"/>
          <w:szCs w:val="20"/>
          <w:color w:val="auto"/>
        </w:rPr>
        <w:t>” means, at any date, the credit rating identified by a Rating Agency as the credit rating that (a) it has assigned to long term unsecured senior debt of the Borrower or (b) would assign to long term unsecured senior debt of the Borrower were the Borrower to issue or have outstanding any long term unsecured senior debt on such date.</w:t>
      </w:r>
    </w:p>
    <w:p>
      <w:pPr>
        <w:spacing w:after="0" w:line="159"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Sole Lead Arranger and Sole Bookrunner</w:t>
      </w:r>
      <w:r>
        <w:rPr>
          <w:rFonts w:ascii="Arial" w:cs="Arial" w:eastAsia="Arial" w:hAnsi="Arial"/>
          <w:sz w:val="20"/>
          <w:szCs w:val="20"/>
          <w:color w:val="auto"/>
        </w:rPr>
        <w:t>” means JPMorgan Chase, in its capacity as Sole Lead Arranger and Sole Bookrunner hereunder.</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Supported QFC</w:t>
      </w:r>
      <w:r>
        <w:rPr>
          <w:rFonts w:ascii="Arial" w:cs="Arial" w:eastAsia="Arial" w:hAnsi="Arial"/>
          <w:sz w:val="20"/>
          <w:szCs w:val="20"/>
          <w:color w:val="auto"/>
        </w:rPr>
        <w:t xml:space="preserve">” has the meaning assigned to it in </w:t>
      </w:r>
      <w:r>
        <w:rPr>
          <w:rFonts w:ascii="Arial" w:cs="Arial" w:eastAsia="Arial" w:hAnsi="Arial"/>
          <w:sz w:val="20"/>
          <w:szCs w:val="20"/>
          <w:u w:val="single" w:color="auto"/>
          <w:color w:val="auto"/>
        </w:rPr>
        <w:t>Section 10.18</w:t>
      </w:r>
      <w:r>
        <w:rPr>
          <w:rFonts w:ascii="Arial" w:cs="Arial" w:eastAsia="Arial" w:hAnsi="Arial"/>
          <w:sz w:val="20"/>
          <w:szCs w:val="20"/>
          <w:color w:val="auto"/>
        </w:rPr>
        <w:t>.</w:t>
      </w:r>
    </w:p>
    <w:p>
      <w:pPr>
        <w:spacing w:after="0" w:line="189"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Statutory Reserve Rate</w:t>
      </w:r>
      <w:r>
        <w:rPr>
          <w:rFonts w:ascii="Arial" w:cs="Arial" w:eastAsia="Arial" w:hAnsi="Arial"/>
          <w:sz w:val="16"/>
          <w:szCs w:val="16"/>
          <w:color w:val="auto"/>
        </w:rPr>
        <w:t xml:space="preserve">” means a fraction (expressed as a decimal), the numerator of which is the number one and the denominator of which is the number one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the aggregate of the maximum reserve percentages, if any, (including any marginal, special, emergency or supplemental reserves) expressed as a decimal established by the Board to which the Administrative Agent is subject for eurocurrency funding (currently referred to as “Eurocurrency liabilities” in Regulation D). Such reserve percentages shall include those imposed pursuant to Regulation D. The Loans shall be deemed to constitute eurocurrency funding and to be subject to such reserve requirements without benefit of or credit for proration, exemptions or offsets that may be available from time to time to any Lender under Regulation D or any comparable regulation. The Statutory Reserve Rate shall be adjusted automatically on and as of the effective date of any change in any reserve percentage.</w:t>
      </w:r>
    </w:p>
    <w:p>
      <w:pPr>
        <w:spacing w:after="0" w:line="11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as to any Person, any corporation, association, partnership, limited liability company, joint venture or other business entity of which such Person or any Subsidiary of such Person, directly or indirectly, either (i) in respect of a corporation, owns or controls more than 50% of the outstanding Equity Interests having ordinary voting power to elect a majority of the board of directors or similar managing body, irrespective of whether a class or classes shall or might have voting power by reason of the happening of any contingency or</w:t>
      </w:r>
    </w:p>
    <w:p>
      <w:pPr>
        <w:spacing w:after="0" w:line="3" w:lineRule="exact"/>
        <w:rPr>
          <w:sz w:val="20"/>
          <w:szCs w:val="20"/>
          <w:color w:val="auto"/>
        </w:rPr>
      </w:pPr>
    </w:p>
    <w:p>
      <w:pPr>
        <w:jc w:val="both"/>
        <w:ind w:firstLine="8"/>
        <w:spacing w:after="0" w:line="241" w:lineRule="auto"/>
        <w:tabs>
          <w:tab w:leader="none" w:pos="292" w:val="left"/>
        </w:tabs>
        <w:numPr>
          <w:ilvl w:val="0"/>
          <w:numId w:val="26"/>
        </w:numPr>
        <w:rPr>
          <w:rFonts w:ascii="Arial" w:cs="Arial" w:eastAsia="Arial" w:hAnsi="Arial"/>
          <w:sz w:val="20"/>
          <w:szCs w:val="20"/>
          <w:color w:val="auto"/>
        </w:rPr>
      </w:pPr>
      <w:r>
        <w:rPr>
          <w:rFonts w:ascii="Arial" w:cs="Arial" w:eastAsia="Arial" w:hAnsi="Arial"/>
          <w:sz w:val="20"/>
          <w:szCs w:val="20"/>
          <w:color w:val="auto"/>
        </w:rPr>
        <w:t>in respect of an association, partnership, joint venture or other business entity, is entitled to share in more than 50% of the profits and losses, however determined. Unless the context otherwise requires, any reference to a Subsidiary shall be deemed to refer to a Subsidiary of the Borrower.</w:t>
      </w:r>
    </w:p>
    <w:p>
      <w:pPr>
        <w:spacing w:after="0" w:line="16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SWLP Mortgage</w:t>
      </w:r>
      <w:r>
        <w:rPr>
          <w:rFonts w:ascii="Arial" w:cs="Arial" w:eastAsia="Arial" w:hAnsi="Arial"/>
          <w:sz w:val="20"/>
          <w:szCs w:val="20"/>
          <w:color w:val="auto"/>
        </w:rPr>
        <w:t>” means the Mortgage and Deed of Trust, dated as of March 1, 1943, between Superior Water, Light and Power Company and U.S. Bank National Association (successor to First Bank (N.A.) as successor to Chemical Bank and Trust Company as Corporate Trustee and Howard B. Smith as Co-Trustee) as Trustee.</w:t>
      </w:r>
    </w:p>
    <w:p>
      <w:pPr>
        <w:sectPr>
          <w:pgSz w:w="11900" w:h="16838" w:orient="portrait"/>
          <w:cols w:equalWidth="0" w:num="1">
            <w:col w:w="11420"/>
          </w:cols>
          <w:pgMar w:left="240" w:top="337" w:right="239" w:bottom="1440" w:gutter="0" w:footer="0" w:header="0"/>
        </w:sectPr>
      </w:pPr>
    </w:p>
    <w:bookmarkStart w:id="69" w:name="page70"/>
    <w:bookmarkEnd w:id="69"/>
    <w:p>
      <w:pPr>
        <w:ind w:left="10720"/>
        <w:spacing w:after="0"/>
        <w:rPr>
          <w:sz w:val="20"/>
          <w:szCs w:val="20"/>
          <w:color w:val="auto"/>
        </w:rPr>
      </w:pPr>
      <w:r>
        <w:rPr>
          <w:rFonts w:ascii="Arial" w:cs="Arial" w:eastAsia="Arial" w:hAnsi="Arial"/>
          <w:sz w:val="16"/>
          <w:szCs w:val="16"/>
          <w:b w:val="1"/>
          <w:bCs w:val="1"/>
          <w:color w:val="auto"/>
        </w:rPr>
        <w:t>Exhibit 4</w:t>
      </w:r>
    </w:p>
    <w:p>
      <w:pPr>
        <w:spacing w:after="0" w:line="277"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 Agreement</w:t>
      </w:r>
      <w:r>
        <w:rPr>
          <w:rFonts w:ascii="Arial" w:cs="Arial" w:eastAsia="Arial" w:hAnsi="Arial"/>
          <w:sz w:val="18"/>
          <w:szCs w:val="18"/>
          <w:color w:val="auto"/>
        </w:rPr>
        <w:t xml:space="preserve">” means any agreement with respect to any swap, forward, spot, future, credit default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phantom stock or similar plan providing for payments only on account of services provided by current or former directors, officers, employees or consultants of the Borrowers or its Subsidiaries shall be a Swap Agreement.</w:t>
      </w:r>
    </w:p>
    <w:p>
      <w:pPr>
        <w:spacing w:after="0" w:line="13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Syndication Agent</w:t>
      </w:r>
      <w:r>
        <w:rPr>
          <w:rFonts w:ascii="Arial" w:cs="Arial" w:eastAsia="Arial" w:hAnsi="Arial"/>
          <w:sz w:val="20"/>
          <w:szCs w:val="20"/>
          <w:color w:val="auto"/>
        </w:rPr>
        <w:t>” means Bank of America, N.A. in its capacity as syndication agent for the term loan facility evidenced by this Agreement.</w:t>
      </w:r>
    </w:p>
    <w:p>
      <w:pPr>
        <w:spacing w:after="0" w:line="15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Tax</w:t>
      </w:r>
      <w:r>
        <w:rPr>
          <w:rFonts w:ascii="Arial" w:cs="Arial" w:eastAsia="Arial" w:hAnsi="Arial"/>
          <w:sz w:val="19"/>
          <w:szCs w:val="19"/>
          <w:color w:val="auto"/>
        </w:rPr>
        <w:t>” means any present or future tax, levy, assessment, impost, duty, charge, fee, deduction or withholding of any nature, and whatever called, by a Governmental Authority, on whomsoever and wherever imposed, levied, collected, withheld or assessed.</w:t>
      </w:r>
    </w:p>
    <w:p>
      <w:pPr>
        <w:spacing w:after="0" w:line="12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Total Capitalization</w:t>
      </w:r>
      <w:r>
        <w:rPr>
          <w:rFonts w:ascii="Arial" w:cs="Arial" w:eastAsia="Arial" w:hAnsi="Arial"/>
          <w:sz w:val="20"/>
          <w:szCs w:val="20"/>
          <w:color w:val="auto"/>
        </w:rPr>
        <w:t xml:space="preserve">” means, at any time, the difference between (a) the sum of each of the following at such time with respect to the Borrower and the Subsidiaries, determined on a consolidated basis in accordance with GAAP: (i) preferred Equity Interests,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(ii) common Equity Interests and any premium on Equity Interests thereon (as such term is used in the Borrower Financial Statements), excluding accumulated other comprehensive income or loss,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(iii) retained earnings,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(iv) Total Indebtedness, and (b) (i) stock of the Borrower acquired by the Borrower and (ii) stock of a Subsidiary acquired by such Subsidiary, in each case at such time, as applicable, determined on a consolidated basis in accordance with GAAP.</w:t>
      </w:r>
    </w:p>
    <w:p>
      <w:pPr>
        <w:spacing w:after="0" w:line="16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Total Indebtedness</w:t>
      </w:r>
      <w:r>
        <w:rPr>
          <w:rFonts w:ascii="Arial" w:cs="Arial" w:eastAsia="Arial" w:hAnsi="Arial"/>
          <w:sz w:val="20"/>
          <w:szCs w:val="20"/>
          <w:color w:val="auto"/>
        </w:rPr>
        <w:t>” means, at any time, all Indebtedness (net of unamortized premium and discount (as such term is used in the Borrower Financial Statements)) at such time of the Borrower and the Subsidiaries, determined on a consolidated basis in accordance with GAAP.</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Transactions</w:t>
      </w:r>
      <w:r>
        <w:rPr>
          <w:rFonts w:ascii="Arial" w:cs="Arial" w:eastAsia="Arial" w:hAnsi="Arial"/>
          <w:sz w:val="18"/>
          <w:szCs w:val="18"/>
          <w:color w:val="auto"/>
        </w:rPr>
        <w:t>” means (a) the execution, delivery and performance by the Borrower of each Loan Document to which it is a party,</w:t>
      </w:r>
    </w:p>
    <w:p>
      <w:pPr>
        <w:spacing w:after="0" w:line="39" w:lineRule="exact"/>
        <w:rPr>
          <w:sz w:val="20"/>
          <w:szCs w:val="20"/>
          <w:color w:val="auto"/>
        </w:rPr>
      </w:pPr>
    </w:p>
    <w:p>
      <w:pPr>
        <w:ind w:left="660" w:right="5320" w:hanging="652"/>
        <w:spacing w:after="0" w:line="476" w:lineRule="auto"/>
        <w:tabs>
          <w:tab w:leader="none" w:pos="292"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borrowing of the Loans and (c) the use of the proceeds of the Loans. “</w:t>
      </w:r>
      <w:r>
        <w:rPr>
          <w:rFonts w:ascii="Arial" w:cs="Arial" w:eastAsia="Arial" w:hAnsi="Arial"/>
          <w:sz w:val="18"/>
          <w:szCs w:val="18"/>
          <w:u w:val="single" w:color="auto"/>
          <w:color w:val="auto"/>
        </w:rPr>
        <w:t>United States</w:t>
      </w:r>
      <w:r>
        <w:rPr>
          <w:rFonts w:ascii="Arial" w:cs="Arial" w:eastAsia="Arial" w:hAnsi="Arial"/>
          <w:sz w:val="18"/>
          <w:szCs w:val="18"/>
          <w:color w:val="auto"/>
        </w:rPr>
        <w:t>” and “</w:t>
      </w:r>
      <w:r>
        <w:rPr>
          <w:rFonts w:ascii="Arial" w:cs="Arial" w:eastAsia="Arial" w:hAnsi="Arial"/>
          <w:sz w:val="18"/>
          <w:szCs w:val="18"/>
          <w:u w:val="single" w:color="auto"/>
          <w:color w:val="auto"/>
        </w:rPr>
        <w:t>U.S.</w:t>
      </w:r>
      <w:r>
        <w:rPr>
          <w:rFonts w:ascii="Arial" w:cs="Arial" w:eastAsia="Arial" w:hAnsi="Arial"/>
          <w:sz w:val="18"/>
          <w:szCs w:val="18"/>
          <w:color w:val="auto"/>
        </w:rPr>
        <w:t>” each mean the United States of America.</w:t>
      </w:r>
    </w:p>
    <w:p>
      <w:pPr>
        <w:ind w:left="660"/>
        <w:spacing w:after="0"/>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Person</w:t>
      </w:r>
      <w:r>
        <w:rPr>
          <w:rFonts w:ascii="Arial" w:cs="Arial" w:eastAsia="Arial" w:hAnsi="Arial"/>
          <w:sz w:val="20"/>
          <w:szCs w:val="20"/>
          <w:color w:val="auto"/>
        </w:rPr>
        <w:t>” means a “United States person” within the meaning of Section 7701(a)(30) of the Code.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Tax Compliance Certificate</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3.5(f)(ii)(B)(3)</w:t>
      </w:r>
      <w:r>
        <w:rPr>
          <w:rFonts w:ascii="Arial" w:cs="Arial" w:eastAsia="Arial" w:hAnsi="Arial"/>
          <w:sz w:val="20"/>
          <w:szCs w:val="20"/>
          <w:color w:val="auto"/>
        </w:rPr>
        <w:t>.</w:t>
      </w:r>
    </w:p>
    <w:p>
      <w:pPr>
        <w:spacing w:after="0" w:line="18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Voting Security</w:t>
      </w:r>
      <w:r>
        <w:rPr>
          <w:rFonts w:ascii="Arial" w:cs="Arial" w:eastAsia="Arial" w:hAnsi="Arial"/>
          <w:sz w:val="19"/>
          <w:szCs w:val="19"/>
          <w:color w:val="auto"/>
        </w:rPr>
        <w:t>” means a security which ordinarily has voting power for the election of the board of directors (or other governing body), whether at all times or only so long as no senior class of Equity Interests has such voting power by reason of any contingency.</w:t>
      </w:r>
    </w:p>
    <w:p>
      <w:pPr>
        <w:spacing w:after="0" w:line="12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Withdrawal Liability</w:t>
      </w:r>
      <w:r>
        <w:rPr>
          <w:rFonts w:ascii="Arial" w:cs="Arial" w:eastAsia="Arial" w:hAnsi="Arial"/>
          <w:sz w:val="20"/>
          <w:szCs w:val="20"/>
          <w:color w:val="auto"/>
        </w:rPr>
        <w:t>” means liability to a Multiemployer Plan as a result of a complete or partial withdrawal from such Multiemployer Plan, as such terms are defined in Part I of Subtitle E of Title IV of ERISA.</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WPS</w:t>
      </w:r>
      <w:r>
        <w:rPr>
          <w:rFonts w:ascii="Arial" w:cs="Arial" w:eastAsia="Arial" w:hAnsi="Arial"/>
          <w:sz w:val="19"/>
          <w:szCs w:val="19"/>
          <w:color w:val="auto"/>
        </w:rPr>
        <w:t>” means the Public Service Commission of Wisconsin or any Governmental Authority succeeding to the functions thereof.</w:t>
      </w:r>
    </w:p>
    <w:p>
      <w:pPr>
        <w:spacing w:after="0" w:line="20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Write-Down and Conversion Powers</w:t>
      </w:r>
      <w:r>
        <w:rPr>
          <w:rFonts w:ascii="Arial" w:cs="Arial" w:eastAsia="Arial" w:hAnsi="Arial"/>
          <w:sz w:val="20"/>
          <w:szCs w:val="20"/>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ectPr>
          <w:pgSz w:w="11900" w:h="16838" w:orient="portrait"/>
          <w:cols w:equalWidth="0" w:num="1">
            <w:col w:w="11420"/>
          </w:cols>
          <w:pgMar w:left="240" w:top="337" w:right="239" w:bottom="1440" w:gutter="0" w:footer="0" w:header="0"/>
        </w:sectPr>
      </w:pPr>
    </w:p>
    <w:bookmarkStart w:id="70" w:name="page71"/>
    <w:bookmarkEnd w:id="70"/>
    <w:tbl>
      <w:tblPr>
        <w:tblLayout w:type="fixed"/>
        <w:tblInd w:w="1300" w:type="dxa"/>
        <w:tblCellMar>
          <w:top w:w="0" w:type="dxa"/>
          <w:left w:w="0" w:type="dxa"/>
          <w:bottom w:w="0" w:type="dxa"/>
          <w:right w:w="0" w:type="dxa"/>
        </w:tblCellMar>
      </w:tblPr>
      <w:tr>
        <w:trPr>
          <w:trHeight w:val="234"/>
        </w:trPr>
        <w:tc>
          <w:tcPr>
            <w:tcW w:w="2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680" w:type="dxa"/>
            <w:vAlign w:val="bottom"/>
          </w:tcPr>
          <w:p>
            <w:pPr>
              <w:ind w:left="5980"/>
              <w:spacing w:after="0"/>
              <w:rPr>
                <w:sz w:val="20"/>
                <w:szCs w:val="20"/>
                <w:color w:val="auto"/>
              </w:rPr>
            </w:pPr>
            <w:r>
              <w:rPr>
                <w:rFonts w:ascii="Arial" w:cs="Arial" w:eastAsia="Arial" w:hAnsi="Arial"/>
                <w:sz w:val="18"/>
                <w:szCs w:val="18"/>
                <w:b w:val="1"/>
                <w:bCs w:val="1"/>
                <w:color w:val="auto"/>
                <w:w w:val="90"/>
              </w:rPr>
              <w:t>Exhibit 4</w:t>
            </w:r>
          </w:p>
        </w:tc>
      </w:tr>
      <w:tr>
        <w:trPr>
          <w:trHeight w:val="864"/>
        </w:trPr>
        <w:tc>
          <w:tcPr>
            <w:tcW w:w="2120" w:type="dxa"/>
            <w:vAlign w:val="bottom"/>
          </w:tcPr>
          <w:p>
            <w:pPr>
              <w:spacing w:after="0"/>
              <w:rPr>
                <w:sz w:val="20"/>
                <w:szCs w:val="20"/>
                <w:color w:val="auto"/>
              </w:rPr>
            </w:pPr>
            <w:r>
              <w:rPr>
                <w:rFonts w:ascii="Arial" w:cs="Arial" w:eastAsia="Arial" w:hAnsi="Arial"/>
                <w:sz w:val="18"/>
                <w:szCs w:val="18"/>
                <w:color w:val="auto"/>
              </w:rPr>
              <w:t>Section 1.2</w:t>
            </w:r>
          </w:p>
        </w:tc>
        <w:tc>
          <w:tcPr>
            <w:tcW w:w="8000" w:type="dxa"/>
            <w:vAlign w:val="bottom"/>
            <w:gridSpan w:val="2"/>
          </w:tcPr>
          <w:p>
            <w:pPr>
              <w:spacing w:after="0"/>
              <w:rPr>
                <w:sz w:val="20"/>
                <w:szCs w:val="20"/>
                <w:color w:val="auto"/>
              </w:rPr>
            </w:pPr>
            <w:r>
              <w:rPr>
                <w:rFonts w:ascii="Arial" w:cs="Arial" w:eastAsia="Arial" w:hAnsi="Arial"/>
                <w:sz w:val="20"/>
                <w:szCs w:val="20"/>
                <w:color w:val="auto"/>
                <w:w w:val="90"/>
              </w:rPr>
              <w:t>Terms Generally. The definitions of terms herein shall apply equally to the singular and plural forms</w:t>
            </w:r>
          </w:p>
        </w:tc>
      </w:tr>
      <w:tr>
        <w:trPr>
          <w:trHeight w:val="20"/>
        </w:trPr>
        <w:tc>
          <w:tcPr>
            <w:tcW w:w="21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r>
    </w:tbl>
    <w:p>
      <w:pPr>
        <w:spacing w:after="0" w:line="37" w:lineRule="exact"/>
        <w:rPr>
          <w:sz w:val="20"/>
          <w:szCs w:val="20"/>
          <w:color w:val="auto"/>
        </w:rPr>
      </w:pPr>
    </w:p>
    <w:p>
      <w:pPr>
        <w:jc w:val="both"/>
        <w:ind w:left="660"/>
        <w:spacing w:after="0" w:line="284" w:lineRule="auto"/>
        <w:rPr>
          <w:sz w:val="20"/>
          <w:szCs w:val="20"/>
          <w:color w:val="auto"/>
        </w:rPr>
      </w:pPr>
      <w:r>
        <w:rPr>
          <w:rFonts w:ascii="Arial" w:cs="Arial" w:eastAsia="Arial" w:hAnsi="Arial"/>
          <w:sz w:val="19"/>
          <w:szCs w:val="19"/>
          <w:color w:val="auto"/>
        </w:rPr>
        <w:t>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restated, supplemented or otherwise modified, (b) any definition of or reference to any law shall be construed as referring to such law as from time to time amended and any successor thereto and the rules and regulations promulgated from time to time thereunder, (c) any reference herein to any Person shall be construed to include such Person’s successors and assigns, (d) the words “herein”, “hereof” and “hereunder”, and words of similar import, shall be construed to refer to this Agreement in its entirety and not to any particular provision hereof, (e) all references herein to Articles, Sections, Exhibits and Schedules shall be construed to refer to Articles and Sections of, and Exhibits and Schedules to, this Agreement, (f) the words “asset” and “property” shall be construed to have the same meaning and effect and to refer to all tangible and intangible assets and properties, including cash, securities, accounts and contract rights, and (g) any reference to a fiscal quarter or fiscal year means a fiscal quarter or fiscal year of the Borrower. Unless otherwise specified, each reference herein to a time of day shall mean such time in New York, New York.</w:t>
      </w:r>
    </w:p>
    <w:p>
      <w:pPr>
        <w:spacing w:after="0" w:line="202" w:lineRule="exact"/>
        <w:rPr>
          <w:sz w:val="20"/>
          <w:szCs w:val="20"/>
          <w:color w:val="auto"/>
        </w:rPr>
      </w:pPr>
    </w:p>
    <w:p>
      <w:pPr>
        <w:ind w:left="1300"/>
        <w:spacing w:after="0"/>
        <w:tabs>
          <w:tab w:leader="none" w:pos="3400" w:val="left"/>
        </w:tabs>
        <w:rPr>
          <w:sz w:val="20"/>
          <w:szCs w:val="20"/>
          <w:color w:val="auto"/>
        </w:rPr>
      </w:pPr>
      <w:r>
        <w:rPr>
          <w:rFonts w:ascii="Arial" w:cs="Arial" w:eastAsia="Arial" w:hAnsi="Arial"/>
          <w:sz w:val="18"/>
          <w:szCs w:val="18"/>
          <w:color w:val="auto"/>
        </w:rPr>
        <w:t>Section 1.3</w:t>
      </w:r>
      <w:r>
        <w:rPr>
          <w:sz w:val="20"/>
          <w:szCs w:val="20"/>
          <w:color w:val="auto"/>
        </w:rPr>
        <w:tab/>
      </w:r>
      <w:r>
        <w:rPr>
          <w:rFonts w:ascii="Arial" w:cs="Arial" w:eastAsia="Arial" w:hAnsi="Arial"/>
          <w:sz w:val="18"/>
          <w:szCs w:val="18"/>
          <w:u w:val="single" w:color="auto"/>
          <w:color w:val="auto"/>
        </w:rPr>
        <w:t>Accounting Terms; GAAP</w:t>
      </w:r>
      <w:r>
        <w:rPr>
          <w:rFonts w:ascii="Arial" w:cs="Arial" w:eastAsia="Arial" w:hAnsi="Arial"/>
          <w:sz w:val="18"/>
          <w:szCs w:val="18"/>
          <w:color w:val="auto"/>
        </w:rPr>
        <w:t>.</w:t>
      </w:r>
    </w:p>
    <w:p>
      <w:pPr>
        <w:spacing w:after="0" w:line="279" w:lineRule="exact"/>
        <w:rPr>
          <w:sz w:val="20"/>
          <w:szCs w:val="20"/>
          <w:color w:val="auto"/>
        </w:rPr>
      </w:pPr>
    </w:p>
    <w:p>
      <w:pPr>
        <w:jc w:val="both"/>
        <w:ind w:firstLine="1305"/>
        <w:spacing w:after="0" w:line="303" w:lineRule="auto"/>
        <w:tabs>
          <w:tab w:leader="none" w:pos="2070" w:val="left"/>
        </w:tabs>
        <w:numPr>
          <w:ilvl w:val="0"/>
          <w:numId w:val="28"/>
        </w:numPr>
        <w:rPr>
          <w:rFonts w:ascii="Arial" w:cs="Arial" w:eastAsia="Arial" w:hAnsi="Arial"/>
          <w:sz w:val="16"/>
          <w:szCs w:val="16"/>
          <w:color w:val="auto"/>
        </w:rPr>
      </w:pPr>
      <w:r>
        <w:rPr>
          <w:rFonts w:ascii="Arial" w:cs="Arial" w:eastAsia="Arial" w:hAnsi="Arial"/>
          <w:sz w:val="18"/>
          <w:szCs w:val="18"/>
          <w:color w:val="auto"/>
        </w:rPr>
        <w:t xml:space="preserve">Except as otherwise expressly provided herein, as used in the Loan Documents and in any certificate, opinion or other document made or delivered pursuant thereto, accounting terms not defined in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and accounting terms partly defined in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to the extent not defined, shall have the respective meanings given to them under GAAP. If at any time any change in GAAP (including any change to the International Financial Reporting Standards by the International Accounting Standards Board or other method of accounting, as may hereafter be required or permitted by the SEC) would affect the computation of any financial requirement set forth in this Agreement, the Administrative Agent, the Lenders and the Borrower shall negotiate in good faith to amend such requirement to reflect such change in GAAP (subject to the approval of the Required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until so amended, (a) such requirement shall continue to be computed in accordance with GAAP prior to such change therein and (b) the Borrower shall provide to the Credit Parties financial statements and other documents required under this Agreement or as reasonably requested hereunder setting forth a reconciliation between calculations of such requirement made before and after giving effect to such change in GAAP.</w:t>
      </w:r>
    </w:p>
    <w:p>
      <w:pPr>
        <w:spacing w:after="0" w:line="182" w:lineRule="exact"/>
        <w:rPr>
          <w:rFonts w:ascii="Arial" w:cs="Arial" w:eastAsia="Arial" w:hAnsi="Arial"/>
          <w:sz w:val="16"/>
          <w:szCs w:val="16"/>
          <w:color w:val="auto"/>
        </w:rPr>
      </w:pPr>
    </w:p>
    <w:p>
      <w:pPr>
        <w:jc w:val="both"/>
        <w:ind w:firstLine="1305"/>
        <w:spacing w:after="0" w:line="273" w:lineRule="auto"/>
        <w:tabs>
          <w:tab w:leader="none" w:pos="2183" w:val="left"/>
        </w:tabs>
        <w:numPr>
          <w:ilvl w:val="0"/>
          <w:numId w:val="28"/>
        </w:numPr>
        <w:rPr>
          <w:rFonts w:ascii="Arial" w:cs="Arial" w:eastAsia="Arial" w:hAnsi="Arial"/>
          <w:sz w:val="18"/>
          <w:szCs w:val="18"/>
          <w:color w:val="auto"/>
        </w:rPr>
      </w:pPr>
      <w:r>
        <w:rPr>
          <w:rFonts w:ascii="Arial" w:cs="Arial" w:eastAsia="Arial" w:hAnsi="Arial"/>
          <w:sz w:val="20"/>
          <w:szCs w:val="20"/>
          <w:color w:val="auto"/>
        </w:rPr>
        <w:t xml:space="preserve">Notwithstanding anything to the contrary contained in </w:t>
      </w:r>
      <w:r>
        <w:rPr>
          <w:rFonts w:ascii="Arial" w:cs="Arial" w:eastAsia="Arial" w:hAnsi="Arial"/>
          <w:sz w:val="20"/>
          <w:szCs w:val="20"/>
          <w:u w:val="single" w:color="auto"/>
          <w:color w:val="auto"/>
        </w:rPr>
        <w:t>Section 1.3(a)</w:t>
      </w:r>
      <w:r>
        <w:rPr>
          <w:rFonts w:ascii="Arial" w:cs="Arial" w:eastAsia="Arial" w:hAnsi="Arial"/>
          <w:sz w:val="20"/>
          <w:szCs w:val="20"/>
          <w:color w:val="auto"/>
        </w:rPr>
        <w:t xml:space="preserve"> or in the definition of “Capital Lease Obligations,” in the event of an accounting change requiring all leases to be capitalized, only those leases (assuming for purposes hereof that such leases were in existence on the date hereof) that would constitute capital leases in conformity with GAAP on the date hereof shall be considered capital leases, and all calculations and deliverables under this Agreement or any other Loan Document shall be made or delivered, as applicable, in accordance therewith.</w:t>
      </w:r>
    </w:p>
    <w:p>
      <w:pPr>
        <w:spacing w:after="0" w:line="20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9"/>
          <w:szCs w:val="19"/>
          <w:u w:val="single" w:color="auto"/>
          <w:color w:val="auto"/>
        </w:rPr>
        <w:t>Rounding</w:t>
      </w:r>
      <w:r>
        <w:rPr>
          <w:rFonts w:ascii="Arial" w:cs="Arial" w:eastAsia="Arial" w:hAnsi="Arial"/>
          <w:sz w:val="19"/>
          <w:szCs w:val="19"/>
          <w:color w:val="auto"/>
        </w:rPr>
        <w:t>. Any financial ratios required to be maintained by the Borrower pursuant to this Agreement shall</w:t>
      </w:r>
      <w:r>
        <w:rPr>
          <w:rFonts w:ascii="Arial" w:cs="Arial" w:eastAsia="Arial" w:hAnsi="Arial"/>
          <w:sz w:val="18"/>
          <w:szCs w:val="18"/>
          <w:color w:val="auto"/>
        </w:rPr>
        <w:t xml:space="preserve"> </w:t>
      </w:r>
      <w:r>
        <w:rPr>
          <w:rFonts w:ascii="Arial" w:cs="Arial" w:eastAsia="Arial" w:hAnsi="Arial"/>
          <w:sz w:val="19"/>
          <w:szCs w:val="19"/>
          <w:color w:val="auto"/>
        </w:rPr>
        <w:t>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ectPr>
          <w:pgSz w:w="11900" w:h="16838" w:orient="portrait"/>
          <w:cols w:equalWidth="0" w:num="1">
            <w:col w:w="11420"/>
          </w:cols>
          <w:pgMar w:left="240" w:top="337" w:right="239" w:bottom="1440" w:gutter="0" w:footer="0" w:header="0"/>
        </w:sectPr>
      </w:pPr>
    </w:p>
    <w:bookmarkStart w:id="71" w:name="page72"/>
    <w:bookmarkEnd w:id="71"/>
    <w:tbl>
      <w:tblPr>
        <w:tblLayout w:type="fixed"/>
        <w:tblInd w:w="644" w:type="dxa"/>
        <w:tblCellMar>
          <w:top w:w="0" w:type="dxa"/>
          <w:left w:w="0" w:type="dxa"/>
          <w:bottom w:w="0" w:type="dxa"/>
          <w:right w:w="0" w:type="dxa"/>
        </w:tblCellMar>
      </w:tblPr>
      <w:tr>
        <w:trPr>
          <w:trHeight w:val="234"/>
        </w:trPr>
        <w:tc>
          <w:tcPr>
            <w:tcW w:w="206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180" w:type="dxa"/>
            <w:vAlign w:val="bottom"/>
          </w:tcPr>
          <w:p>
            <w:pPr>
              <w:ind w:left="4480"/>
              <w:spacing w:after="0"/>
              <w:rPr>
                <w:sz w:val="20"/>
                <w:szCs w:val="20"/>
                <w:color w:val="auto"/>
              </w:rPr>
            </w:pPr>
            <w:r>
              <w:rPr>
                <w:rFonts w:ascii="Arial" w:cs="Arial" w:eastAsia="Arial" w:hAnsi="Arial"/>
                <w:sz w:val="18"/>
                <w:szCs w:val="18"/>
                <w:b w:val="1"/>
                <w:bCs w:val="1"/>
                <w:color w:val="auto"/>
                <w:w w:val="90"/>
              </w:rPr>
              <w:t>Exhibit 4</w:t>
            </w:r>
          </w:p>
        </w:tc>
      </w:tr>
      <w:tr>
        <w:trPr>
          <w:trHeight w:val="675"/>
        </w:trPr>
        <w:tc>
          <w:tcPr>
            <w:tcW w:w="2060" w:type="dxa"/>
            <w:vAlign w:val="bottom"/>
          </w:tcPr>
          <w:p>
            <w:pPr>
              <w:spacing w:after="0"/>
              <w:rPr>
                <w:sz w:val="20"/>
                <w:szCs w:val="20"/>
                <w:color w:val="auto"/>
              </w:rPr>
            </w:pPr>
            <w:r>
              <w:rPr>
                <w:rFonts w:ascii="Arial" w:cs="Arial" w:eastAsia="Arial" w:hAnsi="Arial"/>
                <w:sz w:val="18"/>
                <w:szCs w:val="18"/>
                <w:color w:val="auto"/>
              </w:rPr>
              <w:t>Section1.5</w:t>
            </w:r>
          </w:p>
        </w:tc>
        <w:tc>
          <w:tcPr>
            <w:tcW w:w="8060" w:type="dxa"/>
            <w:vAlign w:val="bottom"/>
            <w:gridSpan w:val="2"/>
          </w:tcPr>
          <w:p>
            <w:pPr>
              <w:spacing w:after="0"/>
              <w:rPr>
                <w:sz w:val="20"/>
                <w:szCs w:val="20"/>
                <w:color w:val="auto"/>
              </w:rPr>
            </w:pPr>
            <w:r>
              <w:rPr>
                <w:rFonts w:ascii="Arial" w:cs="Arial" w:eastAsia="Arial" w:hAnsi="Arial"/>
                <w:sz w:val="20"/>
                <w:szCs w:val="20"/>
                <w:color w:val="auto"/>
                <w:w w:val="95"/>
              </w:rPr>
              <w:t>Interest Rates; LIBOR Notification. The interest rate on Loans is determined by reference to the</w:t>
            </w:r>
          </w:p>
        </w:tc>
      </w:tr>
      <w:tr>
        <w:trPr>
          <w:trHeight w:val="20"/>
        </w:trPr>
        <w:tc>
          <w:tcPr>
            <w:tcW w:w="2060" w:type="dxa"/>
            <w:vAlign w:val="bottom"/>
          </w:tcPr>
          <w:p>
            <w:pPr>
              <w:spacing w:after="0" w:line="20" w:lineRule="exact"/>
              <w:rPr>
                <w:sz w:val="1"/>
                <w:szCs w:val="1"/>
                <w:color w:val="auto"/>
              </w:rPr>
            </w:pPr>
          </w:p>
        </w:tc>
        <w:tc>
          <w:tcPr>
            <w:tcW w:w="2880" w:type="dxa"/>
            <w:vAlign w:val="bottom"/>
            <w:shd w:val="clear" w:color="auto" w:fill="000000"/>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r>
    </w:tbl>
    <w:p>
      <w:pPr>
        <w:spacing w:after="0" w:line="37" w:lineRule="exact"/>
        <w:rPr>
          <w:sz w:val="20"/>
          <w:szCs w:val="20"/>
          <w:color w:val="auto"/>
        </w:rPr>
      </w:pPr>
    </w:p>
    <w:p>
      <w:pPr>
        <w:jc w:val="both"/>
        <w:ind w:left="4"/>
        <w:spacing w:after="0" w:line="300" w:lineRule="auto"/>
        <w:rPr>
          <w:sz w:val="20"/>
          <w:szCs w:val="20"/>
          <w:color w:val="auto"/>
        </w:rPr>
      </w:pPr>
      <w:r>
        <w:rPr>
          <w:rFonts w:ascii="Arial" w:cs="Arial" w:eastAsia="Arial" w:hAnsi="Arial"/>
          <w:sz w:val="18"/>
          <w:szCs w:val="18"/>
          <w:color w:val="auto"/>
        </w:rPr>
        <w:t>LIBO Rate, which is derived from the London interbank offered rate. The London interbank offered rate is intended to represent the rate at which contributing banks may obtain short-term borrowings from each other in the London interbank market. In July 2017, the U.K. Financial Conduct Authority announced that, after the end of 2021, it would no longer persuade or compel contributing banks to make rate submissions to the ICE Benchmark Administration (together with any successor to the ICE Benchmark Administrator, the “IBA”) for purposes of the IBA setting the London interbank offered rate. As a result, it is possible that commencing in 2022, the London interbank offered rate may no longer be available or may no longer be deemed an appropriate reference rate upon which to determine the interest rate on Loans. In light of this eventuality, public and private sector industry initiatives are currently underway to identify new or alternative reference rates to be used in place of the London interbank offered rate. In the event that the London interbank offered rate is no longer available or in certain other circumstances as set forth in Section 3.2(b) of this Agreement, such Section 3.2(b) provides a mechanism for determining an alternative rate of interest. The Administrative Agent will notify the Borrower, pursuant to Section 3.2, in advance of any change to the reference rate upon which the interest rate on Loans is based. However, the Administrative Agent does not warrant or accept any responsibility for, and shall not have any liability with respect to, the administration, submission or any other matter related to the London interbank offered rate or other rates in the definition of “LIBO Rate” or with respect to any alternative or successor rate thereto, or replacement rate thereof, including without limitation, whether the composition or characteristics of any such alternative, successor or replacement reference rate, as it may or may not be adjusted pursuant to Section 3.2, will be similar to, or produce the same value or economic equivalence of, the LIBO Rate or have the same volume or liquidity as did the London interbank offered rate prior to its discontinuance or unavailability.</w:t>
      </w:r>
    </w:p>
    <w:p>
      <w:pPr>
        <w:spacing w:after="0" w:line="180" w:lineRule="exact"/>
        <w:rPr>
          <w:sz w:val="20"/>
          <w:szCs w:val="20"/>
          <w:color w:val="auto"/>
        </w:rPr>
      </w:pPr>
    </w:p>
    <w:p>
      <w:pPr>
        <w:jc w:val="both"/>
        <w:ind w:left="4" w:firstLine="648"/>
        <w:spacing w:after="0" w:line="285" w:lineRule="auto"/>
        <w:rPr>
          <w:sz w:val="20"/>
          <w:szCs w:val="20"/>
          <w:color w:val="auto"/>
        </w:rPr>
      </w:pPr>
      <w:r>
        <w:rPr>
          <w:rFonts w:ascii="Arial" w:cs="Arial" w:eastAsia="Arial" w:hAnsi="Arial"/>
          <w:sz w:val="18"/>
          <w:szCs w:val="18"/>
          <w:color w:val="auto"/>
        </w:rPr>
        <w:t xml:space="preserve">Section 1.6 </w:t>
      </w:r>
      <w:r>
        <w:rPr>
          <w:rFonts w:ascii="Arial" w:cs="Arial" w:eastAsia="Arial" w:hAnsi="Arial"/>
          <w:sz w:val="19"/>
          <w:szCs w:val="19"/>
          <w:u w:val="single" w:color="auto"/>
          <w:color w:val="auto"/>
        </w:rPr>
        <w:t>Amendment and Restatement</w:t>
      </w:r>
      <w:r>
        <w:rPr>
          <w:rFonts w:ascii="Arial" w:cs="Arial" w:eastAsia="Arial" w:hAnsi="Arial"/>
          <w:sz w:val="19"/>
          <w:szCs w:val="19"/>
          <w:color w:val="auto"/>
        </w:rPr>
        <w:t>. The Borrower and the Lenders acknowledge and agree that effective</w:t>
      </w:r>
      <w:r>
        <w:rPr>
          <w:rFonts w:ascii="Arial" w:cs="Arial" w:eastAsia="Arial" w:hAnsi="Arial"/>
          <w:sz w:val="18"/>
          <w:szCs w:val="18"/>
          <w:color w:val="auto"/>
        </w:rPr>
        <w:t xml:space="preserve"> </w:t>
      </w:r>
      <w:r>
        <w:rPr>
          <w:rFonts w:ascii="Arial" w:cs="Arial" w:eastAsia="Arial" w:hAnsi="Arial"/>
          <w:sz w:val="19"/>
          <w:szCs w:val="19"/>
          <w:color w:val="auto"/>
        </w:rPr>
        <w:t>at the time at which all conditions precedent set forth in Section 5.1 have been satisfied, this Agreement shall amend and restate in its entirety the Existing Term Loan Agreement. It is the intention of the parties hereto that this Agreement shall not effectuate a novation of the indebtedness, obligations and liabilities of the Borrower under the Existing Term Loan Agreement, but merely constitute a restatement and, where applicable, a substitution of the terms governing such indebtedness, obligations and liabilities. All Loans made and Obligations incurred under the Existing Term Loan Agreement which are outstanding on the Effective Date shall continue as Loans and Obligations under (and shall be governed by the terms of) this Agreement and the other Loan Documents. Without limiting the foregoing, upon the effectiveness hereof: (a) all references in the “Loan Documents” (as defined in the Existing Term Loan Agreement) to the “Administrative Agent”, the “Credit Agreement” and the “Loan Documents” shall be deemed to refer to the Administrative Agent, this Agreement and the Loan Documents, and (b) all obligations constituting “Obligations” with any Lender or any Affiliate of any Lender which are outstanding on the Effective Date shall continue as Obligations under this Agreement and the other Loan Documents.</w:t>
      </w:r>
    </w:p>
    <w:p>
      <w:pPr>
        <w:spacing w:after="0" w:line="171"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2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60" w:type="dxa"/>
            <w:vAlign w:val="bottom"/>
          </w:tcPr>
          <w:p>
            <w:pPr>
              <w:jc w:val="center"/>
              <w:ind w:left="1105"/>
              <w:spacing w:after="0"/>
              <w:rPr>
                <w:sz w:val="20"/>
                <w:szCs w:val="20"/>
                <w:color w:val="auto"/>
              </w:rPr>
            </w:pPr>
            <w:r>
              <w:rPr>
                <w:rFonts w:ascii="Arial" w:cs="Arial" w:eastAsia="Arial" w:hAnsi="Arial"/>
                <w:sz w:val="18"/>
                <w:szCs w:val="18"/>
                <w:color w:val="auto"/>
                <w:w w:val="97"/>
              </w:rPr>
              <w:t>ARTICLE 2.</w:t>
            </w:r>
          </w:p>
        </w:tc>
      </w:tr>
      <w:tr>
        <w:trPr>
          <w:trHeight w:val="442"/>
        </w:trPr>
        <w:tc>
          <w:tcPr>
            <w:tcW w:w="2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60" w:type="dxa"/>
            <w:vAlign w:val="bottom"/>
          </w:tcPr>
          <w:p>
            <w:pPr>
              <w:jc w:val="center"/>
              <w:ind w:left="1105"/>
              <w:spacing w:after="0"/>
              <w:rPr>
                <w:sz w:val="20"/>
                <w:szCs w:val="20"/>
                <w:color w:val="auto"/>
              </w:rPr>
            </w:pPr>
            <w:r>
              <w:rPr>
                <w:rFonts w:ascii="Arial" w:cs="Arial" w:eastAsia="Arial" w:hAnsi="Arial"/>
                <w:sz w:val="20"/>
                <w:szCs w:val="20"/>
                <w:color w:val="auto"/>
                <w:w w:val="94"/>
              </w:rPr>
              <w:t>THE CREDITS</w:t>
            </w:r>
          </w:p>
        </w:tc>
      </w:tr>
      <w:tr>
        <w:trPr>
          <w:trHeight w:val="206"/>
        </w:trPr>
        <w:tc>
          <w:tcPr>
            <w:tcW w:w="2100" w:type="dxa"/>
            <w:vAlign w:val="bottom"/>
          </w:tcPr>
          <w:p>
            <w:pPr>
              <w:spacing w:after="0" w:line="206" w:lineRule="exact"/>
              <w:rPr>
                <w:sz w:val="20"/>
                <w:szCs w:val="20"/>
                <w:color w:val="auto"/>
              </w:rPr>
            </w:pPr>
            <w:r>
              <w:rPr>
                <w:rFonts w:ascii="Arial" w:cs="Arial" w:eastAsia="Arial" w:hAnsi="Arial"/>
                <w:sz w:val="18"/>
                <w:szCs w:val="18"/>
                <w:color w:val="auto"/>
              </w:rPr>
              <w:t>Section 2.1</w:t>
            </w:r>
          </w:p>
        </w:tc>
        <w:tc>
          <w:tcPr>
            <w:tcW w:w="3580" w:type="dxa"/>
            <w:vAlign w:val="bottom"/>
            <w:gridSpan w:val="2"/>
          </w:tcPr>
          <w:p>
            <w:pPr>
              <w:spacing w:after="0" w:line="206" w:lineRule="exact"/>
              <w:rPr>
                <w:sz w:val="20"/>
                <w:szCs w:val="20"/>
                <w:color w:val="auto"/>
              </w:rPr>
            </w:pPr>
            <w:r>
              <w:rPr>
                <w:rFonts w:ascii="Arial" w:cs="Arial" w:eastAsia="Arial" w:hAnsi="Arial"/>
                <w:sz w:val="20"/>
                <w:szCs w:val="20"/>
                <w:color w:val="auto"/>
              </w:rPr>
              <w:t>Commitments.</w:t>
            </w:r>
          </w:p>
        </w:tc>
      </w:tr>
      <w:tr>
        <w:trPr>
          <w:trHeight w:val="20"/>
        </w:trPr>
        <w:tc>
          <w:tcPr>
            <w:tcW w:w="21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bl>
    <w:p>
      <w:pPr>
        <w:spacing w:after="0" w:line="24" w:lineRule="exact"/>
        <w:rPr>
          <w:sz w:val="20"/>
          <w:szCs w:val="20"/>
          <w:color w:val="auto"/>
        </w:rPr>
      </w:pPr>
    </w:p>
    <w:p>
      <w:pPr>
        <w:jc w:val="both"/>
        <w:ind w:left="-656" w:firstLine="656"/>
        <w:spacing w:after="0" w:line="256" w:lineRule="auto"/>
        <w:tabs>
          <w:tab w:leader="none" w:pos="500" w:val="left"/>
        </w:tabs>
        <w:numPr>
          <w:ilvl w:val="0"/>
          <w:numId w:val="29"/>
        </w:numPr>
        <w:rPr>
          <w:rFonts w:ascii="Arial" w:cs="Arial" w:eastAsia="Arial" w:hAnsi="Arial"/>
          <w:sz w:val="19"/>
          <w:szCs w:val="19"/>
          <w:color w:val="auto"/>
        </w:rPr>
      </w:pPr>
      <w:r>
        <w:rPr>
          <w:rFonts w:ascii="Arial" w:cs="Arial" w:eastAsia="Arial" w:hAnsi="Arial"/>
          <w:sz w:val="19"/>
          <w:szCs w:val="19"/>
          <w:color w:val="auto"/>
        </w:rPr>
        <w:t>Subject to the terms and conditions set forth herein, each Lender agrees, severally and not jointly, to make a portion of the Incremental Loan to the Borrower in a single drawing on the Effective Date in an amount equal to such Lender’s Commitment. The terms of the Incremental Loan shall be identical to the terms of the Loans made on the “Effective Date” under (and as defined in) the Existing Term Loan Agreement and outstanding immediately prior to the effectiveness of this Agreement (such Loans, being referred to herein as the “</w:t>
      </w:r>
      <w:r>
        <w:rPr>
          <w:rFonts w:ascii="Arial" w:cs="Arial" w:eastAsia="Arial" w:hAnsi="Arial"/>
          <w:sz w:val="19"/>
          <w:szCs w:val="19"/>
          <w:u w:val="single" w:color="auto"/>
          <w:color w:val="auto"/>
        </w:rPr>
        <w:t>Existing Loans</w:t>
      </w:r>
      <w:r>
        <w:rPr>
          <w:rFonts w:ascii="Arial" w:cs="Arial" w:eastAsia="Arial" w:hAnsi="Arial"/>
          <w:sz w:val="19"/>
          <w:szCs w:val="19"/>
          <w:color w:val="auto"/>
        </w:rPr>
        <w:t>”), except as such terms shall have been modified hereby. Subject to the terms and conditions set forth herein and effective as of the Effective Date, for all purposes of the Loan Documents, the Incremental Loan made hereunder shall constitute an increase in the aggregate amount of the Existing Loans incurred. Without limiting the foregoing, the Incremental Loan made hereunder shall mature on the Maturity Date, shall participate in any mandatory or voluntary prepayments on a pro rata basis with the Existing Loans and shall bear interest at the rates specified herein as applicable to the Existing Loans.</w:t>
      </w:r>
    </w:p>
    <w:p>
      <w:pPr>
        <w:sectPr>
          <w:pgSz w:w="11900" w:h="16838" w:orient="portrait"/>
          <w:cols w:equalWidth="0" w:num="1">
            <w:col w:w="10764"/>
          </w:cols>
          <w:pgMar w:left="896" w:top="337" w:right="239" w:bottom="1440" w:gutter="0" w:footer="0" w:header="0"/>
        </w:sectPr>
      </w:pPr>
    </w:p>
    <w:bookmarkStart w:id="72" w:name="page73"/>
    <w:bookmarkEnd w:id="72"/>
    <w:p>
      <w:pPr>
        <w:ind w:left="10720"/>
        <w:spacing w:after="0"/>
        <w:rPr>
          <w:sz w:val="20"/>
          <w:szCs w:val="20"/>
          <w:color w:val="auto"/>
        </w:rPr>
      </w:pPr>
      <w:r>
        <w:rPr>
          <w:rFonts w:ascii="Arial" w:cs="Arial" w:eastAsia="Arial" w:hAnsi="Arial"/>
          <w:sz w:val="16"/>
          <w:szCs w:val="16"/>
          <w:b w:val="1"/>
          <w:bCs w:val="1"/>
          <w:color w:val="auto"/>
        </w:rPr>
        <w:t>Exhibit 4</w:t>
      </w:r>
    </w:p>
    <w:p>
      <w:pPr>
        <w:spacing w:after="0" w:line="2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 xml:space="preserve">The Commitments will automatically terminate concurrently with the making of the Incremental Loan on the Effective Date. For the avoidance of doubt, the failure of any Lender to make its portion of the Incremental Loan shall not relieve any other Lender of its obligations 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Commitments of the Lenders are several, and no Lender shall be responsible for any other Lender’s failure to make its portion of the Incremental Loan. Amounts repaid or prepaid in respect of the Loans may not be reborrowed.</w:t>
      </w:r>
    </w:p>
    <w:p>
      <w:pPr>
        <w:spacing w:after="0" w:line="163" w:lineRule="exact"/>
        <w:rPr>
          <w:sz w:val="20"/>
          <w:szCs w:val="20"/>
          <w:color w:val="auto"/>
        </w:rPr>
      </w:pPr>
    </w:p>
    <w:p>
      <w:pPr>
        <w:ind w:left="660"/>
        <w:spacing w:after="0"/>
        <w:tabs>
          <w:tab w:leader="none" w:pos="2740" w:val="left"/>
        </w:tabs>
        <w:rPr>
          <w:sz w:val="20"/>
          <w:szCs w:val="20"/>
          <w:color w:val="auto"/>
        </w:rPr>
      </w:pPr>
      <w:r>
        <w:rPr>
          <w:rFonts w:ascii="Arial" w:cs="Arial" w:eastAsia="Arial" w:hAnsi="Arial"/>
          <w:sz w:val="18"/>
          <w:szCs w:val="18"/>
          <w:color w:val="auto"/>
        </w:rPr>
        <w:t>Section 2.2</w:t>
      </w:r>
      <w:r>
        <w:rPr>
          <w:sz w:val="20"/>
          <w:szCs w:val="20"/>
          <w:color w:val="auto"/>
        </w:rPr>
        <w:tab/>
      </w:r>
      <w:r>
        <w:rPr>
          <w:rFonts w:ascii="Arial" w:cs="Arial" w:eastAsia="Arial" w:hAnsi="Arial"/>
          <w:sz w:val="18"/>
          <w:szCs w:val="18"/>
          <w:u w:val="single" w:color="auto"/>
          <w:color w:val="auto"/>
        </w:rPr>
        <w:t>Funding of Incremental Loan</w:t>
      </w:r>
      <w:r>
        <w:rPr>
          <w:rFonts w:ascii="Arial" w:cs="Arial" w:eastAsia="Arial" w:hAnsi="Arial"/>
          <w:sz w:val="18"/>
          <w:szCs w:val="18"/>
          <w:color w:val="auto"/>
        </w:rPr>
        <w:t>.</w:t>
      </w:r>
    </w:p>
    <w:p>
      <w:pPr>
        <w:spacing w:after="0" w:line="279" w:lineRule="exact"/>
        <w:rPr>
          <w:sz w:val="20"/>
          <w:szCs w:val="20"/>
          <w:color w:val="auto"/>
        </w:rPr>
      </w:pPr>
    </w:p>
    <w:p>
      <w:pPr>
        <w:jc w:val="both"/>
        <w:ind w:firstLine="1305"/>
        <w:spacing w:after="0" w:line="273" w:lineRule="auto"/>
        <w:tabs>
          <w:tab w:leader="none" w:pos="2070" w:val="left"/>
        </w:tabs>
        <w:numPr>
          <w:ilvl w:val="0"/>
          <w:numId w:val="30"/>
        </w:numPr>
        <w:rPr>
          <w:rFonts w:ascii="Arial" w:cs="Arial" w:eastAsia="Arial" w:hAnsi="Arial"/>
          <w:sz w:val="18"/>
          <w:szCs w:val="18"/>
          <w:color w:val="auto"/>
        </w:rPr>
      </w:pPr>
      <w:r>
        <w:rPr>
          <w:rFonts w:ascii="Arial" w:cs="Arial" w:eastAsia="Arial" w:hAnsi="Arial"/>
          <w:sz w:val="20"/>
          <w:szCs w:val="20"/>
          <w:color w:val="auto"/>
        </w:rPr>
        <w:t>Not later than 2:00 p.m. New York City time on the Effective Date, each Lender shall deliver the proceeds of its portion of the Incremental Loan by wire transfer of immediately available funds to the account of the Administrative Agent designated by it for such purpose by notice to the Lenders. The Administrative Agent will make such proceeds available to the Borrower by promptly crediting or otherwise transferring the amounts so received, in like funds, to an account of the Borrower designated by the Borrower to the Administrative Agent.</w:t>
      </w:r>
    </w:p>
    <w:p>
      <w:pPr>
        <w:spacing w:after="0" w:line="204" w:lineRule="exact"/>
        <w:rPr>
          <w:rFonts w:ascii="Arial" w:cs="Arial" w:eastAsia="Arial" w:hAnsi="Arial"/>
          <w:sz w:val="18"/>
          <w:szCs w:val="18"/>
          <w:color w:val="auto"/>
        </w:rPr>
      </w:pPr>
    </w:p>
    <w:p>
      <w:pPr>
        <w:jc w:val="both"/>
        <w:ind w:firstLine="1305"/>
        <w:spacing w:after="0" w:line="302" w:lineRule="auto"/>
        <w:tabs>
          <w:tab w:leader="none" w:pos="2093"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Unless the Administrative Agent shall have received notice from a Lender prior to the Effective Date that such Lender will not make the proceeds of its portion of the Incremental Loan available to the Administrative Agent, the Administrative Agent may assume that such Lender has made such proceeds available on such date in accordance with </w:t>
      </w:r>
      <w:r>
        <w:rPr>
          <w:rFonts w:ascii="Arial" w:cs="Arial" w:eastAsia="Arial" w:hAnsi="Arial"/>
          <w:sz w:val="18"/>
          <w:szCs w:val="18"/>
          <w:u w:val="single" w:color="auto"/>
          <w:color w:val="auto"/>
        </w:rPr>
        <w:t>Section 2.2(a)</w:t>
      </w:r>
      <w:r>
        <w:rPr>
          <w:rFonts w:ascii="Arial" w:cs="Arial" w:eastAsia="Arial" w:hAnsi="Arial"/>
          <w:sz w:val="18"/>
          <w:szCs w:val="18"/>
          <w:color w:val="auto"/>
        </w:rPr>
        <w:t xml:space="preserve"> and may, in reliance upon such assumption, make available to the Borrower a corresponding amount. In such event, if a Lender has not in fact made its portion of the Incremental Loan available to the Administrative Agent, then the applicable Lender and the Borrower severally agree to pay to the Administrative Agent forthwith on demand such corresponding amount with interest thereon, for each day from and including the date such amount is made available to the Borrower to but excluding the date of payment to the Administrative Agent, at (i) in the case of such Lender, the greater of the Federal Funds Effective Rate and a rate determined by the Administrative Agent in accordance with banking industry rules on interbank compensation or (ii) in the case of the Borrower, the interest rate that would be otherwise applicable to the Loans. Any payment by the Borrower, however, shall be without prejudice to its rights against the applicable Lender. If such Lender pays such amount to the Administrative Agent, then such amount shall constitute such Lender’s portion of the Incremental Loan.</w:t>
      </w:r>
    </w:p>
    <w:p>
      <w:pPr>
        <w:spacing w:after="0" w:line="187" w:lineRule="exact"/>
        <w:rPr>
          <w:sz w:val="20"/>
          <w:szCs w:val="20"/>
          <w:color w:val="auto"/>
        </w:rPr>
      </w:pPr>
    </w:p>
    <w:p>
      <w:pPr>
        <w:ind w:left="660"/>
        <w:spacing w:after="0"/>
        <w:tabs>
          <w:tab w:leader="none" w:pos="2740" w:val="left"/>
        </w:tabs>
        <w:rPr>
          <w:sz w:val="20"/>
          <w:szCs w:val="20"/>
          <w:color w:val="auto"/>
        </w:rPr>
      </w:pPr>
      <w:r>
        <w:rPr>
          <w:rFonts w:ascii="Arial" w:cs="Arial" w:eastAsia="Arial" w:hAnsi="Arial"/>
          <w:sz w:val="18"/>
          <w:szCs w:val="18"/>
          <w:color w:val="auto"/>
        </w:rPr>
        <w:t>Section 2.3</w:t>
      </w:r>
      <w:r>
        <w:rPr>
          <w:sz w:val="20"/>
          <w:szCs w:val="20"/>
          <w:color w:val="auto"/>
        </w:rPr>
        <w:tab/>
      </w:r>
      <w:r>
        <w:rPr>
          <w:rFonts w:ascii="Arial" w:cs="Arial" w:eastAsia="Arial" w:hAnsi="Arial"/>
          <w:sz w:val="18"/>
          <w:szCs w:val="18"/>
          <w:u w:val="single" w:color="auto"/>
          <w:color w:val="auto"/>
        </w:rPr>
        <w:t>Repayment of Loans; Evidence of Debt</w:t>
      </w:r>
      <w:r>
        <w:rPr>
          <w:rFonts w:ascii="Arial" w:cs="Arial" w:eastAsia="Arial" w:hAnsi="Arial"/>
          <w:sz w:val="18"/>
          <w:szCs w:val="18"/>
          <w:color w:val="auto"/>
        </w:rPr>
        <w:t>.</w:t>
      </w:r>
    </w:p>
    <w:p>
      <w:pPr>
        <w:spacing w:after="0" w:line="279" w:lineRule="exact"/>
        <w:rPr>
          <w:sz w:val="20"/>
          <w:szCs w:val="20"/>
          <w:color w:val="auto"/>
        </w:rPr>
      </w:pPr>
    </w:p>
    <w:p>
      <w:pPr>
        <w:ind w:firstLine="1305"/>
        <w:spacing w:after="0" w:line="289" w:lineRule="auto"/>
        <w:tabs>
          <w:tab w:leader="none" w:pos="2070" w:val="left"/>
        </w:tabs>
        <w:numPr>
          <w:ilvl w:val="0"/>
          <w:numId w:val="31"/>
        </w:numPr>
        <w:rPr>
          <w:rFonts w:ascii="Arial" w:cs="Arial" w:eastAsia="Arial" w:hAnsi="Arial"/>
          <w:sz w:val="18"/>
          <w:szCs w:val="18"/>
          <w:color w:val="auto"/>
        </w:rPr>
      </w:pPr>
      <w:r>
        <w:rPr>
          <w:rFonts w:ascii="Arial" w:cs="Arial" w:eastAsia="Arial" w:hAnsi="Arial"/>
          <w:sz w:val="20"/>
          <w:szCs w:val="20"/>
          <w:color w:val="auto"/>
        </w:rPr>
        <w:t>The Borrower hereby unconditionally promises to pay to the Administrative Agent for the account of each Lender the then unpaid principal amount of such Lender’s Loan on the Maturity Date.</w:t>
      </w:r>
    </w:p>
    <w:p>
      <w:pPr>
        <w:spacing w:after="0" w:line="188" w:lineRule="exact"/>
        <w:rPr>
          <w:rFonts w:ascii="Arial" w:cs="Arial" w:eastAsia="Arial" w:hAnsi="Arial"/>
          <w:sz w:val="18"/>
          <w:szCs w:val="18"/>
          <w:color w:val="auto"/>
        </w:rPr>
      </w:pPr>
    </w:p>
    <w:p>
      <w:pPr>
        <w:jc w:val="both"/>
        <w:ind w:firstLine="1305"/>
        <w:spacing w:after="0" w:line="278" w:lineRule="auto"/>
        <w:tabs>
          <w:tab w:leader="none" w:pos="2080" w:val="left"/>
        </w:tabs>
        <w:numPr>
          <w:ilvl w:val="0"/>
          <w:numId w:val="31"/>
        </w:numPr>
        <w:rPr>
          <w:rFonts w:ascii="Arial" w:cs="Arial" w:eastAsia="Arial" w:hAnsi="Arial"/>
          <w:sz w:val="18"/>
          <w:szCs w:val="18"/>
          <w:color w:val="auto"/>
        </w:rPr>
      </w:pPr>
      <w:r>
        <w:rPr>
          <w:rFonts w:ascii="Arial" w:cs="Arial" w:eastAsia="Arial" w:hAnsi="Arial"/>
          <w:sz w:val="20"/>
          <w:szCs w:val="20"/>
          <w:color w:val="auto"/>
        </w:rPr>
        <w:t>Each Lender shall maintain in accordance with its usual practice an account or accounts evidencing the debt of the Borrower to such Lender resulting from the Loan made by such Lender, including the amounts of principal and interest payable and paid to such Lender from time to time hereunder.</w:t>
      </w:r>
    </w:p>
    <w:p>
      <w:pPr>
        <w:spacing w:after="0" w:line="200" w:lineRule="exact"/>
        <w:rPr>
          <w:rFonts w:ascii="Arial" w:cs="Arial" w:eastAsia="Arial" w:hAnsi="Arial"/>
          <w:sz w:val="18"/>
          <w:szCs w:val="18"/>
          <w:color w:val="auto"/>
        </w:rPr>
      </w:pPr>
    </w:p>
    <w:p>
      <w:pPr>
        <w:jc w:val="both"/>
        <w:ind w:firstLine="1305"/>
        <w:spacing w:after="0" w:line="274" w:lineRule="auto"/>
        <w:tabs>
          <w:tab w:leader="none" w:pos="2070" w:val="left"/>
        </w:tabs>
        <w:numPr>
          <w:ilvl w:val="0"/>
          <w:numId w:val="31"/>
        </w:numPr>
        <w:rPr>
          <w:rFonts w:ascii="Arial" w:cs="Arial" w:eastAsia="Arial" w:hAnsi="Arial"/>
          <w:sz w:val="18"/>
          <w:szCs w:val="18"/>
          <w:color w:val="auto"/>
        </w:rPr>
      </w:pPr>
      <w:r>
        <w:rPr>
          <w:rFonts w:ascii="Arial" w:cs="Arial" w:eastAsia="Arial" w:hAnsi="Arial"/>
          <w:sz w:val="20"/>
          <w:szCs w:val="20"/>
          <w:color w:val="auto"/>
        </w:rPr>
        <w:t>The Administrative Agent shall maintain accounts in which it shall record (i) the amount of each Lender’s Loan made hereunder, (ii) the amount of any principal or interest due and payable or to become due and payable from the Borrower to each Lender hereunder and (iii) the amount of any sum received by the Administrative Agent hereunder for the account of the Lenders and each Lender’s share thereof.</w:t>
      </w:r>
    </w:p>
    <w:p>
      <w:pPr>
        <w:spacing w:after="0" w:line="205" w:lineRule="exact"/>
        <w:rPr>
          <w:rFonts w:ascii="Arial" w:cs="Arial" w:eastAsia="Arial" w:hAnsi="Arial"/>
          <w:sz w:val="18"/>
          <w:szCs w:val="18"/>
          <w:color w:val="auto"/>
        </w:rPr>
      </w:pPr>
    </w:p>
    <w:p>
      <w:pPr>
        <w:jc w:val="both"/>
        <w:ind w:firstLine="1305"/>
        <w:spacing w:after="0" w:line="274" w:lineRule="auto"/>
        <w:tabs>
          <w:tab w:leader="none" w:pos="2080" w:val="left"/>
        </w:tabs>
        <w:numPr>
          <w:ilvl w:val="0"/>
          <w:numId w:val="31"/>
        </w:numPr>
        <w:rPr>
          <w:rFonts w:ascii="Arial" w:cs="Arial" w:eastAsia="Arial" w:hAnsi="Arial"/>
          <w:sz w:val="18"/>
          <w:szCs w:val="18"/>
          <w:color w:val="auto"/>
        </w:rPr>
      </w:pPr>
      <w:r>
        <w:rPr>
          <w:rFonts w:ascii="Arial" w:cs="Arial" w:eastAsia="Arial" w:hAnsi="Arial"/>
          <w:sz w:val="20"/>
          <w:szCs w:val="20"/>
          <w:color w:val="auto"/>
        </w:rPr>
        <w:t xml:space="preserve">The entries made in the accounts maintained pursuant to </w:t>
      </w:r>
      <w:r>
        <w:rPr>
          <w:rFonts w:ascii="Arial" w:cs="Arial" w:eastAsia="Arial" w:hAnsi="Arial"/>
          <w:sz w:val="20"/>
          <w:szCs w:val="20"/>
          <w:u w:val="single" w:color="auto"/>
          <w:color w:val="auto"/>
        </w:rPr>
        <w:t>paragraph (b)</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(c)</w:t>
      </w:r>
      <w:r>
        <w:rPr>
          <w:rFonts w:ascii="Arial" w:cs="Arial" w:eastAsia="Arial" w:hAnsi="Arial"/>
          <w:sz w:val="20"/>
          <w:szCs w:val="20"/>
          <w:color w:val="auto"/>
        </w:rPr>
        <w:t xml:space="preserve"> of this Section shall be prima facie evidence of the existence and amounts of the obligations recorded therein,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failure of any Lender or the Administrative Agent to maintain such accounts or any error therein shall not in any manner affect the obligation of the Borrower to repay the Loans in accordance with the terms of this Agreement.</w:t>
      </w:r>
    </w:p>
    <w:p>
      <w:pPr>
        <w:sectPr>
          <w:pgSz w:w="11900" w:h="16838" w:orient="portrait"/>
          <w:cols w:equalWidth="0" w:num="1">
            <w:col w:w="11420"/>
          </w:cols>
          <w:pgMar w:left="240" w:top="337"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4</w:t>
      </w:r>
    </w:p>
    <w:p>
      <w:pPr>
        <w:spacing w:after="0" w:line="200" w:lineRule="exact"/>
        <w:rPr>
          <w:sz w:val="20"/>
          <w:szCs w:val="20"/>
          <w:color w:val="auto"/>
        </w:rPr>
      </w:pPr>
    </w:p>
    <w:p>
      <w:pPr>
        <w:spacing w:after="0" w:line="297" w:lineRule="exact"/>
        <w:rPr>
          <w:sz w:val="20"/>
          <w:szCs w:val="20"/>
          <w:color w:val="auto"/>
        </w:rPr>
      </w:pPr>
    </w:p>
    <w:p>
      <w:pPr>
        <w:jc w:val="both"/>
        <w:ind w:firstLine="1305"/>
        <w:spacing w:after="0" w:line="272" w:lineRule="auto"/>
        <w:tabs>
          <w:tab w:leader="none" w:pos="2070" w:val="left"/>
        </w:tabs>
        <w:numPr>
          <w:ilvl w:val="0"/>
          <w:numId w:val="32"/>
        </w:numPr>
        <w:rPr>
          <w:rFonts w:ascii="Arial" w:cs="Arial" w:eastAsia="Arial" w:hAnsi="Arial"/>
          <w:sz w:val="18"/>
          <w:szCs w:val="18"/>
          <w:color w:val="auto"/>
        </w:rPr>
      </w:pPr>
      <w:r>
        <w:rPr>
          <w:rFonts w:ascii="Arial" w:cs="Arial" w:eastAsia="Arial" w:hAnsi="Arial"/>
          <w:sz w:val="20"/>
          <w:szCs w:val="20"/>
          <w:color w:val="auto"/>
        </w:rPr>
        <w:t xml:space="preserve">Any Lender may request that its Loan be evidenced by a Note in the original principal amount of such Lender’s Loan. In such event, the Borrower shall prepare, execute and deliver to such Lender a Note payable to the order of such Lender. Thereafter, the Loan evidenced by such Note and interest thereon shall at all times (including after any assignment pursuant to </w:t>
      </w:r>
      <w:r>
        <w:rPr>
          <w:rFonts w:ascii="Arial" w:cs="Arial" w:eastAsia="Arial" w:hAnsi="Arial"/>
          <w:sz w:val="20"/>
          <w:szCs w:val="20"/>
          <w:u w:val="single" w:color="auto"/>
          <w:color w:val="auto"/>
        </w:rPr>
        <w:t>Section 10.4</w:t>
      </w:r>
      <w:r>
        <w:rPr>
          <w:rFonts w:ascii="Arial" w:cs="Arial" w:eastAsia="Arial" w:hAnsi="Arial"/>
          <w:sz w:val="20"/>
          <w:szCs w:val="20"/>
          <w:color w:val="auto"/>
        </w:rPr>
        <w:t xml:space="preserve">) be represented by a Note payable to the order of the payee named therein or any Eligible Assignee pursuant to </w:t>
      </w:r>
      <w:r>
        <w:rPr>
          <w:rFonts w:ascii="Arial" w:cs="Arial" w:eastAsia="Arial" w:hAnsi="Arial"/>
          <w:sz w:val="20"/>
          <w:szCs w:val="20"/>
          <w:u w:val="single" w:color="auto"/>
          <w:color w:val="auto"/>
        </w:rPr>
        <w:t>Section 10.4</w:t>
      </w:r>
      <w:r>
        <w:rPr>
          <w:rFonts w:ascii="Arial" w:cs="Arial" w:eastAsia="Arial" w:hAnsi="Arial"/>
          <w:sz w:val="20"/>
          <w:szCs w:val="20"/>
          <w:color w:val="auto"/>
        </w:rPr>
        <w:t xml:space="preserve">, except to the extent that any such Lender or Eligible Assignee subsequently returns any such Note for cancellation and requests that such Loan once again be evidenced as described in </w:t>
      </w:r>
      <w:r>
        <w:rPr>
          <w:rFonts w:ascii="Arial" w:cs="Arial" w:eastAsia="Arial" w:hAnsi="Arial"/>
          <w:sz w:val="20"/>
          <w:szCs w:val="20"/>
          <w:u w:val="single" w:color="auto"/>
          <w:color w:val="auto"/>
        </w:rPr>
        <w:t>paragraphs (b)</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(c)</w:t>
      </w:r>
      <w:r>
        <w:rPr>
          <w:rFonts w:ascii="Arial" w:cs="Arial" w:eastAsia="Arial" w:hAnsi="Arial"/>
          <w:sz w:val="20"/>
          <w:szCs w:val="20"/>
          <w:color w:val="auto"/>
        </w:rPr>
        <w:t xml:space="preserve"> above.</w:t>
      </w:r>
    </w:p>
    <w:p>
      <w:pPr>
        <w:spacing w:after="0" w:line="205" w:lineRule="exact"/>
        <w:rPr>
          <w:sz w:val="20"/>
          <w:szCs w:val="20"/>
          <w:color w:val="auto"/>
        </w:rPr>
      </w:pPr>
    </w:p>
    <w:p>
      <w:pPr>
        <w:ind w:firstLine="648"/>
        <w:spacing w:after="0" w:line="316" w:lineRule="auto"/>
        <w:rPr>
          <w:sz w:val="20"/>
          <w:szCs w:val="20"/>
          <w:color w:val="auto"/>
        </w:rPr>
      </w:pPr>
      <w:r>
        <w:rPr>
          <w:rFonts w:ascii="Arial" w:cs="Arial" w:eastAsia="Arial" w:hAnsi="Arial"/>
          <w:sz w:val="18"/>
          <w:szCs w:val="18"/>
          <w:color w:val="auto"/>
        </w:rPr>
        <w:t xml:space="preserve">Section 2.4 </w:t>
      </w:r>
      <w:r>
        <w:rPr>
          <w:rFonts w:ascii="Arial" w:cs="Arial" w:eastAsia="Arial" w:hAnsi="Arial"/>
          <w:sz w:val="19"/>
          <w:szCs w:val="19"/>
          <w:u w:val="single" w:color="auto"/>
          <w:color w:val="auto"/>
        </w:rPr>
        <w:t>Voluntary Prepayments</w:t>
      </w:r>
      <w:r>
        <w:rPr>
          <w:rFonts w:ascii="Arial" w:cs="Arial" w:eastAsia="Arial" w:hAnsi="Arial"/>
          <w:sz w:val="19"/>
          <w:szCs w:val="19"/>
          <w:color w:val="auto"/>
        </w:rPr>
        <w:t>. (a) The Borrower shall have the right at any time and from time to time to prepay</w:t>
      </w:r>
      <w:r>
        <w:rPr>
          <w:rFonts w:ascii="Arial" w:cs="Arial" w:eastAsia="Arial" w:hAnsi="Arial"/>
          <w:sz w:val="18"/>
          <w:szCs w:val="18"/>
          <w:color w:val="auto"/>
        </w:rPr>
        <w:t xml:space="preserve"> </w:t>
      </w:r>
      <w:r>
        <w:rPr>
          <w:rFonts w:ascii="Arial" w:cs="Arial" w:eastAsia="Arial" w:hAnsi="Arial"/>
          <w:sz w:val="19"/>
          <w:szCs w:val="19"/>
          <w:color w:val="auto"/>
        </w:rPr>
        <w:t xml:space="preserve">any Loans in whole or in part, subject to the requirements of this </w:t>
      </w:r>
      <w:r>
        <w:rPr>
          <w:rFonts w:ascii="Arial" w:cs="Arial" w:eastAsia="Arial" w:hAnsi="Arial"/>
          <w:sz w:val="19"/>
          <w:szCs w:val="19"/>
          <w:u w:val="single" w:color="auto"/>
          <w:color w:val="auto"/>
        </w:rPr>
        <w:t>Section 2.4</w:t>
      </w:r>
      <w:r>
        <w:rPr>
          <w:rFonts w:ascii="Arial" w:cs="Arial" w:eastAsia="Arial" w:hAnsi="Arial"/>
          <w:sz w:val="19"/>
          <w:szCs w:val="19"/>
          <w:color w:val="auto"/>
        </w:rPr>
        <w:t>.</w:t>
      </w:r>
    </w:p>
    <w:p>
      <w:pPr>
        <w:spacing w:after="0" w:line="167" w:lineRule="exact"/>
        <w:rPr>
          <w:sz w:val="20"/>
          <w:szCs w:val="20"/>
          <w:color w:val="auto"/>
        </w:rPr>
      </w:pPr>
    </w:p>
    <w:p>
      <w:pPr>
        <w:jc w:val="both"/>
        <w:ind w:firstLine="1305"/>
        <w:spacing w:after="0" w:line="285" w:lineRule="auto"/>
        <w:tabs>
          <w:tab w:leader="none" w:pos="2070" w:val="left"/>
        </w:tabs>
        <w:numPr>
          <w:ilvl w:val="0"/>
          <w:numId w:val="33"/>
        </w:numPr>
        <w:rPr>
          <w:rFonts w:ascii="Arial" w:cs="Arial" w:eastAsia="Arial" w:hAnsi="Arial"/>
          <w:sz w:val="17"/>
          <w:szCs w:val="17"/>
          <w:color w:val="auto"/>
        </w:rPr>
      </w:pPr>
      <w:r>
        <w:rPr>
          <w:rFonts w:ascii="Arial" w:cs="Arial" w:eastAsia="Arial" w:hAnsi="Arial"/>
          <w:sz w:val="19"/>
          <w:szCs w:val="19"/>
          <w:color w:val="auto"/>
        </w:rPr>
        <w:t xml:space="preserve">The Borrower shall notify the Administrative Agent by telephone (confirmed by facsimile) of any prepayment under this </w:t>
      </w:r>
      <w:r>
        <w:rPr>
          <w:rFonts w:ascii="Arial" w:cs="Arial" w:eastAsia="Arial" w:hAnsi="Arial"/>
          <w:sz w:val="19"/>
          <w:szCs w:val="19"/>
          <w:u w:val="single" w:color="auto"/>
          <w:color w:val="auto"/>
        </w:rPr>
        <w:t>Section 2.4</w:t>
      </w:r>
      <w:r>
        <w:rPr>
          <w:rFonts w:ascii="Arial" w:cs="Arial" w:eastAsia="Arial" w:hAnsi="Arial"/>
          <w:sz w:val="19"/>
          <w:szCs w:val="19"/>
          <w:color w:val="auto"/>
        </w:rPr>
        <w:t xml:space="preserve">, (i) in the case of a prepayment of Loans bearing interest at the LIBO Rate, not later than 11:30 a.m., New York City time, three Business Days before the date of prepayment or (ii) in the case of prepayment of Loans bearing interest at the Alternate Base Rate, not later than 11:30 a.m., New York City time, on the date of the prepayment. Each such notice shall be irrevocable and shall specify the prepayment date and the principal amount of the Loans to be prepaid, provided that, such notice of prepayment may state that such notice is conditioned upon the effectiveness of other credit facilities, in which case such notice may be revoked by the Borrower (by notice to the Administrative Agent on or prior to the specified effective date) if such condition is not satisfied. Promptly following receipt of any such notice relating to the prepayment of Loans, the Administrative Agent shall advise the Lenders of the contents thereof. Each partial prepayment of Loans shall be in an integral multiple of $1,000,000 and not less than $5,000,000 (or, if the outstanding principal balance of the Loans is less than such minimum amount, then such lesser outstanding principal balance). Each prepayment of Loans shall be applied ratably to all of the then outstanding Loans. Prepayments shall be accompanied by accrued interest to the extent required by </w:t>
      </w:r>
      <w:r>
        <w:rPr>
          <w:rFonts w:ascii="Arial" w:cs="Arial" w:eastAsia="Arial" w:hAnsi="Arial"/>
          <w:sz w:val="19"/>
          <w:szCs w:val="19"/>
          <w:u w:val="single" w:color="auto"/>
          <w:color w:val="auto"/>
        </w:rPr>
        <w:t>Section 3.1</w:t>
      </w:r>
      <w:r>
        <w:rPr>
          <w:rFonts w:ascii="Arial" w:cs="Arial" w:eastAsia="Arial" w:hAnsi="Arial"/>
          <w:sz w:val="19"/>
          <w:szCs w:val="19"/>
          <w:color w:val="auto"/>
        </w:rPr>
        <w:t xml:space="preserve"> and, if applicable, shall be subject to the provisions of </w:t>
      </w:r>
      <w:r>
        <w:rPr>
          <w:rFonts w:ascii="Arial" w:cs="Arial" w:eastAsia="Arial" w:hAnsi="Arial"/>
          <w:sz w:val="19"/>
          <w:szCs w:val="19"/>
          <w:u w:val="single" w:color="auto"/>
          <w:color w:val="auto"/>
        </w:rPr>
        <w:t>Section 3.4</w:t>
      </w:r>
      <w:r>
        <w:rPr>
          <w:rFonts w:ascii="Arial" w:cs="Arial" w:eastAsia="Arial" w:hAnsi="Arial"/>
          <w:sz w:val="19"/>
          <w:szCs w:val="19"/>
          <w:color w:val="auto"/>
        </w:rPr>
        <w:t>.</w:t>
      </w:r>
    </w:p>
    <w:p>
      <w:pPr>
        <w:spacing w:after="0" w:line="195" w:lineRule="exact"/>
        <w:rPr>
          <w:sz w:val="20"/>
          <w:szCs w:val="20"/>
          <w:color w:val="auto"/>
        </w:rPr>
      </w:pPr>
    </w:p>
    <w:p>
      <w:pPr>
        <w:ind w:left="660"/>
        <w:spacing w:after="0"/>
        <w:tabs>
          <w:tab w:leader="none" w:pos="2740" w:val="left"/>
        </w:tabs>
        <w:rPr>
          <w:sz w:val="20"/>
          <w:szCs w:val="20"/>
          <w:color w:val="auto"/>
        </w:rPr>
      </w:pPr>
      <w:r>
        <w:rPr>
          <w:rFonts w:ascii="Arial" w:cs="Arial" w:eastAsia="Arial" w:hAnsi="Arial"/>
          <w:sz w:val="18"/>
          <w:szCs w:val="18"/>
          <w:color w:val="auto"/>
        </w:rPr>
        <w:t>Section 2.5</w:t>
      </w:r>
      <w:r>
        <w:rPr>
          <w:sz w:val="20"/>
          <w:szCs w:val="20"/>
          <w:color w:val="auto"/>
        </w:rPr>
        <w:tab/>
      </w:r>
      <w:r>
        <w:rPr>
          <w:rFonts w:ascii="Arial" w:cs="Arial" w:eastAsia="Arial" w:hAnsi="Arial"/>
          <w:sz w:val="16"/>
          <w:szCs w:val="16"/>
          <w:u w:val="single" w:color="auto"/>
          <w:color w:val="auto"/>
        </w:rPr>
        <w:t>Payments Generally; Pro Rata Treatment; Sharing of Set-offs</w:t>
      </w:r>
      <w:r>
        <w:rPr>
          <w:rFonts w:ascii="Arial" w:cs="Arial" w:eastAsia="Arial" w:hAnsi="Arial"/>
          <w:sz w:val="16"/>
          <w:szCs w:val="16"/>
          <w:color w:val="auto"/>
        </w:rPr>
        <w:t>.</w:t>
      </w:r>
    </w:p>
    <w:p>
      <w:pPr>
        <w:spacing w:after="0" w:line="279" w:lineRule="exact"/>
        <w:rPr>
          <w:sz w:val="20"/>
          <w:szCs w:val="20"/>
          <w:color w:val="auto"/>
        </w:rPr>
      </w:pPr>
    </w:p>
    <w:p>
      <w:pPr>
        <w:jc w:val="both"/>
        <w:ind w:firstLine="1305"/>
        <w:spacing w:after="0" w:line="285" w:lineRule="auto"/>
        <w:tabs>
          <w:tab w:leader="none" w:pos="2070" w:val="left"/>
        </w:tabs>
        <w:numPr>
          <w:ilvl w:val="0"/>
          <w:numId w:val="34"/>
        </w:numPr>
        <w:rPr>
          <w:rFonts w:ascii="Arial" w:cs="Arial" w:eastAsia="Arial" w:hAnsi="Arial"/>
          <w:sz w:val="17"/>
          <w:szCs w:val="17"/>
          <w:color w:val="auto"/>
        </w:rPr>
      </w:pPr>
      <w:r>
        <w:rPr>
          <w:rFonts w:ascii="Arial" w:cs="Arial" w:eastAsia="Arial" w:hAnsi="Arial"/>
          <w:sz w:val="19"/>
          <w:szCs w:val="19"/>
          <w:color w:val="auto"/>
        </w:rPr>
        <w:t xml:space="preserve">The Borrower shall make each payment required to be made by it hereunder or under any other Loan Document (whether of principal of Loans, interest or fees, or of amounts payable under </w:t>
      </w:r>
      <w:r>
        <w:rPr>
          <w:rFonts w:ascii="Arial" w:cs="Arial" w:eastAsia="Arial" w:hAnsi="Arial"/>
          <w:sz w:val="19"/>
          <w:szCs w:val="19"/>
          <w:u w:val="single" w:color="auto"/>
          <w:color w:val="auto"/>
        </w:rPr>
        <w:t>Sections 3.3</w:t>
      </w:r>
      <w:r>
        <w:rPr>
          <w:rFonts w:ascii="Arial" w:cs="Arial" w:eastAsia="Arial" w:hAnsi="Arial"/>
          <w:sz w:val="19"/>
          <w:szCs w:val="19"/>
          <w:color w:val="auto"/>
        </w:rPr>
        <w:t xml:space="preserve">, </w:t>
      </w:r>
      <w:r>
        <w:rPr>
          <w:rFonts w:ascii="Arial" w:cs="Arial" w:eastAsia="Arial" w:hAnsi="Arial"/>
          <w:sz w:val="19"/>
          <w:szCs w:val="19"/>
          <w:u w:val="single" w:color="auto"/>
          <w:color w:val="auto"/>
        </w:rPr>
        <w:t>3.4</w:t>
      </w:r>
      <w:r>
        <w:rPr>
          <w:rFonts w:ascii="Arial" w:cs="Arial" w:eastAsia="Arial" w:hAnsi="Arial"/>
          <w:sz w:val="19"/>
          <w:szCs w:val="19"/>
          <w:color w:val="auto"/>
        </w:rPr>
        <w:t xml:space="preserve">, </w:t>
      </w:r>
      <w:r>
        <w:rPr>
          <w:rFonts w:ascii="Arial" w:cs="Arial" w:eastAsia="Arial" w:hAnsi="Arial"/>
          <w:sz w:val="19"/>
          <w:szCs w:val="19"/>
          <w:u w:val="single" w:color="auto"/>
          <w:color w:val="auto"/>
        </w:rPr>
        <w:t>3.5</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10.3</w:t>
      </w:r>
      <w:r>
        <w:rPr>
          <w:rFonts w:ascii="Arial" w:cs="Arial" w:eastAsia="Arial" w:hAnsi="Arial"/>
          <w:sz w:val="19"/>
          <w:szCs w:val="19"/>
          <w:color w:val="auto"/>
        </w:rPr>
        <w:t xml:space="preserve">, or otherwise) prior to 2:00 p.m., New York City time, on the date when due, in immediately available funds, without set-off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at its office at 10 S. Dearborn, Chicago, Illinois, or such other office as to which the Administrative Agent may notify the other parties hereto, except that payments pursuant to </w:t>
      </w:r>
      <w:r>
        <w:rPr>
          <w:rFonts w:ascii="Arial" w:cs="Arial" w:eastAsia="Arial" w:hAnsi="Arial"/>
          <w:sz w:val="19"/>
          <w:szCs w:val="19"/>
          <w:u w:val="single" w:color="auto"/>
          <w:color w:val="auto"/>
        </w:rPr>
        <w:t>Sections 3.3</w:t>
      </w:r>
      <w:r>
        <w:rPr>
          <w:rFonts w:ascii="Arial" w:cs="Arial" w:eastAsia="Arial" w:hAnsi="Arial"/>
          <w:sz w:val="19"/>
          <w:szCs w:val="19"/>
          <w:color w:val="auto"/>
        </w:rPr>
        <w:t xml:space="preserve">, </w:t>
      </w:r>
      <w:r>
        <w:rPr>
          <w:rFonts w:ascii="Arial" w:cs="Arial" w:eastAsia="Arial" w:hAnsi="Arial"/>
          <w:sz w:val="19"/>
          <w:szCs w:val="19"/>
          <w:u w:val="single" w:color="auto"/>
          <w:color w:val="auto"/>
        </w:rPr>
        <w:t>3.4</w:t>
      </w:r>
      <w:r>
        <w:rPr>
          <w:rFonts w:ascii="Arial" w:cs="Arial" w:eastAsia="Arial" w:hAnsi="Arial"/>
          <w:sz w:val="19"/>
          <w:szCs w:val="19"/>
          <w:color w:val="auto"/>
        </w:rPr>
        <w:t xml:space="preserve">, </w:t>
      </w:r>
      <w:r>
        <w:rPr>
          <w:rFonts w:ascii="Arial" w:cs="Arial" w:eastAsia="Arial" w:hAnsi="Arial"/>
          <w:sz w:val="19"/>
          <w:szCs w:val="19"/>
          <w:u w:val="single" w:color="auto"/>
          <w:color w:val="auto"/>
        </w:rPr>
        <w:t>3.5</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10.3</w:t>
      </w:r>
      <w:r>
        <w:rPr>
          <w:rFonts w:ascii="Arial" w:cs="Arial" w:eastAsia="Arial" w:hAnsi="Arial"/>
          <w:sz w:val="19"/>
          <w:szCs w:val="19"/>
          <w:color w:val="auto"/>
        </w:rPr>
        <w:t xml:space="preserve"> shall be made directly to the Persons entitled thereto. The Administrative Agent shall distribute any such payments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 All payments hereunder shall be made in dollars.</w:t>
      </w:r>
    </w:p>
    <w:p>
      <w:pPr>
        <w:spacing w:after="0" w:line="198" w:lineRule="exact"/>
        <w:rPr>
          <w:rFonts w:ascii="Arial" w:cs="Arial" w:eastAsia="Arial" w:hAnsi="Arial"/>
          <w:sz w:val="17"/>
          <w:szCs w:val="17"/>
          <w:color w:val="auto"/>
        </w:rPr>
      </w:pPr>
    </w:p>
    <w:p>
      <w:pPr>
        <w:jc w:val="both"/>
        <w:ind w:firstLine="1305"/>
        <w:spacing w:after="0" w:line="307" w:lineRule="auto"/>
        <w:tabs>
          <w:tab w:leader="none" w:pos="2080" w:val="left"/>
        </w:tabs>
        <w:numPr>
          <w:ilvl w:val="0"/>
          <w:numId w:val="34"/>
        </w:numPr>
        <w:rPr>
          <w:rFonts w:ascii="Arial" w:cs="Arial" w:eastAsia="Arial" w:hAnsi="Arial"/>
          <w:sz w:val="16"/>
          <w:szCs w:val="16"/>
          <w:color w:val="auto"/>
        </w:rPr>
      </w:pPr>
      <w:r>
        <w:rPr>
          <w:rFonts w:ascii="Arial" w:cs="Arial" w:eastAsia="Arial" w:hAnsi="Arial"/>
          <w:sz w:val="18"/>
          <w:szCs w:val="18"/>
          <w:color w:val="auto"/>
        </w:rPr>
        <w:t xml:space="preserve">Each payment or prepayment of principal or interest on the Loans shall be allocated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among the Lenders in accordance with their Applicable Percentages. If at any time insufficient funds are received by and available to the Administrative Agent to pay fully all amounts of principal of Loans, interest, fees and commissions then due hereunder, such funds shall be applied (i) first, towards payment of interest, fees and commissions then due hereunder, ratably among the parties entitled thereto in accordance with the amounts of interest, fees and commissions then due to such parties and (ii) second, towards payment of principal of Loans then due hereunder, ratably among the parties entitled thereto in accordance with the amounts of principal of the Loans then due to such parties.</w:t>
      </w:r>
    </w:p>
    <w:p>
      <w:pPr>
        <w:sectPr>
          <w:pgSz w:w="11900" w:h="16838" w:orient="portrait"/>
          <w:cols w:equalWidth="0" w:num="1">
            <w:col w:w="11420"/>
          </w:cols>
          <w:pgMar w:left="240" w:top="337" w:right="239" w:bottom="1440" w:gutter="0" w:footer="0" w:header="0"/>
        </w:sectPr>
      </w:pPr>
    </w:p>
    <w:bookmarkStart w:id="74" w:name="page75"/>
    <w:bookmarkEnd w:id="74"/>
    <w:p>
      <w:pPr>
        <w:ind w:left="10720"/>
        <w:spacing w:after="0"/>
        <w:rPr>
          <w:sz w:val="20"/>
          <w:szCs w:val="20"/>
          <w:color w:val="auto"/>
        </w:rPr>
      </w:pPr>
      <w:r>
        <w:rPr>
          <w:rFonts w:ascii="Arial" w:cs="Arial" w:eastAsia="Arial" w:hAnsi="Arial"/>
          <w:sz w:val="16"/>
          <w:szCs w:val="16"/>
          <w:b w:val="1"/>
          <w:bCs w:val="1"/>
          <w:color w:val="auto"/>
        </w:rPr>
        <w:t>Exhibit 4</w:t>
      </w:r>
    </w:p>
    <w:p>
      <w:pPr>
        <w:spacing w:after="0" w:line="290" w:lineRule="exact"/>
        <w:rPr>
          <w:sz w:val="20"/>
          <w:szCs w:val="20"/>
          <w:color w:val="auto"/>
        </w:rPr>
      </w:pPr>
    </w:p>
    <w:p>
      <w:pPr>
        <w:jc w:val="both"/>
        <w:ind w:firstLine="1305"/>
        <w:spacing w:after="0" w:line="334" w:lineRule="auto"/>
        <w:tabs>
          <w:tab w:leader="none" w:pos="2082" w:val="left"/>
        </w:tabs>
        <w:numPr>
          <w:ilvl w:val="1"/>
          <w:numId w:val="35"/>
        </w:numPr>
        <w:rPr>
          <w:rFonts w:ascii="Arial" w:cs="Arial" w:eastAsia="Arial" w:hAnsi="Arial"/>
          <w:sz w:val="16"/>
          <w:szCs w:val="16"/>
          <w:color w:val="auto"/>
        </w:rPr>
      </w:pPr>
      <w:r>
        <w:rPr>
          <w:rFonts w:ascii="Arial" w:cs="Arial" w:eastAsia="Arial" w:hAnsi="Arial"/>
          <w:sz w:val="16"/>
          <w:szCs w:val="16"/>
          <w:color w:val="auto"/>
        </w:rPr>
        <w:t xml:space="preserve">If any Lender shall, by exercising any right of set-off or counterclaim or otherwise, obtain payment in respect of any principal of, or interest on, its Loan resulting in such Lender receiving payment of a greater proportion of the aggregate amount of its Loan and accrued interest thereon than the proportion received by any other Lender, then the Lender receiving such greater proportion shall purchase (for cash at face value) participations in the Loans of other Lenders to the extent necessary so that the benefit of all such payments shall be shared by the Lenders ratably in accordance with the aggregate amount of principal of, and accrued interest on, their respective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2" w:lineRule="exact"/>
        <w:rPr>
          <w:rFonts w:ascii="Arial" w:cs="Arial" w:eastAsia="Arial" w:hAnsi="Arial"/>
          <w:sz w:val="16"/>
          <w:szCs w:val="16"/>
          <w:color w:val="auto"/>
        </w:rPr>
      </w:pPr>
    </w:p>
    <w:p>
      <w:pPr>
        <w:jc w:val="both"/>
        <w:ind w:firstLine="8"/>
        <w:spacing w:after="0" w:line="304" w:lineRule="auto"/>
        <w:tabs>
          <w:tab w:leader="none" w:pos="249"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Borrower pursuant to and in accordance with the express terms of this Agreement or any payment obtained by a Lender as consideration for the assignment of or sale of a participation in any of its Loans to any assignee or participant, other than to the Borrower or any Subsidiary or Affiliate thereof (as to which the provisions of this paragraph shall apply).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184" w:lineRule="exact"/>
        <w:rPr>
          <w:rFonts w:ascii="Arial" w:cs="Arial" w:eastAsia="Arial" w:hAnsi="Arial"/>
          <w:sz w:val="18"/>
          <w:szCs w:val="18"/>
          <w:color w:val="auto"/>
        </w:rPr>
      </w:pPr>
    </w:p>
    <w:p>
      <w:pPr>
        <w:jc w:val="both"/>
        <w:ind w:firstLine="1305"/>
        <w:spacing w:after="0" w:line="286" w:lineRule="auto"/>
        <w:tabs>
          <w:tab w:leader="none" w:pos="2080" w:val="left"/>
        </w:tabs>
        <w:numPr>
          <w:ilvl w:val="1"/>
          <w:numId w:val="36"/>
        </w:numPr>
        <w:rPr>
          <w:rFonts w:ascii="Arial" w:cs="Arial" w:eastAsia="Arial" w:hAnsi="Arial"/>
          <w:sz w:val="17"/>
          <w:szCs w:val="17"/>
          <w:color w:val="auto"/>
        </w:rPr>
      </w:pPr>
      <w:r>
        <w:rPr>
          <w:rFonts w:ascii="Arial" w:cs="Arial" w:eastAsia="Arial" w:hAnsi="Arial"/>
          <w:sz w:val="19"/>
          <w:szCs w:val="19"/>
          <w:color w:val="auto"/>
        </w:rPr>
        <w:t>Unless the Administrative Agent shall have received notice from the Borrower prior to the date on which any payment is due to the Administrative Agent for the account of the applicable Lenders hereunder that the Borrower will not make such payment, the Administrative Agent may assume that the Borrower has made such payment on such date in accordance herewith and may, in reliance upon such assumption, distribute to such Lenders the amount due. In such event, if the Borrower has not in fact made such payment, then each such Lender severally agrees to repay to the Administrative Agent forthwith on demand the amount so distributed to such Lender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w:t>
      </w:r>
    </w:p>
    <w:p>
      <w:pPr>
        <w:spacing w:after="0" w:line="199" w:lineRule="exact"/>
        <w:rPr>
          <w:rFonts w:ascii="Arial" w:cs="Arial" w:eastAsia="Arial" w:hAnsi="Arial"/>
          <w:sz w:val="17"/>
          <w:szCs w:val="17"/>
          <w:color w:val="auto"/>
        </w:rPr>
      </w:pPr>
    </w:p>
    <w:p>
      <w:pPr>
        <w:jc w:val="both"/>
        <w:ind w:firstLine="1305"/>
        <w:spacing w:after="0" w:line="274" w:lineRule="auto"/>
        <w:tabs>
          <w:tab w:leader="none" w:pos="2070" w:val="left"/>
        </w:tabs>
        <w:numPr>
          <w:ilvl w:val="1"/>
          <w:numId w:val="36"/>
        </w:numPr>
        <w:rPr>
          <w:rFonts w:ascii="Arial" w:cs="Arial" w:eastAsia="Arial" w:hAnsi="Arial"/>
          <w:sz w:val="18"/>
          <w:szCs w:val="18"/>
          <w:color w:val="auto"/>
        </w:rPr>
      </w:pPr>
      <w:r>
        <w:rPr>
          <w:rFonts w:ascii="Arial" w:cs="Arial" w:eastAsia="Arial" w:hAnsi="Arial"/>
          <w:sz w:val="20"/>
          <w:szCs w:val="20"/>
          <w:color w:val="auto"/>
        </w:rPr>
        <w:t xml:space="preserve">If any Lender shall fail to make any payment required to be made by it pursuant to </w:t>
      </w:r>
      <w:r>
        <w:rPr>
          <w:rFonts w:ascii="Arial" w:cs="Arial" w:eastAsia="Arial" w:hAnsi="Arial"/>
          <w:sz w:val="20"/>
          <w:szCs w:val="20"/>
          <w:u w:val="single" w:color="auto"/>
          <w:color w:val="auto"/>
        </w:rPr>
        <w:t>2.5(d)</w:t>
      </w:r>
      <w:r>
        <w:rPr>
          <w:rFonts w:ascii="Arial" w:cs="Arial" w:eastAsia="Arial" w:hAnsi="Arial"/>
          <w:sz w:val="20"/>
          <w:szCs w:val="20"/>
          <w:color w:val="auto"/>
        </w:rPr>
        <w:t>, then the Administrative Agent may, in its discretion (notwithstanding any contrary provision hereof), apply any amounts thereafter received by the Administrative Agent for the account of such Lender to satisfy such Lender’s obligations under such Section until all such unsatisfied obligations are fully paid.</w:t>
      </w:r>
    </w:p>
    <w:p>
      <w:pPr>
        <w:spacing w:after="0" w:line="20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8"/>
          <w:szCs w:val="18"/>
          <w:color w:val="auto"/>
        </w:rPr>
        <w:t xml:space="preserve">Section 2.6 </w:t>
      </w:r>
      <w:r>
        <w:rPr>
          <w:rFonts w:ascii="Arial" w:cs="Arial" w:eastAsia="Arial" w:hAnsi="Arial"/>
          <w:sz w:val="19"/>
          <w:szCs w:val="19"/>
          <w:u w:val="single" w:color="auto"/>
          <w:color w:val="auto"/>
        </w:rPr>
        <w:t>Defaulting Lenders</w:t>
      </w:r>
      <w:r>
        <w:rPr>
          <w:rFonts w:ascii="Arial" w:cs="Arial" w:eastAsia="Arial" w:hAnsi="Arial"/>
          <w:sz w:val="19"/>
          <w:szCs w:val="19"/>
          <w:color w:val="auto"/>
        </w:rPr>
        <w:t>. Notwithstanding any provision of this Agreement to the contrary, if any Lender</w:t>
      </w:r>
      <w:r>
        <w:rPr>
          <w:rFonts w:ascii="Arial" w:cs="Arial" w:eastAsia="Arial" w:hAnsi="Arial"/>
          <w:sz w:val="18"/>
          <w:szCs w:val="18"/>
          <w:color w:val="auto"/>
        </w:rPr>
        <w:t xml:space="preserve"> </w:t>
      </w:r>
      <w:r>
        <w:rPr>
          <w:rFonts w:ascii="Arial" w:cs="Arial" w:eastAsia="Arial" w:hAnsi="Arial"/>
          <w:sz w:val="19"/>
          <w:szCs w:val="19"/>
          <w:color w:val="auto"/>
        </w:rPr>
        <w:t xml:space="preserve">becomes a Defaulting Lender, then, for so long as such Lender is a Defaulting Lender, the Commitments and Loans of such Defaulting Lender shall not be included in determining whether all Lenders or the Required Lenders have voted or taken or may take any action hereunder (including any consent to any amendment, modification or waiver pursuant to </w:t>
      </w:r>
      <w:r>
        <w:rPr>
          <w:rFonts w:ascii="Arial" w:cs="Arial" w:eastAsia="Arial" w:hAnsi="Arial"/>
          <w:sz w:val="19"/>
          <w:szCs w:val="19"/>
          <w:u w:val="single" w:color="auto"/>
          <w:color w:val="auto"/>
        </w:rPr>
        <w:t>Section 10.2</w:t>
      </w:r>
      <w:r>
        <w:rPr>
          <w:rFonts w:ascii="Arial" w:cs="Arial" w:eastAsia="Arial" w:hAnsi="Arial"/>
          <w:sz w:val="19"/>
          <w:szCs w:val="19"/>
          <w:color w:val="auto"/>
        </w:rPr>
        <w:t>); provided that (i) any waiver, amendment or modification requiring the consent of all Lenders or each affected Lender which affects such Defaulting Lender differently than other affected Lenders shall require the consent of such Defaulting Lender and (ii) any amendment or modification that increases, or extends the maturity of, such Defaulting Lender’s Commitment or reduces the principal amount of, or rate of interest on, any Loan made by such Defaulting Lender, shall require the consent of such Defaulting Lender.</w:t>
      </w:r>
    </w:p>
    <w:p>
      <w:pPr>
        <w:spacing w:after="0" w:line="200" w:lineRule="exact"/>
        <w:rPr>
          <w:sz w:val="20"/>
          <w:szCs w:val="20"/>
          <w:color w:val="auto"/>
        </w:rPr>
      </w:pPr>
    </w:p>
    <w:p>
      <w:pPr>
        <w:spacing w:after="0" w:line="324"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ARTICLE 3</w:t>
      </w:r>
      <w:r>
        <w:rPr>
          <w:rFonts w:ascii="Arial" w:cs="Arial" w:eastAsia="Arial" w:hAnsi="Arial"/>
          <w:sz w:val="18"/>
          <w:szCs w:val="18"/>
          <w:color w:val="auto"/>
        </w:rPr>
        <w:t>.</w:t>
      </w:r>
    </w:p>
    <w:p>
      <w:pPr>
        <w:spacing w:after="0" w:line="189" w:lineRule="exact"/>
        <w:rPr>
          <w:sz w:val="20"/>
          <w:szCs w:val="20"/>
          <w:color w:val="auto"/>
        </w:rPr>
      </w:pPr>
    </w:p>
    <w:p>
      <w:pPr>
        <w:ind w:left="3720"/>
        <w:spacing w:after="0"/>
        <w:rPr>
          <w:sz w:val="20"/>
          <w:szCs w:val="20"/>
          <w:color w:val="auto"/>
        </w:rPr>
      </w:pPr>
      <w:r>
        <w:rPr>
          <w:rFonts w:ascii="Arial" w:cs="Arial" w:eastAsia="Arial" w:hAnsi="Arial"/>
          <w:sz w:val="20"/>
          <w:szCs w:val="20"/>
          <w:color w:val="auto"/>
        </w:rPr>
        <w:t>INTEREST, FEES, YIELD PROTECTION, ETC.</w:t>
      </w:r>
    </w:p>
    <w:p>
      <w:pPr>
        <w:spacing w:after="0" w:line="20" w:lineRule="exact"/>
        <w:rPr>
          <w:sz w:val="20"/>
          <w:szCs w:val="20"/>
          <w:color w:val="auto"/>
        </w:rPr>
      </w:pPr>
    </w:p>
    <w:p>
      <w:pPr>
        <w:ind w:left="660"/>
        <w:spacing w:after="0"/>
        <w:tabs>
          <w:tab w:leader="none" w:pos="2740" w:val="left"/>
        </w:tabs>
        <w:rPr>
          <w:sz w:val="20"/>
          <w:szCs w:val="20"/>
          <w:color w:val="auto"/>
        </w:rPr>
      </w:pPr>
      <w:r>
        <w:rPr>
          <w:rFonts w:ascii="Arial" w:cs="Arial" w:eastAsia="Arial" w:hAnsi="Arial"/>
          <w:sz w:val="18"/>
          <w:szCs w:val="18"/>
          <w:color w:val="auto"/>
        </w:rPr>
        <w:t>Section 3.1</w:t>
      </w:r>
      <w:r>
        <w:rPr>
          <w:sz w:val="20"/>
          <w:szCs w:val="20"/>
          <w:color w:val="auto"/>
        </w:rPr>
        <w:tab/>
      </w:r>
      <w:r>
        <w:rPr>
          <w:rFonts w:ascii="Arial" w:cs="Arial" w:eastAsia="Arial" w:hAnsi="Arial"/>
          <w:sz w:val="16"/>
          <w:szCs w:val="16"/>
          <w:u w:val="single" w:color="auto"/>
          <w:color w:val="auto"/>
        </w:rPr>
        <w:t>Interest</w:t>
      </w:r>
      <w:r>
        <w:rPr>
          <w:rFonts w:ascii="Arial" w:cs="Arial" w:eastAsia="Arial" w:hAnsi="Arial"/>
          <w:sz w:val="16"/>
          <w:szCs w:val="16"/>
          <w:color w:val="auto"/>
        </w:rPr>
        <w:t>.</w:t>
      </w:r>
    </w:p>
    <w:p>
      <w:pPr>
        <w:spacing w:after="0" w:line="272" w:lineRule="exact"/>
        <w:rPr>
          <w:sz w:val="20"/>
          <w:szCs w:val="20"/>
          <w:color w:val="auto"/>
        </w:rPr>
      </w:pPr>
    </w:p>
    <w:p>
      <w:pPr>
        <w:jc w:val="both"/>
        <w:ind w:left="660" w:firstLine="1293"/>
        <w:spacing w:after="0" w:line="278" w:lineRule="auto"/>
        <w:tabs>
          <w:tab w:leader="none" w:pos="2804" w:val="left"/>
        </w:tabs>
        <w:numPr>
          <w:ilvl w:val="0"/>
          <w:numId w:val="37"/>
        </w:numPr>
        <w:rPr>
          <w:rFonts w:ascii="Arial" w:cs="Arial" w:eastAsia="Arial" w:hAnsi="Arial"/>
          <w:sz w:val="18"/>
          <w:szCs w:val="18"/>
          <w:color w:val="auto"/>
        </w:rPr>
      </w:pPr>
      <w:r>
        <w:rPr>
          <w:rFonts w:ascii="Arial" w:cs="Arial" w:eastAsia="Arial" w:hAnsi="Arial"/>
          <w:sz w:val="20"/>
          <w:szCs w:val="20"/>
          <w:color w:val="auto"/>
        </w:rPr>
        <w:t xml:space="preserve">The Borrower promises to pay interest on the unpaid principal amount of each Loan for the period commencing on the date such Loan is made until such Loan is paid in full at a rate </w:t>
      </w:r>
      <w:r>
        <w:rPr>
          <w:rFonts w:ascii="Arial" w:cs="Arial" w:eastAsia="Arial" w:hAnsi="Arial"/>
          <w:sz w:val="20"/>
          <w:szCs w:val="20"/>
          <w:u w:val="single" w:color="auto"/>
          <w:color w:val="auto"/>
        </w:rPr>
        <w:t>per annum</w:t>
      </w:r>
      <w:r>
        <w:rPr>
          <w:rFonts w:ascii="Arial" w:cs="Arial" w:eastAsia="Arial" w:hAnsi="Arial"/>
          <w:sz w:val="20"/>
          <w:szCs w:val="20"/>
          <w:color w:val="auto"/>
        </w:rPr>
        <w:t xml:space="preserve"> equal to the sum of the LIBO Rate for each applicable Interest Period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1.025%.</w:t>
      </w:r>
    </w:p>
    <w:p>
      <w:pPr>
        <w:sectPr>
          <w:pgSz w:w="11900" w:h="16838" w:orient="portrait"/>
          <w:cols w:equalWidth="0" w:num="1">
            <w:col w:w="11420"/>
          </w:cols>
          <w:pgMar w:left="240" w:top="337"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4</w:t>
      </w:r>
    </w:p>
    <w:p>
      <w:pPr>
        <w:spacing w:after="0" w:line="267" w:lineRule="exact"/>
        <w:rPr>
          <w:sz w:val="20"/>
          <w:szCs w:val="20"/>
          <w:color w:val="auto"/>
        </w:rPr>
      </w:pPr>
    </w:p>
    <w:p>
      <w:pPr>
        <w:jc w:val="both"/>
        <w:ind w:firstLine="1305"/>
        <w:spacing w:after="0" w:line="273" w:lineRule="auto"/>
        <w:tabs>
          <w:tab w:leader="none" w:pos="2155" w:val="left"/>
        </w:tabs>
        <w:numPr>
          <w:ilvl w:val="0"/>
          <w:numId w:val="38"/>
        </w:numPr>
        <w:rPr>
          <w:rFonts w:ascii="Arial" w:cs="Arial" w:eastAsia="Arial" w:hAnsi="Arial"/>
          <w:sz w:val="18"/>
          <w:szCs w:val="18"/>
          <w:color w:val="auto"/>
        </w:rPr>
      </w:pPr>
      <w:r>
        <w:rPr>
          <w:rFonts w:ascii="Arial" w:cs="Arial" w:eastAsia="Arial" w:hAnsi="Arial"/>
          <w:sz w:val="20"/>
          <w:szCs w:val="20"/>
          <w:color w:val="auto"/>
        </w:rPr>
        <w:t xml:space="preserve">Notwithstanding the foregoing, if any principal of or interest on any Loan, or any fee or other amount payable by the Borrower hereunder is not paid when due, whether at stated maturity, upon acceleration or otherwise, such overdue amount shall bear interest, after as well as before judgment, at a rate </w:t>
      </w:r>
      <w:r>
        <w:rPr>
          <w:rFonts w:ascii="Arial" w:cs="Arial" w:eastAsia="Arial" w:hAnsi="Arial"/>
          <w:sz w:val="20"/>
          <w:szCs w:val="20"/>
          <w:u w:val="single" w:color="auto"/>
          <w:color w:val="auto"/>
        </w:rPr>
        <w:t>per annum</w:t>
      </w:r>
      <w:r>
        <w:rPr>
          <w:rFonts w:ascii="Arial" w:cs="Arial" w:eastAsia="Arial" w:hAnsi="Arial"/>
          <w:sz w:val="20"/>
          <w:szCs w:val="20"/>
          <w:color w:val="auto"/>
        </w:rPr>
        <w:t xml:space="preserve"> equal to in the case of overdue principal of any Loan, 2%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the rate otherwise applicable to such Loan as provided in the preceding paragraph of this Section or, in the case of any other amount, 2% plus the Alternate Base Rate from time to time in effect.</w:t>
      </w:r>
    </w:p>
    <w:p>
      <w:pPr>
        <w:spacing w:after="0" w:line="204" w:lineRule="exact"/>
        <w:rPr>
          <w:rFonts w:ascii="Arial" w:cs="Arial" w:eastAsia="Arial" w:hAnsi="Arial"/>
          <w:sz w:val="18"/>
          <w:szCs w:val="18"/>
          <w:color w:val="auto"/>
        </w:rPr>
      </w:pPr>
    </w:p>
    <w:p>
      <w:pPr>
        <w:jc w:val="both"/>
        <w:ind w:firstLine="1305"/>
        <w:spacing w:after="0" w:line="322" w:lineRule="auto"/>
        <w:tabs>
          <w:tab w:leader="none" w:pos="2144" w:val="left"/>
        </w:tabs>
        <w:numPr>
          <w:ilvl w:val="0"/>
          <w:numId w:val="38"/>
        </w:numPr>
        <w:rPr>
          <w:rFonts w:ascii="Arial" w:cs="Arial" w:eastAsia="Arial" w:hAnsi="Arial"/>
          <w:sz w:val="16"/>
          <w:szCs w:val="16"/>
          <w:color w:val="auto"/>
        </w:rPr>
      </w:pPr>
      <w:r>
        <w:rPr>
          <w:rFonts w:ascii="Arial" w:cs="Arial" w:eastAsia="Arial" w:hAnsi="Arial"/>
          <w:sz w:val="18"/>
          <w:szCs w:val="18"/>
          <w:color w:val="auto"/>
        </w:rPr>
        <w:t xml:space="preserve">Accrued interest on each Loan shall be payable in arrears on each Interest Payment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interest accrued pursuant to </w:t>
      </w:r>
      <w:r>
        <w:rPr>
          <w:rFonts w:ascii="Arial" w:cs="Arial" w:eastAsia="Arial" w:hAnsi="Arial"/>
          <w:sz w:val="18"/>
          <w:szCs w:val="18"/>
          <w:u w:val="single" w:color="auto"/>
          <w:color w:val="auto"/>
        </w:rPr>
        <w:t>paragraph (b)</w:t>
      </w:r>
      <w:r>
        <w:rPr>
          <w:rFonts w:ascii="Arial" w:cs="Arial" w:eastAsia="Arial" w:hAnsi="Arial"/>
          <w:sz w:val="18"/>
          <w:szCs w:val="18"/>
          <w:color w:val="auto"/>
        </w:rPr>
        <w:t xml:space="preserve"> of this Section shall be payable on demand and (ii) in the event of any repayment or prepayment of any Loan, accrued interest on the principal amount repaid or prepaid shall be payable on the date of such repayment or prepayment.</w:t>
      </w:r>
    </w:p>
    <w:p>
      <w:pPr>
        <w:spacing w:after="0" w:line="166" w:lineRule="exact"/>
        <w:rPr>
          <w:rFonts w:ascii="Arial" w:cs="Arial" w:eastAsia="Arial" w:hAnsi="Arial"/>
          <w:sz w:val="16"/>
          <w:szCs w:val="16"/>
          <w:color w:val="auto"/>
        </w:rPr>
      </w:pPr>
    </w:p>
    <w:p>
      <w:pPr>
        <w:jc w:val="both"/>
        <w:ind w:firstLine="1305"/>
        <w:spacing w:after="0" w:line="286" w:lineRule="auto"/>
        <w:tabs>
          <w:tab w:leader="none" w:pos="2155" w:val="left"/>
        </w:tabs>
        <w:numPr>
          <w:ilvl w:val="0"/>
          <w:numId w:val="38"/>
        </w:numPr>
        <w:rPr>
          <w:rFonts w:ascii="Arial" w:cs="Arial" w:eastAsia="Arial" w:hAnsi="Arial"/>
          <w:sz w:val="17"/>
          <w:szCs w:val="17"/>
          <w:color w:val="auto"/>
        </w:rPr>
      </w:pPr>
      <w:r>
        <w:rPr>
          <w:rFonts w:ascii="Arial" w:cs="Arial" w:eastAsia="Arial" w:hAnsi="Arial"/>
          <w:sz w:val="19"/>
          <w:szCs w:val="19"/>
          <w:color w:val="auto"/>
        </w:rPr>
        <w:t>All interest hereunder shall be computed on the basis of a year of 360 days, except that interest computed by reference to the Alternate Base Rate at times when the Alternate Base Rate is based on the Prime Rate shall be computed on the basis of a year of 365 days (or 366 days in a leap year), and in each case shall be payable for the actual number of days elapsed (including the first day but excluding the last day). The applicable Alternate Base Rate, Adjusted LIBO Rate or LIBO Rate shall be determined by the Administrative Agent, and such determination shall be conclusive absent clearly demonstrable error. If any amount payable hereunder is bearing interest at the Alternate Base Rate, the Administrative Agent shall, as soon as practicable, notify the Borrower and the Lenders of the effective date and the amount of each change in the Prime Rate or Alternate Base Rate, but any failure to so notify shall not in any manner affect the obligation of the Borrower to pay interest hereunder in the amounts and on the dates required.</w:t>
      </w:r>
    </w:p>
    <w:p>
      <w:pPr>
        <w:spacing w:after="0" w:line="199" w:lineRule="exact"/>
        <w:rPr>
          <w:sz w:val="20"/>
          <w:szCs w:val="20"/>
          <w:color w:val="auto"/>
        </w:rPr>
      </w:pPr>
    </w:p>
    <w:p>
      <w:pPr>
        <w:ind w:left="660"/>
        <w:spacing w:after="0"/>
        <w:tabs>
          <w:tab w:leader="none" w:pos="2740" w:val="left"/>
        </w:tabs>
        <w:rPr>
          <w:sz w:val="20"/>
          <w:szCs w:val="20"/>
          <w:color w:val="auto"/>
        </w:rPr>
      </w:pPr>
      <w:r>
        <w:rPr>
          <w:rFonts w:ascii="Arial" w:cs="Arial" w:eastAsia="Arial" w:hAnsi="Arial"/>
          <w:sz w:val="18"/>
          <w:szCs w:val="18"/>
          <w:color w:val="auto"/>
        </w:rPr>
        <w:t>Section 3.2</w:t>
      </w:r>
      <w:r>
        <w:rPr>
          <w:sz w:val="20"/>
          <w:szCs w:val="20"/>
          <w:color w:val="auto"/>
        </w:rPr>
        <w:tab/>
      </w:r>
      <w:r>
        <w:rPr>
          <w:rFonts w:ascii="Arial" w:cs="Arial" w:eastAsia="Arial" w:hAnsi="Arial"/>
          <w:sz w:val="18"/>
          <w:szCs w:val="18"/>
          <w:u w:val="single" w:color="auto"/>
          <w:color w:val="auto"/>
        </w:rPr>
        <w:t>Alternate Rate of Interest</w:t>
      </w:r>
      <w:r>
        <w:rPr>
          <w:rFonts w:ascii="Arial" w:cs="Arial" w:eastAsia="Arial" w:hAnsi="Arial"/>
          <w:sz w:val="18"/>
          <w:szCs w:val="18"/>
          <w:color w:val="auto"/>
        </w:rPr>
        <w:t>.</w:t>
      </w:r>
    </w:p>
    <w:p>
      <w:pPr>
        <w:spacing w:after="0" w:line="279" w:lineRule="exact"/>
        <w:rPr>
          <w:sz w:val="20"/>
          <w:szCs w:val="20"/>
          <w:color w:val="auto"/>
        </w:rPr>
      </w:pPr>
    </w:p>
    <w:p>
      <w:pPr>
        <w:ind w:left="2080" w:hanging="775"/>
        <w:spacing w:after="0"/>
        <w:tabs>
          <w:tab w:leader="none" w:pos="2080" w:val="left"/>
        </w:tabs>
        <w:numPr>
          <w:ilvl w:val="0"/>
          <w:numId w:val="39"/>
        </w:numPr>
        <w:rPr>
          <w:rFonts w:ascii="Arial" w:cs="Arial" w:eastAsia="Arial" w:hAnsi="Arial"/>
          <w:sz w:val="18"/>
          <w:szCs w:val="18"/>
          <w:color w:val="auto"/>
        </w:rPr>
      </w:pPr>
      <w:r>
        <w:rPr>
          <w:rFonts w:ascii="Arial" w:cs="Arial" w:eastAsia="Arial" w:hAnsi="Arial"/>
          <w:sz w:val="20"/>
          <w:szCs w:val="20"/>
          <w:color w:val="auto"/>
        </w:rPr>
        <w:t>If prior to the commencement of any Interest Period:</w:t>
      </w:r>
    </w:p>
    <w:p>
      <w:pPr>
        <w:spacing w:after="0" w:line="256" w:lineRule="exact"/>
        <w:rPr>
          <w:rFonts w:ascii="Arial" w:cs="Arial" w:eastAsia="Arial" w:hAnsi="Arial"/>
          <w:sz w:val="18"/>
          <w:szCs w:val="18"/>
          <w:color w:val="auto"/>
        </w:rPr>
      </w:pPr>
    </w:p>
    <w:p>
      <w:pPr>
        <w:jc w:val="both"/>
        <w:ind w:left="1300" w:firstLine="1301"/>
        <w:spacing w:after="0" w:line="274" w:lineRule="auto"/>
        <w:tabs>
          <w:tab w:leader="none" w:pos="3349" w:val="left"/>
        </w:tabs>
        <w:numPr>
          <w:ilvl w:val="1"/>
          <w:numId w:val="39"/>
        </w:numPr>
        <w:rPr>
          <w:rFonts w:ascii="Arial" w:cs="Arial" w:eastAsia="Arial" w:hAnsi="Arial"/>
          <w:sz w:val="20"/>
          <w:szCs w:val="20"/>
          <w:color w:val="auto"/>
        </w:rPr>
      </w:pPr>
      <w:r>
        <w:rPr>
          <w:rFonts w:ascii="Arial" w:cs="Arial" w:eastAsia="Arial" w:hAnsi="Arial"/>
          <w:sz w:val="20"/>
          <w:szCs w:val="20"/>
          <w:color w:val="auto"/>
        </w:rPr>
        <w:t>the Administrative Agent determines (which determination shall be conclusive and binding absent manifest error) that adequate and reasonable means do not exist for ascertaining the Adjusted LIBO Rate or the LIBO Rate, as applicable, (including because the LIBOR Screen Rate is not available or published on a current basis),for such Interest Period; or</w:t>
      </w:r>
    </w:p>
    <w:p>
      <w:pPr>
        <w:spacing w:after="0" w:line="205" w:lineRule="exact"/>
        <w:rPr>
          <w:rFonts w:ascii="Arial" w:cs="Arial" w:eastAsia="Arial" w:hAnsi="Arial"/>
          <w:sz w:val="20"/>
          <w:szCs w:val="20"/>
          <w:color w:val="auto"/>
        </w:rPr>
      </w:pPr>
    </w:p>
    <w:p>
      <w:pPr>
        <w:jc w:val="both"/>
        <w:ind w:left="1300" w:firstLine="1301"/>
        <w:spacing w:after="0" w:line="278" w:lineRule="auto"/>
        <w:tabs>
          <w:tab w:leader="none" w:pos="3404" w:val="left"/>
        </w:tabs>
        <w:numPr>
          <w:ilvl w:val="1"/>
          <w:numId w:val="39"/>
        </w:numPr>
        <w:rPr>
          <w:rFonts w:ascii="Arial" w:cs="Arial" w:eastAsia="Arial" w:hAnsi="Arial"/>
          <w:sz w:val="20"/>
          <w:szCs w:val="20"/>
          <w:color w:val="auto"/>
        </w:rPr>
      </w:pPr>
      <w:r>
        <w:rPr>
          <w:rFonts w:ascii="Arial" w:cs="Arial" w:eastAsia="Arial" w:hAnsi="Arial"/>
          <w:sz w:val="20"/>
          <w:szCs w:val="20"/>
          <w:color w:val="auto"/>
        </w:rPr>
        <w:t>the Administrative Agent is advised by the Required Lenders that the Adjusted LIBO Rate or the LIBO Rate, as applicable, for such Interest Period will not adequately and fairly reflect the cost to such Lenders (or Lender) of making or maintaining their Loans for such Interest Period;</w:t>
      </w:r>
    </w:p>
    <w:p>
      <w:pPr>
        <w:spacing w:after="0" w:line="18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then the Administrative Agent shall give notice thereof to the Borrower and the Lenders by telephone, telecopy or electronic mail as promptly as practicable thereafter and, until the Administrative Agent notifies the Borrower and the Lenders that the circumstances giving rise to such notice no longer exist, all Loans shall bear interest at the Alternate Base Rate.</w:t>
      </w:r>
    </w:p>
    <w:p>
      <w:pPr>
        <w:spacing w:after="0" w:line="173" w:lineRule="exact"/>
        <w:rPr>
          <w:sz w:val="20"/>
          <w:szCs w:val="20"/>
          <w:color w:val="auto"/>
        </w:rPr>
      </w:pPr>
    </w:p>
    <w:p>
      <w:pPr>
        <w:jc w:val="both"/>
        <w:ind w:left="660" w:firstLine="1293"/>
        <w:spacing w:after="0" w:line="303" w:lineRule="auto"/>
        <w:tabs>
          <w:tab w:leader="none" w:pos="2740" w:val="left"/>
        </w:tabs>
        <w:numPr>
          <w:ilvl w:val="0"/>
          <w:numId w:val="40"/>
        </w:numPr>
        <w:rPr>
          <w:rFonts w:ascii="Arial" w:cs="Arial" w:eastAsia="Arial" w:hAnsi="Arial"/>
          <w:sz w:val="16"/>
          <w:szCs w:val="16"/>
          <w:color w:val="auto"/>
        </w:rPr>
      </w:pPr>
      <w:r>
        <w:rPr>
          <w:rFonts w:ascii="Arial" w:cs="Arial" w:eastAsia="Arial" w:hAnsi="Arial"/>
          <w:sz w:val="18"/>
          <w:szCs w:val="18"/>
          <w:color w:val="auto"/>
        </w:rPr>
        <w:t>If at any time the Administrative Agent determines (which determination shall be conclusive absent manifest error) that (i) the circumstances set forth in clause (a)(i) have arisen and such circumstances are unlikely to be temporary or (ii) the circumstances set forth in clause (a)(i) have not arisen but either (w) the supervisor for the administrator of the LIBOR Screen Rate has made a public statement that the administrator of the LIBOR Screen Rate is insolvent (and there is no successor administrator that will continue publication of the LIBOR Screen Rate), (x) the administrator of the LIBOR Screen Rate has made a public statement identifying a specific date after which the LIBOR Screen Rate will permanently or indefinitely cease to be published by it (and there is no successor administrator that will continue publication of the LIBOR Screen Rate), (y) the supervisor for the administrator of the LIBOR Screen Rate has made a public statement identifying a specific date after which the LIBOR Screen Rate will permanently or indefinitely cease to be published or (z) the supervisor for the administrator of the LIBOR Screen Rate or a Governmental Authority</w:t>
      </w:r>
    </w:p>
    <w:p>
      <w:pPr>
        <w:sectPr>
          <w:pgSz w:w="11900" w:h="16838" w:orient="portrait"/>
          <w:cols w:equalWidth="0" w:num="1">
            <w:col w:w="11420"/>
          </w:cols>
          <w:pgMar w:left="240" w:top="337" w:right="239" w:bottom="1440" w:gutter="0" w:footer="0" w:header="0"/>
        </w:sectPr>
      </w:pPr>
    </w:p>
    <w:bookmarkStart w:id="76" w:name="page77"/>
    <w:bookmarkEnd w:id="76"/>
    <w:p>
      <w:pPr>
        <w:ind w:left="10720"/>
        <w:spacing w:after="0"/>
        <w:rPr>
          <w:sz w:val="20"/>
          <w:szCs w:val="20"/>
          <w:color w:val="auto"/>
        </w:rPr>
      </w:pPr>
      <w:r>
        <w:rPr>
          <w:rFonts w:ascii="Arial" w:cs="Arial" w:eastAsia="Arial" w:hAnsi="Arial"/>
          <w:sz w:val="16"/>
          <w:szCs w:val="16"/>
          <w:b w:val="1"/>
          <w:bCs w:val="1"/>
          <w:color w:val="auto"/>
        </w:rPr>
        <w:t>Exhibit 4</w:t>
      </w:r>
    </w:p>
    <w:p>
      <w:pPr>
        <w:spacing w:after="0" w:line="290" w:lineRule="exact"/>
        <w:rPr>
          <w:sz w:val="20"/>
          <w:szCs w:val="20"/>
          <w:color w:val="auto"/>
        </w:rPr>
      </w:pPr>
    </w:p>
    <w:p>
      <w:pPr>
        <w:jc w:val="both"/>
        <w:ind w:left="660"/>
        <w:spacing w:after="0" w:line="284" w:lineRule="auto"/>
        <w:rPr>
          <w:sz w:val="20"/>
          <w:szCs w:val="20"/>
          <w:color w:val="auto"/>
        </w:rPr>
      </w:pPr>
      <w:r>
        <w:rPr>
          <w:rFonts w:ascii="Arial" w:cs="Arial" w:eastAsia="Arial" w:hAnsi="Arial"/>
          <w:sz w:val="19"/>
          <w:szCs w:val="19"/>
          <w:color w:val="auto"/>
        </w:rPr>
        <w:t xml:space="preserve">having jurisdiction over the Administrative Agent has made a public statement identifying a specific date after which the LIBOR Screen Rate may no longer be used for determining interest rates for loans, then the Administrative Agent and the Borrower shall endeavor to establish an alternate rate of interest to the LIBO Rate that gives due consideration to the then prevailing market convention for determining a rate of interest for syndicated loans in the United States at such time, and shall enter into an amendment to this Agreement to reflect such alternate rate of interest and such other related changes to this Agreement as may be applicable (but for the avoidance of doubt, such related changes shall not include a reduction of the margin for the Loans set forth in </w:t>
      </w:r>
      <w:r>
        <w:rPr>
          <w:rFonts w:ascii="Arial" w:cs="Arial" w:eastAsia="Arial" w:hAnsi="Arial"/>
          <w:sz w:val="19"/>
          <w:szCs w:val="19"/>
          <w:u w:val="single" w:color="auto"/>
          <w:color w:val="auto"/>
        </w:rPr>
        <w:t>Section 3.1(a)</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alternate rate of interest as so determined would be less than zero, such rate shall be deemed to be zero for the purposes of this Agreement. Notwithstanding anything to the contrary in </w:t>
      </w:r>
      <w:r>
        <w:rPr>
          <w:rFonts w:ascii="Arial" w:cs="Arial" w:eastAsia="Arial" w:hAnsi="Arial"/>
          <w:sz w:val="19"/>
          <w:szCs w:val="19"/>
          <w:u w:val="single" w:color="auto"/>
          <w:color w:val="auto"/>
        </w:rPr>
        <w:t>Section 10.2</w:t>
      </w:r>
      <w:r>
        <w:rPr>
          <w:rFonts w:ascii="Arial" w:cs="Arial" w:eastAsia="Arial" w:hAnsi="Arial"/>
          <w:sz w:val="19"/>
          <w:szCs w:val="19"/>
          <w:color w:val="auto"/>
        </w:rPr>
        <w:t xml:space="preserve">, such amendment shall become effective without any further action or consent of any other party to this Agreement so long as the Administrative Agent shall not have received, within five Business Days of the date notice of such alternate rate of interest is provided to the Lenders, a written notice from the Required Lenders stating that such Required Lenders object to such amendment and describing in detail the basis for such objection. Until an alternate rate of interest shall be determined in accordance with this </w:t>
      </w:r>
      <w:r>
        <w:rPr>
          <w:rFonts w:ascii="Arial" w:cs="Arial" w:eastAsia="Arial" w:hAnsi="Arial"/>
          <w:sz w:val="19"/>
          <w:szCs w:val="19"/>
          <w:u w:val="single" w:color="auto"/>
          <w:color w:val="auto"/>
        </w:rPr>
        <w:t>paragraph (b)</w:t>
      </w:r>
      <w:r>
        <w:rPr>
          <w:rFonts w:ascii="Arial" w:cs="Arial" w:eastAsia="Arial" w:hAnsi="Arial"/>
          <w:sz w:val="19"/>
          <w:szCs w:val="19"/>
          <w:color w:val="auto"/>
        </w:rPr>
        <w:t xml:space="preserve"> (but, in the case of the circumstances described in clause (ii)(w), clause (ii)(x) or clause (ii)(y) of the first sentence of this </w:t>
      </w:r>
      <w:r>
        <w:rPr>
          <w:rFonts w:ascii="Arial" w:cs="Arial" w:eastAsia="Arial" w:hAnsi="Arial"/>
          <w:sz w:val="19"/>
          <w:szCs w:val="19"/>
          <w:u w:val="single" w:color="auto"/>
          <w:color w:val="auto"/>
        </w:rPr>
        <w:t>Section 3.2(b)</w:t>
      </w:r>
      <w:r>
        <w:rPr>
          <w:rFonts w:ascii="Arial" w:cs="Arial" w:eastAsia="Arial" w:hAnsi="Arial"/>
          <w:sz w:val="19"/>
          <w:szCs w:val="19"/>
          <w:color w:val="auto"/>
        </w:rPr>
        <w:t>, only to the extent the LIBOR Screen Rate for such Interest Period is not available or published at such time on a current basis), all Loans shall bear interest at the Alternate Base Rate.</w:t>
      </w:r>
    </w:p>
    <w:p>
      <w:pPr>
        <w:spacing w:after="0" w:line="200" w:lineRule="exact"/>
        <w:rPr>
          <w:sz w:val="20"/>
          <w:szCs w:val="20"/>
          <w:color w:val="auto"/>
        </w:rPr>
      </w:pPr>
    </w:p>
    <w:p>
      <w:pPr>
        <w:ind w:left="660"/>
        <w:spacing w:after="0"/>
        <w:tabs>
          <w:tab w:leader="none" w:pos="2740" w:val="left"/>
        </w:tabs>
        <w:rPr>
          <w:sz w:val="20"/>
          <w:szCs w:val="20"/>
          <w:color w:val="auto"/>
        </w:rPr>
      </w:pPr>
      <w:r>
        <w:rPr>
          <w:rFonts w:ascii="Arial" w:cs="Arial" w:eastAsia="Arial" w:hAnsi="Arial"/>
          <w:sz w:val="18"/>
          <w:szCs w:val="18"/>
          <w:color w:val="auto"/>
        </w:rPr>
        <w:t>Section 3.3</w:t>
      </w:r>
      <w:r>
        <w:rPr>
          <w:sz w:val="20"/>
          <w:szCs w:val="20"/>
          <w:color w:val="auto"/>
        </w:rPr>
        <w:tab/>
      </w:r>
      <w:r>
        <w:rPr>
          <w:rFonts w:ascii="Arial" w:cs="Arial" w:eastAsia="Arial" w:hAnsi="Arial"/>
          <w:sz w:val="18"/>
          <w:szCs w:val="18"/>
          <w:u w:val="single" w:color="auto"/>
          <w:color w:val="auto"/>
        </w:rPr>
        <w:t>Increased Costs; Illegality</w:t>
      </w:r>
      <w:r>
        <w:rPr>
          <w:rFonts w:ascii="Arial" w:cs="Arial" w:eastAsia="Arial" w:hAnsi="Arial"/>
          <w:sz w:val="18"/>
          <w:szCs w:val="18"/>
          <w:color w:val="auto"/>
        </w:rPr>
        <w:t>.</w:t>
      </w:r>
    </w:p>
    <w:p>
      <w:pPr>
        <w:spacing w:after="0" w:line="279" w:lineRule="exact"/>
        <w:rPr>
          <w:sz w:val="20"/>
          <w:szCs w:val="20"/>
          <w:color w:val="auto"/>
        </w:rPr>
      </w:pPr>
    </w:p>
    <w:p>
      <w:pPr>
        <w:ind w:left="2080" w:hanging="775"/>
        <w:spacing w:after="0"/>
        <w:tabs>
          <w:tab w:leader="none" w:pos="2080" w:val="left"/>
        </w:tabs>
        <w:numPr>
          <w:ilvl w:val="0"/>
          <w:numId w:val="41"/>
        </w:numPr>
        <w:rPr>
          <w:rFonts w:ascii="Arial" w:cs="Arial" w:eastAsia="Arial" w:hAnsi="Arial"/>
          <w:sz w:val="18"/>
          <w:szCs w:val="18"/>
          <w:color w:val="auto"/>
        </w:rPr>
      </w:pPr>
      <w:r>
        <w:rPr>
          <w:rFonts w:ascii="Arial" w:cs="Arial" w:eastAsia="Arial" w:hAnsi="Arial"/>
          <w:sz w:val="20"/>
          <w:szCs w:val="20"/>
          <w:color w:val="auto"/>
        </w:rPr>
        <w:t>If any Change in Law shall:</w:t>
      </w:r>
    </w:p>
    <w:p>
      <w:pPr>
        <w:spacing w:after="0" w:line="26" w:lineRule="exact"/>
        <w:rPr>
          <w:rFonts w:ascii="Arial" w:cs="Arial" w:eastAsia="Arial" w:hAnsi="Arial"/>
          <w:sz w:val="18"/>
          <w:szCs w:val="18"/>
          <w:color w:val="auto"/>
        </w:rPr>
      </w:pPr>
    </w:p>
    <w:p>
      <w:pPr>
        <w:jc w:val="both"/>
        <w:ind w:left="1300" w:firstLine="1301"/>
        <w:spacing w:after="0" w:line="322" w:lineRule="auto"/>
        <w:tabs>
          <w:tab w:leader="none" w:pos="3349" w:val="left"/>
        </w:tabs>
        <w:numPr>
          <w:ilvl w:val="1"/>
          <w:numId w:val="41"/>
        </w:numPr>
        <w:rPr>
          <w:rFonts w:ascii="Arial" w:cs="Arial" w:eastAsia="Arial" w:hAnsi="Arial"/>
          <w:sz w:val="18"/>
          <w:szCs w:val="18"/>
          <w:color w:val="auto"/>
        </w:rPr>
      </w:pPr>
      <w:r>
        <w:rPr>
          <w:rFonts w:ascii="Arial" w:cs="Arial" w:eastAsia="Arial" w:hAnsi="Arial"/>
          <w:sz w:val="18"/>
          <w:szCs w:val="18"/>
          <w:color w:val="auto"/>
        </w:rPr>
        <w:t>impose, modify or deem applicable any reserve, special deposit, liquidity or similar requirement (including any compulsory loan requirement, insurance charge or other assessment) against assets of, deposits with or for the account of, or credit extended by, any Credit Party (except any such reserve requirement reflected in the Adjusted LIBO Rate);</w:t>
      </w:r>
    </w:p>
    <w:p>
      <w:pPr>
        <w:spacing w:after="0" w:line="166" w:lineRule="exact"/>
        <w:rPr>
          <w:rFonts w:ascii="Arial" w:cs="Arial" w:eastAsia="Arial" w:hAnsi="Arial"/>
          <w:sz w:val="18"/>
          <w:szCs w:val="18"/>
          <w:color w:val="auto"/>
        </w:rPr>
      </w:pPr>
    </w:p>
    <w:p>
      <w:pPr>
        <w:jc w:val="both"/>
        <w:ind w:left="1300" w:firstLine="1301"/>
        <w:spacing w:after="0" w:line="278" w:lineRule="auto"/>
        <w:tabs>
          <w:tab w:leader="none" w:pos="3404" w:val="left"/>
        </w:tabs>
        <w:numPr>
          <w:ilvl w:val="1"/>
          <w:numId w:val="41"/>
        </w:numPr>
        <w:rPr>
          <w:rFonts w:ascii="Arial" w:cs="Arial" w:eastAsia="Arial" w:hAnsi="Arial"/>
          <w:sz w:val="20"/>
          <w:szCs w:val="20"/>
          <w:color w:val="auto"/>
        </w:rPr>
      </w:pPr>
      <w:r>
        <w:rPr>
          <w:rFonts w:ascii="Arial" w:cs="Arial" w:eastAsia="Arial" w:hAnsi="Arial"/>
          <w:sz w:val="20"/>
          <w:szCs w:val="20"/>
          <w:color w:val="auto"/>
        </w:rPr>
        <w:t>subject any Recipient to any Taxes with respect to this Agreement or on its Loans, loan principal, Commitments, or other obligations, or its deposits, reserves, other liabilities or capital attributable thereto in respect thereof (other than (A) Indemnified Taxes and (B) Excluded Taxes); or</w:t>
      </w:r>
    </w:p>
    <w:p>
      <w:pPr>
        <w:spacing w:after="0" w:line="200" w:lineRule="exact"/>
        <w:rPr>
          <w:rFonts w:ascii="Arial" w:cs="Arial" w:eastAsia="Arial" w:hAnsi="Arial"/>
          <w:sz w:val="20"/>
          <w:szCs w:val="20"/>
          <w:color w:val="auto"/>
        </w:rPr>
      </w:pPr>
    </w:p>
    <w:p>
      <w:pPr>
        <w:ind w:left="1300" w:firstLine="1301"/>
        <w:spacing w:after="0" w:line="289" w:lineRule="auto"/>
        <w:tabs>
          <w:tab w:leader="none" w:pos="3459" w:val="left"/>
        </w:tabs>
        <w:numPr>
          <w:ilvl w:val="1"/>
          <w:numId w:val="41"/>
        </w:numPr>
        <w:rPr>
          <w:rFonts w:ascii="Arial" w:cs="Arial" w:eastAsia="Arial" w:hAnsi="Arial"/>
          <w:sz w:val="20"/>
          <w:szCs w:val="20"/>
          <w:color w:val="auto"/>
        </w:rPr>
      </w:pPr>
      <w:r>
        <w:rPr>
          <w:rFonts w:ascii="Arial" w:cs="Arial" w:eastAsia="Arial" w:hAnsi="Arial"/>
          <w:sz w:val="20"/>
          <w:szCs w:val="20"/>
          <w:color w:val="auto"/>
        </w:rPr>
        <w:t>impose on any Credit Party or the London interbank market any other condition affecting this Agreement or such Lender’s Loan;</w:t>
      </w:r>
    </w:p>
    <w:p>
      <w:pPr>
        <w:spacing w:after="0" w:line="17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and the result of any of the foregoing shall be to increase the cost to such Credit Party of making, continuing or maintaining its Loan or to reduce the amount of any sum received or receivable by such Credit Party hereunder (whether of principal, interest or otherwise), then the Borrower will pay to such Credit Party such additional amount or amounts as will compensate such Credit Party for such additional costs incurred or reduction suffered.</w:t>
      </w:r>
    </w:p>
    <w:p>
      <w:pPr>
        <w:spacing w:after="0" w:line="178" w:lineRule="exact"/>
        <w:rPr>
          <w:sz w:val="20"/>
          <w:szCs w:val="20"/>
          <w:color w:val="auto"/>
        </w:rPr>
      </w:pPr>
    </w:p>
    <w:p>
      <w:pPr>
        <w:jc w:val="both"/>
        <w:ind w:firstLine="1305"/>
        <w:spacing w:after="0" w:line="307" w:lineRule="auto"/>
        <w:tabs>
          <w:tab w:leader="none" w:pos="2080" w:val="left"/>
        </w:tabs>
        <w:numPr>
          <w:ilvl w:val="0"/>
          <w:numId w:val="42"/>
        </w:numPr>
        <w:rPr>
          <w:rFonts w:ascii="Arial" w:cs="Arial" w:eastAsia="Arial" w:hAnsi="Arial"/>
          <w:sz w:val="16"/>
          <w:szCs w:val="16"/>
          <w:color w:val="auto"/>
        </w:rPr>
      </w:pPr>
      <w:r>
        <w:rPr>
          <w:rFonts w:ascii="Arial" w:cs="Arial" w:eastAsia="Arial" w:hAnsi="Arial"/>
          <w:sz w:val="18"/>
          <w:szCs w:val="18"/>
          <w:color w:val="auto"/>
        </w:rPr>
        <w:t>If any Credit Party determines that any Change in Law regarding capital or liquidity requirements has or would have the effect of reducing the rate of return on such Credit Party’s capital or on the capital of such Credit Party’s holding company, if any, as a consequence of this Agreement or its Loans to a level below that which such Credit Party or such Credit Party’s holding company could have achieved but for such Change in Law (taking into consideration such Credit Party’s policies and the policies of such Credit Party’s holding company with respect to capital adequacy and liquidity), then from time to time the Borrower will pay to such Credit Party such additional amount or amounts as will compensate such Credit Party or such Credit Party’s holding company for any such reduction suffered.</w:t>
      </w:r>
    </w:p>
    <w:p>
      <w:pPr>
        <w:sectPr>
          <w:pgSz w:w="11900" w:h="16838" w:orient="portrait"/>
          <w:cols w:equalWidth="0" w:num="1">
            <w:col w:w="11420"/>
          </w:cols>
          <w:pgMar w:left="240" w:top="337" w:right="239" w:bottom="1440" w:gutter="0" w:footer="0" w:header="0"/>
        </w:sectPr>
      </w:pPr>
    </w:p>
    <w:bookmarkStart w:id="77" w:name="page78"/>
    <w:bookmarkEnd w:id="77"/>
    <w:p>
      <w:pPr>
        <w:ind w:left="10720"/>
        <w:spacing w:after="0"/>
        <w:rPr>
          <w:sz w:val="20"/>
          <w:szCs w:val="20"/>
          <w:color w:val="auto"/>
        </w:rPr>
      </w:pPr>
      <w:r>
        <w:rPr>
          <w:rFonts w:ascii="Arial" w:cs="Arial" w:eastAsia="Arial" w:hAnsi="Arial"/>
          <w:sz w:val="16"/>
          <w:szCs w:val="16"/>
          <w:b w:val="1"/>
          <w:bCs w:val="1"/>
          <w:color w:val="auto"/>
        </w:rPr>
        <w:t>Exhibit 4</w:t>
      </w:r>
    </w:p>
    <w:p>
      <w:pPr>
        <w:spacing w:after="0" w:line="290" w:lineRule="exact"/>
        <w:rPr>
          <w:sz w:val="20"/>
          <w:szCs w:val="20"/>
          <w:color w:val="auto"/>
        </w:rPr>
      </w:pPr>
    </w:p>
    <w:p>
      <w:pPr>
        <w:jc w:val="both"/>
        <w:ind w:firstLine="1305"/>
        <w:spacing w:after="0" w:line="274" w:lineRule="auto"/>
        <w:tabs>
          <w:tab w:leader="none" w:pos="2082" w:val="left"/>
        </w:tabs>
        <w:numPr>
          <w:ilvl w:val="0"/>
          <w:numId w:val="43"/>
        </w:numPr>
        <w:rPr>
          <w:rFonts w:ascii="Arial" w:cs="Arial" w:eastAsia="Arial" w:hAnsi="Arial"/>
          <w:sz w:val="20"/>
          <w:szCs w:val="20"/>
          <w:color w:val="auto"/>
        </w:rPr>
      </w:pPr>
      <w:r>
        <w:rPr>
          <w:rFonts w:ascii="Arial" w:cs="Arial" w:eastAsia="Arial" w:hAnsi="Arial"/>
          <w:sz w:val="20"/>
          <w:szCs w:val="20"/>
          <w:color w:val="auto"/>
        </w:rPr>
        <w:t xml:space="preserve">A certificate of a Credit Party setting forth the amount or amounts necessary to compensate such Credit Party or its holding company, as applicable, as specified in </w:t>
      </w:r>
      <w:r>
        <w:rPr>
          <w:rFonts w:ascii="Arial" w:cs="Arial" w:eastAsia="Arial" w:hAnsi="Arial"/>
          <w:sz w:val="20"/>
          <w:szCs w:val="20"/>
          <w:u w:val="single" w:color="auto"/>
          <w:color w:val="auto"/>
        </w:rPr>
        <w:t>paragraph (a)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(b)</w:t>
      </w:r>
      <w:r>
        <w:rPr>
          <w:rFonts w:ascii="Arial" w:cs="Arial" w:eastAsia="Arial" w:hAnsi="Arial"/>
          <w:sz w:val="20"/>
          <w:szCs w:val="20"/>
          <w:color w:val="auto"/>
        </w:rPr>
        <w:t xml:space="preserve"> of this Section shall be delivered to the Borrower and shall be conclusive and binding upon all parties hereto absent manifest error. The Borrower shall pay such Credit Party the amount shown as due on any such certificate within 10 Business Days after receipt thereof.</w:t>
      </w:r>
    </w:p>
    <w:p>
      <w:pPr>
        <w:spacing w:after="0" w:line="205" w:lineRule="exact"/>
        <w:rPr>
          <w:rFonts w:ascii="Arial" w:cs="Arial" w:eastAsia="Arial" w:hAnsi="Arial"/>
          <w:sz w:val="20"/>
          <w:szCs w:val="20"/>
          <w:color w:val="auto"/>
        </w:rPr>
      </w:pPr>
    </w:p>
    <w:p>
      <w:pPr>
        <w:jc w:val="both"/>
        <w:ind w:firstLine="1305"/>
        <w:spacing w:after="0" w:line="307" w:lineRule="auto"/>
        <w:tabs>
          <w:tab w:leader="none" w:pos="2080" w:val="left"/>
        </w:tabs>
        <w:numPr>
          <w:ilvl w:val="0"/>
          <w:numId w:val="43"/>
        </w:numPr>
        <w:rPr>
          <w:rFonts w:ascii="Arial" w:cs="Arial" w:eastAsia="Arial" w:hAnsi="Arial"/>
          <w:sz w:val="16"/>
          <w:szCs w:val="16"/>
          <w:color w:val="auto"/>
        </w:rPr>
      </w:pPr>
      <w:r>
        <w:rPr>
          <w:rFonts w:ascii="Arial" w:cs="Arial" w:eastAsia="Arial" w:hAnsi="Arial"/>
          <w:sz w:val="18"/>
          <w:szCs w:val="18"/>
          <w:color w:val="auto"/>
        </w:rPr>
        <w:t xml:space="preserve">Failure or delay on the part of any Credit Party to demand compensation pursuant to this Section shall not constitute a waiver of such Credit Party’s right to demand such compensation;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shall not be required to compensate a Credit Party pursuant to this Section for any increased costs or reductions incurred more than 180 days prior to the date that such Credit Party notifies the Borrower of the Change in Law giving rise to such increased costs or reductions and of such Credit Party’s intention to claim compensation therefor;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if the Change in Law giving rise to such increased costs or reductions is retroactive, then the 180 day period referred to above shall be extended to include the period of retroactive effect thereof but not to exceed a period of 365 days.</w:t>
      </w:r>
    </w:p>
    <w:p>
      <w:pPr>
        <w:spacing w:after="0" w:line="180" w:lineRule="exact"/>
        <w:rPr>
          <w:rFonts w:ascii="Arial" w:cs="Arial" w:eastAsia="Arial" w:hAnsi="Arial"/>
          <w:sz w:val="16"/>
          <w:szCs w:val="16"/>
          <w:color w:val="auto"/>
        </w:rPr>
      </w:pPr>
    </w:p>
    <w:p>
      <w:pPr>
        <w:jc w:val="both"/>
        <w:ind w:firstLine="1305"/>
        <w:spacing w:after="0" w:line="274" w:lineRule="auto"/>
        <w:tabs>
          <w:tab w:leader="none" w:pos="2070" w:val="left"/>
        </w:tabs>
        <w:numPr>
          <w:ilvl w:val="0"/>
          <w:numId w:val="43"/>
        </w:numPr>
        <w:rPr>
          <w:rFonts w:ascii="Arial" w:cs="Arial" w:eastAsia="Arial" w:hAnsi="Arial"/>
          <w:sz w:val="18"/>
          <w:szCs w:val="18"/>
          <w:color w:val="auto"/>
        </w:rPr>
      </w:pPr>
      <w:r>
        <w:rPr>
          <w:rFonts w:ascii="Arial" w:cs="Arial" w:eastAsia="Arial" w:hAnsi="Arial"/>
          <w:sz w:val="20"/>
          <w:szCs w:val="20"/>
          <w:color w:val="auto"/>
        </w:rPr>
        <w:t>Notwithstanding any other provision of this Agreement, if, any Change in Law shall make it unlawful for any Lender to make or maintain its Loan at the Adjusted LIBO Rate, then, by written notice to the Borrower and to the Administrative Agent, such Lender may declare that, beginning on the date such unlawfulness becomes effective, such Lender’s Loan shall be bear interest at the Alternate Base Rate, unless such declaration shall be subsequently withdrawn.</w:t>
      </w:r>
    </w:p>
    <w:p>
      <w:pPr>
        <w:spacing w:after="0" w:line="20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7"/>
          <w:szCs w:val="17"/>
          <w:color w:val="auto"/>
        </w:rPr>
        <w:t xml:space="preserve">Section 3.4 </w:t>
      </w:r>
      <w:r>
        <w:rPr>
          <w:rFonts w:ascii="Arial" w:cs="Arial" w:eastAsia="Arial" w:hAnsi="Arial"/>
          <w:sz w:val="18"/>
          <w:szCs w:val="18"/>
          <w:u w:val="single" w:color="auto"/>
          <w:color w:val="auto"/>
        </w:rPr>
        <w:t>Break Funding Payments</w:t>
      </w:r>
      <w:r>
        <w:rPr>
          <w:rFonts w:ascii="Arial" w:cs="Arial" w:eastAsia="Arial" w:hAnsi="Arial"/>
          <w:sz w:val="18"/>
          <w:szCs w:val="18"/>
          <w:color w:val="auto"/>
        </w:rPr>
        <w:t>. In the event of (a) the prepayment (voluntary or otherwise) of any principal of any</w:t>
      </w:r>
      <w:r>
        <w:rPr>
          <w:rFonts w:ascii="Arial" w:cs="Arial" w:eastAsia="Arial" w:hAnsi="Arial"/>
          <w:sz w:val="17"/>
          <w:szCs w:val="17"/>
          <w:color w:val="auto"/>
        </w:rPr>
        <w:t xml:space="preserve"> </w:t>
      </w:r>
      <w:r>
        <w:rPr>
          <w:rFonts w:ascii="Arial" w:cs="Arial" w:eastAsia="Arial" w:hAnsi="Arial"/>
          <w:sz w:val="18"/>
          <w:szCs w:val="18"/>
          <w:color w:val="auto"/>
        </w:rPr>
        <w:t xml:space="preserve">Loan other than on the last day of an Interest Period applicable thereto (including as a result of an Event of Default), (b) the failure to borrow or prepay any Loan on the date specified in any notice delivered pursuant hereto (regardless of whether such notice may be revoked under </w:t>
      </w:r>
      <w:r>
        <w:rPr>
          <w:rFonts w:ascii="Arial" w:cs="Arial" w:eastAsia="Arial" w:hAnsi="Arial"/>
          <w:sz w:val="18"/>
          <w:szCs w:val="18"/>
          <w:u w:val="single" w:color="auto"/>
          <w:color w:val="auto"/>
        </w:rPr>
        <w:t>Section 2.4(b)</w:t>
      </w:r>
      <w:r>
        <w:rPr>
          <w:rFonts w:ascii="Arial" w:cs="Arial" w:eastAsia="Arial" w:hAnsi="Arial"/>
          <w:sz w:val="18"/>
          <w:szCs w:val="18"/>
          <w:color w:val="auto"/>
        </w:rPr>
        <w:t xml:space="preserve"> and is revoked) or to continue a Loan for a new Interest Period in accordance herewith (other than at maturity) or (c) the assignment of any portion of a Loan other than on the last day of the relevant Interest Period applicable thereto as a result of a request by the Borrower pursuant to </w:t>
      </w:r>
      <w:r>
        <w:rPr>
          <w:rFonts w:ascii="Arial" w:cs="Arial" w:eastAsia="Arial" w:hAnsi="Arial"/>
          <w:sz w:val="18"/>
          <w:szCs w:val="18"/>
          <w:u w:val="single" w:color="auto"/>
          <w:color w:val="auto"/>
        </w:rPr>
        <w:t>Section 3.6</w:t>
      </w:r>
      <w:r>
        <w:rPr>
          <w:rFonts w:ascii="Arial" w:cs="Arial" w:eastAsia="Arial" w:hAnsi="Arial"/>
          <w:sz w:val="18"/>
          <w:szCs w:val="18"/>
          <w:color w:val="auto"/>
        </w:rPr>
        <w:t>, then, in any such event, the Borrower shall compensate each applicable Lender for the loss, cost and expense attributable to such event. Such loss, cost or expense to any Lender shall be deemed to include an amount determined by such Lender to be the excess, if any, of (i) the amount of interest that would have accrued on the principal amount of such Loan had such event not occurred, at the Adjusted LIBO Rate that would have been applicable to such Loan, for the period from the date of such event to the last day of the then current Interest Period therefor (or, in the case of a failure to borrow or continue a Loan, for the period that would have been the Interest Period for such Loan), over (ii) the amount of interest that would accrue on such principal amount for such period at the interest rate that such Lender would bid were it to bid, at the commencement of such period, for dollar deposits of a comparable amount and period from other banks in the eurodollar market. A certificate of any Lender setting forth any amount or amounts that such Lender is entitled to receive pursuant to this Section shall be delivered to the Borrower and shall be conclusive absent manifest error. The Borrower shall pay such Lender the amount shown as due on any such certificate within 10 Business Days after receipt thereof.</w:t>
      </w:r>
    </w:p>
    <w:p>
      <w:pPr>
        <w:spacing w:after="0" w:line="185" w:lineRule="exact"/>
        <w:rPr>
          <w:sz w:val="20"/>
          <w:szCs w:val="20"/>
          <w:color w:val="auto"/>
        </w:rPr>
      </w:pPr>
    </w:p>
    <w:p>
      <w:pPr>
        <w:ind w:left="660"/>
        <w:spacing w:after="0"/>
        <w:tabs>
          <w:tab w:leader="none" w:pos="2740" w:val="left"/>
        </w:tabs>
        <w:rPr>
          <w:sz w:val="20"/>
          <w:szCs w:val="20"/>
          <w:color w:val="auto"/>
        </w:rPr>
      </w:pPr>
      <w:r>
        <w:rPr>
          <w:rFonts w:ascii="Arial" w:cs="Arial" w:eastAsia="Arial" w:hAnsi="Arial"/>
          <w:sz w:val="18"/>
          <w:szCs w:val="18"/>
          <w:color w:val="auto"/>
        </w:rPr>
        <w:t>Section 3.5</w:t>
      </w:r>
      <w:r>
        <w:rPr>
          <w:sz w:val="20"/>
          <w:szCs w:val="20"/>
          <w:color w:val="auto"/>
        </w:rPr>
        <w:tab/>
      </w:r>
      <w:r>
        <w:rPr>
          <w:rFonts w:ascii="Arial" w:cs="Arial" w:eastAsia="Arial" w:hAnsi="Arial"/>
          <w:sz w:val="18"/>
          <w:szCs w:val="18"/>
          <w:u w:val="single" w:color="auto"/>
          <w:color w:val="auto"/>
        </w:rPr>
        <w:t>Withholding of Taxes; Gross-Up</w:t>
      </w:r>
      <w:r>
        <w:rPr>
          <w:rFonts w:ascii="Arial" w:cs="Arial" w:eastAsia="Arial" w:hAnsi="Arial"/>
          <w:sz w:val="18"/>
          <w:szCs w:val="18"/>
          <w:color w:val="auto"/>
        </w:rPr>
        <w:t>.</w:t>
      </w:r>
    </w:p>
    <w:p>
      <w:pPr>
        <w:spacing w:after="0" w:line="279" w:lineRule="exact"/>
        <w:rPr>
          <w:sz w:val="20"/>
          <w:szCs w:val="20"/>
          <w:color w:val="auto"/>
        </w:rPr>
      </w:pPr>
    </w:p>
    <w:p>
      <w:pPr>
        <w:jc w:val="both"/>
        <w:ind w:firstLine="1305"/>
        <w:spacing w:after="0" w:line="304" w:lineRule="auto"/>
        <w:tabs>
          <w:tab w:leader="none" w:pos="2070" w:val="left"/>
        </w:tabs>
        <w:numPr>
          <w:ilvl w:val="0"/>
          <w:numId w:val="44"/>
        </w:numPr>
        <w:rPr>
          <w:rFonts w:ascii="Arial" w:cs="Arial" w:eastAsia="Arial" w:hAnsi="Arial"/>
          <w:sz w:val="16"/>
          <w:szCs w:val="16"/>
          <w:color w:val="auto"/>
        </w:rPr>
      </w:pPr>
      <w:r>
        <w:rPr>
          <w:rFonts w:ascii="Arial" w:cs="Arial" w:eastAsia="Arial" w:hAnsi="Arial"/>
          <w:sz w:val="18"/>
          <w:szCs w:val="18"/>
          <w:u w:val="single" w:color="auto"/>
          <w:color w:val="auto"/>
        </w:rPr>
        <w:t>Payments to be Free and Clear</w:t>
      </w:r>
      <w:r>
        <w:rPr>
          <w:rFonts w:ascii="Arial" w:cs="Arial" w:eastAsia="Arial" w:hAnsi="Arial"/>
          <w:sz w:val="18"/>
          <w:szCs w:val="18"/>
          <w:color w:val="auto"/>
        </w:rPr>
        <w:t>. Any and all payments by or on account of any obligation of the Borrower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Borrower shall be increased as necessary so that after such deduction or withholding has been made (including such deductions and withholdings applicable to additional sums payable under this Section) the applicable Recipient receives an amount equal to the sum it would have received had no such deduction or withholding been made.</w:t>
      </w:r>
    </w:p>
    <w:p>
      <w:pPr>
        <w:sectPr>
          <w:pgSz w:w="11900" w:h="16838" w:orient="portrait"/>
          <w:cols w:equalWidth="0" w:num="1">
            <w:col w:w="11420"/>
          </w:cols>
          <w:pgMar w:left="240" w:top="337" w:right="2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4</w:t>
      </w:r>
    </w:p>
    <w:p>
      <w:pPr>
        <w:spacing w:after="0" w:line="267" w:lineRule="exact"/>
        <w:rPr>
          <w:sz w:val="20"/>
          <w:szCs w:val="20"/>
          <w:color w:val="auto"/>
        </w:rPr>
      </w:pPr>
    </w:p>
    <w:p>
      <w:pPr>
        <w:ind w:firstLine="1305"/>
        <w:spacing w:after="0" w:line="289" w:lineRule="auto"/>
        <w:tabs>
          <w:tab w:leader="none" w:pos="2080" w:val="left"/>
        </w:tabs>
        <w:numPr>
          <w:ilvl w:val="1"/>
          <w:numId w:val="45"/>
        </w:numPr>
        <w:rPr>
          <w:rFonts w:ascii="Arial" w:cs="Arial" w:eastAsia="Arial" w:hAnsi="Arial"/>
          <w:sz w:val="18"/>
          <w:szCs w:val="18"/>
          <w:color w:val="auto"/>
        </w:rPr>
      </w:pPr>
      <w:r>
        <w:rPr>
          <w:rFonts w:ascii="Arial" w:cs="Arial" w:eastAsia="Arial" w:hAnsi="Arial"/>
          <w:sz w:val="20"/>
          <w:szCs w:val="20"/>
          <w:u w:val="single" w:color="auto"/>
          <w:color w:val="auto"/>
        </w:rPr>
        <w:t>Payment of Other Taxes by the Borrower</w:t>
      </w:r>
      <w:r>
        <w:rPr>
          <w:rFonts w:ascii="Arial" w:cs="Arial" w:eastAsia="Arial" w:hAnsi="Arial"/>
          <w:sz w:val="20"/>
          <w:szCs w:val="20"/>
          <w:color w:val="auto"/>
        </w:rPr>
        <w:t>. The Borrower shall timely pay to the relevant Governmental Authority in accordance with applicable law, or at the option of the Administrative Agent timely reimburse it for, Other Taxes.</w:t>
      </w:r>
    </w:p>
    <w:p>
      <w:pPr>
        <w:spacing w:after="0" w:line="188" w:lineRule="exact"/>
        <w:rPr>
          <w:rFonts w:ascii="Arial" w:cs="Arial" w:eastAsia="Arial" w:hAnsi="Arial"/>
          <w:sz w:val="18"/>
          <w:szCs w:val="18"/>
          <w:color w:val="auto"/>
        </w:rPr>
      </w:pPr>
    </w:p>
    <w:p>
      <w:pPr>
        <w:jc w:val="both"/>
        <w:ind w:firstLine="1305"/>
        <w:spacing w:after="0" w:line="274" w:lineRule="auto"/>
        <w:tabs>
          <w:tab w:leader="none" w:pos="2070" w:val="left"/>
        </w:tabs>
        <w:numPr>
          <w:ilvl w:val="1"/>
          <w:numId w:val="45"/>
        </w:numPr>
        <w:rPr>
          <w:rFonts w:ascii="Arial" w:cs="Arial" w:eastAsia="Arial" w:hAnsi="Arial"/>
          <w:sz w:val="18"/>
          <w:szCs w:val="18"/>
          <w:color w:val="auto"/>
        </w:rPr>
      </w:pPr>
      <w:r>
        <w:rPr>
          <w:rFonts w:ascii="Arial" w:cs="Arial" w:eastAsia="Arial" w:hAnsi="Arial"/>
          <w:sz w:val="20"/>
          <w:szCs w:val="20"/>
          <w:u w:val="single" w:color="auto"/>
          <w:color w:val="auto"/>
        </w:rPr>
        <w:t>Evidence of Payments</w:t>
      </w:r>
      <w:r>
        <w:rPr>
          <w:rFonts w:ascii="Arial" w:cs="Arial" w:eastAsia="Arial" w:hAnsi="Arial"/>
          <w:sz w:val="20"/>
          <w:szCs w:val="20"/>
          <w:color w:val="auto"/>
        </w:rPr>
        <w:t>. As soon as practicable after any payment of Taxes by the Borrower to a Governmental Authority pursuant to this Section, the Borrower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205" w:lineRule="exact"/>
        <w:rPr>
          <w:rFonts w:ascii="Arial" w:cs="Arial" w:eastAsia="Arial" w:hAnsi="Arial"/>
          <w:sz w:val="18"/>
          <w:szCs w:val="18"/>
          <w:color w:val="auto"/>
        </w:rPr>
      </w:pPr>
    </w:p>
    <w:p>
      <w:pPr>
        <w:jc w:val="both"/>
        <w:ind w:firstLine="1305"/>
        <w:spacing w:after="0" w:line="271" w:lineRule="auto"/>
        <w:tabs>
          <w:tab w:leader="none" w:pos="2080" w:val="left"/>
        </w:tabs>
        <w:numPr>
          <w:ilvl w:val="1"/>
          <w:numId w:val="45"/>
        </w:numPr>
        <w:rPr>
          <w:rFonts w:ascii="Arial" w:cs="Arial" w:eastAsia="Arial" w:hAnsi="Arial"/>
          <w:sz w:val="18"/>
          <w:szCs w:val="18"/>
          <w:color w:val="auto"/>
        </w:rPr>
      </w:pPr>
      <w:r>
        <w:rPr>
          <w:rFonts w:ascii="Arial" w:cs="Arial" w:eastAsia="Arial" w:hAnsi="Arial"/>
          <w:sz w:val="20"/>
          <w:szCs w:val="20"/>
          <w:u w:val="single" w:color="auto"/>
          <w:color w:val="auto"/>
        </w:rPr>
        <w:t>Indemnification by the Borrower</w:t>
      </w:r>
      <w:r>
        <w:rPr>
          <w:rFonts w:ascii="Arial" w:cs="Arial" w:eastAsia="Arial" w:hAnsi="Arial"/>
          <w:sz w:val="20"/>
          <w:szCs w:val="20"/>
          <w:color w:val="auto"/>
        </w:rPr>
        <w:t>. The Borrower shall indemnify each Recipient, within 10 Business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w:t>
      </w:r>
    </w:p>
    <w:p>
      <w:pPr>
        <w:spacing w:after="0" w:line="207" w:lineRule="exact"/>
        <w:rPr>
          <w:rFonts w:ascii="Arial" w:cs="Arial" w:eastAsia="Arial" w:hAnsi="Arial"/>
          <w:sz w:val="18"/>
          <w:szCs w:val="18"/>
          <w:color w:val="auto"/>
        </w:rPr>
      </w:pPr>
    </w:p>
    <w:p>
      <w:pPr>
        <w:jc w:val="both"/>
        <w:ind w:firstLine="1305"/>
        <w:spacing w:after="0" w:line="297" w:lineRule="auto"/>
        <w:tabs>
          <w:tab w:leader="none" w:pos="2070" w:val="left"/>
        </w:tabs>
        <w:numPr>
          <w:ilvl w:val="1"/>
          <w:numId w:val="45"/>
        </w:numPr>
        <w:rPr>
          <w:rFonts w:ascii="Arial" w:cs="Arial" w:eastAsia="Arial" w:hAnsi="Arial"/>
          <w:sz w:val="16"/>
          <w:szCs w:val="16"/>
          <w:color w:val="auto"/>
        </w:rPr>
      </w:pPr>
      <w:r>
        <w:rPr>
          <w:rFonts w:ascii="Arial" w:cs="Arial" w:eastAsia="Arial" w:hAnsi="Arial"/>
          <w:sz w:val="18"/>
          <w:szCs w:val="18"/>
          <w:u w:val="single" w:color="auto"/>
          <w:color w:val="auto"/>
        </w:rPr>
        <w:t>Indemnification by the Lenders</w:t>
      </w:r>
      <w:r>
        <w:rPr>
          <w:rFonts w:ascii="Arial" w:cs="Arial" w:eastAsia="Arial" w:hAnsi="Arial"/>
          <w:sz w:val="18"/>
          <w:szCs w:val="18"/>
          <w:color w:val="auto"/>
        </w:rPr>
        <w:t>. Each Lender shall severally indemnify the Administrative Agent, within 10 days after demand therefor, for (i) any Indemnified Taxes attributable to such Lender (but only to the extent that the Borrower has not already indemnified the Administrative Agent for such Indemnified Taxes and without limiting the obligation of the Borrower to do so), (ii) any Taxes attributable to such Lender’s failure to comply with the provisions of Section 10.4(d) relating to the maintenance of a Participant Register and</w:t>
      </w:r>
    </w:p>
    <w:p>
      <w:pPr>
        <w:spacing w:after="0" w:line="1" w:lineRule="exact"/>
        <w:rPr>
          <w:rFonts w:ascii="Arial" w:cs="Arial" w:eastAsia="Arial" w:hAnsi="Arial"/>
          <w:sz w:val="16"/>
          <w:szCs w:val="16"/>
          <w:color w:val="auto"/>
        </w:rPr>
      </w:pPr>
    </w:p>
    <w:p>
      <w:pPr>
        <w:jc w:val="both"/>
        <w:ind w:firstLine="8"/>
        <w:spacing w:after="0" w:line="307" w:lineRule="auto"/>
        <w:tabs>
          <w:tab w:leader="none" w:pos="352"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setoff and apply any and all amounts at any time owing to such Lender under any Loan Document or otherwise payable by the Administrative Agent to the Lender from any other source against any amount due to the Administrative Agent under this paragraph (e).</w:t>
      </w:r>
    </w:p>
    <w:p>
      <w:pPr>
        <w:spacing w:after="0" w:line="180" w:lineRule="exact"/>
        <w:rPr>
          <w:rFonts w:ascii="Arial" w:cs="Arial" w:eastAsia="Arial" w:hAnsi="Arial"/>
          <w:sz w:val="18"/>
          <w:szCs w:val="18"/>
          <w:color w:val="auto"/>
        </w:rPr>
      </w:pPr>
    </w:p>
    <w:p>
      <w:pPr>
        <w:ind w:left="2060" w:hanging="755"/>
        <w:spacing w:after="0"/>
        <w:tabs>
          <w:tab w:leader="none" w:pos="2060" w:val="left"/>
        </w:tabs>
        <w:numPr>
          <w:ilvl w:val="1"/>
          <w:numId w:val="46"/>
        </w:numPr>
        <w:rPr>
          <w:rFonts w:ascii="Arial" w:cs="Arial" w:eastAsia="Arial" w:hAnsi="Arial"/>
          <w:sz w:val="18"/>
          <w:szCs w:val="18"/>
          <w:color w:val="auto"/>
        </w:rPr>
      </w:pPr>
      <w:r>
        <w:rPr>
          <w:rFonts w:ascii="Arial" w:cs="Arial" w:eastAsia="Arial" w:hAnsi="Arial"/>
          <w:sz w:val="20"/>
          <w:szCs w:val="20"/>
          <w:u w:val="single" w:color="auto"/>
          <w:color w:val="auto"/>
        </w:rPr>
        <w:t>Status of Lenders</w:t>
      </w:r>
      <w:r>
        <w:rPr>
          <w:rFonts w:ascii="Arial" w:cs="Arial" w:eastAsia="Arial" w:hAnsi="Arial"/>
          <w:sz w:val="20"/>
          <w:szCs w:val="20"/>
          <w:color w:val="auto"/>
        </w:rPr>
        <w:t>.</w:t>
      </w:r>
    </w:p>
    <w:p>
      <w:pPr>
        <w:spacing w:after="0" w:line="256" w:lineRule="exact"/>
        <w:rPr>
          <w:rFonts w:ascii="Arial" w:cs="Arial" w:eastAsia="Arial" w:hAnsi="Arial"/>
          <w:sz w:val="18"/>
          <w:szCs w:val="18"/>
          <w:color w:val="auto"/>
        </w:rPr>
      </w:pPr>
    </w:p>
    <w:p>
      <w:pPr>
        <w:jc w:val="both"/>
        <w:ind w:left="1300" w:firstLine="653"/>
        <w:spacing w:after="0" w:line="302" w:lineRule="auto"/>
        <w:tabs>
          <w:tab w:leader="none" w:pos="2691" w:val="left"/>
        </w:tabs>
        <w:numPr>
          <w:ilvl w:val="2"/>
          <w:numId w:val="46"/>
        </w:numPr>
        <w:rPr>
          <w:rFonts w:ascii="Arial" w:cs="Arial" w:eastAsia="Arial" w:hAnsi="Arial"/>
          <w:sz w:val="16"/>
          <w:szCs w:val="16"/>
          <w:color w:val="auto"/>
        </w:rPr>
      </w:pPr>
      <w:r>
        <w:rPr>
          <w:rFonts w:ascii="Arial" w:cs="Arial" w:eastAsia="Arial" w:hAnsi="Arial"/>
          <w:sz w:val="18"/>
          <w:szCs w:val="18"/>
          <w:color w:val="auto"/>
        </w:rPr>
        <w:t xml:space="preserve">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Arial" w:cs="Arial" w:eastAsia="Arial" w:hAnsi="Arial"/>
          <w:sz w:val="18"/>
          <w:szCs w:val="18"/>
          <w:u w:val="single" w:color="auto"/>
          <w:color w:val="auto"/>
        </w:rPr>
        <w:t>Section 3.5(f)(ii)(A)</w:t>
      </w:r>
      <w:r>
        <w:rPr>
          <w:rFonts w:ascii="Arial" w:cs="Arial" w:eastAsia="Arial" w:hAnsi="Arial"/>
          <w:sz w:val="18"/>
          <w:szCs w:val="18"/>
          <w:color w:val="auto"/>
        </w:rPr>
        <w:t xml:space="preserve">, </w:t>
      </w:r>
      <w:r>
        <w:rPr>
          <w:rFonts w:ascii="Arial" w:cs="Arial" w:eastAsia="Arial" w:hAnsi="Arial"/>
          <w:sz w:val="18"/>
          <w:szCs w:val="18"/>
          <w:u w:val="single" w:color="auto"/>
          <w:color w:val="auto"/>
        </w:rPr>
        <w:t>(ii)(B)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(ii)(D)</w:t>
      </w:r>
      <w:r>
        <w:rPr>
          <w:rFonts w:ascii="Arial" w:cs="Arial" w:eastAsia="Arial" w:hAnsi="Arial"/>
          <w:sz w:val="18"/>
          <w:szCs w:val="18"/>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83" w:lineRule="exact"/>
        <w:rPr>
          <w:rFonts w:ascii="Arial" w:cs="Arial" w:eastAsia="Arial" w:hAnsi="Arial"/>
          <w:sz w:val="16"/>
          <w:szCs w:val="16"/>
          <w:color w:val="auto"/>
        </w:rPr>
      </w:pPr>
    </w:p>
    <w:p>
      <w:pPr>
        <w:ind w:left="2740" w:hanging="787"/>
        <w:spacing w:after="0"/>
        <w:tabs>
          <w:tab w:leader="none" w:pos="2740" w:val="left"/>
        </w:tabs>
        <w:numPr>
          <w:ilvl w:val="2"/>
          <w:numId w:val="46"/>
        </w:numPr>
        <w:rPr>
          <w:rFonts w:ascii="Arial" w:cs="Arial" w:eastAsia="Arial" w:hAnsi="Arial"/>
          <w:sz w:val="18"/>
          <w:szCs w:val="18"/>
          <w:color w:val="auto"/>
        </w:rPr>
      </w:pPr>
      <w:r>
        <w:rPr>
          <w:rFonts w:ascii="Arial" w:cs="Arial" w:eastAsia="Arial" w:hAnsi="Arial"/>
          <w:sz w:val="20"/>
          <w:szCs w:val="20"/>
          <w:color w:val="auto"/>
        </w:rPr>
        <w:t>Without limiting the generality of the foregoing, in the event that the Borrower is a U.S. Person,</w:t>
      </w:r>
    </w:p>
    <w:p>
      <w:pPr>
        <w:sectPr>
          <w:pgSz w:w="11900" w:h="16838" w:orient="portrait"/>
          <w:cols w:equalWidth="0" w:num="1">
            <w:col w:w="11420"/>
          </w:cols>
          <w:pgMar w:left="240" w:top="337"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4</w:t>
      </w:r>
    </w:p>
    <w:p>
      <w:pPr>
        <w:spacing w:after="0" w:line="267" w:lineRule="exact"/>
        <w:rPr>
          <w:sz w:val="20"/>
          <w:szCs w:val="20"/>
          <w:color w:val="auto"/>
        </w:rPr>
      </w:pPr>
    </w:p>
    <w:p>
      <w:pPr>
        <w:jc w:val="both"/>
        <w:ind w:left="760" w:firstLine="641"/>
        <w:spacing w:after="0" w:line="293" w:lineRule="auto"/>
        <w:tabs>
          <w:tab w:leader="none" w:pos="2231" w:val="left"/>
        </w:tabs>
        <w:numPr>
          <w:ilvl w:val="0"/>
          <w:numId w:val="47"/>
        </w:numPr>
        <w:rPr>
          <w:rFonts w:ascii="Arial" w:cs="Arial" w:eastAsia="Arial" w:hAnsi="Arial"/>
          <w:sz w:val="17"/>
          <w:szCs w:val="17"/>
          <w:color w:val="auto"/>
        </w:rPr>
      </w:pPr>
      <w:r>
        <w:rPr>
          <w:rFonts w:ascii="Arial" w:cs="Arial" w:eastAsia="Arial" w:hAnsi="Arial"/>
          <w:sz w:val="19"/>
          <w:szCs w:val="19"/>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an executed copy of IRS Form W-9 certifying that such Lender is exempt from U.S. federal backup withholding tax;</w:t>
      </w:r>
    </w:p>
    <w:p>
      <w:pPr>
        <w:spacing w:after="0" w:line="189" w:lineRule="exact"/>
        <w:rPr>
          <w:rFonts w:ascii="Arial" w:cs="Arial" w:eastAsia="Arial" w:hAnsi="Arial"/>
          <w:sz w:val="17"/>
          <w:szCs w:val="17"/>
          <w:color w:val="auto"/>
        </w:rPr>
      </w:pPr>
    </w:p>
    <w:p>
      <w:pPr>
        <w:jc w:val="both"/>
        <w:ind w:left="760" w:firstLine="641"/>
        <w:spacing w:after="0" w:line="293" w:lineRule="auto"/>
        <w:tabs>
          <w:tab w:leader="none" w:pos="2222" w:val="left"/>
        </w:tabs>
        <w:numPr>
          <w:ilvl w:val="0"/>
          <w:numId w:val="47"/>
        </w:numPr>
        <w:rPr>
          <w:rFonts w:ascii="Arial" w:cs="Arial" w:eastAsia="Arial" w:hAnsi="Arial"/>
          <w:sz w:val="17"/>
          <w:szCs w:val="17"/>
          <w:color w:val="auto"/>
        </w:rPr>
      </w:pPr>
      <w:r>
        <w:rPr>
          <w:rFonts w:ascii="Arial" w:cs="Arial" w:eastAsia="Arial" w:hAnsi="Arial"/>
          <w:sz w:val="19"/>
          <w:szCs w:val="19"/>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176" w:lineRule="exact"/>
        <w:rPr>
          <w:sz w:val="20"/>
          <w:szCs w:val="20"/>
          <w:color w:val="auto"/>
        </w:rPr>
      </w:pPr>
    </w:p>
    <w:p>
      <w:pPr>
        <w:ind w:left="2040" w:right="80" w:hanging="639"/>
        <w:spacing w:after="0" w:line="258" w:lineRule="auto"/>
        <w:tabs>
          <w:tab w:leader="none" w:pos="2040" w:val="left"/>
        </w:tabs>
        <w:numPr>
          <w:ilvl w:val="0"/>
          <w:numId w:val="48"/>
        </w:numPr>
        <w:rPr>
          <w:rFonts w:ascii="Arial" w:cs="Arial" w:eastAsia="Arial" w:hAnsi="Arial"/>
          <w:sz w:val="17"/>
          <w:szCs w:val="17"/>
          <w:color w:val="auto"/>
        </w:rPr>
      </w:pPr>
      <w:r>
        <w:rPr>
          <w:rFonts w:ascii="Arial" w:cs="Arial" w:eastAsia="Arial" w:hAnsi="Arial"/>
          <w:sz w:val="19"/>
          <w:szCs w:val="19"/>
          <w:color w:val="auto"/>
        </w:rPr>
        <w:t>in the case of a Foreign Lender claiming the benefits of an income tax treaty to which the United States is a party (x) with respect to payments of interest under any Loan Document, an executed copy of IRS Form W-8BEN-E or IRS Form W-8BEN establishing an exemption from, or reduction of, U.S. federal withholding Tax pursuant to the “interest” article of such tax treaty and (y) with respect to any other applicable payments under any Loan Document, IRS Form W-8BEN-E or IRS Form W-8BEN establishing an exemption from, or reduction of, U.S. federal withholding Tax pursuant to the “business profits” or “other income” article of such tax treaty;</w:t>
      </w:r>
    </w:p>
    <w:p>
      <w:pPr>
        <w:spacing w:after="0" w:line="192" w:lineRule="exact"/>
        <w:rPr>
          <w:rFonts w:ascii="Arial" w:cs="Arial" w:eastAsia="Arial" w:hAnsi="Arial"/>
          <w:sz w:val="17"/>
          <w:szCs w:val="17"/>
          <w:color w:val="auto"/>
        </w:rPr>
      </w:pPr>
    </w:p>
    <w:p>
      <w:pPr>
        <w:ind w:left="2040" w:right="500" w:hanging="639"/>
        <w:spacing w:after="0" w:line="260" w:lineRule="auto"/>
        <w:tabs>
          <w:tab w:leader="none" w:pos="2040" w:val="left"/>
        </w:tabs>
        <w:numPr>
          <w:ilvl w:val="0"/>
          <w:numId w:val="48"/>
        </w:numPr>
        <w:rPr>
          <w:rFonts w:ascii="Arial" w:cs="Arial" w:eastAsia="Arial" w:hAnsi="Arial"/>
          <w:sz w:val="18"/>
          <w:szCs w:val="18"/>
          <w:color w:val="auto"/>
        </w:rPr>
      </w:pPr>
      <w:r>
        <w:rPr>
          <w:rFonts w:ascii="Arial" w:cs="Arial" w:eastAsia="Arial" w:hAnsi="Arial"/>
          <w:sz w:val="20"/>
          <w:szCs w:val="20"/>
          <w:color w:val="auto"/>
        </w:rPr>
        <w:t>in the case of a Foreign Lender claiming that its extension of credit will generate U.S. effectively connected income, an executed copy of IRS Form W-8ECI;</w:t>
      </w:r>
    </w:p>
    <w:p>
      <w:pPr>
        <w:spacing w:after="0" w:line="190" w:lineRule="exact"/>
        <w:rPr>
          <w:rFonts w:ascii="Arial" w:cs="Arial" w:eastAsia="Arial" w:hAnsi="Arial"/>
          <w:sz w:val="18"/>
          <w:szCs w:val="18"/>
          <w:color w:val="auto"/>
        </w:rPr>
      </w:pPr>
    </w:p>
    <w:p>
      <w:pPr>
        <w:ind w:left="2040" w:hanging="639"/>
        <w:spacing w:after="0" w:line="276" w:lineRule="auto"/>
        <w:tabs>
          <w:tab w:leader="none" w:pos="2040" w:val="left"/>
        </w:tabs>
        <w:numPr>
          <w:ilvl w:val="0"/>
          <w:numId w:val="48"/>
        </w:numPr>
        <w:rPr>
          <w:rFonts w:ascii="Arial" w:cs="Arial" w:eastAsia="Arial" w:hAnsi="Arial"/>
          <w:sz w:val="16"/>
          <w:szCs w:val="16"/>
          <w:color w:val="auto"/>
        </w:rPr>
      </w:pPr>
      <w:r>
        <w:rPr>
          <w:rFonts w:ascii="Arial" w:cs="Arial" w:eastAsia="Arial" w:hAnsi="Arial"/>
          <w:sz w:val="18"/>
          <w:szCs w:val="18"/>
          <w:color w:val="auto"/>
        </w:rPr>
        <w:t>in the case of a Foreign Lender claiming the benefits of the exemption for portfolio interest under Section 881(c) of the Code, (x) a certificate substantially in the form of Exhibit D-1 to the effect that such Foreign Lender is not a “bank” within the meaning of Section 881(c)(3)(A) of the Code, a “10 percent shareholder” of the Borrower within the meaning of Section 881(h)(3)(B) of the Code, or a “controlled foreign corporation” described in Section 881(c)(3)(C) of the Code (a “U.S. Tax Compliance Certificate”) and (y) an executed copy of IRS Form W-8BEN-E or IRS Form W-8BEN; or</w:t>
      </w:r>
    </w:p>
    <w:p>
      <w:pPr>
        <w:spacing w:after="0" w:line="178" w:lineRule="exact"/>
        <w:rPr>
          <w:rFonts w:ascii="Arial" w:cs="Arial" w:eastAsia="Arial" w:hAnsi="Arial"/>
          <w:sz w:val="16"/>
          <w:szCs w:val="16"/>
          <w:color w:val="auto"/>
        </w:rPr>
      </w:pPr>
    </w:p>
    <w:p>
      <w:pPr>
        <w:ind w:left="2040" w:right="20" w:hanging="639"/>
        <w:spacing w:after="0" w:line="274" w:lineRule="auto"/>
        <w:tabs>
          <w:tab w:leader="none" w:pos="2040" w:val="left"/>
        </w:tabs>
        <w:numPr>
          <w:ilvl w:val="0"/>
          <w:numId w:val="48"/>
        </w:numPr>
        <w:rPr>
          <w:rFonts w:ascii="Arial" w:cs="Arial" w:eastAsia="Arial" w:hAnsi="Arial"/>
          <w:sz w:val="16"/>
          <w:szCs w:val="16"/>
          <w:color w:val="auto"/>
        </w:rPr>
      </w:pPr>
      <w:r>
        <w:rPr>
          <w:rFonts w:ascii="Arial" w:cs="Arial" w:eastAsia="Arial" w:hAnsi="Arial"/>
          <w:sz w:val="18"/>
          <w:szCs w:val="18"/>
          <w:color w:val="auto"/>
        </w:rPr>
        <w:t>to the extent a Foreign Lender is not the beneficial owner, an executed copy of IRS Form W-8IMY, accompanied by IRS Form W-8ECI, IRS Form W-8BEN-E, IRS Form W-8BEN, a U.S. Tax Compliance Certificate substantially in the form of Exhibit D-2 or Exhibit D-3, IRS Form W-9, and/or other certification documents from each beneficial owner, as applicable; provided that if the Foreign Lender is a partnership and one or more direct or indirect partners of such Foreign Lender are claiming the portfolio interest exemption, such Foreign Lender may provide a U.S. Tax Compliance Certificate substantially in the form of Exhibit D-4 on behalf of each such direct and indirect partner;</w:t>
      </w:r>
    </w:p>
    <w:p>
      <w:pPr>
        <w:spacing w:after="0" w:line="196" w:lineRule="exact"/>
        <w:rPr>
          <w:sz w:val="20"/>
          <w:szCs w:val="20"/>
          <w:color w:val="auto"/>
        </w:rPr>
      </w:pPr>
    </w:p>
    <w:p>
      <w:pPr>
        <w:jc w:val="both"/>
        <w:ind w:left="760" w:firstLine="641"/>
        <w:spacing w:after="0" w:line="314" w:lineRule="auto"/>
        <w:tabs>
          <w:tab w:leader="none" w:pos="2222" w:val="left"/>
        </w:tabs>
        <w:numPr>
          <w:ilvl w:val="0"/>
          <w:numId w:val="49"/>
        </w:numPr>
        <w:rPr>
          <w:rFonts w:ascii="Arial" w:cs="Arial" w:eastAsia="Arial" w:hAnsi="Arial"/>
          <w:sz w:val="16"/>
          <w:szCs w:val="16"/>
          <w:color w:val="auto"/>
        </w:rPr>
      </w:pPr>
      <w:r>
        <w:rPr>
          <w:rFonts w:ascii="Arial" w:cs="Arial" w:eastAsia="Arial" w:hAnsi="Arial"/>
          <w:sz w:val="18"/>
          <w:szCs w:val="18"/>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of any other form prescribed by applicable law</w:t>
      </w:r>
    </w:p>
    <w:p>
      <w:pPr>
        <w:sectPr>
          <w:pgSz w:w="11900" w:h="16838" w:orient="portrait"/>
          <w:cols w:equalWidth="0" w:num="1">
            <w:col w:w="10220"/>
          </w:cols>
          <w:pgMar w:left="1440" w:top="337" w:right="239" w:bottom="1440" w:gutter="0" w:footer="0" w:header="0"/>
        </w:sectPr>
      </w:pPr>
    </w:p>
    <w:bookmarkStart w:id="80" w:name="page81"/>
    <w:bookmarkEnd w:id="80"/>
    <w:p>
      <w:pPr>
        <w:ind w:left="10720"/>
        <w:spacing w:after="0"/>
        <w:rPr>
          <w:sz w:val="20"/>
          <w:szCs w:val="20"/>
          <w:color w:val="auto"/>
        </w:rPr>
      </w:pPr>
      <w:r>
        <w:rPr>
          <w:rFonts w:ascii="Arial" w:cs="Arial" w:eastAsia="Arial" w:hAnsi="Arial"/>
          <w:sz w:val="16"/>
          <w:szCs w:val="16"/>
          <w:b w:val="1"/>
          <w:bCs w:val="1"/>
          <w:color w:val="auto"/>
        </w:rPr>
        <w:t>Exhibit 4</w:t>
      </w:r>
    </w:p>
    <w:p>
      <w:pPr>
        <w:spacing w:after="0" w:line="290" w:lineRule="exact"/>
        <w:rPr>
          <w:sz w:val="20"/>
          <w:szCs w:val="20"/>
          <w:color w:val="auto"/>
        </w:rPr>
      </w:pPr>
    </w:p>
    <w:p>
      <w:pPr>
        <w:jc w:val="both"/>
        <w:ind w:left="1960"/>
        <w:spacing w:after="0" w:line="278" w:lineRule="auto"/>
        <w:rPr>
          <w:sz w:val="20"/>
          <w:szCs w:val="20"/>
          <w:color w:val="auto"/>
        </w:rPr>
      </w:pPr>
      <w:r>
        <w:rPr>
          <w:rFonts w:ascii="Arial" w:cs="Arial" w:eastAsia="Arial" w:hAnsi="Arial"/>
          <w:sz w:val="20"/>
          <w:szCs w:val="20"/>
          <w:color w:val="auto"/>
        </w:rPr>
        <w:t>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200" w:lineRule="exact"/>
        <w:rPr>
          <w:sz w:val="20"/>
          <w:szCs w:val="20"/>
          <w:color w:val="auto"/>
        </w:rPr>
      </w:pPr>
    </w:p>
    <w:p>
      <w:pPr>
        <w:jc w:val="both"/>
        <w:ind w:left="1960" w:firstLine="641"/>
        <w:spacing w:after="0" w:line="303" w:lineRule="auto"/>
        <w:tabs>
          <w:tab w:leader="none" w:pos="3431" w:val="left"/>
        </w:tabs>
        <w:numPr>
          <w:ilvl w:val="0"/>
          <w:numId w:val="50"/>
        </w:numPr>
        <w:rPr>
          <w:rFonts w:ascii="Arial" w:cs="Arial" w:eastAsia="Arial" w:hAnsi="Arial"/>
          <w:sz w:val="16"/>
          <w:szCs w:val="16"/>
          <w:color w:val="auto"/>
        </w:rPr>
      </w:pPr>
      <w:r>
        <w:rPr>
          <w:rFonts w:ascii="Arial" w:cs="Arial" w:eastAsia="Arial" w:hAnsi="Arial"/>
          <w:sz w:val="18"/>
          <w:szCs w:val="18"/>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169" w:lineRule="exact"/>
        <w:rPr>
          <w:sz w:val="20"/>
          <w:szCs w:val="20"/>
          <w:color w:val="auto"/>
        </w:rPr>
      </w:pPr>
    </w:p>
    <w:p>
      <w:pPr>
        <w:spacing w:after="0" w:line="316" w:lineRule="auto"/>
        <w:rPr>
          <w:sz w:val="20"/>
          <w:szCs w:val="20"/>
          <w:color w:val="auto"/>
        </w:rPr>
      </w:pPr>
      <w:r>
        <w:rPr>
          <w:rFonts w:ascii="Arial" w:cs="Arial" w:eastAsia="Arial" w:hAnsi="Arial"/>
          <w:sz w:val="18"/>
          <w:szCs w:val="18"/>
          <w:color w:val="auto"/>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spacing w:after="0" w:line="117" w:lineRule="exact"/>
        <w:rPr>
          <w:sz w:val="20"/>
          <w:szCs w:val="20"/>
          <w:color w:val="auto"/>
        </w:rPr>
      </w:pPr>
    </w:p>
    <w:p>
      <w:pPr>
        <w:jc w:val="both"/>
        <w:ind w:firstLine="1305"/>
        <w:spacing w:after="0" w:line="284" w:lineRule="auto"/>
        <w:tabs>
          <w:tab w:leader="none" w:pos="2080" w:val="left"/>
        </w:tabs>
        <w:numPr>
          <w:ilvl w:val="0"/>
          <w:numId w:val="51"/>
        </w:numPr>
        <w:rPr>
          <w:rFonts w:ascii="Arial" w:cs="Arial" w:eastAsia="Arial" w:hAnsi="Arial"/>
          <w:sz w:val="17"/>
          <w:szCs w:val="17"/>
          <w:color w:val="auto"/>
        </w:rPr>
      </w:pPr>
      <w:r>
        <w:rPr>
          <w:rFonts w:ascii="Arial" w:cs="Arial" w:eastAsia="Arial" w:hAnsi="Arial"/>
          <w:sz w:val="19"/>
          <w:szCs w:val="19"/>
          <w:u w:val="single" w:color="auto"/>
          <w:color w:val="auto"/>
        </w:rPr>
        <w:t>Treatment of Certain Refunds</w:t>
      </w:r>
      <w:r>
        <w:rPr>
          <w:rFonts w:ascii="Arial" w:cs="Arial" w:eastAsia="Arial" w:hAnsi="Arial"/>
          <w:sz w:val="19"/>
          <w:szCs w:val="19"/>
          <w:color w:val="auto"/>
        </w:rPr>
        <w:t>. If any party determines, in its sole discretion exercised in good faith, that it has received a refund of any Taxes as to which it has been indemnified pursuant to this Section (including by the payment of additional amounts pursuant to this Section),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(g) (plus any penalties, interest or other charges imposed by the relevant Governmental Authority) in the event that such indemnified party is required to repay such refund to such Governmental Authority. Notwithstanding anything to the contrary in this paragraph (g), in no event will the indemnified party be required to pay any amount to an indemnifying party pursuant to this paragraph (g)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202" w:lineRule="exact"/>
        <w:rPr>
          <w:rFonts w:ascii="Arial" w:cs="Arial" w:eastAsia="Arial" w:hAnsi="Arial"/>
          <w:sz w:val="17"/>
          <w:szCs w:val="17"/>
          <w:color w:val="auto"/>
        </w:rPr>
      </w:pPr>
    </w:p>
    <w:p>
      <w:pPr>
        <w:jc w:val="both"/>
        <w:ind w:firstLine="1305"/>
        <w:spacing w:after="0" w:line="278" w:lineRule="auto"/>
        <w:tabs>
          <w:tab w:leader="none" w:pos="2080" w:val="left"/>
        </w:tabs>
        <w:numPr>
          <w:ilvl w:val="0"/>
          <w:numId w:val="51"/>
        </w:numPr>
        <w:rPr>
          <w:rFonts w:ascii="Arial" w:cs="Arial" w:eastAsia="Arial" w:hAnsi="Arial"/>
          <w:sz w:val="18"/>
          <w:szCs w:val="18"/>
          <w:color w:val="auto"/>
        </w:rPr>
      </w:pPr>
      <w:r>
        <w:rPr>
          <w:rFonts w:ascii="Arial" w:cs="Arial" w:eastAsia="Arial" w:hAnsi="Arial"/>
          <w:sz w:val="20"/>
          <w:szCs w:val="20"/>
          <w:u w:val="single" w:color="auto"/>
          <w:color w:val="auto"/>
        </w:rPr>
        <w:t>Survival</w:t>
      </w:r>
      <w:r>
        <w:rPr>
          <w:rFonts w:ascii="Arial" w:cs="Arial" w:eastAsia="Arial" w:hAnsi="Arial"/>
          <w:sz w:val="20"/>
          <w:szCs w:val="20"/>
          <w:color w:val="auto"/>
        </w:rPr>
        <w:t>. Each party’s obligations under this Section shall survive the resignation or replacement of the Administrative Agent or any assignment of rights by, or the replacement of, a Lender, the termination of the Commitments and the repayment, satisfaction or discharge of all obligations under any Loan Document.</w:t>
      </w:r>
    </w:p>
    <w:p>
      <w:pPr>
        <w:spacing w:after="0" w:line="200" w:lineRule="exact"/>
        <w:rPr>
          <w:sz w:val="20"/>
          <w:szCs w:val="20"/>
          <w:color w:val="auto"/>
        </w:rPr>
      </w:pPr>
    </w:p>
    <w:p>
      <w:pPr>
        <w:ind w:left="660"/>
        <w:spacing w:after="0"/>
        <w:tabs>
          <w:tab w:leader="none" w:pos="2740" w:val="left"/>
        </w:tabs>
        <w:rPr>
          <w:sz w:val="20"/>
          <w:szCs w:val="20"/>
          <w:color w:val="auto"/>
        </w:rPr>
      </w:pPr>
      <w:r>
        <w:rPr>
          <w:rFonts w:ascii="Arial" w:cs="Arial" w:eastAsia="Arial" w:hAnsi="Arial"/>
          <w:sz w:val="18"/>
          <w:szCs w:val="18"/>
          <w:color w:val="auto"/>
        </w:rPr>
        <w:t>Section 3.6</w:t>
      </w:r>
      <w:r>
        <w:rPr>
          <w:sz w:val="20"/>
          <w:szCs w:val="20"/>
          <w:color w:val="auto"/>
        </w:rPr>
        <w:tab/>
      </w:r>
      <w:r>
        <w:rPr>
          <w:rFonts w:ascii="Arial" w:cs="Arial" w:eastAsia="Arial" w:hAnsi="Arial"/>
          <w:sz w:val="18"/>
          <w:szCs w:val="18"/>
          <w:u w:val="single" w:color="auto"/>
          <w:color w:val="auto"/>
        </w:rPr>
        <w:t>Mitigation Obligations</w:t>
      </w:r>
      <w:r>
        <w:rPr>
          <w:rFonts w:ascii="Arial" w:cs="Arial" w:eastAsia="Arial" w:hAnsi="Arial"/>
          <w:sz w:val="18"/>
          <w:szCs w:val="18"/>
          <w:color w:val="auto"/>
        </w:rPr>
        <w:t>.</w:t>
      </w:r>
    </w:p>
    <w:p>
      <w:pPr>
        <w:spacing w:after="0" w:line="279" w:lineRule="exact"/>
        <w:rPr>
          <w:sz w:val="20"/>
          <w:szCs w:val="20"/>
          <w:color w:val="auto"/>
        </w:rPr>
      </w:pPr>
    </w:p>
    <w:p>
      <w:pPr>
        <w:jc w:val="both"/>
        <w:ind w:firstLine="1305"/>
        <w:spacing w:after="0" w:line="307" w:lineRule="auto"/>
        <w:tabs>
          <w:tab w:leader="none" w:pos="2070" w:val="left"/>
        </w:tabs>
        <w:numPr>
          <w:ilvl w:val="0"/>
          <w:numId w:val="52"/>
        </w:numPr>
        <w:rPr>
          <w:rFonts w:ascii="Arial" w:cs="Arial" w:eastAsia="Arial" w:hAnsi="Arial"/>
          <w:sz w:val="16"/>
          <w:szCs w:val="16"/>
          <w:color w:val="auto"/>
        </w:rPr>
      </w:pPr>
      <w:r>
        <w:rPr>
          <w:rFonts w:ascii="Arial" w:cs="Arial" w:eastAsia="Arial" w:hAnsi="Arial"/>
          <w:sz w:val="18"/>
          <w:szCs w:val="18"/>
          <w:u w:val="single" w:color="auto"/>
          <w:color w:val="auto"/>
        </w:rPr>
        <w:t>Designation of a Different Lending Office</w:t>
      </w:r>
      <w:r>
        <w:rPr>
          <w:rFonts w:ascii="Arial" w:cs="Arial" w:eastAsia="Arial" w:hAnsi="Arial"/>
          <w:sz w:val="18"/>
          <w:szCs w:val="18"/>
          <w:color w:val="auto"/>
        </w:rPr>
        <w:t xml:space="preserve">. In the event that the Borrower becomes obligated to pay additional amounts to any Lender (or to any Governmental Authority for the account of any Lender) pursuant to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3.5</w:t>
      </w:r>
      <w:r>
        <w:rPr>
          <w:rFonts w:ascii="Arial" w:cs="Arial" w:eastAsia="Arial" w:hAnsi="Arial"/>
          <w:sz w:val="18"/>
          <w:szCs w:val="18"/>
          <w:color w:val="auto"/>
        </w:rPr>
        <w:t>, as the case may be, in the future, and (ii) would not subject such Lender to any unreimbursed cost or expense and would not otherwise be disadvantageous</w:t>
      </w:r>
    </w:p>
    <w:p>
      <w:pPr>
        <w:sectPr>
          <w:pgSz w:w="11900" w:h="16838" w:orient="portrait"/>
          <w:cols w:equalWidth="0" w:num="1">
            <w:col w:w="11420"/>
          </w:cols>
          <w:pgMar w:left="240" w:top="337" w:right="239" w:bottom="1440" w:gutter="0" w:footer="0" w:header="0"/>
        </w:sectPr>
      </w:pPr>
    </w:p>
    <w:bookmarkStart w:id="81" w:name="page82"/>
    <w:bookmarkEnd w:id="81"/>
    <w:p>
      <w:pPr>
        <w:ind w:left="10720"/>
        <w:spacing w:after="0"/>
        <w:rPr>
          <w:sz w:val="20"/>
          <w:szCs w:val="20"/>
          <w:color w:val="auto"/>
        </w:rPr>
      </w:pPr>
      <w:r>
        <w:rPr>
          <w:rFonts w:ascii="Arial" w:cs="Arial" w:eastAsia="Arial" w:hAnsi="Arial"/>
          <w:sz w:val="16"/>
          <w:szCs w:val="16"/>
          <w:b w:val="1"/>
          <w:bCs w:val="1"/>
          <w:color w:val="auto"/>
        </w:rPr>
        <w:t>Exhibit 4</w:t>
      </w:r>
    </w:p>
    <w:p>
      <w:pPr>
        <w:spacing w:after="0" w:line="290" w:lineRule="exact"/>
        <w:rPr>
          <w:sz w:val="20"/>
          <w:szCs w:val="20"/>
          <w:color w:val="auto"/>
        </w:rPr>
      </w:pPr>
    </w:p>
    <w:p>
      <w:pPr>
        <w:jc w:val="both"/>
        <w:spacing w:after="0" w:line="289" w:lineRule="auto"/>
        <w:rPr>
          <w:sz w:val="20"/>
          <w:szCs w:val="20"/>
          <w:color w:val="auto"/>
        </w:rPr>
      </w:pPr>
      <w:r>
        <w:rPr>
          <w:rFonts w:ascii="Arial" w:cs="Arial" w:eastAsia="Arial" w:hAnsi="Arial"/>
          <w:sz w:val="20"/>
          <w:szCs w:val="20"/>
          <w:color w:val="auto"/>
        </w:rPr>
        <w:t>to such Lender. The Borrower hereby agrees to pay all reasonable costs and expenses incurred by any Lender in connection with any such designation or assignment.</w:t>
      </w:r>
    </w:p>
    <w:p>
      <w:pPr>
        <w:spacing w:after="0" w:line="189" w:lineRule="exact"/>
        <w:rPr>
          <w:sz w:val="20"/>
          <w:szCs w:val="20"/>
          <w:color w:val="auto"/>
        </w:rPr>
      </w:pPr>
    </w:p>
    <w:p>
      <w:pPr>
        <w:jc w:val="both"/>
        <w:ind w:firstLine="1305"/>
        <w:spacing w:after="0" w:line="300" w:lineRule="auto"/>
        <w:tabs>
          <w:tab w:leader="none" w:pos="2080" w:val="left"/>
        </w:tabs>
        <w:numPr>
          <w:ilvl w:val="0"/>
          <w:numId w:val="53"/>
        </w:numPr>
        <w:rPr>
          <w:rFonts w:ascii="Arial" w:cs="Arial" w:eastAsia="Arial" w:hAnsi="Arial"/>
          <w:sz w:val="16"/>
          <w:szCs w:val="16"/>
          <w:color w:val="auto"/>
        </w:rPr>
      </w:pPr>
      <w:r>
        <w:rPr>
          <w:rFonts w:ascii="Arial" w:cs="Arial" w:eastAsia="Arial" w:hAnsi="Arial"/>
          <w:sz w:val="18"/>
          <w:szCs w:val="18"/>
          <w:u w:val="single" w:color="auto"/>
          <w:color w:val="auto"/>
        </w:rPr>
        <w:t>Replacement of Lenders</w:t>
      </w:r>
      <w:r>
        <w:rPr>
          <w:rFonts w:ascii="Arial" w:cs="Arial" w:eastAsia="Arial" w:hAnsi="Arial"/>
          <w:sz w:val="18"/>
          <w:szCs w:val="18"/>
          <w:color w:val="auto"/>
        </w:rPr>
        <w:t xml:space="preserve">. In the event that (i) the Borrower becomes obligated to pay additional amounts to any Lender (or to any Governmental Authority for the account of any Lender) pursuant to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(ii) any Lender becomes a Defaulting Lender or (iii) any Lender has failed to consent to a proposed amendment, waiver, discharge or termination that under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requires the consent of all the Lenders and with respect to which the Required Lenders shall have granted their consent, then the Borrower may, at its sole cost and expense, within 60 days of the demand by such Lender for such additional amounts or the relevant default or action or inaction by such Lender, as the case may be, and subject to and in accordance with the provisions of </w:t>
      </w:r>
      <w:r>
        <w:rPr>
          <w:rFonts w:ascii="Arial" w:cs="Arial" w:eastAsia="Arial" w:hAnsi="Arial"/>
          <w:sz w:val="18"/>
          <w:szCs w:val="18"/>
          <w:u w:val="single" w:color="auto"/>
          <w:color w:val="auto"/>
        </w:rPr>
        <w:t>Section 10.4</w:t>
      </w:r>
      <w:r>
        <w:rPr>
          <w:rFonts w:ascii="Arial" w:cs="Arial" w:eastAsia="Arial" w:hAnsi="Arial"/>
          <w:sz w:val="18"/>
          <w:szCs w:val="18"/>
          <w:color w:val="auto"/>
        </w:rPr>
        <w:t xml:space="preserve"> (with the Borrower obligated to pay any applicable processing and recordation fee), designate an Eligible Assignee (acceptable to the Administrative Agent) to purchase and assume all of such Lender’s interests, rights and obligations under the Loan Documents, without recourse to or warranty by or expense to, such Lender, for a purchase price equal to the outstanding principal amount of such Lender’s Loans plus any accrued but unpaid interest thereon and any other amounts payable to such Lender hereunder, and to assume all the obligations of such Lender hereunder, and, upon such purchase, such Lender shall no longer be a party hereto or have any rights hereunder (except those that survive full repayment hereunder) and shall be relieved from all obligations to the Borrower hereunder, and the Eligible Assignee shall succeed to the rights and obligations of such Lender hereunder. No replacement of a Defaulting Lender pursuant to this </w:t>
      </w:r>
      <w:r>
        <w:rPr>
          <w:rFonts w:ascii="Arial" w:cs="Arial" w:eastAsia="Arial" w:hAnsi="Arial"/>
          <w:sz w:val="18"/>
          <w:szCs w:val="18"/>
          <w:u w:val="single" w:color="auto"/>
          <w:color w:val="auto"/>
        </w:rPr>
        <w:t>Section 3.6</w:t>
      </w:r>
      <w:r>
        <w:rPr>
          <w:rFonts w:ascii="Arial" w:cs="Arial" w:eastAsia="Arial" w:hAnsi="Arial"/>
          <w:sz w:val="18"/>
          <w:szCs w:val="18"/>
          <w:color w:val="auto"/>
        </w:rPr>
        <w:t xml:space="preserve"> shall be deemed to be a waiver of any right that the Borrower, the Administrative Agent or any other Lender may have against such Defaulting Lender. The Borrower shall execute and deliver to such Eligible Assignee a Note. Notwithstanding anything herein to the contrary, in the event that a Lender is replaced pursuant to this </w:t>
      </w:r>
      <w:r>
        <w:rPr>
          <w:rFonts w:ascii="Arial" w:cs="Arial" w:eastAsia="Arial" w:hAnsi="Arial"/>
          <w:sz w:val="18"/>
          <w:szCs w:val="18"/>
          <w:u w:val="single" w:color="auto"/>
          <w:color w:val="auto"/>
        </w:rPr>
        <w:t>Section 3.6</w:t>
      </w:r>
      <w:r>
        <w:rPr>
          <w:rFonts w:ascii="Arial" w:cs="Arial" w:eastAsia="Arial" w:hAnsi="Arial"/>
          <w:sz w:val="18"/>
          <w:szCs w:val="18"/>
          <w:color w:val="auto"/>
        </w:rPr>
        <w:t xml:space="preserve"> as a result of the Borrower becoming obligated to pay additional amounts to such Lender (or to any Governmental Authority for the account of any Lender) pursuant to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3.5</w:t>
      </w:r>
      <w:r>
        <w:rPr>
          <w:rFonts w:ascii="Arial" w:cs="Arial" w:eastAsia="Arial" w:hAnsi="Arial"/>
          <w:sz w:val="18"/>
          <w:szCs w:val="18"/>
          <w:color w:val="auto"/>
        </w:rPr>
        <w:t>, such Lender shall be entitled to receive such additional amounts as if it had not been so replaced.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4.</w:t>
      </w:r>
    </w:p>
    <w:p>
      <w:pPr>
        <w:spacing w:after="0" w:line="229" w:lineRule="exact"/>
        <w:rPr>
          <w:sz w:val="20"/>
          <w:szCs w:val="20"/>
          <w:color w:val="auto"/>
        </w:rPr>
      </w:pPr>
    </w:p>
    <w:p>
      <w:pPr>
        <w:ind w:left="3920"/>
        <w:spacing w:after="0"/>
        <w:rPr>
          <w:sz w:val="20"/>
          <w:szCs w:val="20"/>
          <w:color w:val="auto"/>
        </w:rPr>
      </w:pPr>
      <w:r>
        <w:rPr>
          <w:rFonts w:ascii="Arial" w:cs="Arial" w:eastAsia="Arial" w:hAnsi="Arial"/>
          <w:sz w:val="20"/>
          <w:szCs w:val="20"/>
          <w:color w:val="auto"/>
        </w:rPr>
        <w:t>REPRESENTATIONS AND WARRANTIES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Borrower represents and warrants to the Credit Parties that:</w:t>
      </w:r>
    </w:p>
    <w:p>
      <w:pPr>
        <w:spacing w:after="0" w:line="202" w:lineRule="exact"/>
        <w:rPr>
          <w:sz w:val="20"/>
          <w:szCs w:val="20"/>
          <w:color w:val="auto"/>
        </w:rPr>
      </w:pPr>
    </w:p>
    <w:p>
      <w:pPr>
        <w:ind w:left="660"/>
        <w:spacing w:after="0"/>
        <w:tabs>
          <w:tab w:leader="none" w:pos="2760" w:val="left"/>
        </w:tabs>
        <w:rPr>
          <w:sz w:val="20"/>
          <w:szCs w:val="20"/>
          <w:color w:val="auto"/>
        </w:rPr>
      </w:pPr>
      <w:r>
        <w:rPr>
          <w:rFonts w:ascii="Arial" w:cs="Arial" w:eastAsia="Arial" w:hAnsi="Arial"/>
          <w:sz w:val="18"/>
          <w:szCs w:val="18"/>
          <w:color w:val="auto"/>
        </w:rPr>
        <w:t>Section 4.1</w:t>
      </w:r>
      <w:r>
        <w:rPr>
          <w:sz w:val="20"/>
          <w:szCs w:val="20"/>
          <w:color w:val="auto"/>
        </w:rPr>
        <w:tab/>
      </w:r>
      <w:r>
        <w:rPr>
          <w:rFonts w:ascii="Arial" w:cs="Arial" w:eastAsia="Arial" w:hAnsi="Arial"/>
          <w:sz w:val="19"/>
          <w:szCs w:val="19"/>
          <w:u w:val="single" w:color="auto"/>
          <w:color w:val="auto"/>
        </w:rPr>
        <w:t>Organization; Powers</w:t>
      </w:r>
      <w:r>
        <w:rPr>
          <w:rFonts w:ascii="Arial" w:cs="Arial" w:eastAsia="Arial" w:hAnsi="Arial"/>
          <w:sz w:val="19"/>
          <w:szCs w:val="19"/>
          <w:color w:val="auto"/>
        </w:rPr>
        <w:t>. Each of the Borrower and each Subsidiary is duly organized or formed, validly</w:t>
      </w:r>
    </w:p>
    <w:p>
      <w:pPr>
        <w:spacing w:after="0" w:line="38"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existing and in good standing under the laws of the jurisdiction of its organization or formation, has all requisite corporate power and authority to carry on its business as now conducted and, except where the failure to do so, individually or in the aggregate, would not reasonably be expected to result in a Material Adverse Effect, is qualified to do business in, and is in good standing in, every jurisdiction where such qualification is required.</w:t>
      </w:r>
    </w:p>
    <w:p>
      <w:pPr>
        <w:spacing w:after="0" w:line="20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20"/>
          <w:szCs w:val="20"/>
          <w:color w:val="auto"/>
        </w:rPr>
        <w:t xml:space="preserve">Section 4.2 </w:t>
      </w:r>
      <w:r>
        <w:rPr>
          <w:rFonts w:ascii="Arial" w:cs="Arial" w:eastAsia="Arial" w:hAnsi="Arial"/>
          <w:sz w:val="20"/>
          <w:szCs w:val="20"/>
          <w:u w:val="single" w:color="auto"/>
          <w:color w:val="auto"/>
        </w:rPr>
        <w:t>Authorization; Enforceability</w:t>
      </w:r>
      <w:r>
        <w:rPr>
          <w:rFonts w:ascii="Arial" w:cs="Arial" w:eastAsia="Arial" w:hAnsi="Arial"/>
          <w:sz w:val="20"/>
          <w:szCs w:val="20"/>
          <w:color w:val="auto"/>
        </w:rPr>
        <w:t>. The Transactions are within the corporate powers of the Borrower and have been duly authorized by all necessary corporate and, if required, equity holder action. Each Loan Document has been duly executed and delivered by the Borrower and constitutes a legal, valid and binding obligation thereof, enforceable in accordance with its terms, subject to applicable bankruptcy, insolvency, reorganization, moratorium or other similar laws affecting creditors’ rights generally and general principles of equity.</w:t>
      </w:r>
    </w:p>
    <w:p>
      <w:pPr>
        <w:spacing w:after="0" w:line="205" w:lineRule="exact"/>
        <w:rPr>
          <w:sz w:val="20"/>
          <w:szCs w:val="20"/>
          <w:color w:val="auto"/>
        </w:rPr>
      </w:pPr>
    </w:p>
    <w:p>
      <w:pPr>
        <w:ind w:left="660"/>
        <w:spacing w:after="0"/>
        <w:tabs>
          <w:tab w:leader="none" w:pos="2740" w:val="left"/>
        </w:tabs>
        <w:rPr>
          <w:sz w:val="20"/>
          <w:szCs w:val="20"/>
          <w:color w:val="auto"/>
        </w:rPr>
      </w:pPr>
      <w:r>
        <w:rPr>
          <w:rFonts w:ascii="Arial" w:cs="Arial" w:eastAsia="Arial" w:hAnsi="Arial"/>
          <w:sz w:val="18"/>
          <w:szCs w:val="18"/>
          <w:color w:val="auto"/>
        </w:rPr>
        <w:t>Section 4.3</w:t>
      </w:r>
      <w:r>
        <w:rPr>
          <w:sz w:val="20"/>
          <w:szCs w:val="20"/>
          <w:color w:val="auto"/>
        </w:rPr>
        <w:tab/>
      </w:r>
      <w:r>
        <w:rPr>
          <w:rFonts w:ascii="Arial" w:cs="Arial" w:eastAsia="Arial" w:hAnsi="Arial"/>
          <w:sz w:val="18"/>
          <w:szCs w:val="18"/>
          <w:u w:val="single" w:color="auto"/>
          <w:color w:val="auto"/>
        </w:rPr>
        <w:t>Governmental Approvals; No Conflict</w:t>
      </w:r>
      <w:r>
        <w:rPr>
          <w:rFonts w:ascii="Arial" w:cs="Arial" w:eastAsia="Arial" w:hAnsi="Arial"/>
          <w:sz w:val="18"/>
          <w:szCs w:val="18"/>
          <w:color w:val="auto"/>
        </w:rPr>
        <w:t>.</w:t>
      </w:r>
    </w:p>
    <w:p>
      <w:pPr>
        <w:spacing w:after="0" w:line="279" w:lineRule="exact"/>
        <w:rPr>
          <w:sz w:val="20"/>
          <w:szCs w:val="20"/>
          <w:color w:val="auto"/>
        </w:rPr>
      </w:pPr>
    </w:p>
    <w:p>
      <w:pPr>
        <w:ind w:left="2080" w:hanging="775"/>
        <w:spacing w:after="0"/>
        <w:tabs>
          <w:tab w:leader="none" w:pos="2080" w:val="left"/>
        </w:tabs>
        <w:numPr>
          <w:ilvl w:val="0"/>
          <w:numId w:val="54"/>
        </w:numPr>
        <w:rPr>
          <w:rFonts w:ascii="Arial" w:cs="Arial" w:eastAsia="Arial" w:hAnsi="Arial"/>
          <w:sz w:val="16"/>
          <w:szCs w:val="16"/>
          <w:color w:val="auto"/>
        </w:rPr>
      </w:pPr>
      <w:r>
        <w:rPr>
          <w:rFonts w:ascii="Arial" w:cs="Arial" w:eastAsia="Arial" w:hAnsi="Arial"/>
          <w:sz w:val="18"/>
          <w:szCs w:val="18"/>
          <w:color w:val="auto"/>
        </w:rPr>
        <w:t>The execution, delivery and performance by the Borrower of the Loan Documents and the borrowing of the Loans do</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color w:val="auto"/>
        </w:rPr>
        <w:t>not require any consent or approval of, registration or filing with, or any other action by, any Governmental Authority, except for</w:t>
      </w:r>
    </w:p>
    <w:p>
      <w:pPr>
        <w:spacing w:after="0" w:line="27" w:lineRule="exact"/>
        <w:rPr>
          <w:sz w:val="20"/>
          <w:szCs w:val="20"/>
          <w:color w:val="auto"/>
        </w:rPr>
      </w:pPr>
    </w:p>
    <w:p>
      <w:pPr>
        <w:ind w:firstLine="8"/>
        <w:spacing w:after="0" w:line="347" w:lineRule="auto"/>
        <w:tabs>
          <w:tab w:leader="none" w:pos="2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information filings to be made in the ordinary course of business, which filings are not a condition to the Borrower’s performance under the Loan Documents and (ii) such as have been obtained or made and are in full force and effect and not subject to any appeals period.</w:t>
      </w:r>
    </w:p>
    <w:p>
      <w:pPr>
        <w:sectPr>
          <w:pgSz w:w="11900" w:h="16838" w:orient="portrait"/>
          <w:cols w:equalWidth="0" w:num="1">
            <w:col w:w="11420"/>
          </w:cols>
          <w:pgMar w:left="240" w:top="337"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4</w:t>
      </w:r>
    </w:p>
    <w:p>
      <w:pPr>
        <w:spacing w:after="0" w:line="267" w:lineRule="exact"/>
        <w:rPr>
          <w:sz w:val="20"/>
          <w:szCs w:val="20"/>
          <w:color w:val="auto"/>
        </w:rPr>
      </w:pPr>
    </w:p>
    <w:p>
      <w:pPr>
        <w:ind w:left="2080" w:hanging="775"/>
        <w:spacing w:after="0"/>
        <w:tabs>
          <w:tab w:leader="none" w:pos="2080" w:val="left"/>
        </w:tabs>
        <w:numPr>
          <w:ilvl w:val="1"/>
          <w:numId w:val="56"/>
        </w:numPr>
        <w:rPr>
          <w:rFonts w:ascii="Arial" w:cs="Arial" w:eastAsia="Arial" w:hAnsi="Arial"/>
          <w:sz w:val="17"/>
          <w:szCs w:val="17"/>
          <w:color w:val="auto"/>
        </w:rPr>
      </w:pPr>
      <w:r>
        <w:rPr>
          <w:rFonts w:ascii="Arial" w:cs="Arial" w:eastAsia="Arial" w:hAnsi="Arial"/>
          <w:sz w:val="19"/>
          <w:szCs w:val="19"/>
          <w:color w:val="auto"/>
        </w:rPr>
        <w:t>The Transactions will not (i) violate the charter, by-laws or other organizational documents of the Borrower,</w:t>
      </w:r>
    </w:p>
    <w:p>
      <w:pPr>
        <w:spacing w:after="0" w:line="38" w:lineRule="exact"/>
        <w:rPr>
          <w:rFonts w:ascii="Arial" w:cs="Arial" w:eastAsia="Arial" w:hAnsi="Arial"/>
          <w:sz w:val="17"/>
          <w:szCs w:val="17"/>
          <w:color w:val="auto"/>
        </w:rPr>
      </w:pPr>
    </w:p>
    <w:p>
      <w:pPr>
        <w:jc w:val="both"/>
        <w:ind w:firstLine="8"/>
        <w:spacing w:after="0" w:line="322" w:lineRule="auto"/>
        <w:tabs>
          <w:tab w:leader="none" w:pos="302" w:val="left"/>
        </w:tabs>
        <w:numPr>
          <w:ilvl w:val="0"/>
          <w:numId w:val="57"/>
        </w:numPr>
        <w:rPr>
          <w:rFonts w:ascii="Arial" w:cs="Arial" w:eastAsia="Arial" w:hAnsi="Arial"/>
          <w:sz w:val="18"/>
          <w:szCs w:val="18"/>
          <w:color w:val="auto"/>
        </w:rPr>
      </w:pPr>
      <w:r>
        <w:rPr>
          <w:rFonts w:ascii="Arial" w:cs="Arial" w:eastAsia="Arial" w:hAnsi="Arial"/>
          <w:sz w:val="18"/>
          <w:szCs w:val="18"/>
          <w:color w:val="auto"/>
        </w:rPr>
        <w:t>violate any applicable law or regulation or any order of any Governmental Authority, (iii) violate or result in a default under any material indenture, agreement or other instrument binding upon the Borrower or its assets, or give rise to a right thereunder to require any payment to be made by the Borrower, and (iv) result in or require the creation or imposition of any Lien on any asset of the Borrower.</w:t>
      </w:r>
    </w:p>
    <w:p>
      <w:pPr>
        <w:spacing w:after="0" w:line="166" w:lineRule="exact"/>
        <w:rPr>
          <w:sz w:val="20"/>
          <w:szCs w:val="20"/>
          <w:color w:val="auto"/>
        </w:rPr>
      </w:pPr>
    </w:p>
    <w:p>
      <w:pPr>
        <w:ind w:left="660"/>
        <w:spacing w:after="0"/>
        <w:tabs>
          <w:tab w:leader="none" w:pos="2740" w:val="left"/>
        </w:tabs>
        <w:rPr>
          <w:sz w:val="20"/>
          <w:szCs w:val="20"/>
          <w:color w:val="auto"/>
        </w:rPr>
      </w:pPr>
      <w:r>
        <w:rPr>
          <w:rFonts w:ascii="Arial" w:cs="Arial" w:eastAsia="Arial" w:hAnsi="Arial"/>
          <w:sz w:val="18"/>
          <w:szCs w:val="18"/>
          <w:color w:val="auto"/>
        </w:rPr>
        <w:t>Section 4.4</w:t>
      </w:r>
      <w:r>
        <w:rPr>
          <w:sz w:val="20"/>
          <w:szCs w:val="20"/>
          <w:color w:val="auto"/>
        </w:rPr>
        <w:tab/>
      </w:r>
      <w:r>
        <w:rPr>
          <w:rFonts w:ascii="Arial" w:cs="Arial" w:eastAsia="Arial" w:hAnsi="Arial"/>
          <w:sz w:val="18"/>
          <w:szCs w:val="18"/>
          <w:u w:val="single" w:color="auto"/>
          <w:color w:val="auto"/>
        </w:rPr>
        <w:t>Financial Condition; No Material Adverse Change</w:t>
      </w:r>
      <w:r>
        <w:rPr>
          <w:rFonts w:ascii="Arial" w:cs="Arial" w:eastAsia="Arial" w:hAnsi="Arial"/>
          <w:sz w:val="18"/>
          <w:szCs w:val="18"/>
          <w:color w:val="auto"/>
        </w:rPr>
        <w:t>.</w:t>
      </w:r>
    </w:p>
    <w:p>
      <w:pPr>
        <w:spacing w:after="0" w:line="279" w:lineRule="exact"/>
        <w:rPr>
          <w:sz w:val="20"/>
          <w:szCs w:val="20"/>
          <w:color w:val="auto"/>
        </w:rPr>
      </w:pPr>
    </w:p>
    <w:p>
      <w:pPr>
        <w:jc w:val="both"/>
        <w:ind w:firstLine="656"/>
        <w:spacing w:after="0" w:line="256" w:lineRule="exact"/>
        <w:tabs>
          <w:tab w:leader="none" w:pos="1421" w:val="left"/>
        </w:tabs>
        <w:numPr>
          <w:ilvl w:val="0"/>
          <w:numId w:val="58"/>
        </w:numPr>
        <w:rPr>
          <w:rFonts w:ascii="Arial" w:cs="Arial" w:eastAsia="Arial" w:hAnsi="Arial"/>
          <w:sz w:val="18"/>
          <w:szCs w:val="18"/>
          <w:color w:val="auto"/>
        </w:rPr>
      </w:pPr>
      <w:r>
        <w:rPr>
          <w:rFonts w:ascii="Arial" w:cs="Arial" w:eastAsia="Arial" w:hAnsi="Arial"/>
          <w:sz w:val="20"/>
          <w:szCs w:val="20"/>
          <w:color w:val="auto"/>
        </w:rPr>
        <w:t>The Borrower has previously delivered to the Credit Parties copies of (i) its Form 10</w:t>
      </w:r>
      <w:r>
        <w:rPr>
          <w:rFonts w:ascii="MS PGothic" w:cs="MS PGothic" w:eastAsia="MS PGothic" w:hAnsi="MS PGothic"/>
          <w:sz w:val="20"/>
          <w:szCs w:val="20"/>
          <w:color w:val="auto"/>
        </w:rPr>
        <w:t>‑</w:t>
      </w:r>
      <w:r>
        <w:rPr>
          <w:rFonts w:ascii="Arial" w:cs="Arial" w:eastAsia="Arial" w:hAnsi="Arial"/>
          <w:sz w:val="20"/>
          <w:szCs w:val="20"/>
          <w:color w:val="auto"/>
        </w:rPr>
        <w:t>K for the fiscal year ended December 31, 2018, containing the audited consolidated balance sheet of the Borrower and its Subsidiaries and the related audited consolidated statements of operations, comprehensive income, changes in stockholders’ equity and cash flows for the fiscal year ending December 31, 2018, and (ii) the unaudited consolidated balance sheet of the Borrower and its Subsidiaries and the related unaudited consolidated statements of income, equity and cash flows for the fiscal quarter ended June 30, 2019 (collectively, including the applicable related notes and schedules, the “</w:t>
      </w:r>
      <w:r>
        <w:rPr>
          <w:rFonts w:ascii="Arial" w:cs="Arial" w:eastAsia="Arial" w:hAnsi="Arial"/>
          <w:sz w:val="20"/>
          <w:szCs w:val="20"/>
          <w:u w:val="single" w:color="auto"/>
          <w:color w:val="auto"/>
        </w:rPr>
        <w:t>Borrower Financial Statements</w:t>
      </w:r>
      <w:r>
        <w:rPr>
          <w:rFonts w:ascii="Arial" w:cs="Arial" w:eastAsia="Arial" w:hAnsi="Arial"/>
          <w:sz w:val="20"/>
          <w:szCs w:val="20"/>
          <w:color w:val="auto"/>
        </w:rPr>
        <w:t>”). All such financial statements have been prepared in accordance with GAAP and fairly present in all material respects the consolidated financial condition and results of the operations of the Borrower and its Subsidiaries as of the dates and for the periods indicated therein (subject, in the case of unaudited financial statements, to the absence of footnotes and to normal, year end audit adjustments).</w:t>
      </w:r>
    </w:p>
    <w:p>
      <w:pPr>
        <w:spacing w:after="0" w:line="236" w:lineRule="exact"/>
        <w:rPr>
          <w:rFonts w:ascii="Arial" w:cs="Arial" w:eastAsia="Arial" w:hAnsi="Arial"/>
          <w:sz w:val="18"/>
          <w:szCs w:val="18"/>
          <w:color w:val="auto"/>
        </w:rPr>
      </w:pPr>
    </w:p>
    <w:p>
      <w:pPr>
        <w:ind w:left="2080" w:hanging="775"/>
        <w:spacing w:after="0"/>
        <w:tabs>
          <w:tab w:leader="none" w:pos="2080" w:val="left"/>
        </w:tabs>
        <w:numPr>
          <w:ilvl w:val="1"/>
          <w:numId w:val="58"/>
        </w:numPr>
        <w:rPr>
          <w:rFonts w:ascii="Arial" w:cs="Arial" w:eastAsia="Arial" w:hAnsi="Arial"/>
          <w:sz w:val="18"/>
          <w:szCs w:val="18"/>
          <w:color w:val="auto"/>
        </w:rPr>
      </w:pPr>
      <w:r>
        <w:rPr>
          <w:rFonts w:ascii="Arial" w:cs="Arial" w:eastAsia="Arial" w:hAnsi="Arial"/>
          <w:sz w:val="20"/>
          <w:szCs w:val="20"/>
          <w:color w:val="auto"/>
        </w:rPr>
        <w:t>Since December 31, 2018, there has been no Material Adverse Change.</w:t>
      </w:r>
    </w:p>
    <w:p>
      <w:pPr>
        <w:spacing w:after="0" w:line="256" w:lineRule="exact"/>
        <w:rPr>
          <w:sz w:val="20"/>
          <w:szCs w:val="20"/>
          <w:color w:val="auto"/>
        </w:rPr>
      </w:pPr>
    </w:p>
    <w:p>
      <w:pPr>
        <w:ind w:left="660"/>
        <w:spacing w:after="0"/>
        <w:tabs>
          <w:tab w:leader="none" w:pos="2740" w:val="left"/>
        </w:tabs>
        <w:rPr>
          <w:sz w:val="20"/>
          <w:szCs w:val="20"/>
          <w:color w:val="auto"/>
        </w:rPr>
      </w:pPr>
      <w:r>
        <w:rPr>
          <w:rFonts w:ascii="Arial" w:cs="Arial" w:eastAsia="Arial" w:hAnsi="Arial"/>
          <w:sz w:val="18"/>
          <w:szCs w:val="18"/>
          <w:color w:val="auto"/>
        </w:rPr>
        <w:t>Section 4.5</w:t>
      </w:r>
      <w:r>
        <w:rPr>
          <w:sz w:val="20"/>
          <w:szCs w:val="20"/>
          <w:color w:val="auto"/>
        </w:rPr>
        <w:tab/>
      </w:r>
      <w:r>
        <w:rPr>
          <w:rFonts w:ascii="Arial" w:cs="Arial" w:eastAsia="Arial" w:hAnsi="Arial"/>
          <w:sz w:val="19"/>
          <w:szCs w:val="19"/>
          <w:u w:val="single" w:color="auto"/>
          <w:color w:val="auto"/>
        </w:rPr>
        <w:t>Litigation</w:t>
      </w:r>
      <w:r>
        <w:rPr>
          <w:rFonts w:ascii="Arial" w:cs="Arial" w:eastAsia="Arial" w:hAnsi="Arial"/>
          <w:sz w:val="19"/>
          <w:szCs w:val="19"/>
          <w:color w:val="auto"/>
        </w:rPr>
        <w:t>.</w:t>
      </w:r>
    </w:p>
    <w:p>
      <w:pPr>
        <w:spacing w:after="0" w:line="268" w:lineRule="exact"/>
        <w:rPr>
          <w:sz w:val="20"/>
          <w:szCs w:val="20"/>
          <w:color w:val="auto"/>
        </w:rPr>
      </w:pPr>
    </w:p>
    <w:p>
      <w:pPr>
        <w:jc w:val="both"/>
        <w:ind w:firstLine="1305"/>
        <w:spacing w:after="0" w:line="270" w:lineRule="auto"/>
        <w:tabs>
          <w:tab w:leader="none" w:pos="2070" w:val="left"/>
        </w:tabs>
        <w:numPr>
          <w:ilvl w:val="0"/>
          <w:numId w:val="59"/>
        </w:numPr>
        <w:rPr>
          <w:rFonts w:ascii="Arial" w:cs="Arial" w:eastAsia="Arial" w:hAnsi="Arial"/>
          <w:sz w:val="18"/>
          <w:szCs w:val="18"/>
          <w:color w:val="auto"/>
        </w:rPr>
      </w:pPr>
      <w:r>
        <w:rPr>
          <w:rFonts w:ascii="Arial" w:cs="Arial" w:eastAsia="Arial" w:hAnsi="Arial"/>
          <w:sz w:val="20"/>
          <w:szCs w:val="20"/>
          <w:color w:val="auto"/>
        </w:rPr>
        <w:t>There are no actions, suits or proceedings by or before any arbitrator or Governmental Authority pending against or, to the knowledge of the Borrower, threatened in writing against or affecting the Borrower or any Subsidiary that (a) if adversely determined (and provided that there exists a reasonable possibility of such adverse determination), would reasonably be expected, individually or in the aggregate, to result in a Material Adverse Effect, except for any Disclosed Matters, and except that the commencement by the Borrower, any Subsidiary or any Governmental Authority of a rate proceeding, fuel adjustment clause audit or earnings review before such Governmental Authority shall not constitute such a pending or threatened action, suit or proceeding unless and until such Governmental Authority has made a final determination thereunder that would reasonably be expected to have a Material Adverse Effect, or (b) involve any Loan Document or the Transactions.</w:t>
      </w:r>
    </w:p>
    <w:p>
      <w:pPr>
        <w:spacing w:after="0" w:line="21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8"/>
          <w:szCs w:val="18"/>
          <w:color w:val="auto"/>
        </w:rPr>
        <w:t xml:space="preserve">Section 4.6 </w:t>
      </w:r>
      <w:r>
        <w:rPr>
          <w:rFonts w:ascii="Arial" w:cs="Arial" w:eastAsia="Arial" w:hAnsi="Arial"/>
          <w:sz w:val="19"/>
          <w:szCs w:val="19"/>
          <w:u w:val="single" w:color="auto"/>
          <w:color w:val="auto"/>
        </w:rPr>
        <w:t>Environmental Matters</w:t>
      </w:r>
      <w:r>
        <w:rPr>
          <w:rFonts w:ascii="Arial" w:cs="Arial" w:eastAsia="Arial" w:hAnsi="Arial"/>
          <w:sz w:val="19"/>
          <w:szCs w:val="19"/>
          <w:color w:val="auto"/>
        </w:rPr>
        <w:t>. Except for the Disclosed Matters, the Borrower and its Subsidiaries (a) are in</w:t>
      </w:r>
      <w:r>
        <w:rPr>
          <w:rFonts w:ascii="Arial" w:cs="Arial" w:eastAsia="Arial" w:hAnsi="Arial"/>
          <w:sz w:val="18"/>
          <w:szCs w:val="18"/>
          <w:color w:val="auto"/>
        </w:rPr>
        <w:t xml:space="preserve"> </w:t>
      </w:r>
      <w:r>
        <w:rPr>
          <w:rFonts w:ascii="Arial" w:cs="Arial" w:eastAsia="Arial" w:hAnsi="Arial"/>
          <w:sz w:val="19"/>
          <w:szCs w:val="19"/>
          <w:color w:val="auto"/>
        </w:rPr>
        <w:t>compliance with Environmental Laws, (b) have received all permits, licenses or other approvals required of them under applicable Environmental Law to conduct their respective businesses and (c) are in compliance with all terms and conditions of any such permit, license, or approval, except, in each case, such as could not reasonably be expected to result in a Material Adverse Effect.</w:t>
      </w:r>
    </w:p>
    <w:p>
      <w:pPr>
        <w:spacing w:after="0" w:line="189" w:lineRule="exact"/>
        <w:rPr>
          <w:sz w:val="20"/>
          <w:szCs w:val="20"/>
          <w:color w:val="auto"/>
        </w:rPr>
      </w:pPr>
    </w:p>
    <w:p>
      <w:pPr>
        <w:jc w:val="both"/>
        <w:ind w:firstLine="648"/>
        <w:spacing w:after="0" w:line="299" w:lineRule="auto"/>
        <w:rPr>
          <w:sz w:val="20"/>
          <w:szCs w:val="20"/>
          <w:color w:val="auto"/>
        </w:rPr>
      </w:pPr>
      <w:r>
        <w:rPr>
          <w:rFonts w:ascii="Arial" w:cs="Arial" w:eastAsia="Arial" w:hAnsi="Arial"/>
          <w:sz w:val="18"/>
          <w:szCs w:val="18"/>
          <w:color w:val="auto"/>
        </w:rPr>
        <w:t xml:space="preserve">Section 4.7 </w:t>
      </w:r>
      <w:r>
        <w:rPr>
          <w:rFonts w:ascii="Arial" w:cs="Arial" w:eastAsia="Arial" w:hAnsi="Arial"/>
          <w:sz w:val="19"/>
          <w:szCs w:val="19"/>
          <w:u w:val="single" w:color="auto"/>
          <w:color w:val="auto"/>
        </w:rPr>
        <w:t>Investment Company Status</w:t>
      </w:r>
      <w:r>
        <w:rPr>
          <w:rFonts w:ascii="Arial" w:cs="Arial" w:eastAsia="Arial" w:hAnsi="Arial"/>
          <w:sz w:val="19"/>
          <w:szCs w:val="19"/>
          <w:color w:val="auto"/>
        </w:rPr>
        <w:t>. Neither the Borrower nor any Subsidiary is an “investment company” or a</w:t>
      </w:r>
      <w:r>
        <w:rPr>
          <w:rFonts w:ascii="Arial" w:cs="Arial" w:eastAsia="Arial" w:hAnsi="Arial"/>
          <w:sz w:val="18"/>
          <w:szCs w:val="18"/>
          <w:color w:val="auto"/>
        </w:rPr>
        <w:t xml:space="preserve"> </w:t>
      </w:r>
      <w:r>
        <w:rPr>
          <w:rFonts w:ascii="Arial" w:cs="Arial" w:eastAsia="Arial" w:hAnsi="Arial"/>
          <w:sz w:val="19"/>
          <w:szCs w:val="19"/>
          <w:color w:val="auto"/>
        </w:rPr>
        <w:t>company “controlled” by an “investment company” as defined in, or is otherwise subject to regulation under, the Investment Company Act of 1940.</w:t>
      </w:r>
    </w:p>
    <w:p>
      <w:pPr>
        <w:spacing w:after="0" w:line="183"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8"/>
          <w:szCs w:val="18"/>
          <w:color w:val="auto"/>
        </w:rPr>
        <w:t xml:space="preserve">Section 4.8 </w:t>
      </w:r>
      <w:r>
        <w:rPr>
          <w:rFonts w:ascii="Arial" w:cs="Arial" w:eastAsia="Arial" w:hAnsi="Arial"/>
          <w:sz w:val="19"/>
          <w:szCs w:val="19"/>
          <w:u w:val="single" w:color="auto"/>
          <w:color w:val="auto"/>
        </w:rPr>
        <w:t>ERISA</w:t>
      </w:r>
      <w:r>
        <w:rPr>
          <w:rFonts w:ascii="Arial" w:cs="Arial" w:eastAsia="Arial" w:hAnsi="Arial"/>
          <w:sz w:val="19"/>
          <w:szCs w:val="19"/>
          <w:color w:val="auto"/>
        </w:rPr>
        <w:t>. Each of the Borrower and each of its ERISA Affiliates is in compliance in all material respects with</w:t>
      </w:r>
      <w:r>
        <w:rPr>
          <w:rFonts w:ascii="Arial" w:cs="Arial" w:eastAsia="Arial" w:hAnsi="Arial"/>
          <w:sz w:val="18"/>
          <w:szCs w:val="18"/>
          <w:color w:val="auto"/>
        </w:rPr>
        <w:t xml:space="preserve"> </w:t>
      </w:r>
      <w:r>
        <w:rPr>
          <w:rFonts w:ascii="Arial" w:cs="Arial" w:eastAsia="Arial" w:hAnsi="Arial"/>
          <w:sz w:val="19"/>
          <w:szCs w:val="19"/>
          <w:color w:val="auto"/>
        </w:rPr>
        <w:t>the applicable provisions of ERISA and the Code and the regulations and published interpretations thereunder except for any such failure that, individually or in the aggregate, could not reasonably be expected to result in a Material Adverse Effect. No ERISA Event has occurred or is reasonably expected to occur that, when taken together with all other such ERISA Events for which liability is reasonably expected to occur, would reasonably be expected to result in a Material Adverse Effect.</w:t>
      </w:r>
    </w:p>
    <w:p>
      <w:pPr>
        <w:sectPr>
          <w:pgSz w:w="11900" w:h="16838" w:orient="portrait"/>
          <w:cols w:equalWidth="0" w:num="1">
            <w:col w:w="11420"/>
          </w:cols>
          <w:pgMar w:left="240" w:top="337"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4</w:t>
      </w:r>
    </w:p>
    <w:p>
      <w:pPr>
        <w:spacing w:after="0" w:line="267" w:lineRule="exact"/>
        <w:rPr>
          <w:sz w:val="20"/>
          <w:szCs w:val="20"/>
          <w:color w:val="auto"/>
        </w:rPr>
      </w:pPr>
    </w:p>
    <w:p>
      <w:pPr>
        <w:ind w:left="660"/>
        <w:spacing w:after="0"/>
        <w:tabs>
          <w:tab w:leader="none" w:pos="2740" w:val="left"/>
        </w:tabs>
        <w:rPr>
          <w:sz w:val="20"/>
          <w:szCs w:val="20"/>
          <w:color w:val="auto"/>
        </w:rPr>
      </w:pPr>
      <w:r>
        <w:rPr>
          <w:rFonts w:ascii="Arial" w:cs="Arial" w:eastAsia="Arial" w:hAnsi="Arial"/>
          <w:sz w:val="18"/>
          <w:szCs w:val="18"/>
          <w:color w:val="auto"/>
        </w:rPr>
        <w:t>Section 4.9</w:t>
      </w:r>
      <w:r>
        <w:rPr>
          <w:sz w:val="20"/>
          <w:szCs w:val="20"/>
          <w:color w:val="auto"/>
        </w:rPr>
        <w:tab/>
      </w:r>
      <w:r>
        <w:rPr>
          <w:rFonts w:ascii="Arial" w:cs="Arial" w:eastAsia="Arial" w:hAnsi="Arial"/>
          <w:sz w:val="18"/>
          <w:szCs w:val="18"/>
          <w:u w:val="single" w:color="auto"/>
          <w:color w:val="auto"/>
        </w:rPr>
        <w:t>Disclosure</w:t>
      </w:r>
      <w:r>
        <w:rPr>
          <w:rFonts w:ascii="Arial" w:cs="Arial" w:eastAsia="Arial" w:hAnsi="Arial"/>
          <w:sz w:val="18"/>
          <w:szCs w:val="18"/>
          <w:color w:val="auto"/>
        </w:rPr>
        <w:t>.</w:t>
      </w:r>
    </w:p>
    <w:p>
      <w:pPr>
        <w:spacing w:after="0" w:line="279" w:lineRule="exact"/>
        <w:rPr>
          <w:sz w:val="20"/>
          <w:szCs w:val="20"/>
          <w:color w:val="auto"/>
        </w:rPr>
      </w:pPr>
    </w:p>
    <w:p>
      <w:pPr>
        <w:jc w:val="both"/>
        <w:ind w:firstLine="1305"/>
        <w:spacing w:after="0" w:line="303" w:lineRule="auto"/>
        <w:tabs>
          <w:tab w:leader="none" w:pos="2070" w:val="left"/>
        </w:tabs>
        <w:numPr>
          <w:ilvl w:val="0"/>
          <w:numId w:val="60"/>
        </w:numPr>
        <w:rPr>
          <w:rFonts w:ascii="Arial" w:cs="Arial" w:eastAsia="Arial" w:hAnsi="Arial"/>
          <w:sz w:val="16"/>
          <w:szCs w:val="16"/>
          <w:color w:val="auto"/>
        </w:rPr>
      </w:pPr>
      <w:r>
        <w:rPr>
          <w:rFonts w:ascii="Arial" w:cs="Arial" w:eastAsia="Arial" w:hAnsi="Arial"/>
          <w:sz w:val="18"/>
          <w:szCs w:val="18"/>
          <w:color w:val="auto"/>
        </w:rPr>
        <w:t>None of the reports, financial statements, certificates or other information furnished by or on behalf of the Borrower or any Subsidiary to any Credit Party in connection with the negotiation of, or delivered under any Loan Document when taken as a whole (as modified or supplemented by other information so furnished, including the information contained in the Borrower’s most recent annual report on Form 10-K and in the Borrower’s reports filed with the SEC under the Securities Exchange Act of 1934 subsequent to the filing of the Form 10-K) contains any material misstatement of fact or omits to state any material fact necessary to make the statements therein, in the light of the circumstances under which they were made, not materially misleading, provided that, to the extent any such reports, financial statements, certificates or other information was based upon or constitutes a forecast or a projection (including statements concerning future financial performance, ongoing business strategies or prospects or possible future actions, and other forward-looking statements), the Borrower represents only that such information was prepared in good faith based upon assumptions believed to be reasonable at the time.</w:t>
      </w:r>
    </w:p>
    <w:p>
      <w:pPr>
        <w:spacing w:after="0" w:line="187" w:lineRule="exact"/>
        <w:rPr>
          <w:rFonts w:ascii="Arial" w:cs="Arial" w:eastAsia="Arial" w:hAnsi="Arial"/>
          <w:sz w:val="16"/>
          <w:szCs w:val="16"/>
          <w:color w:val="auto"/>
        </w:rPr>
      </w:pPr>
    </w:p>
    <w:p>
      <w:pPr>
        <w:jc w:val="both"/>
        <w:ind w:right="20" w:firstLine="1305"/>
        <w:spacing w:after="0" w:line="278" w:lineRule="auto"/>
        <w:tabs>
          <w:tab w:leader="none" w:pos="2080" w:val="left"/>
        </w:tabs>
        <w:numPr>
          <w:ilvl w:val="0"/>
          <w:numId w:val="60"/>
        </w:numPr>
        <w:rPr>
          <w:rFonts w:ascii="Arial" w:cs="Arial" w:eastAsia="Arial" w:hAnsi="Arial"/>
          <w:sz w:val="18"/>
          <w:szCs w:val="18"/>
          <w:color w:val="auto"/>
        </w:rPr>
      </w:pPr>
      <w:r>
        <w:rPr>
          <w:rFonts w:ascii="Arial" w:cs="Arial" w:eastAsia="Arial" w:hAnsi="Arial"/>
          <w:sz w:val="20"/>
          <w:szCs w:val="20"/>
          <w:color w:val="auto"/>
        </w:rPr>
        <w:t>As of the Effective Date, to the best knowledge of the Borrower, the information included in the Beneficial Ownership Certification provided on or prior to the Effective Date to any Lender in connection with this Agreement is true and correct in all respects.</w:t>
      </w:r>
    </w:p>
    <w:p>
      <w:pPr>
        <w:spacing w:after="0" w:line="20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8"/>
          <w:szCs w:val="18"/>
          <w:color w:val="auto"/>
        </w:rPr>
        <w:t xml:space="preserve">Section 4.10 </w:t>
      </w:r>
      <w:r>
        <w:rPr>
          <w:rFonts w:ascii="Arial" w:cs="Arial" w:eastAsia="Arial" w:hAnsi="Arial"/>
          <w:sz w:val="19"/>
          <w:szCs w:val="19"/>
          <w:u w:val="single" w:color="auto"/>
          <w:color w:val="auto"/>
        </w:rPr>
        <w:t>Subsidiaries</w:t>
      </w:r>
      <w:r>
        <w:rPr>
          <w:rFonts w:ascii="Arial" w:cs="Arial" w:eastAsia="Arial" w:hAnsi="Arial"/>
          <w:sz w:val="19"/>
          <w:szCs w:val="19"/>
          <w:color w:val="auto"/>
        </w:rPr>
        <w:t>. As of the date hereof, the Borrower has only the Subsidiaries set forth on</w:t>
      </w:r>
      <w:r>
        <w:rPr>
          <w:rFonts w:ascii="Arial" w:cs="Arial" w:eastAsia="Arial" w:hAnsi="Arial"/>
          <w:sz w:val="18"/>
          <w:szCs w:val="18"/>
          <w:color w:val="auto"/>
        </w:rPr>
        <w:t xml:space="preserve"> </w:t>
      </w:r>
      <w:r>
        <w:rPr>
          <w:rFonts w:ascii="Arial" w:cs="Arial" w:eastAsia="Arial" w:hAnsi="Arial"/>
          <w:sz w:val="19"/>
          <w:szCs w:val="19"/>
          <w:u w:val="single" w:color="auto"/>
          <w:color w:val="auto"/>
        </w:rPr>
        <w:t>Schedule 4.10</w:t>
      </w:r>
      <w:r>
        <w:rPr>
          <w:rFonts w:ascii="Arial" w:cs="Arial" w:eastAsia="Arial" w:hAnsi="Arial"/>
          <w:sz w:val="19"/>
          <w:szCs w:val="19"/>
          <w:color w:val="auto"/>
        </w:rPr>
        <w:t>.</w:t>
      </w:r>
      <w:r>
        <w:rPr>
          <w:rFonts w:ascii="Arial" w:cs="Arial" w:eastAsia="Arial" w:hAnsi="Arial"/>
          <w:sz w:val="18"/>
          <w:szCs w:val="18"/>
          <w:color w:val="auto"/>
        </w:rPr>
        <w:t xml:space="preserve"> </w:t>
      </w:r>
      <w:r>
        <w:rPr>
          <w:rFonts w:ascii="Arial" w:cs="Arial" w:eastAsia="Arial" w:hAnsi="Arial"/>
          <w:sz w:val="19"/>
          <w:szCs w:val="19"/>
          <w:u w:val="single" w:color="auto"/>
          <w:color w:val="auto"/>
        </w:rPr>
        <w:t>Schedule 4.10</w:t>
      </w:r>
      <w:r>
        <w:rPr>
          <w:rFonts w:ascii="Arial" w:cs="Arial" w:eastAsia="Arial" w:hAnsi="Arial"/>
          <w:sz w:val="19"/>
          <w:szCs w:val="19"/>
          <w:color w:val="auto"/>
        </w:rPr>
        <w:t xml:space="preserve"> sets forth with respect to each Subsidiary, the identity of each Person that owns Equity Interests in such Subsidiary and the percentage of the issued and outstanding Equity Interests owned by each such Person. The shares of each Subsidiary (excluding any Immaterial Subsidiary) are duly authorized, validly issued, fully paid and non assessable and are owned free and clear of any Liens, other than Liens permitted pursuant to </w:t>
      </w:r>
      <w:r>
        <w:rPr>
          <w:rFonts w:ascii="Arial" w:cs="Arial" w:eastAsia="Arial" w:hAnsi="Arial"/>
          <w:sz w:val="19"/>
          <w:szCs w:val="19"/>
          <w:u w:val="single" w:color="auto"/>
          <w:color w:val="auto"/>
        </w:rPr>
        <w:t>Section 7.1</w:t>
      </w:r>
      <w:r>
        <w:rPr>
          <w:rFonts w:ascii="Arial" w:cs="Arial" w:eastAsia="Arial" w:hAnsi="Arial"/>
          <w:sz w:val="19"/>
          <w:szCs w:val="19"/>
          <w:color w:val="auto"/>
        </w:rPr>
        <w:t>.</w:t>
      </w:r>
    </w:p>
    <w:p>
      <w:pPr>
        <w:spacing w:after="0" w:line="193" w:lineRule="exact"/>
        <w:rPr>
          <w:sz w:val="20"/>
          <w:szCs w:val="20"/>
          <w:color w:val="auto"/>
        </w:rPr>
      </w:pPr>
    </w:p>
    <w:p>
      <w:pPr>
        <w:ind w:left="660"/>
        <w:spacing w:after="0"/>
        <w:tabs>
          <w:tab w:leader="none" w:pos="2820" w:val="left"/>
        </w:tabs>
        <w:rPr>
          <w:sz w:val="20"/>
          <w:szCs w:val="20"/>
          <w:color w:val="auto"/>
        </w:rPr>
      </w:pPr>
      <w:r>
        <w:rPr>
          <w:rFonts w:ascii="Arial" w:cs="Arial" w:eastAsia="Arial" w:hAnsi="Arial"/>
          <w:sz w:val="18"/>
          <w:szCs w:val="18"/>
          <w:color w:val="auto"/>
        </w:rPr>
        <w:t>Section 4.11</w:t>
      </w:r>
      <w:r>
        <w:rPr>
          <w:sz w:val="20"/>
          <w:szCs w:val="20"/>
          <w:color w:val="auto"/>
        </w:rPr>
        <w:tab/>
      </w:r>
      <w:r>
        <w:rPr>
          <w:rFonts w:ascii="Arial" w:cs="Arial" w:eastAsia="Arial" w:hAnsi="Arial"/>
          <w:sz w:val="16"/>
          <w:szCs w:val="16"/>
          <w:u w:val="single" w:color="auto"/>
          <w:color w:val="auto"/>
        </w:rPr>
        <w:t>Use of Proceeds; Federal Reserve Regulations</w:t>
      </w:r>
      <w:r>
        <w:rPr>
          <w:rFonts w:ascii="Arial" w:cs="Arial" w:eastAsia="Arial" w:hAnsi="Arial"/>
          <w:sz w:val="16"/>
          <w:szCs w:val="16"/>
          <w:color w:val="auto"/>
        </w:rPr>
        <w:t>.</w:t>
      </w:r>
    </w:p>
    <w:p>
      <w:pPr>
        <w:spacing w:after="0" w:line="279" w:lineRule="exact"/>
        <w:rPr>
          <w:sz w:val="20"/>
          <w:szCs w:val="20"/>
          <w:color w:val="auto"/>
        </w:rPr>
      </w:pPr>
    </w:p>
    <w:p>
      <w:pPr>
        <w:ind w:left="1300"/>
        <w:spacing w:after="0"/>
        <w:tabs>
          <w:tab w:leader="none" w:pos="2060" w:val="left"/>
        </w:tabs>
        <w:rPr>
          <w:sz w:val="20"/>
          <w:szCs w:val="20"/>
          <w:color w:val="auto"/>
        </w:rPr>
      </w:pPr>
      <w:r>
        <w:rPr>
          <w:rFonts w:ascii="Arial" w:cs="Arial" w:eastAsia="Arial" w:hAnsi="Arial"/>
          <w:sz w:val="17"/>
          <w:szCs w:val="17"/>
          <w:color w:val="auto"/>
        </w:rPr>
        <w:t>a.</w:t>
      </w:r>
      <w:r>
        <w:rPr>
          <w:sz w:val="20"/>
          <w:szCs w:val="20"/>
          <w:color w:val="auto"/>
        </w:rPr>
        <w:tab/>
      </w:r>
      <w:r>
        <w:rPr>
          <w:rFonts w:ascii="Arial" w:cs="Arial" w:eastAsia="Arial" w:hAnsi="Arial"/>
          <w:sz w:val="19"/>
          <w:szCs w:val="19"/>
          <w:color w:val="auto"/>
        </w:rPr>
        <w:t>The proceeds of the Loans will be used for general corporate purposes not inconsistent with the terms of this</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color w:val="auto"/>
        </w:rPr>
        <w:t>Agreement.</w:t>
      </w:r>
    </w:p>
    <w:p>
      <w:pPr>
        <w:spacing w:after="0" w:line="256" w:lineRule="exact"/>
        <w:rPr>
          <w:sz w:val="20"/>
          <w:szCs w:val="20"/>
          <w:color w:val="auto"/>
        </w:rPr>
      </w:pPr>
    </w:p>
    <w:p>
      <w:pPr>
        <w:jc w:val="both"/>
        <w:ind w:firstLine="1305"/>
        <w:spacing w:after="0" w:line="299" w:lineRule="auto"/>
        <w:tabs>
          <w:tab w:leader="none" w:pos="2080" w:val="left"/>
        </w:tabs>
        <w:numPr>
          <w:ilvl w:val="0"/>
          <w:numId w:val="61"/>
        </w:numPr>
        <w:rPr>
          <w:rFonts w:ascii="Arial" w:cs="Arial" w:eastAsia="Arial" w:hAnsi="Arial"/>
          <w:sz w:val="17"/>
          <w:szCs w:val="17"/>
          <w:color w:val="auto"/>
        </w:rPr>
      </w:pPr>
      <w:r>
        <w:rPr>
          <w:rFonts w:ascii="Arial" w:cs="Arial" w:eastAsia="Arial" w:hAnsi="Arial"/>
          <w:sz w:val="19"/>
          <w:szCs w:val="19"/>
          <w:color w:val="auto"/>
        </w:rPr>
        <w:t>Neither the Borrower nor any Subsidiary is engaged principally, or as one of their important activities, in the business of extending credit for the purpose of buying or carrying Margin Stock. Immediately before and after giving effect to the making of the Loans, Margin Stock will constitute less than 25% of the Borrower’s assets as determined in accordance with Regulation U.</w:t>
      </w:r>
    </w:p>
    <w:p>
      <w:pPr>
        <w:spacing w:after="0" w:line="182" w:lineRule="exact"/>
        <w:rPr>
          <w:rFonts w:ascii="Arial" w:cs="Arial" w:eastAsia="Arial" w:hAnsi="Arial"/>
          <w:sz w:val="17"/>
          <w:szCs w:val="17"/>
          <w:color w:val="auto"/>
        </w:rPr>
      </w:pPr>
    </w:p>
    <w:p>
      <w:pPr>
        <w:jc w:val="both"/>
        <w:ind w:firstLine="1305"/>
        <w:spacing w:after="0" w:line="273" w:lineRule="auto"/>
        <w:tabs>
          <w:tab w:leader="none" w:pos="2070" w:val="left"/>
        </w:tabs>
        <w:numPr>
          <w:ilvl w:val="0"/>
          <w:numId w:val="61"/>
        </w:numPr>
        <w:rPr>
          <w:rFonts w:ascii="Arial" w:cs="Arial" w:eastAsia="Arial" w:hAnsi="Arial"/>
          <w:sz w:val="18"/>
          <w:szCs w:val="18"/>
          <w:color w:val="auto"/>
        </w:rPr>
      </w:pPr>
      <w:r>
        <w:rPr>
          <w:rFonts w:ascii="Arial" w:cs="Arial" w:eastAsia="Arial" w:hAnsi="Arial"/>
          <w:sz w:val="20"/>
          <w:szCs w:val="20"/>
          <w:color w:val="auto"/>
        </w:rPr>
        <w:t>No part of the proceeds of any Loan will be used, whether directly or indirectly, and whether immediately, incidentally or ultimately, (i) to purchase, acquire or carry any Margin Stock (other than any purchase of Equity Interests in the Borrower so long as such Equity Interests are retired immediately upon the purchase thereof) or for any purpose that entails a violation of, or that is inconsistent with, the provisions of the regulations of the Board, including Regulation T, U or X or (ii) to fund a personal loan to or for the benefit of a director or executive officer of the Borrower or any Subsidiary.</w:t>
      </w:r>
    </w:p>
    <w:p>
      <w:pPr>
        <w:spacing w:after="0" w:line="181"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2200" w:type="dxa"/>
            <w:vAlign w:val="bottom"/>
          </w:tcPr>
          <w:p>
            <w:pPr>
              <w:spacing w:after="0"/>
              <w:rPr>
                <w:sz w:val="20"/>
                <w:szCs w:val="20"/>
                <w:color w:val="auto"/>
              </w:rPr>
            </w:pPr>
            <w:r>
              <w:rPr>
                <w:rFonts w:ascii="Arial" w:cs="Arial" w:eastAsia="Arial" w:hAnsi="Arial"/>
                <w:sz w:val="18"/>
                <w:szCs w:val="18"/>
                <w:color w:val="auto"/>
              </w:rPr>
              <w:t>Section 4.12</w:t>
            </w:r>
          </w:p>
        </w:tc>
        <w:tc>
          <w:tcPr>
            <w:tcW w:w="8560" w:type="dxa"/>
            <w:vAlign w:val="bottom"/>
            <w:gridSpan w:val="3"/>
          </w:tcPr>
          <w:p>
            <w:pPr>
              <w:spacing w:after="0"/>
              <w:rPr>
                <w:sz w:val="20"/>
                <w:szCs w:val="20"/>
                <w:color w:val="auto"/>
              </w:rPr>
            </w:pPr>
            <w:r>
              <w:rPr>
                <w:rFonts w:ascii="Arial" w:cs="Arial" w:eastAsia="Arial" w:hAnsi="Arial"/>
                <w:sz w:val="20"/>
                <w:szCs w:val="20"/>
                <w:color w:val="auto"/>
              </w:rPr>
              <w:t>EEA Financial Institution. The Borrower is not an EEA Financial Institution.</w:t>
            </w:r>
          </w:p>
        </w:tc>
      </w:tr>
      <w:tr>
        <w:trPr>
          <w:trHeight w:val="20"/>
        </w:trPr>
        <w:tc>
          <w:tcPr>
            <w:tcW w:w="220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r>
      <w:tr>
        <w:trPr>
          <w:trHeight w:val="453"/>
        </w:trPr>
        <w:tc>
          <w:tcPr>
            <w:tcW w:w="2200" w:type="dxa"/>
            <w:vAlign w:val="bottom"/>
          </w:tcPr>
          <w:p>
            <w:pPr>
              <w:spacing w:after="0"/>
              <w:rPr>
                <w:sz w:val="20"/>
                <w:szCs w:val="20"/>
                <w:color w:val="auto"/>
              </w:rPr>
            </w:pPr>
            <w:r>
              <w:rPr>
                <w:rFonts w:ascii="Arial" w:cs="Arial" w:eastAsia="Arial" w:hAnsi="Arial"/>
                <w:sz w:val="18"/>
                <w:szCs w:val="18"/>
                <w:color w:val="auto"/>
              </w:rPr>
              <w:t>Section 4.13</w:t>
            </w:r>
          </w:p>
        </w:tc>
        <w:tc>
          <w:tcPr>
            <w:tcW w:w="8560" w:type="dxa"/>
            <w:vAlign w:val="bottom"/>
            <w:gridSpan w:val="3"/>
          </w:tcPr>
          <w:p>
            <w:pPr>
              <w:spacing w:after="0"/>
              <w:rPr>
                <w:sz w:val="20"/>
                <w:szCs w:val="20"/>
                <w:color w:val="auto"/>
              </w:rPr>
            </w:pPr>
            <w:r>
              <w:rPr>
                <w:rFonts w:ascii="Arial" w:cs="Arial" w:eastAsia="Arial" w:hAnsi="Arial"/>
                <w:sz w:val="20"/>
                <w:szCs w:val="20"/>
                <w:color w:val="auto"/>
                <w:w w:val="92"/>
              </w:rPr>
              <w:t>Anti-Money Laundering and Anti-Terrorism Finance Laws. The Borrower has implemented and maintains</w:t>
            </w:r>
          </w:p>
        </w:tc>
      </w:tr>
      <w:tr>
        <w:trPr>
          <w:trHeight w:val="20"/>
        </w:trPr>
        <w:tc>
          <w:tcPr>
            <w:tcW w:w="220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2700" w:type="dxa"/>
            <w:vAlign w:val="bottom"/>
            <w:shd w:val="clear" w:color="auto" w:fill="000000"/>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r>
    </w:tbl>
    <w:p>
      <w:pPr>
        <w:spacing w:after="0" w:line="37"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in effect policies and procedures designed to ensure compliance by the Borrower, its Subsidiaries and their respective directors, officers, employees and agents with Anti-Corruption Laws. To the extent applicable, Borrower is in compliance, in all material respects, with Anti-Corruption Laws, anti-money laundering laws and anti-terrorism finance laws including the Bank Secrecy Act and the PATRIOT Act (the “Anti-Terrorism Laws”).</w:t>
      </w:r>
    </w:p>
    <w:p>
      <w:pPr>
        <w:spacing w:after="0" w:line="20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8"/>
          <w:szCs w:val="18"/>
          <w:color w:val="auto"/>
        </w:rPr>
        <w:t xml:space="preserve">Section 4.14 </w:t>
      </w:r>
      <w:r>
        <w:rPr>
          <w:rFonts w:ascii="Arial" w:cs="Arial" w:eastAsia="Arial" w:hAnsi="Arial"/>
          <w:sz w:val="19"/>
          <w:szCs w:val="19"/>
          <w:u w:val="single" w:color="auto"/>
          <w:color w:val="auto"/>
        </w:rPr>
        <w:t>Foreign Corrupt Practices Act</w:t>
      </w:r>
      <w:r>
        <w:rPr>
          <w:rFonts w:ascii="Arial" w:cs="Arial" w:eastAsia="Arial" w:hAnsi="Arial"/>
          <w:sz w:val="19"/>
          <w:szCs w:val="19"/>
          <w:color w:val="auto"/>
        </w:rPr>
        <w:t>. No part of the proceeds of the Loans shall be used, directly or indirectly, for</w:t>
      </w:r>
      <w:r>
        <w:rPr>
          <w:rFonts w:ascii="Arial" w:cs="Arial" w:eastAsia="Arial" w:hAnsi="Arial"/>
          <w:sz w:val="18"/>
          <w:szCs w:val="18"/>
          <w:color w:val="auto"/>
        </w:rPr>
        <w:t xml:space="preserve"> </w:t>
      </w:r>
      <w:r>
        <w:rPr>
          <w:rFonts w:ascii="Arial" w:cs="Arial" w:eastAsia="Arial" w:hAnsi="Arial"/>
          <w:sz w:val="19"/>
          <w:szCs w:val="19"/>
          <w:color w:val="auto"/>
        </w:rPr>
        <w:t>any payments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w:t>
      </w:r>
    </w:p>
    <w:p>
      <w:pPr>
        <w:sectPr>
          <w:pgSz w:w="11900" w:h="16838" w:orient="portrait"/>
          <w:cols w:equalWidth="0" w:num="1">
            <w:col w:w="11420"/>
          </w:cols>
          <w:pgMar w:left="240" w:top="337" w:right="239" w:bottom="1440" w:gutter="0" w:footer="0" w:header="0"/>
        </w:sectPr>
      </w:pPr>
    </w:p>
    <w:bookmarkStart w:id="84" w:name="page85"/>
    <w:bookmarkEnd w:id="84"/>
    <w:tbl>
      <w:tblPr>
        <w:tblLayout w:type="fixed"/>
        <w:tblInd w:w="660" w:type="dxa"/>
        <w:tblCellMar>
          <w:top w:w="0" w:type="dxa"/>
          <w:left w:w="0" w:type="dxa"/>
          <w:bottom w:w="0" w:type="dxa"/>
          <w:right w:w="0" w:type="dxa"/>
        </w:tblCellMar>
      </w:tblPr>
      <w:tr>
        <w:trPr>
          <w:trHeight w:val="234"/>
        </w:trPr>
        <w:tc>
          <w:tcPr>
            <w:tcW w:w="2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300" w:type="dxa"/>
            <w:vAlign w:val="bottom"/>
          </w:tcPr>
          <w:p>
            <w:pPr>
              <w:ind w:left="6600"/>
              <w:spacing w:after="0"/>
              <w:rPr>
                <w:sz w:val="20"/>
                <w:szCs w:val="20"/>
                <w:color w:val="auto"/>
              </w:rPr>
            </w:pPr>
            <w:r>
              <w:rPr>
                <w:rFonts w:ascii="Arial" w:cs="Arial" w:eastAsia="Arial" w:hAnsi="Arial"/>
                <w:sz w:val="18"/>
                <w:szCs w:val="18"/>
                <w:b w:val="1"/>
                <w:bCs w:val="1"/>
                <w:color w:val="auto"/>
                <w:w w:val="90"/>
              </w:rPr>
              <w:t>Exhibit 4</w:t>
            </w:r>
          </w:p>
        </w:tc>
      </w:tr>
      <w:tr>
        <w:trPr>
          <w:trHeight w:val="675"/>
        </w:trPr>
        <w:tc>
          <w:tcPr>
            <w:tcW w:w="2200" w:type="dxa"/>
            <w:vAlign w:val="bottom"/>
          </w:tcPr>
          <w:p>
            <w:pPr>
              <w:spacing w:after="0"/>
              <w:rPr>
                <w:sz w:val="20"/>
                <w:szCs w:val="20"/>
                <w:color w:val="auto"/>
              </w:rPr>
            </w:pPr>
            <w:r>
              <w:rPr>
                <w:rFonts w:ascii="Arial" w:cs="Arial" w:eastAsia="Arial" w:hAnsi="Arial"/>
                <w:sz w:val="18"/>
                <w:szCs w:val="18"/>
                <w:color w:val="auto"/>
              </w:rPr>
              <w:t>Section 4.15</w:t>
            </w:r>
          </w:p>
        </w:tc>
        <w:tc>
          <w:tcPr>
            <w:tcW w:w="8560" w:type="dxa"/>
            <w:vAlign w:val="bottom"/>
            <w:gridSpan w:val="2"/>
          </w:tcPr>
          <w:p>
            <w:pPr>
              <w:spacing w:after="0"/>
              <w:rPr>
                <w:sz w:val="20"/>
                <w:szCs w:val="20"/>
                <w:color w:val="auto"/>
              </w:rPr>
            </w:pPr>
            <w:r>
              <w:rPr>
                <w:rFonts w:ascii="Arial" w:cs="Arial" w:eastAsia="Arial" w:hAnsi="Arial"/>
                <w:sz w:val="20"/>
                <w:szCs w:val="20"/>
                <w:color w:val="auto"/>
                <w:w w:val="95"/>
              </w:rPr>
              <w:t>Sanctions Laws. Neither the Borrower nor, to the knowledge of the Borrower, any Affiliate or broker or</w:t>
            </w:r>
          </w:p>
        </w:tc>
      </w:tr>
      <w:tr>
        <w:trPr>
          <w:trHeight w:val="20"/>
        </w:trPr>
        <w:tc>
          <w:tcPr>
            <w:tcW w:w="22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r>
    </w:tbl>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other agent of the Borrower acting or benefiting in any capacity in connection with the Loans, is any of the following (a “Restricted Person”):</w:t>
      </w:r>
    </w:p>
    <w:p>
      <w:pPr>
        <w:spacing w:after="0" w:line="50" w:lineRule="exact"/>
        <w:rPr>
          <w:sz w:val="20"/>
          <w:szCs w:val="20"/>
          <w:color w:val="auto"/>
        </w:rPr>
      </w:pPr>
    </w:p>
    <w:p>
      <w:pPr>
        <w:jc w:val="both"/>
        <w:ind w:firstLine="8"/>
        <w:spacing w:after="0" w:line="349" w:lineRule="auto"/>
        <w:tabs>
          <w:tab w:leader="none" w:pos="264" w:val="left"/>
        </w:tabs>
        <w:numPr>
          <w:ilvl w:val="0"/>
          <w:numId w:val="62"/>
        </w:numPr>
        <w:rPr>
          <w:rFonts w:ascii="Arial" w:cs="Arial" w:eastAsia="Arial" w:hAnsi="Arial"/>
          <w:sz w:val="16"/>
          <w:szCs w:val="16"/>
          <w:color w:val="auto"/>
        </w:rPr>
      </w:pPr>
      <w:r>
        <w:rPr>
          <w:rFonts w:ascii="Arial" w:cs="Arial" w:eastAsia="Arial" w:hAnsi="Arial"/>
          <w:sz w:val="16"/>
          <w:szCs w:val="16"/>
          <w:color w:val="auto"/>
        </w:rPr>
        <w:t>a Person that is listed in the annex to, or is otherwise subject to the provisions of, Executive Order No. 13224 on Terrorist Financing, effective September 24, 2001; (ii) a Person that is named as a “specially designated national and blocked person” on the most current list published by the U.S. Treasury Department Office of Foreign Assets Control (“OFAC”) at its official website or any replacement website or other replacement official publication of such list or similarly named by any similar foreign governmental authority; (iii) an agency of the government of a country, an organization controlled by a country, or a Person resident in a country that is subject to a sanctions program identified on the lists maintained by OFAC; or (iv) a Person that derives more than 10% of its assets or operating income from investments in or transactions with any such country, agency, organization or person. Further, none of the proceeds from the Loans shall be used to finance any operations, investments or activities in, or make any payments to, any such country, agency, organization or Person subject to OFAC sanctions.</w:t>
      </w:r>
    </w:p>
    <w:p>
      <w:pPr>
        <w:spacing w:after="0" w:line="200" w:lineRule="exact"/>
        <w:rPr>
          <w:sz w:val="20"/>
          <w:szCs w:val="20"/>
          <w:color w:val="auto"/>
        </w:rPr>
      </w:pPr>
    </w:p>
    <w:p>
      <w:pPr>
        <w:spacing w:after="0" w:line="210"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8"/>
          <w:szCs w:val="18"/>
          <w:color w:val="auto"/>
        </w:rPr>
        <w:t xml:space="preserve">Section 4.16 </w:t>
      </w:r>
      <w:r>
        <w:rPr>
          <w:rFonts w:ascii="Arial" w:cs="Arial" w:eastAsia="Arial" w:hAnsi="Arial"/>
          <w:sz w:val="19"/>
          <w:szCs w:val="19"/>
          <w:u w:val="single" w:color="auto"/>
          <w:color w:val="auto"/>
        </w:rPr>
        <w:t>Plan Assets; Prohibited Transaction</w:t>
      </w:r>
      <w:r>
        <w:rPr>
          <w:rFonts w:ascii="Arial" w:cs="Arial" w:eastAsia="Arial" w:hAnsi="Arial"/>
          <w:sz w:val="19"/>
          <w:szCs w:val="19"/>
          <w:color w:val="auto"/>
        </w:rPr>
        <w:t>. None of the Borrower or any of its Subsidiaries is an entity deemed to</w:t>
      </w:r>
      <w:r>
        <w:rPr>
          <w:rFonts w:ascii="Arial" w:cs="Arial" w:eastAsia="Arial" w:hAnsi="Arial"/>
          <w:sz w:val="18"/>
          <w:szCs w:val="18"/>
          <w:color w:val="auto"/>
        </w:rPr>
        <w:t xml:space="preserve"> </w:t>
      </w:r>
      <w:r>
        <w:rPr>
          <w:rFonts w:ascii="Arial" w:cs="Arial" w:eastAsia="Arial" w:hAnsi="Arial"/>
          <w:sz w:val="19"/>
          <w:szCs w:val="19"/>
          <w:color w:val="auto"/>
        </w:rPr>
        <w:t>hold “plan assets” (within the meaning of the Plan Asset Regulations), and neither the execution, delivery nor performance of the transactions contemplated under this Agreement, including the making of any Loan hereunder, will give rise to a non-exempt prohibited transaction under Section 406 of ERISA or Section 4975 of the Code.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5.</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CONDITIONS</w:t>
      </w:r>
    </w:p>
    <w:p>
      <w:pPr>
        <w:spacing w:after="0" w:line="2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9"/>
          <w:szCs w:val="19"/>
          <w:u w:val="single" w:color="auto"/>
          <w:color w:val="auto"/>
        </w:rPr>
        <w:t>Effectiveness</w:t>
      </w:r>
      <w:r>
        <w:rPr>
          <w:rFonts w:ascii="Arial" w:cs="Arial" w:eastAsia="Arial" w:hAnsi="Arial"/>
          <w:sz w:val="19"/>
          <w:szCs w:val="19"/>
          <w:color w:val="auto"/>
        </w:rPr>
        <w:t>. The obligation of each Lender to make its Loan hereunder is subject to the satisfaction (or</w:t>
      </w:r>
      <w:r>
        <w:rPr>
          <w:rFonts w:ascii="Arial" w:cs="Arial" w:eastAsia="Arial" w:hAnsi="Arial"/>
          <w:sz w:val="18"/>
          <w:szCs w:val="18"/>
          <w:color w:val="auto"/>
        </w:rPr>
        <w:t xml:space="preserve"> </w:t>
      </w:r>
      <w:r>
        <w:rPr>
          <w:rFonts w:ascii="Arial" w:cs="Arial" w:eastAsia="Arial" w:hAnsi="Arial"/>
          <w:sz w:val="19"/>
          <w:szCs w:val="19"/>
          <w:color w:val="auto"/>
        </w:rPr>
        <w:t xml:space="preserve">waiver in accordance with </w:t>
      </w:r>
      <w:r>
        <w:rPr>
          <w:rFonts w:ascii="Arial" w:cs="Arial" w:eastAsia="Arial" w:hAnsi="Arial"/>
          <w:sz w:val="19"/>
          <w:szCs w:val="19"/>
          <w:u w:val="single" w:color="auto"/>
          <w:color w:val="auto"/>
        </w:rPr>
        <w:t>Section 10.2</w:t>
      </w:r>
      <w:r>
        <w:rPr>
          <w:rFonts w:ascii="Arial" w:cs="Arial" w:eastAsia="Arial" w:hAnsi="Arial"/>
          <w:sz w:val="19"/>
          <w:szCs w:val="19"/>
          <w:color w:val="auto"/>
        </w:rPr>
        <w:t>) of the following conditions precedent:</w:t>
      </w:r>
    </w:p>
    <w:p>
      <w:pPr>
        <w:spacing w:after="0" w:line="175" w:lineRule="exact"/>
        <w:rPr>
          <w:sz w:val="20"/>
          <w:szCs w:val="20"/>
          <w:color w:val="auto"/>
        </w:rPr>
      </w:pPr>
    </w:p>
    <w:p>
      <w:pPr>
        <w:jc w:val="both"/>
        <w:ind w:left="660" w:firstLine="1293"/>
        <w:spacing w:after="0" w:line="274" w:lineRule="auto"/>
        <w:tabs>
          <w:tab w:leader="none" w:pos="2804" w:val="left"/>
        </w:tabs>
        <w:numPr>
          <w:ilvl w:val="1"/>
          <w:numId w:val="63"/>
        </w:numPr>
        <w:rPr>
          <w:rFonts w:ascii="Arial" w:cs="Arial" w:eastAsia="Arial" w:hAnsi="Arial"/>
          <w:sz w:val="18"/>
          <w:szCs w:val="18"/>
          <w:color w:val="auto"/>
        </w:rPr>
      </w:pPr>
      <w:r>
        <w:rPr>
          <w:rFonts w:ascii="Arial" w:cs="Arial" w:eastAsia="Arial" w:hAnsi="Arial"/>
          <w:sz w:val="20"/>
          <w:szCs w:val="20"/>
          <w:u w:val="single" w:color="auto"/>
          <w:color w:val="auto"/>
        </w:rPr>
        <w:t>Term Loan Agreement</w:t>
      </w:r>
      <w:r>
        <w:rPr>
          <w:rFonts w:ascii="Arial" w:cs="Arial" w:eastAsia="Arial" w:hAnsi="Arial"/>
          <w:sz w:val="20"/>
          <w:szCs w:val="20"/>
          <w:color w:val="auto"/>
        </w:rPr>
        <w:t>. The Administrative Agent (or its counsel) shall have received from each party hereto either (i) a counterpart of this Agreement signed on behalf of such party or (ii) written evidence satisfactory to the Administrative Agent (which may include facsimile or other electronic transmission of a signed signature page of this Agreement) that such party has signed a counterpart of this Agreement.</w:t>
      </w:r>
    </w:p>
    <w:p>
      <w:pPr>
        <w:spacing w:after="0" w:line="205" w:lineRule="exact"/>
        <w:rPr>
          <w:rFonts w:ascii="Arial" w:cs="Arial" w:eastAsia="Arial" w:hAnsi="Arial"/>
          <w:sz w:val="18"/>
          <w:szCs w:val="18"/>
          <w:color w:val="auto"/>
        </w:rPr>
      </w:pPr>
    </w:p>
    <w:p>
      <w:pPr>
        <w:ind w:firstLine="1305"/>
        <w:spacing w:after="0" w:line="289" w:lineRule="auto"/>
        <w:tabs>
          <w:tab w:leader="none" w:pos="2155" w:val="left"/>
        </w:tabs>
        <w:numPr>
          <w:ilvl w:val="0"/>
          <w:numId w:val="64"/>
        </w:numPr>
        <w:rPr>
          <w:rFonts w:ascii="Arial" w:cs="Arial" w:eastAsia="Arial" w:hAnsi="Arial"/>
          <w:sz w:val="18"/>
          <w:szCs w:val="18"/>
          <w:color w:val="auto"/>
        </w:rPr>
      </w:pPr>
      <w:r>
        <w:rPr>
          <w:rFonts w:ascii="Arial" w:cs="Arial" w:eastAsia="Arial" w:hAnsi="Arial"/>
          <w:sz w:val="20"/>
          <w:szCs w:val="20"/>
          <w:u w:val="single" w:color="auto"/>
          <w:color w:val="auto"/>
        </w:rPr>
        <w:t>Notes</w:t>
      </w:r>
      <w:r>
        <w:rPr>
          <w:rFonts w:ascii="Arial" w:cs="Arial" w:eastAsia="Arial" w:hAnsi="Arial"/>
          <w:sz w:val="20"/>
          <w:szCs w:val="20"/>
          <w:color w:val="auto"/>
        </w:rPr>
        <w:t xml:space="preserve">. The Administrative Agent shall have received any Note requested by a Lender pursuant to </w:t>
      </w:r>
      <w:r>
        <w:rPr>
          <w:rFonts w:ascii="Arial" w:cs="Arial" w:eastAsia="Arial" w:hAnsi="Arial"/>
          <w:sz w:val="20"/>
          <w:szCs w:val="20"/>
          <w:u w:val="single" w:color="auto"/>
          <w:color w:val="auto"/>
        </w:rPr>
        <w:t>Section 2.3(e)</w:t>
      </w:r>
      <w:r>
        <w:rPr>
          <w:rFonts w:ascii="Arial" w:cs="Arial" w:eastAsia="Arial" w:hAnsi="Arial"/>
          <w:sz w:val="20"/>
          <w:szCs w:val="20"/>
          <w:color w:val="auto"/>
        </w:rPr>
        <w:t xml:space="preserve"> payable to the order of such requesting Lender.</w:t>
      </w:r>
    </w:p>
    <w:p>
      <w:pPr>
        <w:spacing w:after="0" w:line="188" w:lineRule="exact"/>
        <w:rPr>
          <w:rFonts w:ascii="Arial" w:cs="Arial" w:eastAsia="Arial" w:hAnsi="Arial"/>
          <w:sz w:val="18"/>
          <w:szCs w:val="18"/>
          <w:color w:val="auto"/>
        </w:rPr>
      </w:pPr>
    </w:p>
    <w:p>
      <w:pPr>
        <w:jc w:val="both"/>
        <w:ind w:firstLine="1305"/>
        <w:spacing w:after="0" w:line="322" w:lineRule="auto"/>
        <w:tabs>
          <w:tab w:leader="none" w:pos="2144" w:val="left"/>
        </w:tabs>
        <w:numPr>
          <w:ilvl w:val="0"/>
          <w:numId w:val="64"/>
        </w:numPr>
        <w:rPr>
          <w:rFonts w:ascii="Arial" w:cs="Arial" w:eastAsia="Arial" w:hAnsi="Arial"/>
          <w:sz w:val="16"/>
          <w:szCs w:val="16"/>
          <w:color w:val="auto"/>
        </w:rPr>
      </w:pPr>
      <w:r>
        <w:rPr>
          <w:rFonts w:ascii="Arial" w:cs="Arial" w:eastAsia="Arial" w:hAnsi="Arial"/>
          <w:sz w:val="18"/>
          <w:szCs w:val="18"/>
          <w:u w:val="single" w:color="auto"/>
          <w:color w:val="auto"/>
        </w:rPr>
        <w:t>Accuracy of Representations and Warranties</w:t>
      </w:r>
      <w:r>
        <w:rPr>
          <w:rFonts w:ascii="Arial" w:cs="Arial" w:eastAsia="Arial" w:hAnsi="Arial"/>
          <w:sz w:val="18"/>
          <w:szCs w:val="18"/>
          <w:color w:val="auto"/>
        </w:rPr>
        <w:t xml:space="preserve">. The representations and warranties of the Borrower set forth in </w:t>
      </w:r>
      <w:r>
        <w:rPr>
          <w:rFonts w:ascii="Arial" w:cs="Arial" w:eastAsia="Arial" w:hAnsi="Arial"/>
          <w:sz w:val="18"/>
          <w:szCs w:val="18"/>
          <w:u w:val="single" w:color="auto"/>
          <w:color w:val="auto"/>
        </w:rPr>
        <w:t>Article 4</w:t>
      </w:r>
      <w:r>
        <w:rPr>
          <w:rFonts w:ascii="Arial" w:cs="Arial" w:eastAsia="Arial" w:hAnsi="Arial"/>
          <w:sz w:val="18"/>
          <w:szCs w:val="18"/>
          <w:color w:val="auto"/>
        </w:rPr>
        <w:t xml:space="preserve"> shall be true and correct on and as of the Effective Date, except to the extent such representations and warranties specifically relate to an earlier date, in which case such representations and warranties shall have been true and correct on and as of such earlier date.</w:t>
      </w:r>
    </w:p>
    <w:p>
      <w:pPr>
        <w:spacing w:after="0" w:line="166" w:lineRule="exact"/>
        <w:rPr>
          <w:rFonts w:ascii="Arial" w:cs="Arial" w:eastAsia="Arial" w:hAnsi="Arial"/>
          <w:sz w:val="16"/>
          <w:szCs w:val="16"/>
          <w:color w:val="auto"/>
        </w:rPr>
      </w:pPr>
    </w:p>
    <w:p>
      <w:pPr>
        <w:ind w:left="2160" w:hanging="855"/>
        <w:spacing w:after="0"/>
        <w:tabs>
          <w:tab w:leader="none" w:pos="2160" w:val="left"/>
        </w:tabs>
        <w:numPr>
          <w:ilvl w:val="0"/>
          <w:numId w:val="64"/>
        </w:numPr>
        <w:rPr>
          <w:rFonts w:ascii="Arial" w:cs="Arial" w:eastAsia="Arial" w:hAnsi="Arial"/>
          <w:sz w:val="18"/>
          <w:szCs w:val="18"/>
          <w:color w:val="auto"/>
        </w:rPr>
      </w:pPr>
      <w:r>
        <w:rPr>
          <w:rFonts w:ascii="Arial" w:cs="Arial" w:eastAsia="Arial" w:hAnsi="Arial"/>
          <w:sz w:val="20"/>
          <w:szCs w:val="20"/>
          <w:u w:val="single" w:color="auto"/>
          <w:color w:val="auto"/>
        </w:rPr>
        <w:t>No Default</w:t>
      </w:r>
      <w:r>
        <w:rPr>
          <w:rFonts w:ascii="Arial" w:cs="Arial" w:eastAsia="Arial" w:hAnsi="Arial"/>
          <w:sz w:val="20"/>
          <w:szCs w:val="20"/>
          <w:color w:val="auto"/>
        </w:rPr>
        <w:t>. No Default shall have occurred and be continuing.</w:t>
      </w:r>
    </w:p>
    <w:p>
      <w:pPr>
        <w:spacing w:after="0" w:line="256" w:lineRule="exact"/>
        <w:rPr>
          <w:rFonts w:ascii="Arial" w:cs="Arial" w:eastAsia="Arial" w:hAnsi="Arial"/>
          <w:sz w:val="18"/>
          <w:szCs w:val="18"/>
          <w:color w:val="auto"/>
        </w:rPr>
      </w:pPr>
    </w:p>
    <w:p>
      <w:pPr>
        <w:jc w:val="both"/>
        <w:ind w:firstLine="1305"/>
        <w:spacing w:after="0" w:line="273" w:lineRule="auto"/>
        <w:tabs>
          <w:tab w:leader="none" w:pos="2144" w:val="left"/>
        </w:tabs>
        <w:numPr>
          <w:ilvl w:val="0"/>
          <w:numId w:val="64"/>
        </w:numPr>
        <w:rPr>
          <w:rFonts w:ascii="Arial" w:cs="Arial" w:eastAsia="Arial" w:hAnsi="Arial"/>
          <w:sz w:val="18"/>
          <w:szCs w:val="18"/>
          <w:color w:val="auto"/>
        </w:rPr>
      </w:pPr>
      <w:r>
        <w:rPr>
          <w:rFonts w:ascii="Arial" w:cs="Arial" w:eastAsia="Arial" w:hAnsi="Arial"/>
          <w:sz w:val="20"/>
          <w:szCs w:val="20"/>
          <w:u w:val="single" w:color="auto"/>
          <w:color w:val="auto"/>
        </w:rPr>
        <w:t>Legal Opinions</w:t>
      </w:r>
      <w:r>
        <w:rPr>
          <w:rFonts w:ascii="Arial" w:cs="Arial" w:eastAsia="Arial" w:hAnsi="Arial"/>
          <w:sz w:val="20"/>
          <w:szCs w:val="20"/>
          <w:color w:val="auto"/>
        </w:rPr>
        <w:t>. The Administrative Agent shall have received favorable written opinions (addressed to the Credit Parties and dated on or prior to the Effective Date) from Margaret A. Thickens, Vice President, Chief Legal Officer and Corporate Secretary of the Borrower, and Cohen Tauber Spievack &amp; Wagner P.C., special counsel to the Borrower, covering such matters relating to the Borrower, the Loan Documents and the Transactions as the Required Lenders may reasonably request. The Borrower hereby requests such counsel to deliver such opinion.</w:t>
      </w:r>
    </w:p>
    <w:p>
      <w:pPr>
        <w:spacing w:after="0" w:line="204" w:lineRule="exact"/>
        <w:rPr>
          <w:rFonts w:ascii="Arial" w:cs="Arial" w:eastAsia="Arial" w:hAnsi="Arial"/>
          <w:sz w:val="18"/>
          <w:szCs w:val="18"/>
          <w:color w:val="auto"/>
        </w:rPr>
      </w:pPr>
    </w:p>
    <w:p>
      <w:pPr>
        <w:jc w:val="both"/>
        <w:ind w:firstLine="1305"/>
        <w:spacing w:after="0" w:line="288" w:lineRule="auto"/>
        <w:tabs>
          <w:tab w:leader="none" w:pos="2125" w:val="left"/>
        </w:tabs>
        <w:numPr>
          <w:ilvl w:val="0"/>
          <w:numId w:val="64"/>
        </w:numPr>
        <w:rPr>
          <w:rFonts w:ascii="Arial" w:cs="Arial" w:eastAsia="Arial" w:hAnsi="Arial"/>
          <w:sz w:val="17"/>
          <w:szCs w:val="17"/>
          <w:color w:val="auto"/>
        </w:rPr>
      </w:pPr>
      <w:r>
        <w:rPr>
          <w:rFonts w:ascii="Arial" w:cs="Arial" w:eastAsia="Arial" w:hAnsi="Arial"/>
          <w:sz w:val="19"/>
          <w:szCs w:val="19"/>
          <w:u w:val="single" w:color="auto"/>
          <w:color w:val="auto"/>
        </w:rPr>
        <w:t>Organizational Documents, etc</w:t>
      </w:r>
      <w:r>
        <w:rPr>
          <w:rFonts w:ascii="Arial" w:cs="Arial" w:eastAsia="Arial" w:hAnsi="Arial"/>
          <w:sz w:val="19"/>
          <w:szCs w:val="19"/>
          <w:color w:val="auto"/>
        </w:rPr>
        <w:t>. The Administrative Agent shall have received such documents and certificates as the Administrative Agent or its counsel may reasonably request relating to (i) the organization, existence and good standing of the Borrower (including (x) a certificate of incorporation of the Borrower, certified as of a recent date by the Secretary of State of the jurisdiction of its incorporation, and (y) certificates of good standing (or comparable certificates) for the Borrower, certified as of a recent date prior to the Effective Date, by the Secretaries of State (or comparable official)) of the jurisdiction of its incorporation and each other jurisdiction in which it is qualified to do business, (ii) the authorization of the Transactions, (iii) the incumbency of its officer or officers</w:t>
      </w:r>
    </w:p>
    <w:p>
      <w:pPr>
        <w:sectPr>
          <w:pgSz w:w="11900" w:h="16838" w:orient="portrait"/>
          <w:cols w:equalWidth="0" w:num="1">
            <w:col w:w="11420"/>
          </w:cols>
          <w:pgMar w:left="240" w:top="337" w:right="239" w:bottom="1440" w:gutter="0" w:footer="0" w:header="0"/>
        </w:sectPr>
      </w:pPr>
    </w:p>
    <w:bookmarkStart w:id="85" w:name="page86"/>
    <w:bookmarkEnd w:id="85"/>
    <w:p>
      <w:pPr>
        <w:ind w:left="10720"/>
        <w:spacing w:after="0"/>
        <w:rPr>
          <w:sz w:val="20"/>
          <w:szCs w:val="20"/>
          <w:color w:val="auto"/>
        </w:rPr>
      </w:pPr>
      <w:r>
        <w:rPr>
          <w:rFonts w:ascii="Arial" w:cs="Arial" w:eastAsia="Arial" w:hAnsi="Arial"/>
          <w:sz w:val="16"/>
          <w:szCs w:val="16"/>
          <w:b w:val="1"/>
          <w:bCs w:val="1"/>
          <w:color w:val="auto"/>
        </w:rPr>
        <w:t>Exhibit 4</w:t>
      </w:r>
    </w:p>
    <w:p>
      <w:pPr>
        <w:spacing w:after="0" w:line="290"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who may sign the Loan Documents, including therein a signature specimen of such officer or officers, and (iv) any other legal matters relating to the Borrower, the Loan Documents or the Transactions, all in form and substance reasonably satisfactory to the Administrative Agent and its counsel.</w:t>
      </w:r>
    </w:p>
    <w:p>
      <w:pPr>
        <w:spacing w:after="0" w:line="200" w:lineRule="exact"/>
        <w:rPr>
          <w:sz w:val="20"/>
          <w:szCs w:val="20"/>
          <w:color w:val="auto"/>
        </w:rPr>
      </w:pPr>
    </w:p>
    <w:p>
      <w:pPr>
        <w:jc w:val="both"/>
        <w:ind w:firstLine="1305"/>
        <w:spacing w:after="0" w:line="274" w:lineRule="auto"/>
        <w:tabs>
          <w:tab w:leader="none" w:pos="2155" w:val="left"/>
        </w:tabs>
        <w:numPr>
          <w:ilvl w:val="0"/>
          <w:numId w:val="65"/>
        </w:numPr>
        <w:rPr>
          <w:rFonts w:ascii="Arial" w:cs="Arial" w:eastAsia="Arial" w:hAnsi="Arial"/>
          <w:sz w:val="18"/>
          <w:szCs w:val="18"/>
          <w:color w:val="auto"/>
        </w:rPr>
      </w:pPr>
      <w:r>
        <w:rPr>
          <w:rFonts w:ascii="Arial" w:cs="Arial" w:eastAsia="Arial" w:hAnsi="Arial"/>
          <w:sz w:val="20"/>
          <w:szCs w:val="20"/>
          <w:u w:val="single" w:color="auto"/>
          <w:color w:val="auto"/>
        </w:rPr>
        <w:t>Officer’s Certificate</w:t>
      </w:r>
      <w:r>
        <w:rPr>
          <w:rFonts w:ascii="Arial" w:cs="Arial" w:eastAsia="Arial" w:hAnsi="Arial"/>
          <w:sz w:val="20"/>
          <w:szCs w:val="20"/>
          <w:color w:val="auto"/>
        </w:rPr>
        <w:t>. The Administrative Agent shall have received a certificate, in form and substance satisfactory to the Administrative Agent, dated on or prior to the Effective Date and signed by the chief executive officer or a Financial Officer acceptable to the Administrative Agent, confirming (i) the representations and warranties of the Borrower set forth in the Loan Documents are true and correct and (ii) no Default exists.</w:t>
      </w:r>
    </w:p>
    <w:p>
      <w:pPr>
        <w:spacing w:after="0" w:line="205" w:lineRule="exact"/>
        <w:rPr>
          <w:rFonts w:ascii="Arial" w:cs="Arial" w:eastAsia="Arial" w:hAnsi="Arial"/>
          <w:sz w:val="18"/>
          <w:szCs w:val="18"/>
          <w:color w:val="auto"/>
        </w:rPr>
      </w:pPr>
    </w:p>
    <w:p>
      <w:pPr>
        <w:jc w:val="both"/>
        <w:ind w:firstLine="1305"/>
        <w:spacing w:after="0" w:line="274" w:lineRule="auto"/>
        <w:tabs>
          <w:tab w:leader="none" w:pos="2155" w:val="left"/>
        </w:tabs>
        <w:numPr>
          <w:ilvl w:val="0"/>
          <w:numId w:val="65"/>
        </w:numPr>
        <w:rPr>
          <w:rFonts w:ascii="Arial" w:cs="Arial" w:eastAsia="Arial" w:hAnsi="Arial"/>
          <w:sz w:val="18"/>
          <w:szCs w:val="18"/>
          <w:color w:val="auto"/>
        </w:rPr>
      </w:pPr>
      <w:r>
        <w:rPr>
          <w:rFonts w:ascii="Arial" w:cs="Arial" w:eastAsia="Arial" w:hAnsi="Arial"/>
          <w:sz w:val="20"/>
          <w:szCs w:val="20"/>
          <w:u w:val="single" w:color="auto"/>
          <w:color w:val="auto"/>
        </w:rPr>
        <w:t>No Material Adverse Change</w:t>
      </w:r>
      <w:r>
        <w:rPr>
          <w:rFonts w:ascii="Arial" w:cs="Arial" w:eastAsia="Arial" w:hAnsi="Arial"/>
          <w:sz w:val="20"/>
          <w:szCs w:val="20"/>
          <w:color w:val="auto"/>
        </w:rPr>
        <w:t>. The Administrative Agent shall have received a certificate of a Financial Officer, in form and substance satisfactory to the Administrative Agent, dated the Effective Date, to the effect that since December 31, 2018, no Material Adverse Change has occurred, except as has been previously disclosed by the Borrower in documents filed with the SEC prior to the Effective Date.</w:t>
      </w:r>
    </w:p>
    <w:p>
      <w:pPr>
        <w:spacing w:after="0" w:line="205" w:lineRule="exact"/>
        <w:rPr>
          <w:rFonts w:ascii="Arial" w:cs="Arial" w:eastAsia="Arial" w:hAnsi="Arial"/>
          <w:sz w:val="18"/>
          <w:szCs w:val="18"/>
          <w:color w:val="auto"/>
        </w:rPr>
      </w:pPr>
    </w:p>
    <w:p>
      <w:pPr>
        <w:ind w:left="2120" w:hanging="815"/>
        <w:spacing w:after="0"/>
        <w:tabs>
          <w:tab w:leader="none" w:pos="2120" w:val="left"/>
        </w:tabs>
        <w:numPr>
          <w:ilvl w:val="0"/>
          <w:numId w:val="65"/>
        </w:numPr>
        <w:rPr>
          <w:rFonts w:ascii="Arial" w:cs="Arial" w:eastAsia="Arial" w:hAnsi="Arial"/>
          <w:sz w:val="18"/>
          <w:szCs w:val="18"/>
          <w:color w:val="auto"/>
        </w:rPr>
      </w:pPr>
      <w:r>
        <w:rPr>
          <w:rFonts w:ascii="Arial" w:cs="Arial" w:eastAsia="Arial" w:hAnsi="Arial"/>
          <w:sz w:val="20"/>
          <w:szCs w:val="20"/>
          <w:u w:val="single" w:color="auto"/>
          <w:color w:val="auto"/>
        </w:rPr>
        <w:t>[Reserved]</w:t>
      </w:r>
      <w:r>
        <w:rPr>
          <w:rFonts w:ascii="Arial" w:cs="Arial" w:eastAsia="Arial" w:hAnsi="Arial"/>
          <w:sz w:val="20"/>
          <w:szCs w:val="20"/>
          <w:color w:val="auto"/>
        </w:rPr>
        <w:t>.</w:t>
      </w:r>
    </w:p>
    <w:p>
      <w:pPr>
        <w:spacing w:after="0" w:line="256" w:lineRule="exact"/>
        <w:rPr>
          <w:rFonts w:ascii="Arial" w:cs="Arial" w:eastAsia="Arial" w:hAnsi="Arial"/>
          <w:sz w:val="18"/>
          <w:szCs w:val="18"/>
          <w:color w:val="auto"/>
        </w:rPr>
      </w:pPr>
    </w:p>
    <w:p>
      <w:pPr>
        <w:jc w:val="both"/>
        <w:ind w:firstLine="1305"/>
        <w:spacing w:after="0" w:line="270" w:lineRule="auto"/>
        <w:tabs>
          <w:tab w:leader="none" w:pos="2115" w:val="left"/>
        </w:tabs>
        <w:numPr>
          <w:ilvl w:val="0"/>
          <w:numId w:val="65"/>
        </w:numPr>
        <w:rPr>
          <w:rFonts w:ascii="Arial" w:cs="Arial" w:eastAsia="Arial" w:hAnsi="Arial"/>
          <w:sz w:val="18"/>
          <w:szCs w:val="18"/>
          <w:color w:val="auto"/>
        </w:rPr>
      </w:pPr>
      <w:r>
        <w:rPr>
          <w:rFonts w:ascii="Arial" w:cs="Arial" w:eastAsia="Arial" w:hAnsi="Arial"/>
          <w:sz w:val="20"/>
          <w:szCs w:val="20"/>
          <w:u w:val="single" w:color="auto"/>
          <w:color w:val="auto"/>
        </w:rPr>
        <w:t>KYC</w:t>
      </w:r>
      <w:r>
        <w:rPr>
          <w:rFonts w:ascii="Arial" w:cs="Arial" w:eastAsia="Arial" w:hAnsi="Arial"/>
          <w:sz w:val="20"/>
          <w:szCs w:val="20"/>
          <w:color w:val="auto"/>
        </w:rPr>
        <w:t>. (i) The Administrative Agent shall have received, at least five days prior to the Effective Date, all documentation and other information regarding the Borrower requested in connection with applicable “know your customer” and anti-money laundering rules and regulations, including the PATRIOT Act, to the extent requested in writing of the Borrower at least 10 days prior to the Effective Date and (ii) to the extent the Borrower qualifies as a “legal entity customer” under the Beneficial Ownership Regulation, at least five days prior to the Effective Date, any Lender that has requested, in a written notice to the Borrower at least 10 days prior to the Effective Date, a Beneficial Ownership Certification in relation to the Borrower shall have received such Beneficial Ownership Certification (provided that, upon the execution and delivery by such Lender of its signature page to this Agreement, the condition set forth in this clause (ii) shall be deemed to be satisfied).</w:t>
      </w:r>
    </w:p>
    <w:p>
      <w:pPr>
        <w:spacing w:after="0" w:line="212" w:lineRule="exact"/>
        <w:rPr>
          <w:rFonts w:ascii="Arial" w:cs="Arial" w:eastAsia="Arial" w:hAnsi="Arial"/>
          <w:sz w:val="18"/>
          <w:szCs w:val="18"/>
          <w:color w:val="auto"/>
        </w:rPr>
      </w:pPr>
    </w:p>
    <w:p>
      <w:pPr>
        <w:jc w:val="both"/>
        <w:ind w:firstLine="1305"/>
        <w:spacing w:after="0" w:line="278" w:lineRule="auto"/>
        <w:tabs>
          <w:tab w:leader="none" w:pos="2155" w:val="left"/>
        </w:tabs>
        <w:numPr>
          <w:ilvl w:val="0"/>
          <w:numId w:val="65"/>
        </w:numPr>
        <w:rPr>
          <w:rFonts w:ascii="Arial" w:cs="Arial" w:eastAsia="Arial" w:hAnsi="Arial"/>
          <w:sz w:val="18"/>
          <w:szCs w:val="18"/>
          <w:color w:val="auto"/>
        </w:rPr>
      </w:pPr>
      <w:r>
        <w:rPr>
          <w:rFonts w:ascii="Arial" w:cs="Arial" w:eastAsia="Arial" w:hAnsi="Arial"/>
          <w:sz w:val="20"/>
          <w:szCs w:val="20"/>
          <w:u w:val="single" w:color="auto"/>
          <w:color w:val="auto"/>
        </w:rPr>
        <w:t>Fees and Expenses</w:t>
      </w:r>
      <w:r>
        <w:rPr>
          <w:rFonts w:ascii="Arial" w:cs="Arial" w:eastAsia="Arial" w:hAnsi="Arial"/>
          <w:sz w:val="20"/>
          <w:szCs w:val="20"/>
          <w:color w:val="auto"/>
        </w:rPr>
        <w:t>. The Administrative Agent shall have received all fees and other amounts due and payable on or prior to the Effective Date, including, to the extent invoiced, reimbursement or payment of all out-of-pocket expenses required to be reimbursed or paid by the Borrower hereunder.</w:t>
      </w:r>
    </w:p>
    <w:p>
      <w:pPr>
        <w:spacing w:after="0" w:line="200" w:lineRule="exact"/>
        <w:rPr>
          <w:rFonts w:ascii="Arial" w:cs="Arial" w:eastAsia="Arial" w:hAnsi="Arial"/>
          <w:sz w:val="18"/>
          <w:szCs w:val="18"/>
          <w:color w:val="auto"/>
        </w:rPr>
      </w:pPr>
    </w:p>
    <w:p>
      <w:pPr>
        <w:ind w:left="2120" w:hanging="815"/>
        <w:spacing w:after="0"/>
        <w:tabs>
          <w:tab w:leader="none" w:pos="2120" w:val="left"/>
        </w:tabs>
        <w:numPr>
          <w:ilvl w:val="0"/>
          <w:numId w:val="65"/>
        </w:numPr>
        <w:rPr>
          <w:rFonts w:ascii="Arial" w:cs="Arial" w:eastAsia="Arial" w:hAnsi="Arial"/>
          <w:sz w:val="18"/>
          <w:szCs w:val="18"/>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 Such other documents as any Lender or its counsel may have reasonably requested.</w:t>
      </w:r>
    </w:p>
    <w:p>
      <w:pPr>
        <w:spacing w:after="0" w:line="243"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Administrative Agent shall notify the Borrower and the Credit Parties when the conditions set forth above have been satisfied or waived, and such notice shall be conclusive and binding.</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6</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AFFIRMATIVE COVENANTS</w:t>
      </w:r>
    </w:p>
    <w:p>
      <w:pPr>
        <w:spacing w:after="0" w:line="229"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Until the principal of and interest on all Loans and all other amounts payable under the Loan Documents shall have been paid in full, the Borrower covenants and agrees with the Credit Parties that:</w:t>
      </w:r>
    </w:p>
    <w:p>
      <w:pPr>
        <w:spacing w:after="0" w:line="139"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2760" w:type="dxa"/>
            <w:vAlign w:val="bottom"/>
          </w:tcPr>
          <w:p>
            <w:pPr>
              <w:ind w:left="640"/>
              <w:spacing w:after="0"/>
              <w:rPr>
                <w:sz w:val="20"/>
                <w:szCs w:val="20"/>
                <w:color w:val="auto"/>
              </w:rPr>
            </w:pPr>
            <w:r>
              <w:rPr>
                <w:rFonts w:ascii="Arial" w:cs="Arial" w:eastAsia="Arial" w:hAnsi="Arial"/>
                <w:sz w:val="18"/>
                <w:szCs w:val="18"/>
                <w:color w:val="auto"/>
              </w:rPr>
              <w:t>Section 6.1</w:t>
            </w:r>
          </w:p>
        </w:tc>
        <w:tc>
          <w:tcPr>
            <w:tcW w:w="8000" w:type="dxa"/>
            <w:vAlign w:val="bottom"/>
            <w:gridSpan w:val="2"/>
          </w:tcPr>
          <w:p>
            <w:pPr>
              <w:spacing w:after="0"/>
              <w:rPr>
                <w:sz w:val="20"/>
                <w:szCs w:val="20"/>
                <w:color w:val="auto"/>
              </w:rPr>
            </w:pPr>
            <w:r>
              <w:rPr>
                <w:rFonts w:ascii="Arial" w:cs="Arial" w:eastAsia="Arial" w:hAnsi="Arial"/>
                <w:sz w:val="20"/>
                <w:szCs w:val="20"/>
                <w:color w:val="auto"/>
                <w:w w:val="92"/>
              </w:rPr>
              <w:t>Financial Statements and Other Information. The Borrower will furnish to the Administrative Agent</w:t>
            </w:r>
          </w:p>
        </w:tc>
      </w:tr>
      <w:tr>
        <w:trPr>
          <w:trHeight w:val="281"/>
        </w:trPr>
        <w:tc>
          <w:tcPr>
            <w:tcW w:w="2760" w:type="dxa"/>
            <w:vAlign w:val="bottom"/>
          </w:tcPr>
          <w:p>
            <w:pPr>
              <w:spacing w:after="0"/>
              <w:rPr>
                <w:sz w:val="20"/>
                <w:szCs w:val="20"/>
                <w:color w:val="auto"/>
              </w:rPr>
            </w:pPr>
            <w:r>
              <w:rPr>
                <w:rFonts w:ascii="Arial" w:cs="Arial" w:eastAsia="Arial" w:hAnsi="Arial"/>
                <w:sz w:val="20"/>
                <w:szCs w:val="20"/>
                <w:color w:val="auto"/>
              </w:rPr>
              <w:t>and each Lender:</w:t>
            </w:r>
          </w:p>
        </w:tc>
        <w:tc>
          <w:tcPr>
            <w:tcW w:w="3480" w:type="dxa"/>
            <w:vAlign w:val="bottom"/>
            <w:tcBorders>
              <w:top w:val="single" w:sz="8" w:color="auto"/>
            </w:tcBorders>
          </w:tcPr>
          <w:p>
            <w:pPr>
              <w:spacing w:after="0"/>
              <w:rPr>
                <w:sz w:val="24"/>
                <w:szCs w:val="24"/>
                <w:color w:val="auto"/>
              </w:rPr>
            </w:pPr>
          </w:p>
        </w:tc>
        <w:tc>
          <w:tcPr>
            <w:tcW w:w="4520" w:type="dxa"/>
            <w:vAlign w:val="bottom"/>
          </w:tcPr>
          <w:p>
            <w:pPr>
              <w:spacing w:after="0"/>
              <w:rPr>
                <w:sz w:val="24"/>
                <w:szCs w:val="24"/>
                <w:color w:val="auto"/>
              </w:rPr>
            </w:pPr>
          </w:p>
        </w:tc>
      </w:tr>
    </w:tbl>
    <w:p>
      <w:pPr>
        <w:spacing w:after="0" w:line="236" w:lineRule="exact"/>
        <w:rPr>
          <w:sz w:val="20"/>
          <w:szCs w:val="20"/>
          <w:color w:val="auto"/>
        </w:rPr>
      </w:pPr>
    </w:p>
    <w:p>
      <w:pPr>
        <w:jc w:val="both"/>
        <w:ind w:firstLine="1305"/>
        <w:spacing w:after="0" w:line="255" w:lineRule="exact"/>
        <w:tabs>
          <w:tab w:leader="none" w:pos="2144" w:val="left"/>
        </w:tabs>
        <w:numPr>
          <w:ilvl w:val="0"/>
          <w:numId w:val="66"/>
        </w:numPr>
        <w:rPr>
          <w:rFonts w:ascii="Arial" w:cs="Arial" w:eastAsia="Arial" w:hAnsi="Arial"/>
          <w:sz w:val="18"/>
          <w:szCs w:val="18"/>
          <w:color w:val="auto"/>
        </w:rPr>
      </w:pPr>
      <w:r>
        <w:rPr>
          <w:rFonts w:ascii="Arial" w:cs="Arial" w:eastAsia="Arial" w:hAnsi="Arial"/>
          <w:sz w:val="20"/>
          <w:szCs w:val="20"/>
          <w:color w:val="auto"/>
        </w:rPr>
        <w:t>As soon as available, but in any event within 120 days after the end of each fiscal year, (i) a copy of the Borrower’s Annual Report on Form 10</w:t>
      </w:r>
      <w:r>
        <w:rPr>
          <w:rFonts w:ascii="MS PGothic" w:cs="MS PGothic" w:eastAsia="MS PGothic" w:hAnsi="MS PGothic"/>
          <w:sz w:val="20"/>
          <w:szCs w:val="20"/>
          <w:color w:val="auto"/>
        </w:rPr>
        <w:t>‑</w:t>
      </w:r>
      <w:r>
        <w:rPr>
          <w:rFonts w:ascii="Arial" w:cs="Arial" w:eastAsia="Arial" w:hAnsi="Arial"/>
          <w:sz w:val="20"/>
          <w:szCs w:val="20"/>
          <w:color w:val="auto"/>
        </w:rPr>
        <w:t>K in respect of such fiscal year required to be filed by the Borrower with the SEC, together with the financial statements attached thereto, and (ii) the Borrower’s audited consolidated balance sheet and related consolidated statements of income, stockholder’s equity and cash flows as of the end of and for such fiscal year, setting forth in each case in comparative form the figures for the previous fiscal year, all reported on by the Accountants (without a “going concern” or like qualification or exception and without any qualification or</w:t>
      </w:r>
    </w:p>
    <w:p>
      <w:pPr>
        <w:sectPr>
          <w:pgSz w:w="11900" w:h="16838" w:orient="portrait"/>
          <w:cols w:equalWidth="0" w:num="1">
            <w:col w:w="11420"/>
          </w:cols>
          <w:pgMar w:left="240" w:top="337" w:right="239" w:bottom="1440" w:gutter="0" w:footer="0" w:header="0"/>
        </w:sectPr>
      </w:pPr>
    </w:p>
    <w:bookmarkStart w:id="86" w:name="page87"/>
    <w:bookmarkEnd w:id="86"/>
    <w:p>
      <w:pPr>
        <w:ind w:left="10720"/>
        <w:spacing w:after="0"/>
        <w:rPr>
          <w:sz w:val="20"/>
          <w:szCs w:val="20"/>
          <w:color w:val="auto"/>
        </w:rPr>
      </w:pPr>
      <w:r>
        <w:rPr>
          <w:rFonts w:ascii="Arial" w:cs="Arial" w:eastAsia="Arial" w:hAnsi="Arial"/>
          <w:sz w:val="16"/>
          <w:szCs w:val="16"/>
          <w:b w:val="1"/>
          <w:bCs w:val="1"/>
          <w:color w:val="auto"/>
        </w:rPr>
        <w:t>Exhibit 4</w:t>
      </w:r>
    </w:p>
    <w:p>
      <w:pPr>
        <w:spacing w:after="0" w:line="290"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exception as to the scope of such audit) to the effect that such consolidated financial statements present fairly in all material respects the financial conditions and results of operations of the Borrower and the Subsidiaries on a consolidated basis in accordance with GAAP consistently applied during such fiscal year;</w:t>
      </w:r>
    </w:p>
    <w:p>
      <w:pPr>
        <w:spacing w:after="0" w:line="200" w:lineRule="exact"/>
        <w:rPr>
          <w:sz w:val="20"/>
          <w:szCs w:val="20"/>
          <w:color w:val="auto"/>
        </w:rPr>
      </w:pPr>
    </w:p>
    <w:p>
      <w:pPr>
        <w:jc w:val="both"/>
        <w:ind w:firstLine="1305"/>
        <w:spacing w:after="0" w:line="304" w:lineRule="auto"/>
        <w:tabs>
          <w:tab w:leader="none" w:pos="2155" w:val="left"/>
        </w:tabs>
        <w:numPr>
          <w:ilvl w:val="0"/>
          <w:numId w:val="67"/>
        </w:numPr>
        <w:rPr>
          <w:rFonts w:ascii="Arial" w:cs="Arial" w:eastAsia="Arial" w:hAnsi="Arial"/>
          <w:sz w:val="16"/>
          <w:szCs w:val="16"/>
          <w:color w:val="auto"/>
        </w:rPr>
      </w:pPr>
      <w:r>
        <w:rPr>
          <w:rFonts w:ascii="Arial" w:cs="Arial" w:eastAsia="Arial" w:hAnsi="Arial"/>
          <w:sz w:val="18"/>
          <w:szCs w:val="18"/>
          <w:color w:val="auto"/>
        </w:rPr>
        <w:t>As soon as available, but in any event within 60 days after the end of each of the first three fiscal quarters of each fiscal year, (i) a copy of the Borrower’s Quarterly Report on Form 10-Q in respect of such fiscal quarter required to be filed by the Borrower with the SEC, together with the financial statements attached thereto, and (ii) the Borrower’s unaudited consolidated balance sheet and related consolidated statements of income, stockholder’s equity and cash flows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a duly authorized Financial Officer as presenting fairly in all material respects the financial conditions and results of operations of the Borrower and the Subsidiaries on a consolidated basis in accordance with GAAP consistently applied, subject to normal year end audit adjustments and the absence of footnotes;</w:t>
      </w:r>
    </w:p>
    <w:p>
      <w:pPr>
        <w:spacing w:after="0" w:line="184" w:lineRule="exact"/>
        <w:rPr>
          <w:rFonts w:ascii="Arial" w:cs="Arial" w:eastAsia="Arial" w:hAnsi="Arial"/>
          <w:sz w:val="16"/>
          <w:szCs w:val="16"/>
          <w:color w:val="auto"/>
        </w:rPr>
      </w:pPr>
    </w:p>
    <w:p>
      <w:pPr>
        <w:jc w:val="both"/>
        <w:ind w:firstLine="1305"/>
        <w:spacing w:after="0" w:line="314" w:lineRule="auto"/>
        <w:tabs>
          <w:tab w:leader="none" w:pos="2144" w:val="left"/>
        </w:tabs>
        <w:numPr>
          <w:ilvl w:val="0"/>
          <w:numId w:val="67"/>
        </w:numPr>
        <w:rPr>
          <w:rFonts w:ascii="Arial" w:cs="Arial" w:eastAsia="Arial" w:hAnsi="Arial"/>
          <w:sz w:val="16"/>
          <w:szCs w:val="16"/>
          <w:color w:val="auto"/>
        </w:rPr>
      </w:pPr>
      <w:r>
        <w:rPr>
          <w:rFonts w:ascii="Arial" w:cs="Arial" w:eastAsia="Arial" w:hAnsi="Arial"/>
          <w:sz w:val="18"/>
          <w:szCs w:val="18"/>
          <w:color w:val="auto"/>
        </w:rPr>
        <w:t xml:space="preserve">Within 60 days after the end of each of the first three fiscal quarters and within 120 days after the end of the last fiscal quarter, a Compliance Certificate, signed by a Financial Officer (or such other officer as shall be acceptable to the Administrative Agent) as to the Borrower’s compliance, as of such fiscal quarter ending date, with </w:t>
      </w:r>
      <w:r>
        <w:rPr>
          <w:rFonts w:ascii="Arial" w:cs="Arial" w:eastAsia="Arial" w:hAnsi="Arial"/>
          <w:sz w:val="18"/>
          <w:szCs w:val="18"/>
          <w:u w:val="single" w:color="auto"/>
          <w:color w:val="auto"/>
        </w:rPr>
        <w:t>Section 7.5</w:t>
      </w:r>
      <w:r>
        <w:rPr>
          <w:rFonts w:ascii="Arial" w:cs="Arial" w:eastAsia="Arial" w:hAnsi="Arial"/>
          <w:sz w:val="18"/>
          <w:szCs w:val="18"/>
          <w:color w:val="auto"/>
        </w:rPr>
        <w:t>, and as to the absence of any Default as of such fiscal quarter ending date and the date of such certificate (or if a Default existed or exists, the nature thereof); and</w:t>
      </w:r>
    </w:p>
    <w:p>
      <w:pPr>
        <w:spacing w:after="0" w:line="172" w:lineRule="exact"/>
        <w:rPr>
          <w:rFonts w:ascii="Arial" w:cs="Arial" w:eastAsia="Arial" w:hAnsi="Arial"/>
          <w:sz w:val="16"/>
          <w:szCs w:val="16"/>
          <w:color w:val="auto"/>
        </w:rPr>
      </w:pPr>
    </w:p>
    <w:p>
      <w:pPr>
        <w:jc w:val="both"/>
        <w:ind w:firstLine="1305"/>
        <w:spacing w:after="0" w:line="273" w:lineRule="auto"/>
        <w:tabs>
          <w:tab w:leader="none" w:pos="2155" w:val="left"/>
        </w:tabs>
        <w:numPr>
          <w:ilvl w:val="0"/>
          <w:numId w:val="67"/>
        </w:numPr>
        <w:rPr>
          <w:rFonts w:ascii="Arial" w:cs="Arial" w:eastAsia="Arial" w:hAnsi="Arial"/>
          <w:sz w:val="18"/>
          <w:szCs w:val="18"/>
          <w:color w:val="auto"/>
        </w:rPr>
      </w:pPr>
      <w:r>
        <w:rPr>
          <w:rFonts w:ascii="Arial" w:cs="Arial" w:eastAsia="Arial" w:hAnsi="Arial"/>
          <w:sz w:val="20"/>
          <w:szCs w:val="20"/>
          <w:color w:val="auto"/>
        </w:rPr>
        <w:t>promptly following any request therefor, (i) such other information regarding the operations, business affairs and financial condition of the Borrower or any Subsidiary, or compliance with the terms of the Loan Documents, as any Credit Party may reasonably request and (ii) information and documentation reasonably requested by the Administrative Agent or any Lender for purposes of compliance with applicable “know your customer” and anti-money laundering rules and regulations, including the PATRIOT Act and the Beneficial Ownership Regulation.</w:t>
      </w:r>
    </w:p>
    <w:p>
      <w:pPr>
        <w:spacing w:after="0" w:line="205" w:lineRule="exact"/>
        <w:rPr>
          <w:sz w:val="20"/>
          <w:szCs w:val="20"/>
          <w:color w:val="auto"/>
        </w:rPr>
      </w:pPr>
    </w:p>
    <w:p>
      <w:pPr>
        <w:ind w:left="660"/>
        <w:spacing w:after="0"/>
        <w:tabs>
          <w:tab w:leader="none" w:pos="2760" w:val="left"/>
        </w:tabs>
        <w:rPr>
          <w:sz w:val="20"/>
          <w:szCs w:val="20"/>
          <w:color w:val="auto"/>
        </w:rPr>
      </w:pPr>
      <w:r>
        <w:rPr>
          <w:rFonts w:ascii="Arial" w:cs="Arial" w:eastAsia="Arial" w:hAnsi="Arial"/>
          <w:sz w:val="18"/>
          <w:szCs w:val="18"/>
          <w:color w:val="auto"/>
        </w:rPr>
        <w:t>Section 6.2</w:t>
      </w:r>
      <w:r>
        <w:rPr>
          <w:sz w:val="20"/>
          <w:szCs w:val="20"/>
          <w:color w:val="auto"/>
        </w:rPr>
        <w:tab/>
      </w:r>
      <w:r>
        <w:rPr>
          <w:rFonts w:ascii="Arial" w:cs="Arial" w:eastAsia="Arial" w:hAnsi="Arial"/>
          <w:sz w:val="18"/>
          <w:szCs w:val="18"/>
          <w:u w:val="single" w:color="auto"/>
          <w:color w:val="auto"/>
        </w:rPr>
        <w:t>Notices of Material Events</w:t>
      </w:r>
      <w:r>
        <w:rPr>
          <w:rFonts w:ascii="Arial" w:cs="Arial" w:eastAsia="Arial" w:hAnsi="Arial"/>
          <w:sz w:val="18"/>
          <w:szCs w:val="18"/>
          <w:color w:val="auto"/>
        </w:rPr>
        <w:t>. The Borrower will furnish the following to the Administrative Agent and each</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color w:val="auto"/>
        </w:rPr>
        <w:t>Lender:</w:t>
      </w:r>
    </w:p>
    <w:p>
      <w:pPr>
        <w:spacing w:after="0" w:line="256" w:lineRule="exact"/>
        <w:rPr>
          <w:sz w:val="20"/>
          <w:szCs w:val="20"/>
          <w:color w:val="auto"/>
        </w:rPr>
      </w:pPr>
    </w:p>
    <w:p>
      <w:pPr>
        <w:ind w:firstLine="1305"/>
        <w:spacing w:after="0" w:line="289" w:lineRule="auto"/>
        <w:tabs>
          <w:tab w:leader="none" w:pos="2070" w:val="left"/>
        </w:tabs>
        <w:numPr>
          <w:ilvl w:val="1"/>
          <w:numId w:val="68"/>
        </w:numPr>
        <w:rPr>
          <w:rFonts w:ascii="Arial" w:cs="Arial" w:eastAsia="Arial" w:hAnsi="Arial"/>
          <w:sz w:val="18"/>
          <w:szCs w:val="18"/>
          <w:color w:val="auto"/>
        </w:rPr>
      </w:pPr>
      <w:r>
        <w:rPr>
          <w:rFonts w:ascii="Arial" w:cs="Arial" w:eastAsia="Arial" w:hAnsi="Arial"/>
          <w:sz w:val="20"/>
          <w:szCs w:val="20"/>
          <w:color w:val="auto"/>
        </w:rPr>
        <w:t>prompt written notice of the occurrence of any Default, specifying the nature thereof and any action taken or proposed to be taken with respect thereto;</w:t>
      </w:r>
    </w:p>
    <w:p>
      <w:pPr>
        <w:spacing w:after="0" w:line="188" w:lineRule="exact"/>
        <w:rPr>
          <w:rFonts w:ascii="Arial" w:cs="Arial" w:eastAsia="Arial" w:hAnsi="Arial"/>
          <w:sz w:val="18"/>
          <w:szCs w:val="18"/>
          <w:color w:val="auto"/>
        </w:rPr>
      </w:pPr>
    </w:p>
    <w:p>
      <w:pPr>
        <w:jc w:val="both"/>
        <w:ind w:firstLine="1305"/>
        <w:spacing w:after="0" w:line="290" w:lineRule="auto"/>
        <w:tabs>
          <w:tab w:leader="none" w:pos="2080" w:val="left"/>
        </w:tabs>
        <w:numPr>
          <w:ilvl w:val="1"/>
          <w:numId w:val="68"/>
        </w:numPr>
        <w:rPr>
          <w:rFonts w:ascii="Arial" w:cs="Arial" w:eastAsia="Arial" w:hAnsi="Arial"/>
          <w:sz w:val="17"/>
          <w:szCs w:val="17"/>
          <w:color w:val="auto"/>
        </w:rPr>
      </w:pPr>
      <w:r>
        <w:rPr>
          <w:rFonts w:ascii="Arial" w:cs="Arial" w:eastAsia="Arial" w:hAnsi="Arial"/>
          <w:sz w:val="19"/>
          <w:szCs w:val="19"/>
          <w:color w:val="auto"/>
        </w:rPr>
        <w:t>promptly upon becoming available, copies of all (i) regular, periodic or special reports, schedules and other material which the Borrower or any of its Subsidiaries may be required to file with or deliver to any securities exchange or the SEC, or any other Governmental Authority succeeding to the functions thereof, and (ii) upon the written request of the Administrative Agent, reports that the Borrower or any of its Subsidiaries sends to or files with the Federal Energy Regulatory Commission, the WPS, the MPUC or any Governmental Authority succeeding to the functions thereof, or any similar state or local Governmental Authority;</w:t>
      </w:r>
    </w:p>
    <w:p>
      <w:pPr>
        <w:spacing w:after="0" w:line="192" w:lineRule="exact"/>
        <w:rPr>
          <w:rFonts w:ascii="Arial" w:cs="Arial" w:eastAsia="Arial" w:hAnsi="Arial"/>
          <w:sz w:val="17"/>
          <w:szCs w:val="17"/>
          <w:color w:val="auto"/>
        </w:rPr>
      </w:pPr>
    </w:p>
    <w:p>
      <w:pPr>
        <w:jc w:val="both"/>
        <w:ind w:firstLine="1305"/>
        <w:spacing w:after="0" w:line="297" w:lineRule="auto"/>
        <w:tabs>
          <w:tab w:leader="none" w:pos="2070" w:val="left"/>
        </w:tabs>
        <w:numPr>
          <w:ilvl w:val="1"/>
          <w:numId w:val="68"/>
        </w:numPr>
        <w:rPr>
          <w:rFonts w:ascii="Arial" w:cs="Arial" w:eastAsia="Arial" w:hAnsi="Arial"/>
          <w:sz w:val="16"/>
          <w:szCs w:val="16"/>
          <w:color w:val="auto"/>
        </w:rPr>
      </w:pPr>
      <w:r>
        <w:rPr>
          <w:rFonts w:ascii="Arial" w:cs="Arial" w:eastAsia="Arial" w:hAnsi="Arial"/>
          <w:sz w:val="18"/>
          <w:szCs w:val="18"/>
          <w:color w:val="auto"/>
        </w:rPr>
        <w:t>prompt written notice of (i) any material citation, summons, subpoena, order, notice, claim or proceeding received by, or brought against, the Borrower or any of its Subsidiaries, with respect to (x) any proceeding before any Governmental Authority (other than proceedings in the ordinary course of business before the WPS or the MPUC), or (y) any real property under any Environmental Law, and</w:t>
      </w:r>
    </w:p>
    <w:p>
      <w:pPr>
        <w:spacing w:after="0" w:line="1" w:lineRule="exact"/>
        <w:rPr>
          <w:rFonts w:ascii="Arial" w:cs="Arial" w:eastAsia="Arial" w:hAnsi="Arial"/>
          <w:sz w:val="16"/>
          <w:szCs w:val="16"/>
          <w:color w:val="auto"/>
        </w:rPr>
      </w:pPr>
    </w:p>
    <w:p>
      <w:pPr>
        <w:jc w:val="both"/>
        <w:ind w:firstLine="8"/>
        <w:spacing w:after="0" w:line="299" w:lineRule="auto"/>
        <w:tabs>
          <w:tab w:leader="none" w:pos="296" w:val="left"/>
        </w:tabs>
        <w:numPr>
          <w:ilvl w:val="0"/>
          <w:numId w:val="69"/>
        </w:numPr>
        <w:rPr>
          <w:rFonts w:ascii="Arial" w:cs="Arial" w:eastAsia="Arial" w:hAnsi="Arial"/>
          <w:sz w:val="19"/>
          <w:szCs w:val="19"/>
          <w:color w:val="auto"/>
        </w:rPr>
      </w:pPr>
      <w:r>
        <w:rPr>
          <w:rFonts w:ascii="Arial" w:cs="Arial" w:eastAsia="Arial" w:hAnsi="Arial"/>
          <w:sz w:val="19"/>
          <w:szCs w:val="19"/>
          <w:color w:val="auto"/>
        </w:rPr>
        <w:t xml:space="preserve">any lapse or other termination of, or refusal to renew or extend, any material franchise or other authorization issued to the Borrower or any of its Subsidiaries by any Governmental Authority (other than in the ordinary course of business),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of the foregoing set forth in this paragraph would, individually or in the aggregate, reasonably be expected to have a Material Adverse Effect;</w:t>
      </w:r>
    </w:p>
    <w:p>
      <w:pPr>
        <w:spacing w:after="0" w:line="182" w:lineRule="exact"/>
        <w:rPr>
          <w:rFonts w:ascii="Arial" w:cs="Arial" w:eastAsia="Arial" w:hAnsi="Arial"/>
          <w:sz w:val="19"/>
          <w:szCs w:val="19"/>
          <w:color w:val="auto"/>
        </w:rPr>
      </w:pPr>
    </w:p>
    <w:p>
      <w:pPr>
        <w:ind w:left="2080" w:hanging="775"/>
        <w:spacing w:after="0"/>
        <w:tabs>
          <w:tab w:leader="none" w:pos="2080" w:val="left"/>
        </w:tabs>
        <w:numPr>
          <w:ilvl w:val="1"/>
          <w:numId w:val="69"/>
        </w:numPr>
        <w:rPr>
          <w:rFonts w:ascii="Arial" w:cs="Arial" w:eastAsia="Arial" w:hAnsi="Arial"/>
          <w:sz w:val="18"/>
          <w:szCs w:val="18"/>
          <w:color w:val="auto"/>
        </w:rPr>
      </w:pPr>
      <w:r>
        <w:rPr>
          <w:rFonts w:ascii="Arial" w:cs="Arial" w:eastAsia="Arial" w:hAnsi="Arial"/>
          <w:sz w:val="20"/>
          <w:szCs w:val="20"/>
          <w:color w:val="auto"/>
        </w:rPr>
        <w:t>prompt written notice of any change by any Rating Agency in a Senior Debt Rating; and</w:t>
      </w:r>
    </w:p>
    <w:p>
      <w:pPr>
        <w:spacing w:after="0" w:line="256" w:lineRule="exact"/>
        <w:rPr>
          <w:rFonts w:ascii="Arial" w:cs="Arial" w:eastAsia="Arial" w:hAnsi="Arial"/>
          <w:sz w:val="18"/>
          <w:szCs w:val="18"/>
          <w:color w:val="auto"/>
        </w:rPr>
      </w:pPr>
    </w:p>
    <w:p>
      <w:pPr>
        <w:ind w:left="2080" w:hanging="775"/>
        <w:spacing w:after="0"/>
        <w:tabs>
          <w:tab w:leader="none" w:pos="2080" w:val="left"/>
        </w:tabs>
        <w:numPr>
          <w:ilvl w:val="1"/>
          <w:numId w:val="69"/>
        </w:numPr>
        <w:rPr>
          <w:rFonts w:ascii="Arial" w:cs="Arial" w:eastAsia="Arial" w:hAnsi="Arial"/>
          <w:sz w:val="18"/>
          <w:szCs w:val="18"/>
          <w:color w:val="auto"/>
        </w:rPr>
      </w:pPr>
      <w:r>
        <w:rPr>
          <w:rFonts w:ascii="Arial" w:cs="Arial" w:eastAsia="Arial" w:hAnsi="Arial"/>
          <w:sz w:val="20"/>
          <w:szCs w:val="20"/>
          <w:color w:val="auto"/>
        </w:rPr>
        <w:t>any change in the information provided in the Beneficial Ownership Certification delivered</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to such Lender that would result in a change to the list of beneficial owners identified in such certification.</w:t>
      </w:r>
    </w:p>
    <w:p>
      <w:pPr>
        <w:sectPr>
          <w:pgSz w:w="11900" w:h="16838" w:orient="portrait"/>
          <w:cols w:equalWidth="0" w:num="1">
            <w:col w:w="11420"/>
          </w:cols>
          <w:pgMar w:left="240" w:top="337" w:right="239" w:bottom="1440" w:gutter="0" w:footer="0" w:header="0"/>
        </w:sectPr>
      </w:pPr>
    </w:p>
    <w:bookmarkStart w:id="87" w:name="page88"/>
    <w:bookmarkEnd w:id="87"/>
    <w:p>
      <w:pPr>
        <w:ind w:left="10720"/>
        <w:spacing w:after="0"/>
        <w:rPr>
          <w:sz w:val="20"/>
          <w:szCs w:val="20"/>
          <w:color w:val="auto"/>
        </w:rPr>
      </w:pPr>
      <w:r>
        <w:rPr>
          <w:rFonts w:ascii="Arial" w:cs="Arial" w:eastAsia="Arial" w:hAnsi="Arial"/>
          <w:sz w:val="16"/>
          <w:szCs w:val="16"/>
          <w:b w:val="1"/>
          <w:bCs w:val="1"/>
          <w:color w:val="auto"/>
        </w:rPr>
        <w:t>Exhibit 4</w:t>
      </w:r>
    </w:p>
    <w:p>
      <w:pPr>
        <w:spacing w:after="0" w:line="27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 xml:space="preserve">Each notice delivered under </w:t>
      </w:r>
      <w:r>
        <w:rPr>
          <w:rFonts w:ascii="Arial" w:cs="Arial" w:eastAsia="Arial" w:hAnsi="Arial"/>
          <w:sz w:val="20"/>
          <w:szCs w:val="20"/>
          <w:u w:val="single" w:color="auto"/>
          <w:color w:val="auto"/>
        </w:rPr>
        <w:t>Section 6.2(a)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(c)</w:t>
      </w:r>
      <w:r>
        <w:rPr>
          <w:rFonts w:ascii="Arial" w:cs="Arial" w:eastAsia="Arial" w:hAnsi="Arial"/>
          <w:sz w:val="20"/>
          <w:szCs w:val="20"/>
          <w:color w:val="auto"/>
        </w:rPr>
        <w:t xml:space="preserve"> shall be accompanied by a statement of a Financial Officer or other executive officer of the Borrower setting forth the details of the event or development requiring such notice and any action taken or proposed to be taken with respect thereto.</w:t>
      </w:r>
    </w:p>
    <w:p>
      <w:pPr>
        <w:spacing w:after="0" w:line="15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 xml:space="preserve">Documents required to be delivered pursuant to </w:t>
      </w:r>
      <w:r>
        <w:rPr>
          <w:rFonts w:ascii="Arial" w:cs="Arial" w:eastAsia="Arial" w:hAnsi="Arial"/>
          <w:sz w:val="18"/>
          <w:szCs w:val="18"/>
          <w:u w:val="single" w:color="auto"/>
          <w:color w:val="auto"/>
        </w:rPr>
        <w:t>Section 6.1(a)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6.2(b)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w:t>
      </w:r>
      <w:r>
        <w:rPr>
          <w:rFonts w:ascii="Arial" w:cs="Arial" w:eastAsia="Arial" w:hAnsi="Arial"/>
          <w:sz w:val="18"/>
          <w:szCs w:val="18"/>
          <w:color w:val="auto"/>
        </w:rPr>
        <w:t xml:space="preserve"> (to the extent any such documents are included in materials otherwise filed with the SEC) may be delivered electronically and if so delivered, shall be deemed to have been delivered on the date (a) on which the Borrower posts such documents, or provides a link thereto, on the Borrower’s website on the Internet at the website address listed in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or (b) on which such documents are posted on the Borrower’s behalf on an Internet or intranet website, if any, to which each Lender and the Administrative Agent have access (whether a commercial, third-party website or whether sponsored by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the Borrower shall deliver paper copies of such documents to the Administrative Agent or any Lender that requests the Borrower to deliver such paper copies until a written request to cease delivering paper copies is given by the Administrative Agent or such Lender and (ii) the Borrower shall notify the Administrative Agent and each Lender (by facsimile or electronic mail) of the posting of any such documents and provide to the Administrative Agent by electronic mail electronic versions (</w:t>
      </w:r>
      <w:r>
        <w:rPr>
          <w:rFonts w:ascii="Arial" w:cs="Arial" w:eastAsia="Arial" w:hAnsi="Arial"/>
          <w:sz w:val="18"/>
          <w:szCs w:val="18"/>
          <w:u w:val="single" w:color="auto"/>
          <w:color w:val="auto"/>
        </w:rPr>
        <w:t>i.e.</w:t>
      </w:r>
      <w:r>
        <w:rPr>
          <w:rFonts w:ascii="Arial" w:cs="Arial" w:eastAsia="Arial" w:hAnsi="Arial"/>
          <w:sz w:val="18"/>
          <w:szCs w:val="18"/>
          <w:color w:val="auto"/>
        </w:rPr>
        <w:t>, soft copies) of such documents. Except for such Compliance Certificates, the Administrative Agent shall have no obligation to request the delivery or to maintain copies of the documents referred to above, and in any event shall have no responsibility to monitor compliance by the Borrower with any such request for delivery, and each Lender shall be solely responsible for requesting delivery to it or maintaining its copies of such documents.</w:t>
      </w:r>
    </w:p>
    <w:p>
      <w:pPr>
        <w:spacing w:after="0" w:line="163"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17"/>
          <w:szCs w:val="17"/>
          <w:color w:val="auto"/>
        </w:rPr>
        <w:t xml:space="preserve">Section 6.3 </w:t>
      </w:r>
      <w:r>
        <w:rPr>
          <w:rFonts w:ascii="Arial" w:cs="Arial" w:eastAsia="Arial" w:hAnsi="Arial"/>
          <w:sz w:val="18"/>
          <w:szCs w:val="18"/>
          <w:u w:val="single" w:color="auto"/>
          <w:color w:val="auto"/>
        </w:rPr>
        <w:t>Legal Existence</w:t>
      </w:r>
      <w:r>
        <w:rPr>
          <w:rFonts w:ascii="Arial" w:cs="Arial" w:eastAsia="Arial" w:hAnsi="Arial"/>
          <w:sz w:val="18"/>
          <w:szCs w:val="18"/>
          <w:color w:val="auto"/>
        </w:rPr>
        <w:t>. Except as permitted under</w:t>
      </w:r>
      <w:r>
        <w:rPr>
          <w:rFonts w:ascii="Arial" w:cs="Arial" w:eastAsia="Arial" w:hAnsi="Arial"/>
          <w:sz w:val="17"/>
          <w:szCs w:val="17"/>
          <w:color w:val="auto"/>
        </w:rPr>
        <w:t xml:space="preserve"> </w:t>
      </w:r>
      <w:r>
        <w:rPr>
          <w:rFonts w:ascii="Arial" w:cs="Arial" w:eastAsia="Arial" w:hAnsi="Arial"/>
          <w:sz w:val="18"/>
          <w:szCs w:val="18"/>
          <w:u w:val="single" w:color="auto"/>
          <w:color w:val="auto"/>
        </w:rPr>
        <w:t>Section 7.2</w:t>
      </w:r>
      <w:r>
        <w:rPr>
          <w:rFonts w:ascii="Arial" w:cs="Arial" w:eastAsia="Arial" w:hAnsi="Arial"/>
          <w:sz w:val="18"/>
          <w:szCs w:val="18"/>
          <w:color w:val="auto"/>
        </w:rPr>
        <w:t>, the Borrower shall maintain its legal existence in</w:t>
      </w:r>
      <w:r>
        <w:rPr>
          <w:rFonts w:ascii="Arial" w:cs="Arial" w:eastAsia="Arial" w:hAnsi="Arial"/>
          <w:sz w:val="17"/>
          <w:szCs w:val="17"/>
          <w:color w:val="auto"/>
        </w:rPr>
        <w:t xml:space="preserve"> </w:t>
      </w:r>
      <w:r>
        <w:rPr>
          <w:rFonts w:ascii="Arial" w:cs="Arial" w:eastAsia="Arial" w:hAnsi="Arial"/>
          <w:sz w:val="18"/>
          <w:szCs w:val="18"/>
          <w:color w:val="auto"/>
        </w:rPr>
        <w:t>good standing in the jurisdiction of its organization or formation and in each other jurisdiction in which the failure so to do would reasonably be expected to have a Material Adverse Effect, and cause each of the Subsidiaries to maintain its qualification to do business and good standing in each jurisdiction in which the failure so to do would reasonably be expected to have a Material Adverse Effect (it being understood that the foregoing shall not prohibit the Borrower from dissolving or terminating the existence of any Subsidiary that is inactive or whose preservation otherwise is no longer desirable in the conduct of the business of the Borrower and its Subsidiaries considered as a whole).</w:t>
      </w:r>
    </w:p>
    <w:p>
      <w:pPr>
        <w:spacing w:after="0" w:line="18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8"/>
          <w:szCs w:val="18"/>
          <w:color w:val="auto"/>
        </w:rPr>
        <w:t xml:space="preserve">Section 6.4 </w:t>
      </w:r>
      <w:r>
        <w:rPr>
          <w:rFonts w:ascii="Arial" w:cs="Arial" w:eastAsia="Arial" w:hAnsi="Arial"/>
          <w:sz w:val="19"/>
          <w:szCs w:val="19"/>
          <w:u w:val="single" w:color="auto"/>
          <w:color w:val="auto"/>
        </w:rPr>
        <w:t>Taxes</w:t>
      </w:r>
      <w:r>
        <w:rPr>
          <w:rFonts w:ascii="Arial" w:cs="Arial" w:eastAsia="Arial" w:hAnsi="Arial"/>
          <w:sz w:val="19"/>
          <w:szCs w:val="19"/>
          <w:color w:val="auto"/>
        </w:rPr>
        <w:t>. The Borrower shall pay and discharge when due, and cause each of the Subsidiaries so to do, all</w:t>
      </w:r>
      <w:r>
        <w:rPr>
          <w:rFonts w:ascii="Arial" w:cs="Arial" w:eastAsia="Arial" w:hAnsi="Arial"/>
          <w:sz w:val="18"/>
          <w:szCs w:val="18"/>
          <w:color w:val="auto"/>
        </w:rPr>
        <w:t xml:space="preserve"> </w:t>
      </w:r>
      <w:r>
        <w:rPr>
          <w:rFonts w:ascii="Arial" w:cs="Arial" w:eastAsia="Arial" w:hAnsi="Arial"/>
          <w:sz w:val="19"/>
          <w:szCs w:val="19"/>
          <w:color w:val="auto"/>
        </w:rPr>
        <w:t xml:space="preserve">Taxes imposed upon it or upon its property, which if unpaid would, individually or collectively, reasonably be expected to have a Material Adverse Effect or become a Lien on the property of the Borrower or such Subsidiary (other than a Lien described in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of the definition of Permitted Encumbrances), as the case may be, unless and to the extent only that such Taxes shall be contested in good faith and by appropriate proceedings diligently conducted by the Borrower or such Subsidiary, as the case may be.</w:t>
      </w:r>
    </w:p>
    <w:p>
      <w:pPr>
        <w:spacing w:after="0" w:line="19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 xml:space="preserve">Section 6.5 </w:t>
      </w:r>
      <w:r>
        <w:rPr>
          <w:rFonts w:ascii="Arial" w:cs="Arial" w:eastAsia="Arial" w:hAnsi="Arial"/>
          <w:sz w:val="19"/>
          <w:szCs w:val="19"/>
          <w:u w:val="single" w:color="auto"/>
          <w:color w:val="auto"/>
        </w:rPr>
        <w:t>Insurance</w:t>
      </w:r>
      <w:r>
        <w:rPr>
          <w:rFonts w:ascii="Arial" w:cs="Arial" w:eastAsia="Arial" w:hAnsi="Arial"/>
          <w:sz w:val="19"/>
          <w:szCs w:val="19"/>
          <w:color w:val="auto"/>
        </w:rPr>
        <w:t>. The Borrower shall maintain, and cause each of its Subsidiaries to maintain, with financially</w:t>
      </w:r>
      <w:r>
        <w:rPr>
          <w:rFonts w:ascii="Arial" w:cs="Arial" w:eastAsia="Arial" w:hAnsi="Arial"/>
          <w:sz w:val="18"/>
          <w:szCs w:val="18"/>
          <w:color w:val="auto"/>
        </w:rPr>
        <w:t xml:space="preserve"> </w:t>
      </w:r>
      <w:r>
        <w:rPr>
          <w:rFonts w:ascii="Arial" w:cs="Arial" w:eastAsia="Arial" w:hAnsi="Arial"/>
          <w:sz w:val="19"/>
          <w:szCs w:val="19"/>
          <w:color w:val="auto"/>
        </w:rPr>
        <w:t xml:space="preserve">sound and reputable insurance companies insurance on all its property in at least such amounts and against at least such risks as are usually insured against in the same general area by companies engaged in the same or a similar business,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 and its Subsidiaries may self-insure to the same extent as other companies engaged in similar businesses and owning similar properties in the same general areas in which the Borrower or such Subsidiary operates and to the extent consistent with prudent business practice. The Borrower shall furnish to the Administrative Agent, upon written request of the Administrative Agent or any Lender, full information as to the insurance carried.</w:t>
      </w:r>
    </w:p>
    <w:p>
      <w:pPr>
        <w:spacing w:after="0" w:line="19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 xml:space="preserve">Section 6.6 </w:t>
      </w:r>
      <w:r>
        <w:rPr>
          <w:rFonts w:ascii="Arial" w:cs="Arial" w:eastAsia="Arial" w:hAnsi="Arial"/>
          <w:sz w:val="19"/>
          <w:szCs w:val="19"/>
          <w:u w:val="single" w:color="auto"/>
          <w:color w:val="auto"/>
        </w:rPr>
        <w:t>Condition of Property</w:t>
      </w:r>
      <w:r>
        <w:rPr>
          <w:rFonts w:ascii="Arial" w:cs="Arial" w:eastAsia="Arial" w:hAnsi="Arial"/>
          <w:sz w:val="19"/>
          <w:szCs w:val="19"/>
          <w:color w:val="auto"/>
        </w:rPr>
        <w:t>. The Borrower shall at all times maintain, protect and keep in good repair, working</w:t>
      </w:r>
      <w:r>
        <w:rPr>
          <w:rFonts w:ascii="Arial" w:cs="Arial" w:eastAsia="Arial" w:hAnsi="Arial"/>
          <w:sz w:val="18"/>
          <w:szCs w:val="18"/>
          <w:color w:val="auto"/>
        </w:rPr>
        <w:t xml:space="preserve"> </w:t>
      </w:r>
      <w:r>
        <w:rPr>
          <w:rFonts w:ascii="Arial" w:cs="Arial" w:eastAsia="Arial" w:hAnsi="Arial"/>
          <w:sz w:val="19"/>
          <w:szCs w:val="19"/>
          <w:color w:val="auto"/>
        </w:rPr>
        <w:t xml:space="preserve">order and condition in all material respects (ordinary wear and tear excepted), and cause each of its Subsidiaries so to do, all material property necessary to the operation of the Borrower’s or such Subsidiary’s, as the case may be, material businesses,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nothing shall prevent the Borrower or its Subsidiaries, as appropriate, from discontinuing the maintenance or operation of any property if such discontinuance is, in the judgment of the Borrower or such Subsidiary, desirable in the conduct of the business of the Borrower or such Subsidiary. It is understood that this covenant relates only to working order and condition of such property in accordance with prudent industry practices and shall not be construed as a covenant not to dispose of property.</w:t>
      </w:r>
    </w:p>
    <w:p>
      <w:pPr>
        <w:sectPr>
          <w:pgSz w:w="11900" w:h="16838" w:orient="portrait"/>
          <w:cols w:equalWidth="0" w:num="1">
            <w:col w:w="11420"/>
          </w:cols>
          <w:pgMar w:left="240" w:top="337" w:right="239" w:bottom="1440" w:gutter="0" w:footer="0" w:header="0"/>
        </w:sectPr>
      </w:pPr>
    </w:p>
    <w:bookmarkStart w:id="88" w:name="page89"/>
    <w:bookmarkEnd w:id="88"/>
    <w:tbl>
      <w:tblPr>
        <w:tblLayout w:type="fixed"/>
        <w:tblInd w:w="660" w:type="dxa"/>
        <w:tblCellMar>
          <w:top w:w="0" w:type="dxa"/>
          <w:left w:w="0" w:type="dxa"/>
          <w:bottom w:w="0" w:type="dxa"/>
          <w:right w:w="0" w:type="dxa"/>
        </w:tblCellMar>
      </w:tblPr>
      <w:tr>
        <w:trPr>
          <w:trHeight w:val="234"/>
        </w:trPr>
        <w:tc>
          <w:tcPr>
            <w:tcW w:w="21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5780" w:type="dxa"/>
            <w:vAlign w:val="bottom"/>
          </w:tcPr>
          <w:p>
            <w:pPr>
              <w:jc w:val="right"/>
              <w:spacing w:after="0"/>
              <w:rPr>
                <w:sz w:val="20"/>
                <w:szCs w:val="20"/>
                <w:color w:val="auto"/>
              </w:rPr>
            </w:pPr>
            <w:r>
              <w:rPr>
                <w:rFonts w:ascii="Arial" w:cs="Arial" w:eastAsia="Arial" w:hAnsi="Arial"/>
                <w:sz w:val="18"/>
                <w:szCs w:val="18"/>
                <w:b w:val="1"/>
                <w:bCs w:val="1"/>
                <w:color w:val="auto"/>
              </w:rPr>
              <w:t>Exhibit 4</w:t>
            </w:r>
          </w:p>
        </w:tc>
      </w:tr>
      <w:tr>
        <w:trPr>
          <w:trHeight w:val="446"/>
        </w:trPr>
        <w:tc>
          <w:tcPr>
            <w:tcW w:w="2120" w:type="dxa"/>
            <w:vAlign w:val="bottom"/>
          </w:tcPr>
          <w:p>
            <w:pPr>
              <w:spacing w:after="0"/>
              <w:rPr>
                <w:sz w:val="20"/>
                <w:szCs w:val="20"/>
                <w:color w:val="auto"/>
              </w:rPr>
            </w:pPr>
            <w:r>
              <w:rPr>
                <w:rFonts w:ascii="Arial" w:cs="Arial" w:eastAsia="Arial" w:hAnsi="Arial"/>
                <w:sz w:val="18"/>
                <w:szCs w:val="18"/>
                <w:color w:val="auto"/>
              </w:rPr>
              <w:t>Section 6.7</w:t>
            </w:r>
          </w:p>
        </w:tc>
        <w:tc>
          <w:tcPr>
            <w:tcW w:w="8640" w:type="dxa"/>
            <w:vAlign w:val="bottom"/>
            <w:gridSpan w:val="2"/>
          </w:tcPr>
          <w:p>
            <w:pPr>
              <w:jc w:val="right"/>
              <w:spacing w:after="0"/>
              <w:rPr>
                <w:sz w:val="20"/>
                <w:szCs w:val="20"/>
                <w:color w:val="auto"/>
              </w:rPr>
            </w:pPr>
            <w:r>
              <w:rPr>
                <w:rFonts w:ascii="Arial" w:cs="Arial" w:eastAsia="Arial" w:hAnsi="Arial"/>
                <w:sz w:val="20"/>
                <w:szCs w:val="20"/>
                <w:color w:val="auto"/>
                <w:w w:val="92"/>
              </w:rPr>
              <w:t>Observance of Legal Requirements. The Borrower shall observe and comply in all material respects, and</w:t>
            </w:r>
          </w:p>
        </w:tc>
      </w:tr>
      <w:tr>
        <w:trPr>
          <w:trHeight w:val="20"/>
        </w:trPr>
        <w:tc>
          <w:tcPr>
            <w:tcW w:w="2120" w:type="dxa"/>
            <w:vAlign w:val="bottom"/>
          </w:tcPr>
          <w:p>
            <w:pPr>
              <w:spacing w:after="0" w:line="20" w:lineRule="exact"/>
              <w:rPr>
                <w:sz w:val="1"/>
                <w:szCs w:val="1"/>
                <w:color w:val="auto"/>
              </w:rPr>
            </w:pPr>
          </w:p>
        </w:tc>
        <w:tc>
          <w:tcPr>
            <w:tcW w:w="2860" w:type="dxa"/>
            <w:vAlign w:val="bottom"/>
            <w:shd w:val="clear" w:color="auto" w:fill="000000"/>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r>
    </w:tbl>
    <w:p>
      <w:pPr>
        <w:spacing w:after="0" w:line="37"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cause each of its Subsidiaries so to do, with all laws, regulations and orders of any Governmental Authority which now or at any time hereafter may be applicable to it, including ERISA and all Environmental Laws, a violation of which would individually or collectively reasonably be expected to have a Material Adverse Effect, except such thereof as shall be contested in good faith and, if applicable, by appropriate proceedings diligently conducted by it.</w:t>
      </w:r>
    </w:p>
    <w:p>
      <w:pPr>
        <w:spacing w:after="0" w:line="206" w:lineRule="exact"/>
        <w:rPr>
          <w:sz w:val="20"/>
          <w:szCs w:val="20"/>
          <w:color w:val="auto"/>
        </w:rPr>
      </w:pPr>
    </w:p>
    <w:p>
      <w:pPr>
        <w:ind w:left="660"/>
        <w:spacing w:after="0"/>
        <w:tabs>
          <w:tab w:leader="none" w:pos="2760" w:val="left"/>
        </w:tabs>
        <w:rPr>
          <w:sz w:val="20"/>
          <w:szCs w:val="20"/>
          <w:color w:val="auto"/>
        </w:rPr>
      </w:pPr>
      <w:r>
        <w:rPr>
          <w:rFonts w:ascii="Arial" w:cs="Arial" w:eastAsia="Arial" w:hAnsi="Arial"/>
          <w:sz w:val="18"/>
          <w:szCs w:val="18"/>
          <w:color w:val="auto"/>
        </w:rPr>
        <w:t>Section 6.8</w:t>
      </w:r>
      <w:r>
        <w:rPr>
          <w:sz w:val="20"/>
          <w:szCs w:val="20"/>
          <w:color w:val="auto"/>
        </w:rPr>
        <w:tab/>
      </w:r>
      <w:r>
        <w:rPr>
          <w:rFonts w:ascii="Arial" w:cs="Arial" w:eastAsia="Arial" w:hAnsi="Arial"/>
          <w:sz w:val="18"/>
          <w:szCs w:val="18"/>
          <w:u w:val="single" w:color="auto"/>
          <w:color w:val="auto"/>
        </w:rPr>
        <w:t>Inspection of Property; Books and Records; Discussions</w:t>
      </w:r>
      <w:r>
        <w:rPr>
          <w:rFonts w:ascii="Arial" w:cs="Arial" w:eastAsia="Arial" w:hAnsi="Arial"/>
          <w:sz w:val="18"/>
          <w:szCs w:val="18"/>
          <w:color w:val="auto"/>
        </w:rPr>
        <w:t>. The Borrower shall keep proper books of record</w:t>
      </w:r>
    </w:p>
    <w:p>
      <w:pPr>
        <w:spacing w:after="0" w:line="50" w:lineRule="exact"/>
        <w:rPr>
          <w:sz w:val="20"/>
          <w:szCs w:val="20"/>
          <w:color w:val="auto"/>
        </w:rPr>
      </w:pPr>
    </w:p>
    <w:p>
      <w:pPr>
        <w:jc w:val="both"/>
        <w:spacing w:after="0" w:line="302" w:lineRule="auto"/>
        <w:rPr>
          <w:sz w:val="20"/>
          <w:szCs w:val="20"/>
          <w:color w:val="auto"/>
        </w:rPr>
      </w:pPr>
      <w:r>
        <w:rPr>
          <w:rFonts w:ascii="Arial" w:cs="Arial" w:eastAsia="Arial" w:hAnsi="Arial"/>
          <w:sz w:val="18"/>
          <w:szCs w:val="18"/>
          <w:color w:val="auto"/>
        </w:rPr>
        <w:t xml:space="preserve">and account in conformity with GAAP and all requirements of law. The Borrower shall permit representatives of the Administrative Agent and any Lender to visit its offices, to inspect any of its property (subject to reasonable procedures relating to safety and security) and examine and make copies or abstracts from any of its books and records at any reasonable time and as often as may reasonably be desired, and to discuss the business, operations, prospects, property and financial condition of the Borrower and its Subsidiaries with the officers thereof and the Accountants;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none of the Administrative Agent, its agents, its representatives or the Lenders shall be entitled to examine or make copies or abstracts of, or otherwise obtain information with respect to, the Borrower’s records relating to pending or threatened litigation if any such disclosure by the Borrower would reasonably be expected (i) to give rise to a waiver of any attorney/client privilege of the Borrower or any of its Subsidiaries relating to such information or (ii) to be otherwise materially disadvantageous to the Borrower or any of its Subsidiaries in the defense of such litigation;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in the case of any discussion with the Accountants, the Borrower shall have been given the opportunity to participate in such discussion and, unless a Default exists, the Lender or Lenders requesting such discussion shall pay any fees and expenses of the Accountant in connection therewith.</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7.</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NEGATIVE COVENANTS</w:t>
      </w:r>
    </w:p>
    <w:p>
      <w:pPr>
        <w:spacing w:after="0" w:line="22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Until the principal of and interest on all Loans and all other amounts payable under the Loan Documents shall have been paid in full, the Borrower covenants and agrees with the Credit Parties that:</w:t>
      </w:r>
    </w:p>
    <w:p>
      <w:pPr>
        <w:spacing w:after="0" w:line="163" w:lineRule="exact"/>
        <w:rPr>
          <w:sz w:val="20"/>
          <w:szCs w:val="20"/>
          <w:color w:val="auto"/>
        </w:rPr>
      </w:pPr>
    </w:p>
    <w:p>
      <w:pPr>
        <w:ind w:left="660" w:firstLine="648"/>
        <w:spacing w:after="0" w:line="316" w:lineRule="auto"/>
        <w:rPr>
          <w:sz w:val="20"/>
          <w:szCs w:val="20"/>
          <w:color w:val="auto"/>
        </w:rPr>
      </w:pPr>
      <w:r>
        <w:rPr>
          <w:rFonts w:ascii="Arial" w:cs="Arial" w:eastAsia="Arial" w:hAnsi="Arial"/>
          <w:sz w:val="18"/>
          <w:szCs w:val="18"/>
          <w:color w:val="auto"/>
        </w:rPr>
        <w:t xml:space="preserve">Section 7.1 </w:t>
      </w:r>
      <w:r>
        <w:rPr>
          <w:rFonts w:ascii="Arial" w:cs="Arial" w:eastAsia="Arial" w:hAnsi="Arial"/>
          <w:sz w:val="19"/>
          <w:szCs w:val="19"/>
          <w:u w:val="single" w:color="auto"/>
          <w:color w:val="auto"/>
        </w:rPr>
        <w:t>Liens</w:t>
      </w:r>
      <w:r>
        <w:rPr>
          <w:rFonts w:ascii="Arial" w:cs="Arial" w:eastAsia="Arial" w:hAnsi="Arial"/>
          <w:sz w:val="19"/>
          <w:szCs w:val="19"/>
          <w:color w:val="auto"/>
        </w:rPr>
        <w:t>. The Borrower shall not, and shall not permit any Subsidiary to, create, incur, assume or suffer</w:t>
      </w:r>
      <w:r>
        <w:rPr>
          <w:rFonts w:ascii="Arial" w:cs="Arial" w:eastAsia="Arial" w:hAnsi="Arial"/>
          <w:sz w:val="18"/>
          <w:szCs w:val="18"/>
          <w:color w:val="auto"/>
        </w:rPr>
        <w:t xml:space="preserve"> </w:t>
      </w:r>
      <w:r>
        <w:rPr>
          <w:rFonts w:ascii="Arial" w:cs="Arial" w:eastAsia="Arial" w:hAnsi="Arial"/>
          <w:sz w:val="19"/>
          <w:szCs w:val="19"/>
          <w:color w:val="auto"/>
        </w:rPr>
        <w:t>to exist any Lien upon any of its property, whether now owned or hereafter acquired by it, except:</w:t>
      </w:r>
    </w:p>
    <w:p>
      <w:pPr>
        <w:spacing w:after="0" w:line="167"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17"/>
          <w:szCs w:val="17"/>
          <w:color w:val="auto"/>
        </w:rPr>
        <w:t>(a)</w:t>
      </w:r>
      <w:r>
        <w:rPr>
          <w:sz w:val="20"/>
          <w:szCs w:val="20"/>
          <w:color w:val="auto"/>
        </w:rPr>
        <w:tab/>
      </w:r>
      <w:r>
        <w:rPr>
          <w:rFonts w:ascii="Arial" w:cs="Arial" w:eastAsia="Arial" w:hAnsi="Arial"/>
          <w:sz w:val="19"/>
          <w:szCs w:val="19"/>
          <w:color w:val="auto"/>
        </w:rPr>
        <w:t>Liens now existing or hereafter arising in favor of the Administrative Agent or the Lenders under the Loan</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color w:val="auto"/>
        </w:rPr>
        <w:t>Documents;</w:t>
      </w:r>
    </w:p>
    <w:p>
      <w:pPr>
        <w:spacing w:after="0" w:line="256" w:lineRule="exact"/>
        <w:rPr>
          <w:sz w:val="20"/>
          <w:szCs w:val="20"/>
          <w:color w:val="auto"/>
        </w:rPr>
      </w:pPr>
    </w:p>
    <w:p>
      <w:pPr>
        <w:ind w:left="2160" w:hanging="855"/>
        <w:spacing w:after="0"/>
        <w:tabs>
          <w:tab w:leader="none" w:pos="2160" w:val="left"/>
        </w:tabs>
        <w:numPr>
          <w:ilvl w:val="0"/>
          <w:numId w:val="70"/>
        </w:numPr>
        <w:rPr>
          <w:rFonts w:ascii="Arial" w:cs="Arial" w:eastAsia="Arial" w:hAnsi="Arial"/>
          <w:sz w:val="18"/>
          <w:szCs w:val="18"/>
          <w:color w:val="auto"/>
        </w:rPr>
      </w:pPr>
      <w:r>
        <w:rPr>
          <w:rFonts w:ascii="Arial" w:cs="Arial" w:eastAsia="Arial" w:hAnsi="Arial"/>
          <w:sz w:val="20"/>
          <w:szCs w:val="20"/>
          <w:color w:val="auto"/>
        </w:rPr>
        <w:t>Permitted Encumbrances;</w:t>
      </w:r>
    </w:p>
    <w:p>
      <w:pPr>
        <w:spacing w:after="0" w:line="256" w:lineRule="exact"/>
        <w:rPr>
          <w:rFonts w:ascii="Arial" w:cs="Arial" w:eastAsia="Arial" w:hAnsi="Arial"/>
          <w:sz w:val="18"/>
          <w:szCs w:val="18"/>
          <w:color w:val="auto"/>
        </w:rPr>
      </w:pPr>
    </w:p>
    <w:p>
      <w:pPr>
        <w:jc w:val="both"/>
        <w:ind w:firstLine="1305"/>
        <w:spacing w:after="0" w:line="287" w:lineRule="auto"/>
        <w:tabs>
          <w:tab w:leader="none" w:pos="2144" w:val="left"/>
        </w:tabs>
        <w:numPr>
          <w:ilvl w:val="0"/>
          <w:numId w:val="70"/>
        </w:numPr>
        <w:rPr>
          <w:rFonts w:ascii="Arial" w:cs="Arial" w:eastAsia="Arial" w:hAnsi="Arial"/>
          <w:sz w:val="17"/>
          <w:szCs w:val="17"/>
          <w:color w:val="auto"/>
        </w:rPr>
      </w:pPr>
      <w:r>
        <w:rPr>
          <w:rFonts w:ascii="Arial" w:cs="Arial" w:eastAsia="Arial" w:hAnsi="Arial"/>
          <w:sz w:val="19"/>
          <w:szCs w:val="19"/>
          <w:color w:val="auto"/>
        </w:rPr>
        <w:t xml:space="preserve">any Lien existing on any property prior to the acquisition thereof by the Borrower or any Subsidiary, or existing on any property of any Person that becomes a Subsidiary after the Effective Date prior to the time such Person becomes a Subsidiary or that is merged with or into or consolidated with the Borrower or any Subsidiary prior to such merger or consolidation,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Lien is not created in contemplation of or in connection with such acquisition or such Person becoming a Subsidiary or such merger or consolidation, as the case may be, (ii) such Lien shall not apply to any other property of the Borrower or any Subsidiary and (iii) such Lien shall secure only those obligations and liabilities that it secures on the date of such acquisition or the date such Person becomes a Subsidiary of the Borrower or such merger or consolidation, as the case may be;</w:t>
      </w:r>
    </w:p>
    <w:p>
      <w:pPr>
        <w:spacing w:after="0" w:line="196" w:lineRule="exact"/>
        <w:rPr>
          <w:rFonts w:ascii="Arial" w:cs="Arial" w:eastAsia="Arial" w:hAnsi="Arial"/>
          <w:sz w:val="17"/>
          <w:szCs w:val="17"/>
          <w:color w:val="auto"/>
        </w:rPr>
      </w:pPr>
    </w:p>
    <w:p>
      <w:pPr>
        <w:jc w:val="both"/>
        <w:ind w:firstLine="1305"/>
        <w:spacing w:after="0" w:line="272" w:lineRule="auto"/>
        <w:tabs>
          <w:tab w:leader="none" w:pos="2155" w:val="left"/>
        </w:tabs>
        <w:numPr>
          <w:ilvl w:val="0"/>
          <w:numId w:val="70"/>
        </w:numPr>
        <w:rPr>
          <w:rFonts w:ascii="Arial" w:cs="Arial" w:eastAsia="Arial" w:hAnsi="Arial"/>
          <w:sz w:val="18"/>
          <w:szCs w:val="18"/>
          <w:color w:val="auto"/>
        </w:rPr>
      </w:pPr>
      <w:r>
        <w:rPr>
          <w:rFonts w:ascii="Arial" w:cs="Arial" w:eastAsia="Arial" w:hAnsi="Arial"/>
          <w:sz w:val="20"/>
          <w:szCs w:val="20"/>
          <w:color w:val="auto"/>
        </w:rPr>
        <w:t xml:space="preserve">Liens (including precautionary Liens in connection with Capital Lease Obligations) on fixed or capital assets and other property (including any natural gas, oil or other mineral assets, pollution control facilities, electrical generating plants, equipment and machinery, and related accounts, financial assets, contracts and general intangibles) acquired, constructed, explored, drilled, developed, improved, repaired or serviced (including in connection with the financing of working capital and ongoing maintenance) by the Borrower or any Subsidiary,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 such security interests and the obligations and liabilities secured thereby are incurred prior to or within 270 days</w:t>
      </w:r>
    </w:p>
    <w:p>
      <w:pPr>
        <w:sectPr>
          <w:pgSz w:w="11900" w:h="16838" w:orient="portrait"/>
          <w:cols w:equalWidth="0" w:num="1">
            <w:col w:w="11420"/>
          </w:cols>
          <w:pgMar w:left="240" w:top="337" w:right="239" w:bottom="1440" w:gutter="0" w:footer="0" w:header="0"/>
        </w:sectPr>
      </w:pPr>
    </w:p>
    <w:bookmarkStart w:id="89" w:name="page90"/>
    <w:bookmarkEnd w:id="89"/>
    <w:p>
      <w:pPr>
        <w:ind w:left="10720"/>
        <w:spacing w:after="0"/>
        <w:rPr>
          <w:sz w:val="20"/>
          <w:szCs w:val="20"/>
          <w:color w:val="auto"/>
        </w:rPr>
      </w:pPr>
      <w:r>
        <w:rPr>
          <w:rFonts w:ascii="Arial" w:cs="Arial" w:eastAsia="Arial" w:hAnsi="Arial"/>
          <w:sz w:val="16"/>
          <w:szCs w:val="16"/>
          <w:b w:val="1"/>
          <w:bCs w:val="1"/>
          <w:color w:val="auto"/>
        </w:rPr>
        <w:t>Exhibit 4</w:t>
      </w:r>
    </w:p>
    <w:p>
      <w:pPr>
        <w:spacing w:after="0" w:line="290"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 xml:space="preserve">after the acquisition of the relevant asset or the completion of the relevant construction, exploration, drilling, development, improvement, repair or servicing (including the relevant financing of working capital and ongoing maintenance), as the case may be, (ii) the obligations and liabilities secured thereby do not exceed the cost of acquiring, constructing, exploring, drilling, developing, improving, repairing or servicing (including the financing of working capital and ongoing maintenance in respect of) the relevant assets, and (iii) such security interests shall not apply to any other property beyond the relevant property set forth in this </w:t>
      </w:r>
      <w:r>
        <w:rPr>
          <w:rFonts w:ascii="Arial" w:cs="Arial" w:eastAsia="Arial" w:hAnsi="Arial"/>
          <w:sz w:val="20"/>
          <w:szCs w:val="20"/>
          <w:u w:val="single" w:color="auto"/>
          <w:color w:val="auto"/>
        </w:rPr>
        <w:t>paragraph (d)</w:t>
      </w:r>
      <w:r>
        <w:rPr>
          <w:rFonts w:ascii="Arial" w:cs="Arial" w:eastAsia="Arial" w:hAnsi="Arial"/>
          <w:sz w:val="20"/>
          <w:szCs w:val="20"/>
          <w:color w:val="auto"/>
        </w:rPr>
        <w:t xml:space="preserve"> (and in the case of construction or improvement, any theretofore unimproved real property on which the property so constructed or the improvement is located) and </w:t>
      </w:r>
      <w:r>
        <w:rPr>
          <w:rFonts w:ascii="Arial" w:cs="Arial" w:eastAsia="Arial" w:hAnsi="Arial"/>
          <w:sz w:val="20"/>
          <w:szCs w:val="20"/>
          <w:u w:val="single" w:color="auto"/>
          <w:color w:val="auto"/>
        </w:rPr>
        <w:t>paragraph (f)</w:t>
      </w:r>
      <w:r>
        <w:rPr>
          <w:rFonts w:ascii="Arial" w:cs="Arial" w:eastAsia="Arial" w:hAnsi="Arial"/>
          <w:sz w:val="20"/>
          <w:szCs w:val="20"/>
          <w:color w:val="auto"/>
        </w:rPr>
        <w:t>, as applicable, of the Borrower or any Subsidiary;</w:t>
      </w:r>
    </w:p>
    <w:p>
      <w:pPr>
        <w:spacing w:after="0" w:line="208" w:lineRule="exact"/>
        <w:rPr>
          <w:sz w:val="20"/>
          <w:szCs w:val="20"/>
          <w:color w:val="auto"/>
        </w:rPr>
      </w:pPr>
    </w:p>
    <w:p>
      <w:pPr>
        <w:ind w:left="2160" w:hanging="855"/>
        <w:spacing w:after="0"/>
        <w:tabs>
          <w:tab w:leader="none" w:pos="2160" w:val="left"/>
        </w:tabs>
        <w:numPr>
          <w:ilvl w:val="0"/>
          <w:numId w:val="71"/>
        </w:numPr>
        <w:rPr>
          <w:rFonts w:ascii="Arial" w:cs="Arial" w:eastAsia="Arial" w:hAnsi="Arial"/>
          <w:sz w:val="18"/>
          <w:szCs w:val="18"/>
          <w:color w:val="auto"/>
        </w:rPr>
      </w:pPr>
      <w:r>
        <w:rPr>
          <w:rFonts w:ascii="Arial" w:cs="Arial" w:eastAsia="Arial" w:hAnsi="Arial"/>
          <w:sz w:val="20"/>
          <w:szCs w:val="20"/>
          <w:color w:val="auto"/>
        </w:rPr>
        <w:t>Liens created under or in connection with the Mortgage and the SWLP Mortgage;</w:t>
      </w:r>
    </w:p>
    <w:p>
      <w:pPr>
        <w:spacing w:after="0" w:line="256" w:lineRule="exact"/>
        <w:rPr>
          <w:rFonts w:ascii="Arial" w:cs="Arial" w:eastAsia="Arial" w:hAnsi="Arial"/>
          <w:sz w:val="18"/>
          <w:szCs w:val="18"/>
          <w:color w:val="auto"/>
        </w:rPr>
      </w:pPr>
    </w:p>
    <w:p>
      <w:pPr>
        <w:jc w:val="both"/>
        <w:ind w:firstLine="1305"/>
        <w:spacing w:after="0" w:line="322" w:lineRule="auto"/>
        <w:tabs>
          <w:tab w:leader="none" w:pos="2125" w:val="left"/>
        </w:tabs>
        <w:numPr>
          <w:ilvl w:val="0"/>
          <w:numId w:val="71"/>
        </w:numPr>
        <w:rPr>
          <w:rFonts w:ascii="Arial" w:cs="Arial" w:eastAsia="Arial" w:hAnsi="Arial"/>
          <w:sz w:val="16"/>
          <w:szCs w:val="16"/>
          <w:color w:val="auto"/>
        </w:rPr>
      </w:pPr>
      <w:r>
        <w:rPr>
          <w:rFonts w:ascii="Arial" w:cs="Arial" w:eastAsia="Arial" w:hAnsi="Arial"/>
          <w:sz w:val="18"/>
          <w:szCs w:val="18"/>
          <w:color w:val="auto"/>
        </w:rPr>
        <w:t xml:space="preserve">Liens on any Equity Interest owned or otherwise held by or on behalf of the Borrower or any Subsidiary in any Person created as a special purpose, bankruptcy-remote Person for the sole and exclusive purpose of engaging in activities in connection with the owning and operating of property in connection with any project financing permitted to be secured under </w:t>
      </w:r>
      <w:r>
        <w:rPr>
          <w:rFonts w:ascii="Arial" w:cs="Arial" w:eastAsia="Arial" w:hAnsi="Arial"/>
          <w:sz w:val="18"/>
          <w:szCs w:val="18"/>
          <w:u w:val="single" w:color="auto"/>
          <w:color w:val="auto"/>
        </w:rPr>
        <w:t>paragraph (d)</w:t>
      </w:r>
      <w:r>
        <w:rPr>
          <w:rFonts w:ascii="Arial" w:cs="Arial" w:eastAsia="Arial" w:hAnsi="Arial"/>
          <w:sz w:val="18"/>
          <w:szCs w:val="18"/>
          <w:color w:val="auto"/>
        </w:rPr>
        <w:t>;</w:t>
      </w:r>
    </w:p>
    <w:p>
      <w:pPr>
        <w:spacing w:after="0" w:line="166" w:lineRule="exact"/>
        <w:rPr>
          <w:rFonts w:ascii="Arial" w:cs="Arial" w:eastAsia="Arial" w:hAnsi="Arial"/>
          <w:sz w:val="16"/>
          <w:szCs w:val="16"/>
          <w:color w:val="auto"/>
        </w:rPr>
      </w:pPr>
    </w:p>
    <w:p>
      <w:pPr>
        <w:ind w:left="2160" w:hanging="855"/>
        <w:spacing w:after="0"/>
        <w:tabs>
          <w:tab w:leader="none" w:pos="2160" w:val="left"/>
        </w:tabs>
        <w:numPr>
          <w:ilvl w:val="0"/>
          <w:numId w:val="71"/>
        </w:numPr>
        <w:rPr>
          <w:rFonts w:ascii="Arial" w:cs="Arial" w:eastAsia="Arial" w:hAnsi="Arial"/>
          <w:sz w:val="18"/>
          <w:szCs w:val="18"/>
          <w:color w:val="auto"/>
        </w:rPr>
      </w:pPr>
      <w:r>
        <w:rPr>
          <w:rFonts w:ascii="Arial" w:cs="Arial" w:eastAsia="Arial" w:hAnsi="Arial"/>
          <w:sz w:val="20"/>
          <w:szCs w:val="20"/>
          <w:color w:val="auto"/>
        </w:rPr>
        <w:t>Liens created to secure Indebtedness of any Subsidiary to the Borrower or to any other Subsidiary;</w:t>
      </w:r>
    </w:p>
    <w:p>
      <w:pPr>
        <w:spacing w:after="0" w:line="256" w:lineRule="exact"/>
        <w:rPr>
          <w:rFonts w:ascii="Arial" w:cs="Arial" w:eastAsia="Arial" w:hAnsi="Arial"/>
          <w:sz w:val="18"/>
          <w:szCs w:val="18"/>
          <w:color w:val="auto"/>
        </w:rPr>
      </w:pPr>
    </w:p>
    <w:p>
      <w:pPr>
        <w:jc w:val="both"/>
        <w:ind w:firstLine="1305"/>
        <w:spacing w:after="0" w:line="274" w:lineRule="auto"/>
        <w:tabs>
          <w:tab w:leader="none" w:pos="2155" w:val="left"/>
        </w:tabs>
        <w:numPr>
          <w:ilvl w:val="0"/>
          <w:numId w:val="71"/>
        </w:numPr>
        <w:rPr>
          <w:rFonts w:ascii="Arial" w:cs="Arial" w:eastAsia="Arial" w:hAnsi="Arial"/>
          <w:sz w:val="18"/>
          <w:szCs w:val="18"/>
          <w:color w:val="auto"/>
        </w:rPr>
      </w:pPr>
      <w:r>
        <w:rPr>
          <w:rFonts w:ascii="Arial" w:cs="Arial" w:eastAsia="Arial" w:hAnsi="Arial"/>
          <w:sz w:val="20"/>
          <w:szCs w:val="20"/>
          <w:color w:val="auto"/>
        </w:rPr>
        <w:t xml:space="preserve">rights reserved to or vested in others to take or receive any part of any coal, ore, gas, oil and other minerals, any timber and/or any electric capacity or energy, gas, water, steam and any other product developed, produced, manufactured, generated, purchased or otherwise acquired by the Borrower or by others on property of the Borrower or any of its Subsidiaries,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Lien described in this paragraph shall secure Indebtedness;</w:t>
      </w:r>
    </w:p>
    <w:p>
      <w:pPr>
        <w:spacing w:after="0" w:line="205" w:lineRule="exact"/>
        <w:rPr>
          <w:rFonts w:ascii="Arial" w:cs="Arial" w:eastAsia="Arial" w:hAnsi="Arial"/>
          <w:sz w:val="18"/>
          <w:szCs w:val="18"/>
          <w:color w:val="auto"/>
        </w:rPr>
      </w:pPr>
    </w:p>
    <w:p>
      <w:pPr>
        <w:jc w:val="both"/>
        <w:ind w:firstLine="1305"/>
        <w:spacing w:after="0" w:line="310" w:lineRule="auto"/>
        <w:tabs>
          <w:tab w:leader="none" w:pos="2115" w:val="left"/>
        </w:tabs>
        <w:numPr>
          <w:ilvl w:val="0"/>
          <w:numId w:val="71"/>
        </w:numPr>
        <w:rPr>
          <w:rFonts w:ascii="Arial" w:cs="Arial" w:eastAsia="Arial" w:hAnsi="Arial"/>
          <w:sz w:val="16"/>
          <w:szCs w:val="16"/>
          <w:color w:val="auto"/>
        </w:rPr>
      </w:pPr>
      <w:r>
        <w:rPr>
          <w:rFonts w:ascii="Arial" w:cs="Arial" w:eastAsia="Arial" w:hAnsi="Arial"/>
          <w:sz w:val="18"/>
          <w:szCs w:val="18"/>
          <w:color w:val="auto"/>
        </w:rPr>
        <w:t xml:space="preserve">Liens created for the sole purpose of extending, renewing or replacing in whole or in part Indebtedness secured by any lien, mortgage or security interest referred to in the foregoing </w:t>
      </w:r>
      <w:r>
        <w:rPr>
          <w:rFonts w:ascii="Arial" w:cs="Arial" w:eastAsia="Arial" w:hAnsi="Arial"/>
          <w:sz w:val="18"/>
          <w:szCs w:val="18"/>
          <w:u w:val="single" w:color="auto"/>
          <w:color w:val="auto"/>
        </w:rPr>
        <w:t>paragraphs (a)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(h)</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principal amount of Indebtedness secured thereby shall not exceed the principal amount of Indebtedness so secured at the time of such extension, renewal or replacement and that such extension, renewal or replacement, as the case may be, shall be limited to all or a part of the property or indebtedness that secured the lien or mortgage so extended, renewed or replaced (and any improvements on such property);</w:t>
      </w:r>
    </w:p>
    <w:p>
      <w:pPr>
        <w:spacing w:after="0" w:line="175" w:lineRule="exact"/>
        <w:rPr>
          <w:rFonts w:ascii="Arial" w:cs="Arial" w:eastAsia="Arial" w:hAnsi="Arial"/>
          <w:sz w:val="16"/>
          <w:szCs w:val="16"/>
          <w:color w:val="auto"/>
        </w:rPr>
      </w:pPr>
    </w:p>
    <w:p>
      <w:pPr>
        <w:jc w:val="both"/>
        <w:ind w:firstLine="1305"/>
        <w:spacing w:after="0" w:line="278" w:lineRule="auto"/>
        <w:tabs>
          <w:tab w:leader="none" w:pos="2115" w:val="left"/>
        </w:tabs>
        <w:numPr>
          <w:ilvl w:val="0"/>
          <w:numId w:val="71"/>
        </w:numPr>
        <w:rPr>
          <w:rFonts w:ascii="Arial" w:cs="Arial" w:eastAsia="Arial" w:hAnsi="Arial"/>
          <w:sz w:val="18"/>
          <w:szCs w:val="18"/>
          <w:color w:val="auto"/>
        </w:rPr>
      </w:pPr>
      <w:r>
        <w:rPr>
          <w:rFonts w:ascii="Arial" w:cs="Arial" w:eastAsia="Arial" w:hAnsi="Arial"/>
          <w:sz w:val="20"/>
          <w:szCs w:val="20"/>
          <w:color w:val="auto"/>
        </w:rPr>
        <w:t xml:space="preserve">Liens on cash or invested funds used to make a defeasance, covenant defeasance or in substance defeasance of any Indebtedness pursuant to an express contractual provision in the agreement governing such Indebtedness,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immediately before and immediately after giving effect to the making of such defeasance, no Default shall exist;</w:t>
      </w:r>
    </w:p>
    <w:p>
      <w:pPr>
        <w:spacing w:after="0" w:line="200" w:lineRule="exact"/>
        <w:rPr>
          <w:rFonts w:ascii="Arial" w:cs="Arial" w:eastAsia="Arial" w:hAnsi="Arial"/>
          <w:sz w:val="18"/>
          <w:szCs w:val="18"/>
          <w:color w:val="auto"/>
        </w:rPr>
      </w:pPr>
    </w:p>
    <w:p>
      <w:pPr>
        <w:ind w:left="2160" w:hanging="855"/>
        <w:spacing w:after="0"/>
        <w:tabs>
          <w:tab w:leader="none" w:pos="2160" w:val="left"/>
        </w:tabs>
        <w:numPr>
          <w:ilvl w:val="0"/>
          <w:numId w:val="71"/>
        </w:numPr>
        <w:rPr>
          <w:rFonts w:ascii="Arial" w:cs="Arial" w:eastAsia="Arial" w:hAnsi="Arial"/>
          <w:sz w:val="18"/>
          <w:szCs w:val="18"/>
          <w:color w:val="auto"/>
        </w:rPr>
      </w:pPr>
      <w:r>
        <w:rPr>
          <w:rFonts w:ascii="Arial" w:cs="Arial" w:eastAsia="Arial" w:hAnsi="Arial"/>
          <w:sz w:val="20"/>
          <w:szCs w:val="20"/>
          <w:color w:val="auto"/>
        </w:rPr>
        <w:t>Liens on all CoBank Equities now owned or hereafter acquired by the Borrower; and</w:t>
      </w:r>
    </w:p>
    <w:p>
      <w:pPr>
        <w:spacing w:after="0" w:line="256" w:lineRule="exact"/>
        <w:rPr>
          <w:rFonts w:ascii="Arial" w:cs="Arial" w:eastAsia="Arial" w:hAnsi="Arial"/>
          <w:sz w:val="18"/>
          <w:szCs w:val="18"/>
          <w:color w:val="auto"/>
        </w:rPr>
      </w:pPr>
    </w:p>
    <w:p>
      <w:pPr>
        <w:jc w:val="both"/>
        <w:ind w:firstLine="1305"/>
        <w:spacing w:after="0" w:line="278" w:lineRule="auto"/>
        <w:tabs>
          <w:tab w:leader="none" w:pos="2115" w:val="left"/>
        </w:tabs>
        <w:numPr>
          <w:ilvl w:val="0"/>
          <w:numId w:val="71"/>
        </w:numPr>
        <w:rPr>
          <w:rFonts w:ascii="Arial" w:cs="Arial" w:eastAsia="Arial" w:hAnsi="Arial"/>
          <w:sz w:val="18"/>
          <w:szCs w:val="18"/>
          <w:color w:val="auto"/>
        </w:rPr>
      </w:pPr>
      <w:r>
        <w:rPr>
          <w:rFonts w:ascii="Arial" w:cs="Arial" w:eastAsia="Arial" w:hAnsi="Arial"/>
          <w:sz w:val="20"/>
          <w:szCs w:val="20"/>
          <w:color w:val="auto"/>
        </w:rPr>
        <w:t xml:space="preserve">any Lien, in addition to those described in the foregoing </w:t>
      </w:r>
      <w:r>
        <w:rPr>
          <w:rFonts w:ascii="Arial" w:cs="Arial" w:eastAsia="Arial" w:hAnsi="Arial"/>
          <w:sz w:val="20"/>
          <w:szCs w:val="20"/>
          <w:u w:val="single" w:color="auto"/>
          <w:color w:val="auto"/>
        </w:rPr>
        <w:t>paragraphs (a)</w:t>
      </w:r>
      <w:r>
        <w:rPr>
          <w:rFonts w:ascii="Arial" w:cs="Arial" w:eastAsia="Arial" w:hAnsi="Arial"/>
          <w:sz w:val="20"/>
          <w:szCs w:val="20"/>
          <w:color w:val="auto"/>
        </w:rPr>
        <w:t xml:space="preserve"> through </w:t>
      </w:r>
      <w:r>
        <w:rPr>
          <w:rFonts w:ascii="Arial" w:cs="Arial" w:eastAsia="Arial" w:hAnsi="Arial"/>
          <w:sz w:val="20"/>
          <w:szCs w:val="20"/>
          <w:u w:val="single" w:color="auto"/>
          <w:color w:val="auto"/>
        </w:rPr>
        <w:t>(k)</w:t>
      </w:r>
      <w:r>
        <w:rPr>
          <w:rFonts w:ascii="Arial" w:cs="Arial" w:eastAsia="Arial" w:hAnsi="Arial"/>
          <w:sz w:val="20"/>
          <w:szCs w:val="20"/>
          <w:color w:val="auto"/>
        </w:rPr>
        <w:t xml:space="preserve">, securing obligations that, together with all other obligations secured pursuant to this </w:t>
      </w:r>
      <w:r>
        <w:rPr>
          <w:rFonts w:ascii="Arial" w:cs="Arial" w:eastAsia="Arial" w:hAnsi="Arial"/>
          <w:sz w:val="20"/>
          <w:szCs w:val="20"/>
          <w:u w:val="single" w:color="auto"/>
          <w:color w:val="auto"/>
        </w:rPr>
        <w:t>paragraph (l)</w:t>
      </w:r>
      <w:r>
        <w:rPr>
          <w:rFonts w:ascii="Arial" w:cs="Arial" w:eastAsia="Arial" w:hAnsi="Arial"/>
          <w:sz w:val="20"/>
          <w:szCs w:val="20"/>
          <w:color w:val="auto"/>
        </w:rPr>
        <w:t>, do not exceed 10% of Consolidated Assets at the time of the incurrence thereof.</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20" w:type="dxa"/>
            <w:vAlign w:val="bottom"/>
          </w:tcPr>
          <w:p>
            <w:pPr>
              <w:ind w:left="660"/>
              <w:spacing w:after="0"/>
              <w:rPr>
                <w:sz w:val="20"/>
                <w:szCs w:val="20"/>
                <w:color w:val="auto"/>
              </w:rPr>
            </w:pPr>
            <w:r>
              <w:rPr>
                <w:rFonts w:ascii="Arial" w:cs="Arial" w:eastAsia="Arial" w:hAnsi="Arial"/>
                <w:sz w:val="18"/>
                <w:szCs w:val="18"/>
                <w:color w:val="auto"/>
              </w:rPr>
              <w:t>Section 7.2</w:t>
            </w:r>
          </w:p>
        </w:tc>
        <w:tc>
          <w:tcPr>
            <w:tcW w:w="5360" w:type="dxa"/>
            <w:vAlign w:val="bottom"/>
            <w:gridSpan w:val="2"/>
          </w:tcPr>
          <w:p>
            <w:pPr>
              <w:spacing w:after="0"/>
              <w:rPr>
                <w:sz w:val="20"/>
                <w:szCs w:val="20"/>
                <w:color w:val="auto"/>
              </w:rPr>
            </w:pPr>
            <w:r>
              <w:rPr>
                <w:rFonts w:ascii="Arial" w:cs="Arial" w:eastAsia="Arial" w:hAnsi="Arial"/>
                <w:sz w:val="20"/>
                <w:szCs w:val="20"/>
                <w:color w:val="auto"/>
              </w:rPr>
              <w:t>Merger; Consolidation. The Borrower shall not, and shall not</w:t>
            </w:r>
          </w:p>
        </w:tc>
        <w:tc>
          <w:tcPr>
            <w:tcW w:w="3240" w:type="dxa"/>
            <w:vAlign w:val="bottom"/>
          </w:tcPr>
          <w:p>
            <w:pPr>
              <w:ind w:left="40"/>
              <w:spacing w:after="0"/>
              <w:rPr>
                <w:sz w:val="20"/>
                <w:szCs w:val="20"/>
                <w:color w:val="auto"/>
              </w:rPr>
            </w:pPr>
            <w:r>
              <w:rPr>
                <w:rFonts w:ascii="Arial" w:cs="Arial" w:eastAsia="Arial" w:hAnsi="Arial"/>
                <w:sz w:val="20"/>
                <w:szCs w:val="20"/>
                <w:color w:val="auto"/>
                <w:w w:val="97"/>
              </w:rPr>
              <w:t>permit any Subsidiary (excluding any</w:t>
            </w:r>
          </w:p>
        </w:tc>
      </w:tr>
      <w:tr>
        <w:trPr>
          <w:trHeight w:val="20"/>
        </w:trPr>
        <w:tc>
          <w:tcPr>
            <w:tcW w:w="282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r>
      <w:tr>
        <w:trPr>
          <w:trHeight w:val="281"/>
        </w:trPr>
        <w:tc>
          <w:tcPr>
            <w:tcW w:w="8180" w:type="dxa"/>
            <w:vAlign w:val="bottom"/>
            <w:gridSpan w:val="3"/>
          </w:tcPr>
          <w:p>
            <w:pPr>
              <w:spacing w:after="0"/>
              <w:rPr>
                <w:sz w:val="20"/>
                <w:szCs w:val="20"/>
                <w:color w:val="auto"/>
              </w:rPr>
            </w:pPr>
            <w:r>
              <w:rPr>
                <w:rFonts w:ascii="Arial" w:cs="Arial" w:eastAsia="Arial" w:hAnsi="Arial"/>
                <w:sz w:val="20"/>
                <w:szCs w:val="20"/>
                <w:color w:val="auto"/>
                <w:w w:val="93"/>
              </w:rPr>
              <w:t>Immaterial Subsidiary) to undergo a Division (as defined in Section 18-217 of the Delaware Limited</w:t>
            </w:r>
          </w:p>
        </w:tc>
        <w:tc>
          <w:tcPr>
            <w:tcW w:w="3240" w:type="dxa"/>
            <w:vAlign w:val="bottom"/>
          </w:tcPr>
          <w:p>
            <w:pPr>
              <w:ind w:left="100"/>
              <w:spacing w:after="0"/>
              <w:rPr>
                <w:sz w:val="20"/>
                <w:szCs w:val="20"/>
                <w:color w:val="auto"/>
              </w:rPr>
            </w:pPr>
            <w:r>
              <w:rPr>
                <w:rFonts w:ascii="Arial" w:cs="Arial" w:eastAsia="Arial" w:hAnsi="Arial"/>
                <w:sz w:val="20"/>
                <w:szCs w:val="20"/>
                <w:color w:val="auto"/>
                <w:w w:val="94"/>
              </w:rPr>
              <w:t>Liability Company Act) or consolidate</w:t>
            </w:r>
          </w:p>
        </w:tc>
      </w:tr>
    </w:tbl>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with or merge into any other Person (other than a merger of a Subsidiary into, or a consolidation of a Subsidiary with, the Borrower or another</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color w:val="auto"/>
        </w:rPr>
        <w:t>Subsidiary), unless:</w:t>
      </w:r>
    </w:p>
    <w:p>
      <w:pPr>
        <w:spacing w:after="0" w:line="256" w:lineRule="exact"/>
        <w:rPr>
          <w:sz w:val="20"/>
          <w:szCs w:val="20"/>
          <w:color w:val="auto"/>
        </w:rPr>
      </w:pPr>
    </w:p>
    <w:p>
      <w:pPr>
        <w:ind w:left="2080" w:hanging="775"/>
        <w:spacing w:after="0"/>
        <w:tabs>
          <w:tab w:leader="none" w:pos="2080" w:val="left"/>
        </w:tabs>
        <w:numPr>
          <w:ilvl w:val="0"/>
          <w:numId w:val="72"/>
        </w:numPr>
        <w:rPr>
          <w:rFonts w:ascii="Arial" w:cs="Arial" w:eastAsia="Arial" w:hAnsi="Arial"/>
          <w:sz w:val="18"/>
          <w:szCs w:val="18"/>
          <w:color w:val="auto"/>
        </w:rPr>
      </w:pPr>
      <w:r>
        <w:rPr>
          <w:rFonts w:ascii="Arial" w:cs="Arial" w:eastAsia="Arial" w:hAnsi="Arial"/>
          <w:sz w:val="20"/>
          <w:szCs w:val="20"/>
          <w:color w:val="auto"/>
        </w:rPr>
        <w:t>immediately before and after giving effect thereto no Default shall exist;</w:t>
      </w:r>
    </w:p>
    <w:p>
      <w:pPr>
        <w:spacing w:after="0" w:line="256" w:lineRule="exact"/>
        <w:rPr>
          <w:rFonts w:ascii="Arial" w:cs="Arial" w:eastAsia="Arial" w:hAnsi="Arial"/>
          <w:sz w:val="18"/>
          <w:szCs w:val="18"/>
          <w:color w:val="auto"/>
        </w:rPr>
      </w:pPr>
    </w:p>
    <w:p>
      <w:pPr>
        <w:jc w:val="both"/>
        <w:ind w:firstLine="1305"/>
        <w:spacing w:after="0" w:line="274" w:lineRule="auto"/>
        <w:tabs>
          <w:tab w:leader="none" w:pos="2080" w:val="left"/>
        </w:tabs>
        <w:numPr>
          <w:ilvl w:val="0"/>
          <w:numId w:val="72"/>
        </w:numPr>
        <w:rPr>
          <w:rFonts w:ascii="Arial" w:cs="Arial" w:eastAsia="Arial" w:hAnsi="Arial"/>
          <w:sz w:val="18"/>
          <w:szCs w:val="18"/>
          <w:color w:val="auto"/>
        </w:rPr>
      </w:pPr>
      <w:r>
        <w:rPr>
          <w:rFonts w:ascii="Arial" w:cs="Arial" w:eastAsia="Arial" w:hAnsi="Arial"/>
          <w:sz w:val="20"/>
          <w:szCs w:val="20"/>
          <w:color w:val="auto"/>
        </w:rPr>
        <w:t>immediately before and after giving effect thereto, all of the representations and warranties contained in the Loan Documents shall be true and correct except as the context thereof otherwise requires and except for those representations and warranties which by their terms or by necessary implication are expressly limited to a state of facts existing at a time prior to such merger, consolidation or acquisition, as the case may be, or such other</w:t>
      </w:r>
    </w:p>
    <w:p>
      <w:pPr>
        <w:sectPr>
          <w:pgSz w:w="11900" w:h="16838" w:orient="portrait"/>
          <w:cols w:equalWidth="0" w:num="1">
            <w:col w:w="11420"/>
          </w:cols>
          <w:pgMar w:left="240" w:top="337" w:right="239" w:bottom="1440" w:gutter="0" w:footer="0" w:header="0"/>
        </w:sectPr>
      </w:pPr>
    </w:p>
    <w:bookmarkStart w:id="90" w:name="page91"/>
    <w:bookmarkEnd w:id="90"/>
    <w:p>
      <w:pPr>
        <w:ind w:left="10720"/>
        <w:spacing w:after="0"/>
        <w:rPr>
          <w:sz w:val="20"/>
          <w:szCs w:val="20"/>
          <w:color w:val="auto"/>
        </w:rPr>
      </w:pPr>
      <w:r>
        <w:rPr>
          <w:rFonts w:ascii="Arial" w:cs="Arial" w:eastAsia="Arial" w:hAnsi="Arial"/>
          <w:sz w:val="16"/>
          <w:szCs w:val="16"/>
          <w:b w:val="1"/>
          <w:bCs w:val="1"/>
          <w:color w:val="auto"/>
        </w:rPr>
        <w:t>Exhibit 4</w:t>
      </w:r>
    </w:p>
    <w:p>
      <w:pPr>
        <w:spacing w:after="0" w:line="290" w:lineRule="exact"/>
        <w:rPr>
          <w:sz w:val="20"/>
          <w:szCs w:val="20"/>
          <w:color w:val="auto"/>
        </w:rPr>
      </w:pPr>
    </w:p>
    <w:p>
      <w:pPr>
        <w:ind w:right="20"/>
        <w:spacing w:after="0" w:line="289" w:lineRule="auto"/>
        <w:rPr>
          <w:sz w:val="20"/>
          <w:szCs w:val="20"/>
          <w:color w:val="auto"/>
        </w:rPr>
      </w:pPr>
      <w:r>
        <w:rPr>
          <w:rFonts w:ascii="Arial" w:cs="Arial" w:eastAsia="Arial" w:hAnsi="Arial"/>
          <w:sz w:val="20"/>
          <w:szCs w:val="20"/>
          <w:color w:val="auto"/>
        </w:rPr>
        <w:t>matters relating thereto as are identified in a writing to the Administrative Agent and the Lenders and are satisfactory to the Administrative Agent and the Lenders; and</w:t>
      </w:r>
    </w:p>
    <w:p>
      <w:pPr>
        <w:spacing w:after="0" w:line="189" w:lineRule="exact"/>
        <w:rPr>
          <w:sz w:val="20"/>
          <w:szCs w:val="20"/>
          <w:color w:val="auto"/>
        </w:rPr>
      </w:pPr>
    </w:p>
    <w:p>
      <w:pPr>
        <w:jc w:val="both"/>
        <w:ind w:firstLine="1305"/>
        <w:spacing w:after="0" w:line="304" w:lineRule="auto"/>
        <w:tabs>
          <w:tab w:leader="none" w:pos="2070" w:val="left"/>
        </w:tabs>
        <w:numPr>
          <w:ilvl w:val="0"/>
          <w:numId w:val="73"/>
        </w:numPr>
        <w:rPr>
          <w:rFonts w:ascii="Arial" w:cs="Arial" w:eastAsia="Arial" w:hAnsi="Arial"/>
          <w:sz w:val="16"/>
          <w:szCs w:val="16"/>
          <w:color w:val="auto"/>
        </w:rPr>
      </w:pPr>
      <w:r>
        <w:rPr>
          <w:rFonts w:ascii="Arial" w:cs="Arial" w:eastAsia="Arial" w:hAnsi="Arial"/>
          <w:sz w:val="18"/>
          <w:szCs w:val="18"/>
          <w:color w:val="auto"/>
        </w:rPr>
        <w:t xml:space="preserve">in the case of a transaction involving the Borrower, either (i) the Borrower shall be the surviving entity thereof, or in the event the Borrower shall not be the surviving entity thereof, each of the following conditions shall be satisfied: (A) such surviving entity shall have been incorporated or otherwise formed in a State of the United States with substantially all of its assets and business located and conducted in the United States, (B) such surviving entity shall, immediately after giving effect to such transaction, have an Investment Grade Rating and (C) such surviving entity shall have expressly assumed the obligations of the Borrower under the Loan Documents pursuant to a writing in form and substance satisfactory to the Administrative Agent; and (ii) the Administrative Agent and the Lenders shall have received a certificate signed by a duly authorized officer of the Borrower identifying the Person to be merged with or into, or consolidated with, or acquired by, the Borrower, and certifying as to each of the matters set forth in </w:t>
      </w:r>
      <w:r>
        <w:rPr>
          <w:rFonts w:ascii="Arial" w:cs="Arial" w:eastAsia="Arial" w:hAnsi="Arial"/>
          <w:sz w:val="18"/>
          <w:szCs w:val="18"/>
          <w:u w:val="single" w:color="auto"/>
          <w:color w:val="auto"/>
        </w:rPr>
        <w:t>clauses (a), (b)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(c)(i)</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7.2</w:t>
      </w:r>
      <w:r>
        <w:rPr>
          <w:rFonts w:ascii="Arial" w:cs="Arial" w:eastAsia="Arial" w:hAnsi="Arial"/>
          <w:sz w:val="18"/>
          <w:szCs w:val="18"/>
          <w:color w:val="auto"/>
        </w:rPr>
        <w: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purposes of Clause (c) above, “</w:t>
      </w:r>
      <w:r>
        <w:rPr>
          <w:rFonts w:ascii="Arial" w:cs="Arial" w:eastAsia="Arial" w:hAnsi="Arial"/>
          <w:sz w:val="18"/>
          <w:szCs w:val="18"/>
          <w:u w:val="single" w:color="auto"/>
          <w:color w:val="auto"/>
        </w:rPr>
        <w:t>Investment Grade Rating</w:t>
      </w:r>
      <w:r>
        <w:rPr>
          <w:rFonts w:ascii="Arial" w:cs="Arial" w:eastAsia="Arial" w:hAnsi="Arial"/>
          <w:sz w:val="18"/>
          <w:szCs w:val="18"/>
          <w:color w:val="auto"/>
        </w:rPr>
        <w:t>” means a Senior Debt Rating from at least two Rating Agencies equal to</w:t>
      </w:r>
    </w:p>
    <w:p>
      <w:pPr>
        <w:spacing w:after="0" w:line="39" w:lineRule="exact"/>
        <w:rPr>
          <w:sz w:val="20"/>
          <w:szCs w:val="20"/>
          <w:color w:val="auto"/>
        </w:rPr>
      </w:pPr>
    </w:p>
    <w:p>
      <w:pPr>
        <w:jc w:val="both"/>
        <w:ind w:firstLine="8"/>
        <w:spacing w:after="0" w:line="241" w:lineRule="auto"/>
        <w:tabs>
          <w:tab w:leader="none" w:pos="290" w:val="left"/>
        </w:tabs>
        <w:numPr>
          <w:ilvl w:val="0"/>
          <w:numId w:val="74"/>
        </w:numPr>
        <w:rPr>
          <w:rFonts w:ascii="Arial" w:cs="Arial" w:eastAsia="Arial" w:hAnsi="Arial"/>
          <w:sz w:val="20"/>
          <w:szCs w:val="20"/>
          <w:color w:val="auto"/>
        </w:rPr>
      </w:pPr>
      <w:r>
        <w:rPr>
          <w:rFonts w:ascii="Arial" w:cs="Arial" w:eastAsia="Arial" w:hAnsi="Arial"/>
          <w:sz w:val="20"/>
          <w:szCs w:val="20"/>
          <w:color w:val="auto"/>
        </w:rPr>
        <w:t>for any transaction where the surviving entity has a Senior Debt Rating, a rating for such surviving entity of BBB- or higher from S&amp;P or Fitch or Baa3 or higher from Moody’s and (2) for any transaction where the surviving entity is an indirect or direct holding company for a public utility that does not have a Senior Debt Rating, a rating for such surviving entity’s primary utility Subsidiary of BBB- or higher from S&amp;P or Fitch or Baa3 or higher from Moody’s.</w:t>
      </w:r>
    </w:p>
    <w:p>
      <w:pPr>
        <w:spacing w:after="0" w:line="181"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8"/>
          <w:szCs w:val="18"/>
          <w:color w:val="auto"/>
        </w:rPr>
        <w:t xml:space="preserve">Section 7.3 </w:t>
      </w:r>
      <w:r>
        <w:rPr>
          <w:rFonts w:ascii="Arial" w:cs="Arial" w:eastAsia="Arial" w:hAnsi="Arial"/>
          <w:sz w:val="19"/>
          <w:szCs w:val="19"/>
          <w:u w:val="single" w:color="auto"/>
          <w:color w:val="auto"/>
        </w:rPr>
        <w:t>Transactions with Affiliates</w:t>
      </w:r>
      <w:r>
        <w:rPr>
          <w:rFonts w:ascii="Arial" w:cs="Arial" w:eastAsia="Arial" w:hAnsi="Arial"/>
          <w:sz w:val="19"/>
          <w:szCs w:val="19"/>
          <w:color w:val="auto"/>
        </w:rPr>
        <w:t>. The Borrower shall not, and shall not permit any of its Subsidiaries to, sell,</w:t>
      </w:r>
      <w:r>
        <w:rPr>
          <w:rFonts w:ascii="Arial" w:cs="Arial" w:eastAsia="Arial" w:hAnsi="Arial"/>
          <w:sz w:val="18"/>
          <w:szCs w:val="18"/>
          <w:color w:val="auto"/>
        </w:rPr>
        <w:t xml:space="preserve"> </w:t>
      </w:r>
      <w:r>
        <w:rPr>
          <w:rFonts w:ascii="Arial" w:cs="Arial" w:eastAsia="Arial" w:hAnsi="Arial"/>
          <w:sz w:val="19"/>
          <w:szCs w:val="19"/>
          <w:color w:val="auto"/>
        </w:rPr>
        <w:t xml:space="preserve">transfer, lease or otherwise dispose of (including pursuant to a merger) any property or assets to, or purchase, lease or otherwise acquire (including pursuant to a merger) any property or assets from, or otherwise engage in any other transactions with, any of its Affiliates, except in the ordinary course of business at prices and on terms and conditions not less materially favorable to the Borrower or such Subsidiary, as the case may be, than could be obtained on an arm’s-length basis from unrelated third parties,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this Section shall not apply to (i) any transaction that is in compliance with applicable laws and regulations of the Federal Energy Regulatory Commission, the WPS or the MPUC pertaining to affiliate transactions or is authorized by a tariff or rate schedule which has been approved by a Governmental Authority or performed in accordance with its orders, (ii) any transaction that is otherwise permitted under </w:t>
      </w:r>
      <w:r>
        <w:rPr>
          <w:rFonts w:ascii="Arial" w:cs="Arial" w:eastAsia="Arial" w:hAnsi="Arial"/>
          <w:sz w:val="19"/>
          <w:szCs w:val="19"/>
          <w:u w:val="single" w:color="auto"/>
          <w:color w:val="auto"/>
        </w:rPr>
        <w:t>Section 7.2</w:t>
      </w:r>
      <w:r>
        <w:rPr>
          <w:rFonts w:ascii="Arial" w:cs="Arial" w:eastAsia="Arial" w:hAnsi="Arial"/>
          <w:sz w:val="19"/>
          <w:szCs w:val="19"/>
          <w:color w:val="auto"/>
        </w:rPr>
        <w:t xml:space="preserve"> and (iii) transactions pursuant to any contract in effect on the date hereof, as the same may be amended, extended or replaced from time to time so long as such contract as so amended, extended or replaced is, taken as a whole, not materially less favorable to the Borrower and its Subsidiaries than under those contracts in effect on the date hereof.</w:t>
      </w:r>
    </w:p>
    <w:p>
      <w:pPr>
        <w:spacing w:after="0" w:line="198" w:lineRule="exact"/>
        <w:rPr>
          <w:sz w:val="20"/>
          <w:szCs w:val="20"/>
          <w:color w:val="auto"/>
        </w:rPr>
      </w:pPr>
    </w:p>
    <w:p>
      <w:pPr>
        <w:ind w:left="660"/>
        <w:spacing w:after="0"/>
        <w:tabs>
          <w:tab w:leader="none" w:pos="2800" w:val="left"/>
        </w:tabs>
        <w:rPr>
          <w:sz w:val="20"/>
          <w:szCs w:val="20"/>
          <w:color w:val="auto"/>
        </w:rPr>
      </w:pPr>
      <w:r>
        <w:rPr>
          <w:rFonts w:ascii="Arial" w:cs="Arial" w:eastAsia="Arial" w:hAnsi="Arial"/>
          <w:sz w:val="18"/>
          <w:szCs w:val="18"/>
          <w:color w:val="auto"/>
        </w:rPr>
        <w:t>Section 7.4</w:t>
      </w:r>
      <w:r>
        <w:rPr>
          <w:sz w:val="20"/>
          <w:szCs w:val="20"/>
          <w:color w:val="auto"/>
        </w:rPr>
        <w:tab/>
      </w:r>
      <w:r>
        <w:rPr>
          <w:rFonts w:ascii="Arial" w:cs="Arial" w:eastAsia="Arial" w:hAnsi="Arial"/>
          <w:sz w:val="19"/>
          <w:szCs w:val="19"/>
          <w:u w:val="single" w:color="auto"/>
          <w:color w:val="auto"/>
        </w:rPr>
        <w:t>Permitted Hedge Agreements</w:t>
      </w:r>
      <w:r>
        <w:rPr>
          <w:rFonts w:ascii="Arial" w:cs="Arial" w:eastAsia="Arial" w:hAnsi="Arial"/>
          <w:sz w:val="19"/>
          <w:szCs w:val="19"/>
          <w:color w:val="auto"/>
        </w:rPr>
        <w:t>. The Borrower shall not enter into any Hedge Agreements other than</w:t>
      </w:r>
    </w:p>
    <w:p>
      <w:pPr>
        <w:spacing w:after="0" w:line="38" w:lineRule="exact"/>
        <w:rPr>
          <w:sz w:val="20"/>
          <w:szCs w:val="20"/>
          <w:color w:val="auto"/>
        </w:rPr>
      </w:pPr>
    </w:p>
    <w:p>
      <w:pPr>
        <w:ind w:firstLine="8"/>
        <w:spacing w:after="0" w:line="289" w:lineRule="auto"/>
        <w:tabs>
          <w:tab w:leader="none" w:pos="285" w:val="left"/>
        </w:tabs>
        <w:numPr>
          <w:ilvl w:val="0"/>
          <w:numId w:val="75"/>
        </w:numPr>
        <w:rPr>
          <w:rFonts w:ascii="Arial" w:cs="Arial" w:eastAsia="Arial" w:hAnsi="Arial"/>
          <w:sz w:val="20"/>
          <w:szCs w:val="20"/>
          <w:color w:val="auto"/>
        </w:rPr>
      </w:pPr>
      <w:r>
        <w:rPr>
          <w:rFonts w:ascii="Arial" w:cs="Arial" w:eastAsia="Arial" w:hAnsi="Arial"/>
          <w:sz w:val="20"/>
          <w:szCs w:val="20"/>
          <w:color w:val="auto"/>
        </w:rPr>
        <w:t xml:space="preserve">Permitted Hedge Agreements and (b) transactions in futures, floors, collars and similar Hedge Agreements involving the stock price of a Person involved in a merger transaction permitted by </w:t>
      </w:r>
      <w:r>
        <w:rPr>
          <w:rFonts w:ascii="Arial" w:cs="Arial" w:eastAsia="Arial" w:hAnsi="Arial"/>
          <w:sz w:val="20"/>
          <w:szCs w:val="20"/>
          <w:u w:val="single" w:color="auto"/>
          <w:color w:val="auto"/>
        </w:rPr>
        <w:t>Section 7.2</w:t>
      </w:r>
      <w:r>
        <w:rPr>
          <w:rFonts w:ascii="Arial" w:cs="Arial" w:eastAsia="Arial" w:hAnsi="Arial"/>
          <w:sz w:val="20"/>
          <w:szCs w:val="20"/>
          <w:color w:val="auto"/>
        </w:rPr>
        <w:t>.</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60" w:type="dxa"/>
            <w:vAlign w:val="bottom"/>
          </w:tcPr>
          <w:p>
            <w:pPr>
              <w:ind w:left="660"/>
              <w:spacing w:after="0"/>
              <w:rPr>
                <w:sz w:val="20"/>
                <w:szCs w:val="20"/>
                <w:color w:val="auto"/>
              </w:rPr>
            </w:pPr>
            <w:r>
              <w:rPr>
                <w:rFonts w:ascii="Arial" w:cs="Arial" w:eastAsia="Arial" w:hAnsi="Arial"/>
                <w:sz w:val="18"/>
                <w:szCs w:val="18"/>
                <w:color w:val="auto"/>
              </w:rPr>
              <w:t>Section 7.5</w:t>
            </w:r>
          </w:p>
        </w:tc>
        <w:tc>
          <w:tcPr>
            <w:tcW w:w="20" w:type="dxa"/>
            <w:vAlign w:val="bottom"/>
          </w:tcPr>
          <w:p>
            <w:pPr>
              <w:spacing w:after="0"/>
              <w:rPr>
                <w:sz w:val="19"/>
                <w:szCs w:val="19"/>
                <w:color w:val="auto"/>
              </w:rPr>
            </w:pPr>
          </w:p>
        </w:tc>
        <w:tc>
          <w:tcPr>
            <w:tcW w:w="8640" w:type="dxa"/>
            <w:vAlign w:val="bottom"/>
            <w:gridSpan w:val="2"/>
          </w:tcPr>
          <w:p>
            <w:pPr>
              <w:jc w:val="right"/>
              <w:spacing w:after="0"/>
              <w:rPr>
                <w:sz w:val="20"/>
                <w:szCs w:val="20"/>
                <w:color w:val="auto"/>
              </w:rPr>
            </w:pPr>
            <w:r>
              <w:rPr>
                <w:rFonts w:ascii="Arial" w:cs="Arial" w:eastAsia="Arial" w:hAnsi="Arial"/>
                <w:sz w:val="20"/>
                <w:szCs w:val="20"/>
                <w:color w:val="auto"/>
                <w:w w:val="97"/>
              </w:rPr>
              <w:t>Financial Covenant. The Borrower will not permit Total Indebtedness to be greater than 65% of Total</w:t>
            </w:r>
          </w:p>
        </w:tc>
      </w:tr>
      <w:tr>
        <w:trPr>
          <w:trHeight w:val="20"/>
        </w:trPr>
        <w:tc>
          <w:tcPr>
            <w:tcW w:w="2780" w:type="dxa"/>
            <w:vAlign w:val="bottom"/>
            <w:gridSpan w:val="2"/>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r>
      <w:tr>
        <w:trPr>
          <w:trHeight w:val="281"/>
        </w:trPr>
        <w:tc>
          <w:tcPr>
            <w:tcW w:w="11420" w:type="dxa"/>
            <w:vAlign w:val="bottom"/>
            <w:gridSpan w:val="4"/>
          </w:tcPr>
          <w:p>
            <w:pPr>
              <w:spacing w:after="0"/>
              <w:rPr>
                <w:sz w:val="20"/>
                <w:szCs w:val="20"/>
                <w:color w:val="auto"/>
              </w:rPr>
            </w:pPr>
            <w:r>
              <w:rPr>
                <w:rFonts w:ascii="Arial" w:cs="Arial" w:eastAsia="Arial" w:hAnsi="Arial"/>
                <w:sz w:val="20"/>
                <w:szCs w:val="20"/>
                <w:color w:val="auto"/>
              </w:rPr>
              <w:t>Capitalization as of the end of any fiscal quarter.</w:t>
            </w:r>
          </w:p>
        </w:tc>
      </w:tr>
      <w:tr>
        <w:trPr>
          <w:trHeight w:val="442"/>
        </w:trPr>
        <w:tc>
          <w:tcPr>
            <w:tcW w:w="2760" w:type="dxa"/>
            <w:vAlign w:val="bottom"/>
          </w:tcPr>
          <w:p>
            <w:pPr>
              <w:ind w:left="660"/>
              <w:spacing w:after="0"/>
              <w:rPr>
                <w:sz w:val="20"/>
                <w:szCs w:val="20"/>
                <w:color w:val="auto"/>
              </w:rPr>
            </w:pPr>
            <w:r>
              <w:rPr>
                <w:rFonts w:ascii="Arial" w:cs="Arial" w:eastAsia="Arial" w:hAnsi="Arial"/>
                <w:sz w:val="18"/>
                <w:szCs w:val="18"/>
                <w:color w:val="auto"/>
              </w:rPr>
              <w:t>Section 7.6</w:t>
            </w:r>
          </w:p>
        </w:tc>
        <w:tc>
          <w:tcPr>
            <w:tcW w:w="866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color w:val="auto"/>
                <w:w w:val="92"/>
              </w:rPr>
              <w:t>Anti-Money Laundering and Anti-Terrorism Finance Laws; Foreign Corrupt Practices Act; Sanctions Laws;</w:t>
            </w:r>
          </w:p>
        </w:tc>
      </w:tr>
    </w:tbl>
    <w:p>
      <w:pPr>
        <w:spacing w:after="0" w:line="37" w:lineRule="exact"/>
        <w:rPr>
          <w:sz w:val="20"/>
          <w:szCs w:val="20"/>
          <w:color w:val="auto"/>
        </w:rPr>
      </w:pPr>
    </w:p>
    <w:p>
      <w:pPr>
        <w:jc w:val="both"/>
        <w:spacing w:after="0" w:line="305" w:lineRule="auto"/>
        <w:rPr>
          <w:sz w:val="20"/>
          <w:szCs w:val="20"/>
          <w:color w:val="auto"/>
        </w:rPr>
      </w:pPr>
      <w:r>
        <w:rPr>
          <w:rFonts w:ascii="Arial" w:cs="Arial" w:eastAsia="Arial" w:hAnsi="Arial"/>
          <w:sz w:val="18"/>
          <w:szCs w:val="18"/>
          <w:u w:val="single" w:color="auto"/>
          <w:color w:val="auto"/>
        </w:rPr>
        <w:t>Restricted Person</w:t>
      </w:r>
      <w:r>
        <w:rPr>
          <w:rFonts w:ascii="Arial" w:cs="Arial" w:eastAsia="Arial" w:hAnsi="Arial"/>
          <w:sz w:val="18"/>
          <w:szCs w:val="18"/>
          <w:color w:val="auto"/>
        </w:rPr>
        <w:t>. The Borrower shall not, and shall not permit any Subsidiary to, (i) engage in or conspire to engage in any transaction that evades or avoids, or has the purpose of evading or avoiding, or attempts to violate, any prohibition set forth in any Anti-Terrorism Law, (ii) cause or permit any of the funds that are used to repay any obligation under the Loan Documents to be derived from any unlawful activity with the result that the making of the Loans would be in violation of any applicable law, (iii) use any part of the proceeds of the Loans, in furtherance of an offer, payment, promise to pay, or authorization of the payment or giving of money, or anything else of value, to any Person in violation of any Anti-Corruption Laws; (iv) use any of the proceeds from the Loans to finance any operations, investments or activities in, or make any payments to, any Restricted Person or in any manner that would result in the violation of any applicable sanctions.</w:t>
      </w:r>
    </w:p>
    <w:p>
      <w:pPr>
        <w:sectPr>
          <w:pgSz w:w="11900" w:h="16838" w:orient="portrait"/>
          <w:cols w:equalWidth="0" w:num="1">
            <w:col w:w="11420"/>
          </w:cols>
          <w:pgMar w:left="240" w:top="337" w:right="2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4</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8.</w:t>
      </w:r>
    </w:p>
    <w:p>
      <w:pPr>
        <w:spacing w:after="0" w:line="229"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EVENTS OF DEFAULT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If any of the following events (each an “</w:t>
      </w:r>
      <w:r>
        <w:rPr>
          <w:rFonts w:ascii="Arial" w:cs="Arial" w:eastAsia="Arial" w:hAnsi="Arial"/>
          <w:sz w:val="20"/>
          <w:szCs w:val="20"/>
          <w:u w:val="single" w:color="auto"/>
          <w:color w:val="auto"/>
        </w:rPr>
        <w:t>Event of Default</w:t>
      </w:r>
      <w:r>
        <w:rPr>
          <w:rFonts w:ascii="Arial" w:cs="Arial" w:eastAsia="Arial" w:hAnsi="Arial"/>
          <w:sz w:val="20"/>
          <w:szCs w:val="20"/>
          <w:color w:val="auto"/>
        </w:rPr>
        <w:t>”) shall occur:</w:t>
      </w:r>
    </w:p>
    <w:p>
      <w:pPr>
        <w:spacing w:after="0" w:line="202" w:lineRule="exact"/>
        <w:rPr>
          <w:sz w:val="20"/>
          <w:szCs w:val="20"/>
          <w:color w:val="auto"/>
        </w:rPr>
      </w:pPr>
    </w:p>
    <w:p>
      <w:pPr>
        <w:ind w:right="20" w:firstLine="1305"/>
        <w:spacing w:after="0" w:line="289" w:lineRule="auto"/>
        <w:tabs>
          <w:tab w:leader="none" w:pos="2205" w:val="left"/>
        </w:tabs>
        <w:numPr>
          <w:ilvl w:val="1"/>
          <w:numId w:val="76"/>
        </w:numPr>
        <w:rPr>
          <w:rFonts w:ascii="Arial" w:cs="Arial" w:eastAsia="Arial" w:hAnsi="Arial"/>
          <w:sz w:val="18"/>
          <w:szCs w:val="18"/>
          <w:color w:val="auto"/>
        </w:rPr>
      </w:pPr>
      <w:r>
        <w:rPr>
          <w:rFonts w:ascii="Arial" w:cs="Arial" w:eastAsia="Arial" w:hAnsi="Arial"/>
          <w:sz w:val="20"/>
          <w:szCs w:val="20"/>
          <w:color w:val="auto"/>
        </w:rPr>
        <w:t>the Borrower shall fail to pay any principal of any Loan when and as the same shall become due and payable, whether at the due date thereof or at a date fixed for prepayment thereof or otherwise;</w:t>
      </w:r>
    </w:p>
    <w:p>
      <w:pPr>
        <w:spacing w:after="0" w:line="188" w:lineRule="exact"/>
        <w:rPr>
          <w:rFonts w:ascii="Arial" w:cs="Arial" w:eastAsia="Arial" w:hAnsi="Arial"/>
          <w:sz w:val="18"/>
          <w:szCs w:val="18"/>
          <w:color w:val="auto"/>
        </w:rPr>
      </w:pPr>
    </w:p>
    <w:p>
      <w:pPr>
        <w:jc w:val="both"/>
        <w:ind w:firstLine="1305"/>
        <w:spacing w:after="0" w:line="278" w:lineRule="auto"/>
        <w:tabs>
          <w:tab w:leader="none" w:pos="2155" w:val="left"/>
        </w:tabs>
        <w:numPr>
          <w:ilvl w:val="1"/>
          <w:numId w:val="76"/>
        </w:numPr>
        <w:rPr>
          <w:rFonts w:ascii="Arial" w:cs="Arial" w:eastAsia="Arial" w:hAnsi="Arial"/>
          <w:sz w:val="18"/>
          <w:szCs w:val="18"/>
          <w:color w:val="auto"/>
        </w:rPr>
      </w:pPr>
      <w:r>
        <w:rPr>
          <w:rFonts w:ascii="Arial" w:cs="Arial" w:eastAsia="Arial" w:hAnsi="Arial"/>
          <w:sz w:val="20"/>
          <w:szCs w:val="20"/>
          <w:color w:val="auto"/>
        </w:rPr>
        <w:t xml:space="preserve">the Borrower shall fail to pay any interest on any Loan or any fee, commission or any other amount (other than an amount referred to in </w:t>
      </w:r>
      <w:r>
        <w:rPr>
          <w:rFonts w:ascii="Arial" w:cs="Arial" w:eastAsia="Arial" w:hAnsi="Arial"/>
          <w:sz w:val="20"/>
          <w:szCs w:val="20"/>
          <w:u w:val="single" w:color="auto"/>
          <w:color w:val="auto"/>
        </w:rPr>
        <w:t>paragraph (a)</w:t>
      </w:r>
      <w:r>
        <w:rPr>
          <w:rFonts w:ascii="Arial" w:cs="Arial" w:eastAsia="Arial" w:hAnsi="Arial"/>
          <w:sz w:val="20"/>
          <w:szCs w:val="20"/>
          <w:color w:val="auto"/>
        </w:rPr>
        <w:t xml:space="preserve"> of this Article) payable under any Loan Document, when and as the same shall become due and payable, and such failure shall continue unremedied for a period of five Business Days;</w:t>
      </w:r>
    </w:p>
    <w:p>
      <w:pPr>
        <w:spacing w:after="0" w:line="200" w:lineRule="exact"/>
        <w:rPr>
          <w:rFonts w:ascii="Arial" w:cs="Arial" w:eastAsia="Arial" w:hAnsi="Arial"/>
          <w:sz w:val="18"/>
          <w:szCs w:val="18"/>
          <w:color w:val="auto"/>
        </w:rPr>
      </w:pPr>
    </w:p>
    <w:p>
      <w:pPr>
        <w:jc w:val="both"/>
        <w:ind w:firstLine="1305"/>
        <w:spacing w:after="0" w:line="293" w:lineRule="auto"/>
        <w:tabs>
          <w:tab w:leader="none" w:pos="2155" w:val="left"/>
        </w:tabs>
        <w:numPr>
          <w:ilvl w:val="1"/>
          <w:numId w:val="76"/>
        </w:numPr>
        <w:rPr>
          <w:rFonts w:ascii="Arial" w:cs="Arial" w:eastAsia="Arial" w:hAnsi="Arial"/>
          <w:sz w:val="17"/>
          <w:szCs w:val="17"/>
          <w:color w:val="auto"/>
        </w:rPr>
      </w:pPr>
      <w:r>
        <w:rPr>
          <w:rFonts w:ascii="Arial" w:cs="Arial" w:eastAsia="Arial" w:hAnsi="Arial"/>
          <w:sz w:val="19"/>
          <w:szCs w:val="19"/>
          <w:color w:val="auto"/>
        </w:rPr>
        <w:t>any representation or warranty made or deemed made by or on behalf of the Borrower or any Subsidiary in or in connection with any Loan Document or any amendment or modification hereof or waiver thereunder, or in any report, certificate, financial statement or other document furnished pursuant to or in connection with any Loan Document or any amendment or modification hereof or waiver thereunder, shall prove to have been incorrect in any material respect when made or deemed made;</w:t>
      </w:r>
    </w:p>
    <w:p>
      <w:pPr>
        <w:spacing w:after="0" w:line="189" w:lineRule="exact"/>
        <w:rPr>
          <w:rFonts w:ascii="Arial" w:cs="Arial" w:eastAsia="Arial" w:hAnsi="Arial"/>
          <w:sz w:val="17"/>
          <w:szCs w:val="17"/>
          <w:color w:val="auto"/>
        </w:rPr>
      </w:pPr>
    </w:p>
    <w:p>
      <w:pPr>
        <w:ind w:firstLine="1305"/>
        <w:spacing w:after="0" w:line="289" w:lineRule="auto"/>
        <w:tabs>
          <w:tab w:leader="none" w:pos="2155" w:val="left"/>
        </w:tabs>
        <w:numPr>
          <w:ilvl w:val="1"/>
          <w:numId w:val="76"/>
        </w:numPr>
        <w:rPr>
          <w:rFonts w:ascii="Arial" w:cs="Arial" w:eastAsia="Arial" w:hAnsi="Arial"/>
          <w:sz w:val="18"/>
          <w:szCs w:val="18"/>
          <w:color w:val="auto"/>
        </w:rPr>
      </w:pPr>
      <w:r>
        <w:rPr>
          <w:rFonts w:ascii="Arial" w:cs="Arial" w:eastAsia="Arial" w:hAnsi="Arial"/>
          <w:sz w:val="20"/>
          <w:szCs w:val="20"/>
          <w:color w:val="auto"/>
        </w:rPr>
        <w:t xml:space="preserve">the Borrower shall fail to observe or perform any covenant, condition or agreement contained in </w:t>
      </w:r>
      <w:r>
        <w:rPr>
          <w:rFonts w:ascii="Arial" w:cs="Arial" w:eastAsia="Arial" w:hAnsi="Arial"/>
          <w:sz w:val="20"/>
          <w:szCs w:val="20"/>
          <w:u w:val="single" w:color="auto"/>
          <w:color w:val="auto"/>
        </w:rPr>
        <w:t>Section 6.3</w:t>
      </w:r>
      <w:r>
        <w:rPr>
          <w:rFonts w:ascii="Arial" w:cs="Arial" w:eastAsia="Arial" w:hAnsi="Arial"/>
          <w:sz w:val="20"/>
          <w:szCs w:val="20"/>
          <w:color w:val="auto"/>
        </w:rPr>
        <w:t xml:space="preserve"> (with respect to the Borrower’s existence), </w:t>
      </w:r>
      <w:r>
        <w:rPr>
          <w:rFonts w:ascii="Arial" w:cs="Arial" w:eastAsia="Arial" w:hAnsi="Arial"/>
          <w:sz w:val="20"/>
          <w:szCs w:val="20"/>
          <w:u w:val="single" w:color="auto"/>
          <w:color w:val="auto"/>
        </w:rPr>
        <w:t>7.2</w:t>
      </w:r>
      <w:r>
        <w:rPr>
          <w:rFonts w:ascii="Arial" w:cs="Arial" w:eastAsia="Arial" w:hAnsi="Arial"/>
          <w:sz w:val="20"/>
          <w:szCs w:val="20"/>
          <w:color w:val="auto"/>
        </w:rPr>
        <w:t xml:space="preserve">, </w:t>
      </w:r>
      <w:r>
        <w:rPr>
          <w:rFonts w:ascii="Arial" w:cs="Arial" w:eastAsia="Arial" w:hAnsi="Arial"/>
          <w:sz w:val="20"/>
          <w:szCs w:val="20"/>
          <w:u w:val="single" w:color="auto"/>
          <w:color w:val="auto"/>
        </w:rPr>
        <w:t>7.4</w:t>
      </w:r>
      <w:r>
        <w:rPr>
          <w:rFonts w:ascii="Arial" w:cs="Arial" w:eastAsia="Arial" w:hAnsi="Arial"/>
          <w:sz w:val="20"/>
          <w:szCs w:val="20"/>
          <w:color w:val="auto"/>
        </w:rPr>
        <w:t xml:space="preserve">, </w:t>
      </w:r>
      <w:r>
        <w:rPr>
          <w:rFonts w:ascii="Arial" w:cs="Arial" w:eastAsia="Arial" w:hAnsi="Arial"/>
          <w:sz w:val="20"/>
          <w:szCs w:val="20"/>
          <w:u w:val="single" w:color="auto"/>
          <w:color w:val="auto"/>
        </w:rPr>
        <w:t>7.5</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7.6</w:t>
      </w:r>
      <w:r>
        <w:rPr>
          <w:rFonts w:ascii="Arial" w:cs="Arial" w:eastAsia="Arial" w:hAnsi="Arial"/>
          <w:sz w:val="20"/>
          <w:szCs w:val="20"/>
          <w:color w:val="auto"/>
        </w:rPr>
        <w:t>;</w:t>
      </w:r>
    </w:p>
    <w:p>
      <w:pPr>
        <w:spacing w:after="0" w:line="188" w:lineRule="exact"/>
        <w:rPr>
          <w:rFonts w:ascii="Arial" w:cs="Arial" w:eastAsia="Arial" w:hAnsi="Arial"/>
          <w:sz w:val="18"/>
          <w:szCs w:val="18"/>
          <w:color w:val="auto"/>
        </w:rPr>
      </w:pPr>
    </w:p>
    <w:p>
      <w:pPr>
        <w:ind w:firstLine="1305"/>
        <w:spacing w:after="0" w:line="347" w:lineRule="auto"/>
        <w:tabs>
          <w:tab w:leader="none" w:pos="2155" w:val="left"/>
        </w:tabs>
        <w:numPr>
          <w:ilvl w:val="1"/>
          <w:numId w:val="76"/>
        </w:numPr>
        <w:rPr>
          <w:rFonts w:ascii="Arial" w:cs="Arial" w:eastAsia="Arial" w:hAnsi="Arial"/>
          <w:sz w:val="16"/>
          <w:szCs w:val="16"/>
          <w:color w:val="auto"/>
        </w:rPr>
      </w:pPr>
      <w:r>
        <w:rPr>
          <w:rFonts w:ascii="Arial" w:cs="Arial" w:eastAsia="Arial" w:hAnsi="Arial"/>
          <w:sz w:val="18"/>
          <w:szCs w:val="18"/>
          <w:color w:val="auto"/>
        </w:rPr>
        <w:t xml:space="preserve">the Borrower shall fail to observe or perform any covenant, condition or agreement contained in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7.3</w:t>
      </w:r>
      <w:r>
        <w:rPr>
          <w:rFonts w:ascii="Arial" w:cs="Arial" w:eastAsia="Arial" w:hAnsi="Arial"/>
          <w:sz w:val="18"/>
          <w:szCs w:val="18"/>
          <w:color w:val="auto"/>
        </w:rPr>
        <w:t xml:space="preserve"> and such failure shall continue unremedied for a period of ten days after the Borrower shall have obtained knowledge thereof.</w:t>
      </w:r>
    </w:p>
    <w:p>
      <w:pPr>
        <w:spacing w:after="0" w:line="144" w:lineRule="exact"/>
        <w:rPr>
          <w:rFonts w:ascii="Arial" w:cs="Arial" w:eastAsia="Arial" w:hAnsi="Arial"/>
          <w:sz w:val="16"/>
          <w:szCs w:val="16"/>
          <w:color w:val="auto"/>
        </w:rPr>
      </w:pPr>
    </w:p>
    <w:p>
      <w:pPr>
        <w:jc w:val="both"/>
        <w:ind w:firstLine="1305"/>
        <w:spacing w:after="0" w:line="278" w:lineRule="auto"/>
        <w:tabs>
          <w:tab w:leader="none" w:pos="2125" w:val="left"/>
        </w:tabs>
        <w:numPr>
          <w:ilvl w:val="1"/>
          <w:numId w:val="76"/>
        </w:numPr>
        <w:rPr>
          <w:rFonts w:ascii="Arial" w:cs="Arial" w:eastAsia="Arial" w:hAnsi="Arial"/>
          <w:sz w:val="18"/>
          <w:szCs w:val="18"/>
          <w:color w:val="auto"/>
        </w:rPr>
      </w:pPr>
      <w:r>
        <w:rPr>
          <w:rFonts w:ascii="Arial" w:cs="Arial" w:eastAsia="Arial" w:hAnsi="Arial"/>
          <w:sz w:val="20"/>
          <w:szCs w:val="20"/>
          <w:color w:val="auto"/>
        </w:rPr>
        <w:t xml:space="preserve">the Borrower shall fail to observe or perform any covenant, condition or agreement contained in any Loan Document to which it is a party (other than those specified in </w:t>
      </w:r>
      <w:r>
        <w:rPr>
          <w:rFonts w:ascii="Arial" w:cs="Arial" w:eastAsia="Arial" w:hAnsi="Arial"/>
          <w:sz w:val="20"/>
          <w:szCs w:val="20"/>
          <w:u w:val="single" w:color="auto"/>
          <w:color w:val="auto"/>
        </w:rPr>
        <w:t>paragraph (a)</w:t>
      </w:r>
      <w:r>
        <w:rPr>
          <w:rFonts w:ascii="Arial" w:cs="Arial" w:eastAsia="Arial" w:hAnsi="Arial"/>
          <w:sz w:val="20"/>
          <w:szCs w:val="20"/>
          <w:color w:val="auto"/>
        </w:rPr>
        <w:t xml:space="preserve">, </w:t>
      </w:r>
      <w:r>
        <w:rPr>
          <w:rFonts w:ascii="Arial" w:cs="Arial" w:eastAsia="Arial" w:hAnsi="Arial"/>
          <w:sz w:val="20"/>
          <w:szCs w:val="20"/>
          <w:u w:val="single" w:color="auto"/>
          <w:color w:val="auto"/>
        </w:rPr>
        <w:t>(b)</w:t>
      </w:r>
      <w:r>
        <w:rPr>
          <w:rFonts w:ascii="Arial" w:cs="Arial" w:eastAsia="Arial" w:hAnsi="Arial"/>
          <w:sz w:val="20"/>
          <w:szCs w:val="20"/>
          <w:color w:val="auto"/>
        </w:rPr>
        <w:t xml:space="preserve">, </w:t>
      </w:r>
      <w:r>
        <w:rPr>
          <w:rFonts w:ascii="Arial" w:cs="Arial" w:eastAsia="Arial" w:hAnsi="Arial"/>
          <w:sz w:val="20"/>
          <w:szCs w:val="20"/>
          <w:u w:val="single" w:color="auto"/>
          <w:color w:val="auto"/>
        </w:rPr>
        <w:t>(d)</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(e)</w:t>
      </w:r>
      <w:r>
        <w:rPr>
          <w:rFonts w:ascii="Arial" w:cs="Arial" w:eastAsia="Arial" w:hAnsi="Arial"/>
          <w:sz w:val="20"/>
          <w:szCs w:val="20"/>
          <w:color w:val="auto"/>
        </w:rPr>
        <w:t xml:space="preserve"> of this Article), and such failure shall continue unremedied for a period of 30 days after the Borrower shall have obtained knowledge thereof;</w:t>
      </w:r>
    </w:p>
    <w:p>
      <w:pPr>
        <w:spacing w:after="0" w:line="200" w:lineRule="exact"/>
        <w:rPr>
          <w:rFonts w:ascii="Arial" w:cs="Arial" w:eastAsia="Arial" w:hAnsi="Arial"/>
          <w:sz w:val="18"/>
          <w:szCs w:val="18"/>
          <w:color w:val="auto"/>
        </w:rPr>
      </w:pPr>
    </w:p>
    <w:p>
      <w:pPr>
        <w:jc w:val="both"/>
        <w:ind w:firstLine="1305"/>
        <w:spacing w:after="0" w:line="278" w:lineRule="auto"/>
        <w:tabs>
          <w:tab w:leader="none" w:pos="2135" w:val="left"/>
        </w:tabs>
        <w:numPr>
          <w:ilvl w:val="1"/>
          <w:numId w:val="76"/>
        </w:numPr>
        <w:rPr>
          <w:rFonts w:ascii="Arial" w:cs="Arial" w:eastAsia="Arial" w:hAnsi="Arial"/>
          <w:sz w:val="18"/>
          <w:szCs w:val="18"/>
          <w:color w:val="auto"/>
        </w:rPr>
      </w:pPr>
      <w:r>
        <w:rPr>
          <w:rFonts w:ascii="Arial" w:cs="Arial" w:eastAsia="Arial" w:hAnsi="Arial"/>
          <w:sz w:val="20"/>
          <w:szCs w:val="20"/>
          <w:color w:val="auto"/>
        </w:rPr>
        <w:t>the Borrower or any Subsidiary shall fail to make any payment (whether of principal or interest and regardless of amount) in respect to any Material Obligations, when and as the same shall become due and payable and after the expiration of any applicable grace period;</w:t>
      </w:r>
    </w:p>
    <w:p>
      <w:pPr>
        <w:spacing w:after="0" w:line="200" w:lineRule="exact"/>
        <w:rPr>
          <w:rFonts w:ascii="Arial" w:cs="Arial" w:eastAsia="Arial" w:hAnsi="Arial"/>
          <w:sz w:val="18"/>
          <w:szCs w:val="18"/>
          <w:color w:val="auto"/>
        </w:rPr>
      </w:pPr>
    </w:p>
    <w:p>
      <w:pPr>
        <w:jc w:val="both"/>
        <w:ind w:firstLine="1305"/>
        <w:spacing w:after="0" w:line="334" w:lineRule="auto"/>
        <w:tabs>
          <w:tab w:leader="none" w:pos="2115" w:val="left"/>
        </w:tabs>
        <w:numPr>
          <w:ilvl w:val="1"/>
          <w:numId w:val="76"/>
        </w:numPr>
        <w:rPr>
          <w:rFonts w:ascii="Arial" w:cs="Arial" w:eastAsia="Arial" w:hAnsi="Arial"/>
          <w:sz w:val="15"/>
          <w:szCs w:val="15"/>
          <w:color w:val="auto"/>
        </w:rPr>
      </w:pPr>
      <w:r>
        <w:rPr>
          <w:rFonts w:ascii="Arial" w:cs="Arial" w:eastAsia="Arial" w:hAnsi="Arial"/>
          <w:sz w:val="16"/>
          <w:szCs w:val="16"/>
          <w:color w:val="auto"/>
        </w:rPr>
        <w:t xml:space="preserve">any event or condition occurs that results in any Material Obligations becoming due prior to their scheduled maturity or payment date, or that enables or permits (with or without the giving of notice, the lapse of time or both) the holder or holders of any Material Obligations or any trustee or agent on its or their behalf to cause any Material Obligations to become due prior to their scheduled maturity or payment date or to require the prepayment, repurchase, redemption or defeasance thereof prior to their scheduled maturity or payment date (in each case after giving effect to any applicable cure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w:t>
      </w:r>
      <w:r>
        <w:rPr>
          <w:rFonts w:ascii="Arial" w:cs="Arial" w:eastAsia="Arial" w:hAnsi="Arial"/>
          <w:sz w:val="16"/>
          <w:szCs w:val="16"/>
          <w:u w:val="single" w:color="auto"/>
          <w:color w:val="auto"/>
        </w:rPr>
        <w:t>paragraph (h)</w:t>
      </w:r>
      <w:r>
        <w:rPr>
          <w:rFonts w:ascii="Arial" w:cs="Arial" w:eastAsia="Arial" w:hAnsi="Arial"/>
          <w:sz w:val="16"/>
          <w:szCs w:val="16"/>
          <w:color w:val="auto"/>
        </w:rPr>
        <w:t xml:space="preserve"> shall not apply to (i) Indebtedness that becomes due as a result of a notice of voluntary prepayment or redemption delivered by the Borrower or a Subsidiary, (ii) secured Indebtedness that becomes due solely as a result of the voluntary sale or transfer of the property or assets securing such Indebtedness, (iii) intercompany indebtedness or</w:t>
      </w:r>
    </w:p>
    <w:p>
      <w:pPr>
        <w:spacing w:after="0" w:line="3" w:lineRule="exact"/>
        <w:rPr>
          <w:rFonts w:ascii="Arial" w:cs="Arial" w:eastAsia="Arial" w:hAnsi="Arial"/>
          <w:sz w:val="15"/>
          <w:szCs w:val="15"/>
          <w:color w:val="auto"/>
        </w:rPr>
      </w:pPr>
    </w:p>
    <w:p>
      <w:pPr>
        <w:ind w:right="20" w:firstLine="8"/>
        <w:spacing w:after="0" w:line="289" w:lineRule="auto"/>
        <w:tabs>
          <w:tab w:leader="none" w:pos="340" w:val="left"/>
        </w:tabs>
        <w:numPr>
          <w:ilvl w:val="0"/>
          <w:numId w:val="77"/>
        </w:numPr>
        <w:rPr>
          <w:rFonts w:ascii="Arial" w:cs="Arial" w:eastAsia="Arial" w:hAnsi="Arial"/>
          <w:sz w:val="20"/>
          <w:szCs w:val="20"/>
          <w:color w:val="auto"/>
        </w:rPr>
      </w:pPr>
      <w:r>
        <w:rPr>
          <w:rFonts w:ascii="Arial" w:cs="Arial" w:eastAsia="Arial" w:hAnsi="Arial"/>
          <w:sz w:val="20"/>
          <w:szCs w:val="20"/>
          <w:color w:val="auto"/>
        </w:rPr>
        <w:t>the exercise of any contractual right to cause the prepayment of any Material Obligations (other than the exercise of a remedy for an event of default under the applicable contract or agreement);</w:t>
      </w:r>
    </w:p>
    <w:p>
      <w:pPr>
        <w:spacing w:after="0" w:line="188" w:lineRule="exact"/>
        <w:rPr>
          <w:rFonts w:ascii="Arial" w:cs="Arial" w:eastAsia="Arial" w:hAnsi="Arial"/>
          <w:sz w:val="20"/>
          <w:szCs w:val="20"/>
          <w:color w:val="auto"/>
        </w:rPr>
      </w:pPr>
    </w:p>
    <w:p>
      <w:pPr>
        <w:jc w:val="both"/>
        <w:ind w:firstLine="1305"/>
        <w:spacing w:after="0" w:line="273" w:lineRule="auto"/>
        <w:tabs>
          <w:tab w:leader="none" w:pos="2155" w:val="left"/>
        </w:tabs>
        <w:numPr>
          <w:ilvl w:val="1"/>
          <w:numId w:val="77"/>
        </w:numPr>
        <w:rPr>
          <w:rFonts w:ascii="Arial" w:cs="Arial" w:eastAsia="Arial" w:hAnsi="Arial"/>
          <w:sz w:val="18"/>
          <w:szCs w:val="18"/>
          <w:color w:val="auto"/>
        </w:rPr>
      </w:pPr>
      <w:r>
        <w:rPr>
          <w:rFonts w:ascii="Arial" w:cs="Arial" w:eastAsia="Arial" w:hAnsi="Arial"/>
          <w:sz w:val="20"/>
          <w:szCs w:val="20"/>
          <w:color w:val="auto"/>
        </w:rPr>
        <w:t xml:space="preserve">except for Immaterial Transactions and transactions expressly permitted by </w:t>
      </w:r>
      <w:r>
        <w:rPr>
          <w:rFonts w:ascii="Arial" w:cs="Arial" w:eastAsia="Arial" w:hAnsi="Arial"/>
          <w:sz w:val="20"/>
          <w:szCs w:val="20"/>
          <w:u w:val="single" w:color="auto"/>
          <w:color w:val="auto"/>
        </w:rPr>
        <w:t>Section 6.3</w:t>
      </w:r>
      <w:r>
        <w:rPr>
          <w:rFonts w:ascii="Arial" w:cs="Arial" w:eastAsia="Arial" w:hAnsi="Arial"/>
          <w:sz w:val="20"/>
          <w:szCs w:val="20"/>
          <w:color w:val="auto"/>
        </w:rPr>
        <w:t xml:space="preserve"> with respect to Subsidiaries, the Borrower or any Subsidiary shall (i) suspend or discontinue its business, (ii) make an assignment for the benefit of creditors, (iii) generally not pay its debts as such debts become due, (iv) admit in writing its inability to pay its debts as they become due, (v) file a voluntary petition in bankruptcy, (vi) become insolvent (however such insolvency shall be evidenced), (vii) file any petition or answer seeking for itself any reorganization,</w:t>
      </w:r>
    </w:p>
    <w:p>
      <w:pPr>
        <w:sectPr>
          <w:pgSz w:w="11900" w:h="16838" w:orient="portrait"/>
          <w:cols w:equalWidth="0" w:num="1">
            <w:col w:w="11420"/>
          </w:cols>
          <w:pgMar w:left="240" w:top="337" w:right="239" w:bottom="1440" w:gutter="0" w:footer="0" w:header="0"/>
        </w:sectPr>
      </w:pPr>
    </w:p>
    <w:bookmarkStart w:id="92" w:name="page93"/>
    <w:bookmarkEnd w:id="92"/>
    <w:p>
      <w:pPr>
        <w:ind w:left="10720"/>
        <w:spacing w:after="0"/>
        <w:rPr>
          <w:sz w:val="20"/>
          <w:szCs w:val="20"/>
          <w:color w:val="auto"/>
        </w:rPr>
      </w:pPr>
      <w:r>
        <w:rPr>
          <w:rFonts w:ascii="Arial" w:cs="Arial" w:eastAsia="Arial" w:hAnsi="Arial"/>
          <w:sz w:val="16"/>
          <w:szCs w:val="16"/>
          <w:b w:val="1"/>
          <w:bCs w:val="1"/>
          <w:color w:val="auto"/>
        </w:rPr>
        <w:t>Exhibit 4</w:t>
      </w:r>
    </w:p>
    <w:p>
      <w:pPr>
        <w:spacing w:after="0" w:line="290" w:lineRule="exact"/>
        <w:rPr>
          <w:sz w:val="20"/>
          <w:szCs w:val="20"/>
          <w:color w:val="auto"/>
        </w:rPr>
      </w:pPr>
    </w:p>
    <w:p>
      <w:pPr>
        <w:jc w:val="both"/>
        <w:spacing w:after="0" w:line="297" w:lineRule="auto"/>
        <w:rPr>
          <w:sz w:val="20"/>
          <w:szCs w:val="20"/>
          <w:color w:val="auto"/>
        </w:rPr>
      </w:pPr>
      <w:r>
        <w:rPr>
          <w:rFonts w:ascii="Arial" w:cs="Arial" w:eastAsia="Arial" w:hAnsi="Arial"/>
          <w:sz w:val="18"/>
          <w:szCs w:val="18"/>
          <w:color w:val="auto"/>
        </w:rPr>
        <w:t>arrangement, composition, readjustment of debt, liquidation or dissolution or similar relief under any present or future statute, law or regulation of any jurisdiction, (viii) petition or apply to any tribunal for any receiver, custodian or any trustee for any substantial part of its property,</w:t>
      </w:r>
    </w:p>
    <w:p>
      <w:pPr>
        <w:spacing w:after="0" w:line="1" w:lineRule="exact"/>
        <w:rPr>
          <w:sz w:val="20"/>
          <w:szCs w:val="20"/>
          <w:color w:val="auto"/>
        </w:rPr>
      </w:pPr>
    </w:p>
    <w:p>
      <w:pPr>
        <w:jc w:val="both"/>
        <w:ind w:firstLine="8"/>
        <w:spacing w:after="0" w:line="307" w:lineRule="auto"/>
        <w:tabs>
          <w:tab w:leader="none" w:pos="344" w:val="left"/>
        </w:tabs>
        <w:numPr>
          <w:ilvl w:val="0"/>
          <w:numId w:val="78"/>
        </w:numPr>
        <w:rPr>
          <w:rFonts w:ascii="Arial" w:cs="Arial" w:eastAsia="Arial" w:hAnsi="Arial"/>
          <w:sz w:val="18"/>
          <w:szCs w:val="18"/>
          <w:color w:val="auto"/>
        </w:rPr>
      </w:pPr>
      <w:r>
        <w:rPr>
          <w:rFonts w:ascii="Arial" w:cs="Arial" w:eastAsia="Arial" w:hAnsi="Arial"/>
          <w:sz w:val="18"/>
          <w:szCs w:val="18"/>
          <w:color w:val="auto"/>
        </w:rPr>
        <w:t>be the subject of any such proceeding filed against it which remains undismissed for a period of 45 days, (x) file any answer admitting or not contesting the material allegations of any such petition filed against it or any order, judgment or decree approving such petition in any such proceeding, (xi) seek, approve, consent to, or acquiesce in any such proceeding, or in the appointment of any trustee, receiver, sequestrator, custodian, liquidator, or fiscal agent for it, or any substantial part of its property, or an order is entered appointing any such trustee, receiver, custodian, liquidator or fiscal agent and such order remains in effect for 45 days, or (xii) take any formal action for the purpose of effecting any of the foregoing or looking to the liquidation or dissolution of the Borrower or any Subsidiary;</w:t>
      </w:r>
    </w:p>
    <w:p>
      <w:pPr>
        <w:spacing w:after="0" w:line="180" w:lineRule="exact"/>
        <w:rPr>
          <w:rFonts w:ascii="Arial" w:cs="Arial" w:eastAsia="Arial" w:hAnsi="Arial"/>
          <w:sz w:val="18"/>
          <w:szCs w:val="18"/>
          <w:color w:val="auto"/>
        </w:rPr>
      </w:pPr>
    </w:p>
    <w:p>
      <w:pPr>
        <w:jc w:val="both"/>
        <w:ind w:firstLine="1305"/>
        <w:spacing w:after="0" w:line="297" w:lineRule="auto"/>
        <w:tabs>
          <w:tab w:leader="none" w:pos="2155" w:val="left"/>
        </w:tabs>
        <w:numPr>
          <w:ilvl w:val="1"/>
          <w:numId w:val="78"/>
        </w:numPr>
        <w:rPr>
          <w:rFonts w:ascii="Arial" w:cs="Arial" w:eastAsia="Arial" w:hAnsi="Arial"/>
          <w:sz w:val="16"/>
          <w:szCs w:val="16"/>
          <w:color w:val="auto"/>
        </w:rPr>
      </w:pPr>
      <w:r>
        <w:rPr>
          <w:rFonts w:ascii="Arial" w:cs="Arial" w:eastAsia="Arial" w:hAnsi="Arial"/>
          <w:sz w:val="18"/>
          <w:szCs w:val="18"/>
          <w:color w:val="auto"/>
        </w:rPr>
        <w:t>except to the extent arising solely out of an Immaterial Transaction, an order for relief is entered under the United States bankruptcy laws or any other decree or order is entered by a court having jurisdiction (i) adjudging the Borrower or any Subsidiary bankrupt or insolvent, (ii) approving as properly filed a petition seeking reorganization, liquidation, arrangement, adjustment or composition of or in respect of Borrower or any Subsidiary under the United States bankruptcy laws or any other applicable Federal or state law,</w:t>
      </w:r>
    </w:p>
    <w:p>
      <w:pPr>
        <w:spacing w:after="0" w:line="1" w:lineRule="exact"/>
        <w:rPr>
          <w:rFonts w:ascii="Arial" w:cs="Arial" w:eastAsia="Arial" w:hAnsi="Arial"/>
          <w:sz w:val="16"/>
          <w:szCs w:val="16"/>
          <w:color w:val="auto"/>
        </w:rPr>
      </w:pPr>
    </w:p>
    <w:p>
      <w:pPr>
        <w:jc w:val="both"/>
        <w:ind w:firstLine="8"/>
        <w:spacing w:after="0" w:line="274" w:lineRule="auto"/>
        <w:tabs>
          <w:tab w:leader="none" w:pos="358" w:val="left"/>
        </w:tabs>
        <w:numPr>
          <w:ilvl w:val="0"/>
          <w:numId w:val="79"/>
        </w:numPr>
        <w:rPr>
          <w:rFonts w:ascii="Arial" w:cs="Arial" w:eastAsia="Arial" w:hAnsi="Arial"/>
          <w:sz w:val="20"/>
          <w:szCs w:val="20"/>
          <w:color w:val="auto"/>
        </w:rPr>
      </w:pPr>
      <w:r>
        <w:rPr>
          <w:rFonts w:ascii="Arial" w:cs="Arial" w:eastAsia="Arial" w:hAnsi="Arial"/>
          <w:sz w:val="20"/>
          <w:szCs w:val="20"/>
          <w:color w:val="auto"/>
        </w:rPr>
        <w:t>appointing a receiver, liquidator, assignee, trustee, custodian, sequestrator (or other similar official) of the Borrower or any Subsidiary of any substantial part of the property thereof, or (iv) ordering the winding up or liquidation (other than, in the case of a Subsidiary, voluntary liquidation, not under any bankruptcy, insolvency or similar law) of the affairs of the Borrower or any Subsidiary, and any such decree or order continues unstayed and in effect for a period of 45 days;</w:t>
      </w:r>
    </w:p>
    <w:p>
      <w:pPr>
        <w:spacing w:after="0" w:line="205" w:lineRule="exact"/>
        <w:rPr>
          <w:rFonts w:ascii="Arial" w:cs="Arial" w:eastAsia="Arial" w:hAnsi="Arial"/>
          <w:sz w:val="20"/>
          <w:szCs w:val="20"/>
          <w:color w:val="auto"/>
        </w:rPr>
      </w:pPr>
    </w:p>
    <w:p>
      <w:pPr>
        <w:jc w:val="both"/>
        <w:ind w:firstLine="1305"/>
        <w:spacing w:after="0" w:line="274" w:lineRule="auto"/>
        <w:tabs>
          <w:tab w:leader="none" w:pos="2195" w:val="left"/>
        </w:tabs>
        <w:numPr>
          <w:ilvl w:val="1"/>
          <w:numId w:val="79"/>
        </w:numPr>
        <w:rPr>
          <w:rFonts w:ascii="Arial" w:cs="Arial" w:eastAsia="Arial" w:hAnsi="Arial"/>
          <w:sz w:val="18"/>
          <w:szCs w:val="18"/>
          <w:color w:val="auto"/>
        </w:rPr>
      </w:pPr>
      <w:r>
        <w:rPr>
          <w:rFonts w:ascii="Arial" w:cs="Arial" w:eastAsia="Arial" w:hAnsi="Arial"/>
          <w:sz w:val="20"/>
          <w:szCs w:val="20"/>
          <w:color w:val="auto"/>
        </w:rPr>
        <w:t>one or more judgments or decrees against the Borrower or any of its Subsidiaries or any combination thereof aggregating in excess of $35,000,000, which judgment or decree (i) shall not be fully covered by insurance after taking into account any applicable deductibles and (ii) shall remain unpaid, unstayed on appeal, undischarged, unbonded or undismissed for a period of at least 30 consecutive days;</w:t>
      </w:r>
    </w:p>
    <w:p>
      <w:pPr>
        <w:spacing w:after="0" w:line="205" w:lineRule="exact"/>
        <w:rPr>
          <w:rFonts w:ascii="Arial" w:cs="Arial" w:eastAsia="Arial" w:hAnsi="Arial"/>
          <w:sz w:val="18"/>
          <w:szCs w:val="18"/>
          <w:color w:val="auto"/>
        </w:rPr>
      </w:pPr>
    </w:p>
    <w:p>
      <w:pPr>
        <w:ind w:right="20" w:firstLine="1305"/>
        <w:spacing w:after="0" w:line="289" w:lineRule="auto"/>
        <w:tabs>
          <w:tab w:leader="none" w:pos="2155" w:val="left"/>
        </w:tabs>
        <w:numPr>
          <w:ilvl w:val="1"/>
          <w:numId w:val="79"/>
        </w:numPr>
        <w:rPr>
          <w:rFonts w:ascii="Arial" w:cs="Arial" w:eastAsia="Arial" w:hAnsi="Arial"/>
          <w:sz w:val="18"/>
          <w:szCs w:val="18"/>
          <w:color w:val="auto"/>
        </w:rPr>
      </w:pPr>
      <w:r>
        <w:rPr>
          <w:rFonts w:ascii="Arial" w:cs="Arial" w:eastAsia="Arial" w:hAnsi="Arial"/>
          <w:sz w:val="20"/>
          <w:szCs w:val="20"/>
          <w:color w:val="auto"/>
        </w:rPr>
        <w:t>any Loan Document shall cease, for any reason, to be in full force and effect or the Borrower shall so assert in writing or shall disavow any of its Obligations;</w:t>
      </w:r>
    </w:p>
    <w:p>
      <w:pPr>
        <w:spacing w:after="0" w:line="188" w:lineRule="exact"/>
        <w:rPr>
          <w:rFonts w:ascii="Arial" w:cs="Arial" w:eastAsia="Arial" w:hAnsi="Arial"/>
          <w:sz w:val="18"/>
          <w:szCs w:val="18"/>
          <w:color w:val="auto"/>
        </w:rPr>
      </w:pPr>
    </w:p>
    <w:p>
      <w:pPr>
        <w:ind w:firstLine="1305"/>
        <w:spacing w:after="0" w:line="289" w:lineRule="auto"/>
        <w:tabs>
          <w:tab w:leader="none" w:pos="2155" w:val="left"/>
        </w:tabs>
        <w:numPr>
          <w:ilvl w:val="1"/>
          <w:numId w:val="79"/>
        </w:numPr>
        <w:rPr>
          <w:rFonts w:ascii="Arial" w:cs="Arial" w:eastAsia="Arial" w:hAnsi="Arial"/>
          <w:sz w:val="18"/>
          <w:szCs w:val="18"/>
          <w:color w:val="auto"/>
        </w:rPr>
      </w:pPr>
      <w:r>
        <w:rPr>
          <w:rFonts w:ascii="Arial" w:cs="Arial" w:eastAsia="Arial" w:hAnsi="Arial"/>
          <w:sz w:val="20"/>
          <w:szCs w:val="20"/>
          <w:color w:val="auto"/>
        </w:rPr>
        <w:t>an ERISA Event shall have occurred that, in the opinion of the Required Lenders, when taken together with all other ERISA Events that have occurred, could reasonably be expected to result in a Material Adverse Effect;</w:t>
      </w:r>
    </w:p>
    <w:p>
      <w:pPr>
        <w:spacing w:after="0" w:line="188" w:lineRule="exact"/>
        <w:rPr>
          <w:rFonts w:ascii="Arial" w:cs="Arial" w:eastAsia="Arial" w:hAnsi="Arial"/>
          <w:sz w:val="18"/>
          <w:szCs w:val="18"/>
          <w:color w:val="auto"/>
        </w:rPr>
      </w:pPr>
    </w:p>
    <w:p>
      <w:pPr>
        <w:ind w:firstLine="1305"/>
        <w:spacing w:after="0" w:line="347" w:lineRule="auto"/>
        <w:tabs>
          <w:tab w:leader="none" w:pos="2144" w:val="left"/>
        </w:tabs>
        <w:numPr>
          <w:ilvl w:val="1"/>
          <w:numId w:val="79"/>
        </w:numPr>
        <w:rPr>
          <w:rFonts w:ascii="Arial" w:cs="Arial" w:eastAsia="Arial" w:hAnsi="Arial"/>
          <w:sz w:val="16"/>
          <w:szCs w:val="16"/>
          <w:color w:val="auto"/>
        </w:rPr>
      </w:pPr>
      <w:r>
        <w:rPr>
          <w:rFonts w:ascii="Arial" w:cs="Arial" w:eastAsia="Arial" w:hAnsi="Arial"/>
          <w:sz w:val="18"/>
          <w:szCs w:val="18"/>
          <w:color w:val="auto"/>
        </w:rPr>
        <w:t>any authorization or approval or other action by any Governmental Authority required for the execution, delivery or performance of any Loan Document shall be terminated, revoked or rescinded or shall otherwise no longer be in full force and effect;</w:t>
      </w:r>
    </w:p>
    <w:p>
      <w:pPr>
        <w:spacing w:after="0" w:line="144" w:lineRule="exact"/>
        <w:rPr>
          <w:sz w:val="20"/>
          <w:szCs w:val="20"/>
          <w:color w:val="auto"/>
        </w:rPr>
      </w:pPr>
    </w:p>
    <w:p>
      <w:pPr>
        <w:ind w:left="2240" w:hanging="935"/>
        <w:spacing w:after="0"/>
        <w:tabs>
          <w:tab w:leader="none" w:pos="2240" w:val="left"/>
        </w:tabs>
        <w:numPr>
          <w:ilvl w:val="0"/>
          <w:numId w:val="80"/>
        </w:numPr>
        <w:rPr>
          <w:rFonts w:ascii="Arial" w:cs="Arial" w:eastAsia="Arial" w:hAnsi="Arial"/>
          <w:sz w:val="18"/>
          <w:szCs w:val="18"/>
          <w:color w:val="auto"/>
        </w:rPr>
      </w:pPr>
      <w:r>
        <w:rPr>
          <w:rFonts w:ascii="Arial" w:cs="Arial" w:eastAsia="Arial" w:hAnsi="Arial"/>
          <w:sz w:val="20"/>
          <w:szCs w:val="20"/>
          <w:color w:val="auto"/>
        </w:rPr>
        <w:t>a Change in Control shall occur; or</w:t>
      </w:r>
    </w:p>
    <w:p>
      <w:pPr>
        <w:spacing w:after="0" w:line="256" w:lineRule="exact"/>
        <w:rPr>
          <w:sz w:val="20"/>
          <w:szCs w:val="20"/>
          <w:color w:val="auto"/>
        </w:rPr>
      </w:pPr>
    </w:p>
    <w:p>
      <w:pPr>
        <w:ind w:left="1300"/>
        <w:spacing w:after="0"/>
        <w:tabs>
          <w:tab w:leader="none" w:pos="2220" w:val="left"/>
        </w:tabs>
        <w:rPr>
          <w:sz w:val="20"/>
          <w:szCs w:val="20"/>
          <w:color w:val="auto"/>
        </w:rPr>
      </w:pPr>
      <w:r>
        <w:rPr>
          <w:rFonts w:ascii="Arial" w:cs="Arial" w:eastAsia="Arial" w:hAnsi="Arial"/>
          <w:sz w:val="18"/>
          <w:szCs w:val="18"/>
          <w:color w:val="auto"/>
        </w:rPr>
        <w:t>(ab)</w:t>
      </w:r>
      <w:r>
        <w:rPr>
          <w:sz w:val="20"/>
          <w:szCs w:val="20"/>
          <w:color w:val="auto"/>
        </w:rPr>
        <w:tab/>
      </w:r>
      <w:r>
        <w:rPr>
          <w:rFonts w:ascii="Arial" w:cs="Arial" w:eastAsia="Arial" w:hAnsi="Arial"/>
          <w:sz w:val="20"/>
          <w:szCs w:val="20"/>
          <w:color w:val="auto"/>
        </w:rPr>
        <w:t>the Borrower shall fail to own, directly or indirectly, substantially all of the assets of Minnesota Power;</w:t>
      </w:r>
    </w:p>
    <w:p>
      <w:pPr>
        <w:spacing w:after="0" w:line="243"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 xml:space="preserve">then, and in every such event (other than an event described in </w:t>
      </w:r>
      <w:r>
        <w:rPr>
          <w:rFonts w:ascii="Arial" w:cs="Arial" w:eastAsia="Arial" w:hAnsi="Arial"/>
          <w:sz w:val="19"/>
          <w:szCs w:val="19"/>
          <w:u w:val="single" w:color="auto"/>
          <w:color w:val="auto"/>
        </w:rPr>
        <w:t>paragraph (i)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(j)</w:t>
      </w:r>
      <w:r>
        <w:rPr>
          <w:rFonts w:ascii="Arial" w:cs="Arial" w:eastAsia="Arial" w:hAnsi="Arial"/>
          <w:sz w:val="19"/>
          <w:szCs w:val="19"/>
          <w:color w:val="auto"/>
        </w:rPr>
        <w:t xml:space="preserve"> of this Article), and at any time thereafter during the continuance of such event, the Administrative Agent may, and at the request of the Required Lenders shall, by notice to the Borrower,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shall become due and payable immediately, without presentment, demand, protest or other notice of any kind, all of which are hereby waived by the Borrower; and in case of any event described in </w:t>
      </w:r>
      <w:r>
        <w:rPr>
          <w:rFonts w:ascii="Arial" w:cs="Arial" w:eastAsia="Arial" w:hAnsi="Arial"/>
          <w:sz w:val="19"/>
          <w:szCs w:val="19"/>
          <w:u w:val="single" w:color="auto"/>
          <w:color w:val="auto"/>
        </w:rPr>
        <w:t>paragraph (i)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(j)</w:t>
      </w:r>
      <w:r>
        <w:rPr>
          <w:rFonts w:ascii="Arial" w:cs="Arial" w:eastAsia="Arial" w:hAnsi="Arial"/>
          <w:sz w:val="19"/>
          <w:szCs w:val="19"/>
          <w:color w:val="auto"/>
        </w:rPr>
        <w:t xml:space="preserve"> of this Article, the principal of the Loans then outstanding, together with accrued interest thereon and all fees and other Obligations, shall automatically become due and payable, without presentment, demand, protest or other notice of any kind, all of which are hereby waived by the Borrower. Upon the occurrence and during the</w:t>
      </w:r>
    </w:p>
    <w:p>
      <w:pPr>
        <w:sectPr>
          <w:pgSz w:w="11900" w:h="16838" w:orient="portrait"/>
          <w:cols w:equalWidth="0" w:num="1">
            <w:col w:w="11420"/>
          </w:cols>
          <w:pgMar w:left="240" w:top="337" w:right="239" w:bottom="1440" w:gutter="0" w:footer="0" w:header="0"/>
        </w:sectPr>
      </w:pPr>
    </w:p>
    <w:bookmarkStart w:id="93" w:name="page94"/>
    <w:bookmarkEnd w:id="93"/>
    <w:p>
      <w:pPr>
        <w:ind w:left="10720"/>
        <w:spacing w:after="0"/>
        <w:rPr>
          <w:sz w:val="20"/>
          <w:szCs w:val="20"/>
          <w:color w:val="auto"/>
        </w:rPr>
      </w:pPr>
      <w:r>
        <w:rPr>
          <w:rFonts w:ascii="Arial" w:cs="Arial" w:eastAsia="Arial" w:hAnsi="Arial"/>
          <w:sz w:val="16"/>
          <w:szCs w:val="16"/>
          <w:b w:val="1"/>
          <w:bCs w:val="1"/>
          <w:color w:val="auto"/>
        </w:rPr>
        <w:t>Exhibit 4</w:t>
      </w:r>
    </w:p>
    <w:p>
      <w:pPr>
        <w:spacing w:after="0" w:line="277"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continuance of an Event of Default, the Administrative Agent may, and at the request of the Required Lenders shall, exercise any rights and remedies provided to the Administrative Agent under the Loan Documents or at law or equity.</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9.</w:t>
      </w:r>
    </w:p>
    <w:p>
      <w:pPr>
        <w:spacing w:after="0" w:line="229" w:lineRule="exact"/>
        <w:rPr>
          <w:sz w:val="20"/>
          <w:szCs w:val="20"/>
          <w:color w:val="auto"/>
        </w:rPr>
      </w:pPr>
    </w:p>
    <w:p>
      <w:pPr>
        <w:ind w:left="4300"/>
        <w:spacing w:after="0"/>
        <w:rPr>
          <w:sz w:val="20"/>
          <w:szCs w:val="20"/>
          <w:color w:val="auto"/>
        </w:rPr>
      </w:pPr>
      <w:r>
        <w:rPr>
          <w:rFonts w:ascii="Arial" w:cs="Arial" w:eastAsia="Arial" w:hAnsi="Arial"/>
          <w:sz w:val="20"/>
          <w:szCs w:val="20"/>
          <w:color w:val="auto"/>
        </w:rPr>
        <w:t>THE ADMINISTRATIVE AGENT</w:t>
      </w:r>
    </w:p>
    <w:p>
      <w:pPr>
        <w:spacing w:after="0" w:line="243" w:lineRule="exact"/>
        <w:rPr>
          <w:sz w:val="20"/>
          <w:szCs w:val="20"/>
          <w:color w:val="auto"/>
        </w:rPr>
      </w:pPr>
    </w:p>
    <w:p>
      <w:pPr>
        <w:ind w:left="660"/>
        <w:spacing w:after="0"/>
        <w:tabs>
          <w:tab w:leader="none" w:pos="2740" w:val="left"/>
        </w:tabs>
        <w:rPr>
          <w:sz w:val="20"/>
          <w:szCs w:val="20"/>
          <w:color w:val="auto"/>
        </w:rPr>
      </w:pPr>
      <w:r>
        <w:rPr>
          <w:rFonts w:ascii="Arial" w:cs="Arial" w:eastAsia="Arial" w:hAnsi="Arial"/>
          <w:sz w:val="18"/>
          <w:szCs w:val="18"/>
          <w:color w:val="auto"/>
        </w:rPr>
        <w:t>Section 9.1</w:t>
      </w:r>
      <w:r>
        <w:rPr>
          <w:sz w:val="20"/>
          <w:szCs w:val="20"/>
          <w:color w:val="auto"/>
        </w:rPr>
        <w:tab/>
      </w:r>
      <w:r>
        <w:rPr>
          <w:rFonts w:ascii="Arial" w:cs="Arial" w:eastAsia="Arial" w:hAnsi="Arial"/>
          <w:sz w:val="18"/>
          <w:szCs w:val="18"/>
          <w:u w:val="single" w:color="auto"/>
          <w:color w:val="auto"/>
        </w:rPr>
        <w:t>Authorization and Action</w:t>
      </w:r>
      <w:r>
        <w:rPr>
          <w:rFonts w:ascii="Arial" w:cs="Arial" w:eastAsia="Arial" w:hAnsi="Arial"/>
          <w:sz w:val="18"/>
          <w:szCs w:val="18"/>
          <w:color w:val="auto"/>
        </w:rPr>
        <w:t>.</w:t>
      </w:r>
    </w:p>
    <w:p>
      <w:pPr>
        <w:spacing w:after="0" w:line="279" w:lineRule="exact"/>
        <w:rPr>
          <w:sz w:val="20"/>
          <w:szCs w:val="20"/>
          <w:color w:val="auto"/>
        </w:rPr>
      </w:pPr>
    </w:p>
    <w:p>
      <w:pPr>
        <w:jc w:val="both"/>
        <w:ind w:firstLine="1305"/>
        <w:spacing w:after="0" w:line="278" w:lineRule="auto"/>
        <w:tabs>
          <w:tab w:leader="none" w:pos="2070" w:val="left"/>
        </w:tabs>
        <w:numPr>
          <w:ilvl w:val="0"/>
          <w:numId w:val="81"/>
        </w:numPr>
        <w:rPr>
          <w:rFonts w:ascii="Arial" w:cs="Arial" w:eastAsia="Arial" w:hAnsi="Arial"/>
          <w:sz w:val="18"/>
          <w:szCs w:val="18"/>
          <w:color w:val="auto"/>
        </w:rPr>
      </w:pPr>
      <w:r>
        <w:rPr>
          <w:rFonts w:ascii="Arial" w:cs="Arial" w:eastAsia="Arial" w:hAnsi="Arial"/>
          <w:sz w:val="20"/>
          <w:szCs w:val="20"/>
          <w:color w:val="auto"/>
        </w:rPr>
        <w:t>Each Credit Party hereby irrevocably appoints the Administrative Agent as its agent and authorizes the Administrative Agent to take such actions on its behalf and to exercise such powers as are delegated to the Administrative Agent by the terms hereof, together with such actions and powers as are reasonably incidental thereto.</w:t>
      </w:r>
    </w:p>
    <w:p>
      <w:pPr>
        <w:spacing w:after="0" w:line="200" w:lineRule="exact"/>
        <w:rPr>
          <w:rFonts w:ascii="Arial" w:cs="Arial" w:eastAsia="Arial" w:hAnsi="Arial"/>
          <w:sz w:val="18"/>
          <w:szCs w:val="18"/>
          <w:color w:val="auto"/>
        </w:rPr>
      </w:pPr>
    </w:p>
    <w:p>
      <w:pPr>
        <w:jc w:val="both"/>
        <w:ind w:firstLine="1305"/>
        <w:spacing w:after="0" w:line="274" w:lineRule="auto"/>
        <w:tabs>
          <w:tab w:leader="none" w:pos="2080" w:val="left"/>
        </w:tabs>
        <w:numPr>
          <w:ilvl w:val="0"/>
          <w:numId w:val="81"/>
        </w:numPr>
        <w:rPr>
          <w:rFonts w:ascii="Arial" w:cs="Arial" w:eastAsia="Arial" w:hAnsi="Arial"/>
          <w:sz w:val="18"/>
          <w:szCs w:val="18"/>
          <w:color w:val="auto"/>
        </w:rPr>
      </w:pPr>
      <w:r>
        <w:rPr>
          <w:rFonts w:ascii="Arial" w:cs="Arial" w:eastAsia="Arial" w:hAnsi="Arial"/>
          <w:sz w:val="20"/>
          <w:szCs w:val="20"/>
          <w:color w:val="auto"/>
        </w:rPr>
        <w:t>The Person serving as the Administrative Agent hereunder shall have the same rights and powers in its capacity as a Lender as any other Lender and may exercise the same as though it were not the Administrative Agent, and such Person and its Affiliates may accept deposits from, lend money to and generally engage in any kind of business with the Borrower or any Subsidiary or other Affiliate thereof as if it were not the Administrative Agent hereunder.</w:t>
      </w:r>
    </w:p>
    <w:p>
      <w:pPr>
        <w:spacing w:after="0" w:line="205" w:lineRule="exact"/>
        <w:rPr>
          <w:rFonts w:ascii="Arial" w:cs="Arial" w:eastAsia="Arial" w:hAnsi="Arial"/>
          <w:sz w:val="18"/>
          <w:szCs w:val="18"/>
          <w:color w:val="auto"/>
        </w:rPr>
      </w:pPr>
    </w:p>
    <w:p>
      <w:pPr>
        <w:jc w:val="both"/>
        <w:ind w:firstLine="1305"/>
        <w:spacing w:after="0" w:line="300" w:lineRule="auto"/>
        <w:tabs>
          <w:tab w:leader="none" w:pos="2070" w:val="left"/>
        </w:tabs>
        <w:numPr>
          <w:ilvl w:val="0"/>
          <w:numId w:val="81"/>
        </w:numPr>
        <w:rPr>
          <w:rFonts w:ascii="Arial" w:cs="Arial" w:eastAsia="Arial" w:hAnsi="Arial"/>
          <w:sz w:val="16"/>
          <w:szCs w:val="16"/>
          <w:color w:val="auto"/>
        </w:rPr>
      </w:pPr>
      <w:r>
        <w:rPr>
          <w:rFonts w:ascii="Arial" w:cs="Arial" w:eastAsia="Arial" w:hAnsi="Arial"/>
          <w:sz w:val="18"/>
          <w:szCs w:val="18"/>
          <w:color w:val="auto"/>
        </w:rPr>
        <w:t>As to any matters not expressly provided for herein and in the other Loan Documents (including enforcement or collection), the Administrative Agent shall not be required to exercise any discretion or take any action, but shall be required to act or to refrain from acting (and shall be fully protected in so acting or refraining from acting) upon the written instructions of the Required Lenders (or such other number or percentage of the Lenders as shall be necessary, pursuant to the terms in the Loan Documents), and, unless and until revoked in writing, such instructions shall be binding upon each Lender; provided, however, that the Administrative Agent shall not be required to take any action that (i) the Administrative Agent in good faith believes exposes it to liability unless the Administrative Agent receives an indemnification and is exculpated in a manner satisfactory to it from the Lenders with respect to such action or (ii) is contrary to this Agreement or any other Loan Document or applicable law, including any action that may be in violation of the automatic stay under any requirement of law relating to bankruptcy, insolvency or reorganization or relief of debtors or that may effect a forfeiture, modification or termination of property of a Defaulting Lender in violation of any requirement of law relating to bankruptcy, insolvency or reorganization or relief of debtors; provided, further, that the Administrative Agent may seek clarification or direction from the Required Lenders prior to the exercise of any such instructed action and may refrain from acting until such clarification or direction has been provided. Except as expressly set forth in the Loan Documents, the Administrative Agent shall not have any duty to disclose, and shall not be liable for the failure to disclose, any information relating to the Borrower, any Subsidiary or any Affiliate of any of the foregoing that is communicated to or obtained by the Person serving as Administrative Agent or any of its Affiliates in any capacity. Nothing in this Agreement shall require the Administrative Agent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191" w:lineRule="exact"/>
        <w:rPr>
          <w:rFonts w:ascii="Arial" w:cs="Arial" w:eastAsia="Arial" w:hAnsi="Arial"/>
          <w:sz w:val="16"/>
          <w:szCs w:val="16"/>
          <w:color w:val="auto"/>
        </w:rPr>
      </w:pPr>
    </w:p>
    <w:p>
      <w:pPr>
        <w:jc w:val="both"/>
        <w:ind w:firstLine="1305"/>
        <w:spacing w:after="0" w:line="322" w:lineRule="auto"/>
        <w:tabs>
          <w:tab w:leader="none" w:pos="2080" w:val="left"/>
        </w:tabs>
        <w:numPr>
          <w:ilvl w:val="0"/>
          <w:numId w:val="81"/>
        </w:numPr>
        <w:rPr>
          <w:rFonts w:ascii="Arial" w:cs="Arial" w:eastAsia="Arial" w:hAnsi="Arial"/>
          <w:sz w:val="16"/>
          <w:szCs w:val="16"/>
          <w:color w:val="auto"/>
        </w:rPr>
      </w:pPr>
      <w:r>
        <w:rPr>
          <w:rFonts w:ascii="Arial" w:cs="Arial" w:eastAsia="Arial" w:hAnsi="Arial"/>
          <w:sz w:val="18"/>
          <w:szCs w:val="18"/>
          <w:color w:val="auto"/>
        </w:rPr>
        <w:t>In performing its functions and duties hereunder and under the other Loan Documents, the Administrative Agent is acting solely on behalf of the Lenders (except in limited circumstances expressly provided for herein relating to the maintenance of the Register), and its duties are entirely mechanical and administrative in nature. Without limiting the generality of the foregoing:</w:t>
      </w:r>
    </w:p>
    <w:p>
      <w:pPr>
        <w:spacing w:after="0" w:line="166" w:lineRule="exact"/>
        <w:rPr>
          <w:rFonts w:ascii="Arial" w:cs="Arial" w:eastAsia="Arial" w:hAnsi="Arial"/>
          <w:sz w:val="16"/>
          <w:szCs w:val="16"/>
          <w:color w:val="auto"/>
        </w:rPr>
      </w:pPr>
    </w:p>
    <w:p>
      <w:pPr>
        <w:jc w:val="both"/>
        <w:ind w:left="1300" w:firstLine="653"/>
        <w:spacing w:after="0" w:line="273" w:lineRule="auto"/>
        <w:tabs>
          <w:tab w:leader="none" w:pos="2691" w:val="left"/>
        </w:tabs>
        <w:numPr>
          <w:ilvl w:val="1"/>
          <w:numId w:val="81"/>
        </w:numPr>
        <w:rPr>
          <w:rFonts w:ascii="Arial" w:cs="Arial" w:eastAsia="Arial" w:hAnsi="Arial"/>
          <w:sz w:val="18"/>
          <w:szCs w:val="18"/>
          <w:color w:val="auto"/>
        </w:rPr>
      </w:pPr>
      <w:r>
        <w:rPr>
          <w:rFonts w:ascii="Arial" w:cs="Arial" w:eastAsia="Arial" w:hAnsi="Arial"/>
          <w:sz w:val="20"/>
          <w:szCs w:val="20"/>
          <w:color w:val="auto"/>
        </w:rPr>
        <w:t>the Administrative Agent does not assume and shall not be deemed to have assumed any obligation or duty or any other relationship as the agent, fiduciary or trustee of or for any Lender other than as expressly set forth herein and in the other Loan Documents, regardless of whether a Default or an Event of Default has occurred and is continuing (and it is understood and agreed that the use of the term “agent” (or any similar term) herein or in any other Loan Document with reference</w:t>
      </w:r>
    </w:p>
    <w:p>
      <w:pPr>
        <w:sectPr>
          <w:pgSz w:w="11900" w:h="16838" w:orient="portrait"/>
          <w:cols w:equalWidth="0" w:num="1">
            <w:col w:w="11420"/>
          </w:cols>
          <w:pgMar w:left="240" w:top="337" w:right="239" w:bottom="1440" w:gutter="0" w:footer="0" w:header="0"/>
        </w:sectPr>
      </w:pPr>
    </w:p>
    <w:bookmarkStart w:id="94" w:name="page95"/>
    <w:bookmarkEnd w:id="94"/>
    <w:p>
      <w:pPr>
        <w:ind w:left="10720"/>
        <w:spacing w:after="0"/>
        <w:rPr>
          <w:sz w:val="20"/>
          <w:szCs w:val="20"/>
          <w:color w:val="auto"/>
        </w:rPr>
      </w:pPr>
      <w:r>
        <w:rPr>
          <w:rFonts w:ascii="Arial" w:cs="Arial" w:eastAsia="Arial" w:hAnsi="Arial"/>
          <w:sz w:val="16"/>
          <w:szCs w:val="16"/>
          <w:b w:val="1"/>
          <w:bCs w:val="1"/>
          <w:color w:val="auto"/>
        </w:rPr>
        <w:t>Exhibit 4</w:t>
      </w:r>
    </w:p>
    <w:p>
      <w:pPr>
        <w:spacing w:after="0" w:line="290" w:lineRule="exact"/>
        <w:rPr>
          <w:sz w:val="20"/>
          <w:szCs w:val="20"/>
          <w:color w:val="auto"/>
        </w:rPr>
      </w:pPr>
    </w:p>
    <w:p>
      <w:pPr>
        <w:jc w:val="both"/>
        <w:ind w:left="1300"/>
        <w:spacing w:after="0" w:line="290" w:lineRule="auto"/>
        <w:rPr>
          <w:sz w:val="20"/>
          <w:szCs w:val="20"/>
          <w:color w:val="auto"/>
        </w:rPr>
      </w:pPr>
      <w:r>
        <w:rPr>
          <w:rFonts w:ascii="Arial" w:cs="Arial" w:eastAsia="Arial" w:hAnsi="Arial"/>
          <w:sz w:val="19"/>
          <w:szCs w:val="19"/>
          <w:color w:val="auto"/>
        </w:rPr>
        <w:t>to the Administrative Agent is not intended to connote any fiduciary duty or other implied (or express) obligations arising under agency doctrine of any applicable law, and that such term is used as a matter of market custom and is intended to create or reflect only an administrative relationship between contracting parties); additionally, each Lender agrees that it will not assert any claim against the Administrative Agent based on an alleged breach of fiduciary duty by the Administrative Agent in connection with this Agreement and/or the transactions contemplated hereby; and</w:t>
      </w:r>
    </w:p>
    <w:p>
      <w:pPr>
        <w:spacing w:after="0" w:line="193" w:lineRule="exact"/>
        <w:rPr>
          <w:sz w:val="20"/>
          <w:szCs w:val="20"/>
          <w:color w:val="auto"/>
        </w:rPr>
      </w:pPr>
    </w:p>
    <w:p>
      <w:pPr>
        <w:ind w:left="1300" w:firstLine="653"/>
        <w:spacing w:after="0" w:line="316" w:lineRule="auto"/>
        <w:tabs>
          <w:tab w:leader="none" w:pos="2741" w:val="left"/>
        </w:tabs>
        <w:numPr>
          <w:ilvl w:val="1"/>
          <w:numId w:val="82"/>
        </w:numPr>
        <w:rPr>
          <w:rFonts w:ascii="Arial" w:cs="Arial" w:eastAsia="Arial" w:hAnsi="Arial"/>
          <w:sz w:val="17"/>
          <w:szCs w:val="17"/>
          <w:color w:val="auto"/>
        </w:rPr>
      </w:pPr>
      <w:r>
        <w:rPr>
          <w:rFonts w:ascii="Arial" w:cs="Arial" w:eastAsia="Arial" w:hAnsi="Arial"/>
          <w:sz w:val="19"/>
          <w:szCs w:val="19"/>
          <w:color w:val="auto"/>
        </w:rPr>
        <w:t>nothing in this Agreement or any Loan Document shall require the Administrative Agent to account to any Lender for any sum or the profit element of any sum received by the Administrative Agent for its own account;</w:t>
      </w:r>
    </w:p>
    <w:p>
      <w:pPr>
        <w:spacing w:after="0" w:line="167" w:lineRule="exact"/>
        <w:rPr>
          <w:rFonts w:ascii="Arial" w:cs="Arial" w:eastAsia="Arial" w:hAnsi="Arial"/>
          <w:sz w:val="17"/>
          <w:szCs w:val="17"/>
          <w:color w:val="auto"/>
        </w:rPr>
      </w:pPr>
    </w:p>
    <w:p>
      <w:pPr>
        <w:jc w:val="both"/>
        <w:ind w:firstLine="1305"/>
        <w:spacing w:after="0" w:line="305" w:lineRule="auto"/>
        <w:tabs>
          <w:tab w:leader="none" w:pos="2070" w:val="left"/>
        </w:tabs>
        <w:numPr>
          <w:ilvl w:val="0"/>
          <w:numId w:val="83"/>
        </w:numPr>
        <w:rPr>
          <w:rFonts w:ascii="Arial" w:cs="Arial" w:eastAsia="Arial" w:hAnsi="Arial"/>
          <w:sz w:val="16"/>
          <w:szCs w:val="16"/>
          <w:color w:val="auto"/>
        </w:rPr>
      </w:pPr>
      <w:r>
        <w:rPr>
          <w:rFonts w:ascii="Arial" w:cs="Arial" w:eastAsia="Arial" w:hAnsi="Arial"/>
          <w:sz w:val="18"/>
          <w:szCs w:val="18"/>
          <w:color w:val="auto"/>
        </w:rPr>
        <w:t>The Administrative Agent may perform any of its duties and exercise its rights and powers hereunder or under any other Loan Document by or through any one or more sub-agents appointed by the Administrative Agent. The Administrative Agent and any such sub-agent may perform any of their respective duties and exercise their respective rights and powers through their respective Related Parties. The exculpatory provisions of this Article shall apply to any such sub-agent and to the Related Parties of the Administrative Agent and any such sub-agent, and shall apply to their respective activities pursuant to this Agreement. The Administrative Agent shall not be responsible for the negligence or misconduct of any sub-agent except to the extent that a court of competent jurisdiction determines in a final and nonappealable judgment that the Administrative Agent acted with gross negligence or willful misconduct in the selection of such sub-agent.</w:t>
      </w:r>
    </w:p>
    <w:p>
      <w:pPr>
        <w:spacing w:after="0" w:line="184" w:lineRule="exact"/>
        <w:rPr>
          <w:rFonts w:ascii="Arial" w:cs="Arial" w:eastAsia="Arial" w:hAnsi="Arial"/>
          <w:sz w:val="16"/>
          <w:szCs w:val="16"/>
          <w:color w:val="auto"/>
        </w:rPr>
      </w:pPr>
    </w:p>
    <w:p>
      <w:pPr>
        <w:jc w:val="both"/>
        <w:ind w:firstLine="1305"/>
        <w:spacing w:after="0" w:line="278" w:lineRule="auto"/>
        <w:tabs>
          <w:tab w:leader="none" w:pos="2050" w:val="left"/>
        </w:tabs>
        <w:numPr>
          <w:ilvl w:val="0"/>
          <w:numId w:val="83"/>
        </w:numPr>
        <w:rPr>
          <w:rFonts w:ascii="Arial" w:cs="Arial" w:eastAsia="Arial" w:hAnsi="Arial"/>
          <w:sz w:val="18"/>
          <w:szCs w:val="18"/>
          <w:color w:val="auto"/>
        </w:rPr>
      </w:pPr>
      <w:r>
        <w:rPr>
          <w:rFonts w:ascii="Arial" w:cs="Arial" w:eastAsia="Arial" w:hAnsi="Arial"/>
          <w:sz w:val="20"/>
          <w:szCs w:val="20"/>
          <w:color w:val="auto"/>
        </w:rPr>
        <w:t>The Sole Lead Arranger and Sole Bookrunner shall have no obligations or duties whatsoever in such capacity under this Agreement or any other Loan Document and shall incur no liability hereunder or thereunder in such capacity, but shall have the benefit of the indemnities provided for hereunder.</w:t>
      </w:r>
    </w:p>
    <w:p>
      <w:pPr>
        <w:spacing w:after="0" w:line="200" w:lineRule="exact"/>
        <w:rPr>
          <w:rFonts w:ascii="Arial" w:cs="Arial" w:eastAsia="Arial" w:hAnsi="Arial"/>
          <w:sz w:val="18"/>
          <w:szCs w:val="18"/>
          <w:color w:val="auto"/>
        </w:rPr>
      </w:pPr>
    </w:p>
    <w:p>
      <w:pPr>
        <w:jc w:val="both"/>
        <w:ind w:firstLine="1305"/>
        <w:spacing w:after="0" w:line="273" w:lineRule="auto"/>
        <w:tabs>
          <w:tab w:leader="none" w:pos="2080" w:val="left"/>
        </w:tabs>
        <w:numPr>
          <w:ilvl w:val="0"/>
          <w:numId w:val="83"/>
        </w:numPr>
        <w:rPr>
          <w:rFonts w:ascii="Arial" w:cs="Arial" w:eastAsia="Arial" w:hAnsi="Arial"/>
          <w:sz w:val="18"/>
          <w:szCs w:val="18"/>
          <w:color w:val="auto"/>
        </w:rPr>
      </w:pPr>
      <w:r>
        <w:rPr>
          <w:rFonts w:ascii="Arial" w:cs="Arial" w:eastAsia="Arial" w:hAnsi="Arial"/>
          <w:sz w:val="20"/>
          <w:szCs w:val="20"/>
          <w:color w:val="auto"/>
        </w:rPr>
        <w:t>In case of the pendency of any proceeding with respect to the Borrower under any Federal, state or foreign bankruptcy, insolvency, receivership or similar law now or hereafter in effect, the Administrative Agent (irrespective of whether the principal of any Loan shall then be due and payable as herein expressed or by declaration or otherwise and irrespective of whether the Administrative Agent shall have made any demand on the Borrower) shall be entitled and empowered (but not obligated) by intervention in such proceeding or otherwise:</w:t>
      </w:r>
    </w:p>
    <w:p>
      <w:pPr>
        <w:spacing w:after="0" w:line="204" w:lineRule="exact"/>
        <w:rPr>
          <w:rFonts w:ascii="Arial" w:cs="Arial" w:eastAsia="Arial" w:hAnsi="Arial"/>
          <w:sz w:val="18"/>
          <w:szCs w:val="18"/>
          <w:color w:val="auto"/>
        </w:rPr>
      </w:pPr>
    </w:p>
    <w:p>
      <w:pPr>
        <w:jc w:val="both"/>
        <w:ind w:left="1300" w:firstLine="653"/>
        <w:spacing w:after="0" w:line="293" w:lineRule="auto"/>
        <w:tabs>
          <w:tab w:leader="none" w:pos="2691" w:val="left"/>
        </w:tabs>
        <w:numPr>
          <w:ilvl w:val="1"/>
          <w:numId w:val="83"/>
        </w:numPr>
        <w:rPr>
          <w:rFonts w:ascii="Arial" w:cs="Arial" w:eastAsia="Arial" w:hAnsi="Arial"/>
          <w:sz w:val="17"/>
          <w:szCs w:val="17"/>
          <w:color w:val="auto"/>
        </w:rPr>
      </w:pPr>
      <w:r>
        <w:rPr>
          <w:rFonts w:ascii="Arial" w:cs="Arial" w:eastAsia="Arial" w:hAnsi="Arial"/>
          <w:sz w:val="19"/>
          <w:szCs w:val="19"/>
          <w:color w:val="auto"/>
        </w:rPr>
        <w:t xml:space="preserve">to file and prove a claim for the whole amount of the principal and interest owing and unpaid in respect of the Loans and all other obligations under the Loan Documents that are owing and unpaid and to file such other documents as may be necessary or advisable in order to have the claims of the Lenders and the Administrative Agent (including any claim under </w:t>
      </w:r>
      <w:r>
        <w:rPr>
          <w:rFonts w:ascii="Arial" w:cs="Arial" w:eastAsia="Arial" w:hAnsi="Arial"/>
          <w:sz w:val="19"/>
          <w:szCs w:val="19"/>
          <w:u w:val="single" w:color="auto"/>
          <w:color w:val="auto"/>
        </w:rPr>
        <w:t>Sections 3.1</w:t>
      </w:r>
      <w:r>
        <w:rPr>
          <w:rFonts w:ascii="Arial" w:cs="Arial" w:eastAsia="Arial" w:hAnsi="Arial"/>
          <w:sz w:val="19"/>
          <w:szCs w:val="19"/>
          <w:color w:val="auto"/>
        </w:rPr>
        <w:t xml:space="preserve">, </w:t>
      </w:r>
      <w:r>
        <w:rPr>
          <w:rFonts w:ascii="Arial" w:cs="Arial" w:eastAsia="Arial" w:hAnsi="Arial"/>
          <w:sz w:val="19"/>
          <w:szCs w:val="19"/>
          <w:u w:val="single" w:color="auto"/>
          <w:color w:val="auto"/>
        </w:rPr>
        <w:t>3.3</w:t>
      </w:r>
      <w:r>
        <w:rPr>
          <w:rFonts w:ascii="Arial" w:cs="Arial" w:eastAsia="Arial" w:hAnsi="Arial"/>
          <w:sz w:val="19"/>
          <w:szCs w:val="19"/>
          <w:color w:val="auto"/>
        </w:rPr>
        <w:t xml:space="preserve">, </w:t>
      </w:r>
      <w:r>
        <w:rPr>
          <w:rFonts w:ascii="Arial" w:cs="Arial" w:eastAsia="Arial" w:hAnsi="Arial"/>
          <w:sz w:val="19"/>
          <w:szCs w:val="19"/>
          <w:u w:val="single" w:color="auto"/>
          <w:color w:val="auto"/>
        </w:rPr>
        <w:t>3.5</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10.3</w:t>
      </w:r>
      <w:r>
        <w:rPr>
          <w:rFonts w:ascii="Arial" w:cs="Arial" w:eastAsia="Arial" w:hAnsi="Arial"/>
          <w:sz w:val="19"/>
          <w:szCs w:val="19"/>
          <w:color w:val="auto"/>
        </w:rPr>
        <w:t>) allowed in such judicial proceeding; and</w:t>
      </w:r>
    </w:p>
    <w:p>
      <w:pPr>
        <w:spacing w:after="0" w:line="189" w:lineRule="exact"/>
        <w:rPr>
          <w:sz w:val="20"/>
          <w:szCs w:val="20"/>
          <w:color w:val="auto"/>
        </w:rPr>
      </w:pPr>
    </w:p>
    <w:p>
      <w:pPr>
        <w:ind w:left="1300" w:firstLine="653"/>
        <w:spacing w:after="0" w:line="289" w:lineRule="auto"/>
        <w:tabs>
          <w:tab w:leader="none" w:pos="2741" w:val="left"/>
        </w:tabs>
        <w:numPr>
          <w:ilvl w:val="0"/>
          <w:numId w:val="84"/>
        </w:numPr>
        <w:rPr>
          <w:rFonts w:ascii="Arial" w:cs="Arial" w:eastAsia="Arial" w:hAnsi="Arial"/>
          <w:sz w:val="18"/>
          <w:szCs w:val="18"/>
          <w:color w:val="auto"/>
        </w:rPr>
      </w:pPr>
      <w:r>
        <w:rPr>
          <w:rFonts w:ascii="Arial" w:cs="Arial" w:eastAsia="Arial" w:hAnsi="Arial"/>
          <w:sz w:val="20"/>
          <w:szCs w:val="20"/>
          <w:color w:val="auto"/>
        </w:rPr>
        <w:t>to collect and receive any monies or other property payable or deliverable on any such claims and to distribute the same;</w:t>
      </w:r>
    </w:p>
    <w:p>
      <w:pPr>
        <w:spacing w:after="0" w:line="17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and any custodian, receiver, assignee, trustee, liquidator, sequestrator or other similar official in any such proceeding is hereby authorized by each Lender to make such payments to the Administrative Agent and, in the event that the Administrative Agent shall consent to the making of such payments directly to the Lenders, to pay to the Administrative Agent any amount due to it, in its capacity as the Administrative Agent, under the Loan Documents (including under Section 10.3). Nothing contained herein shall be deemed to authorize the Administrative Agent to authorize or consent to or accept or adopt on behalf of any Lender any plan of reorganization, arrangement, adjustment or composition affecting the obligations or the rights of any Lender or to authorize the Administrative Agent to vote in respect of the claim of any Lender in any such proceeding.</w:t>
      </w:r>
    </w:p>
    <w:p>
      <w:pPr>
        <w:spacing w:after="0" w:line="180" w:lineRule="exact"/>
        <w:rPr>
          <w:sz w:val="20"/>
          <w:szCs w:val="20"/>
          <w:color w:val="auto"/>
        </w:rPr>
      </w:pPr>
    </w:p>
    <w:p>
      <w:pPr>
        <w:jc w:val="both"/>
        <w:ind w:firstLine="1305"/>
        <w:spacing w:after="0" w:line="322" w:lineRule="auto"/>
        <w:tabs>
          <w:tab w:leader="none" w:pos="2080" w:val="left"/>
        </w:tabs>
        <w:numPr>
          <w:ilvl w:val="0"/>
          <w:numId w:val="85"/>
        </w:numPr>
        <w:rPr>
          <w:rFonts w:ascii="Arial" w:cs="Arial" w:eastAsia="Arial" w:hAnsi="Arial"/>
          <w:sz w:val="16"/>
          <w:szCs w:val="16"/>
          <w:color w:val="auto"/>
        </w:rPr>
      </w:pPr>
      <w:r>
        <w:rPr>
          <w:rFonts w:ascii="Arial" w:cs="Arial" w:eastAsia="Arial" w:hAnsi="Arial"/>
          <w:sz w:val="18"/>
          <w:szCs w:val="18"/>
          <w:color w:val="auto"/>
        </w:rPr>
        <w:t>The provisions of this Article are solely for the benefit of the Administrative Agent and the Lenders, and, except solely to the extent of the Borrower’s rights to consent pursuant to and subject to the conditions set forth in this Article, none of the Borrower or any Subsidiary, or any of their respective Affiliates, shall have any rights as a third party beneficiary under any such provisions.</w:t>
      </w:r>
    </w:p>
    <w:p>
      <w:pPr>
        <w:sectPr>
          <w:pgSz w:w="11900" w:h="16838" w:orient="portrait"/>
          <w:cols w:equalWidth="0" w:num="1">
            <w:col w:w="11420"/>
          </w:cols>
          <w:pgMar w:left="240" w:top="337" w:right="2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4</w:t>
      </w:r>
    </w:p>
    <w:p>
      <w:pPr>
        <w:spacing w:after="0" w:line="267" w:lineRule="exact"/>
        <w:rPr>
          <w:sz w:val="20"/>
          <w:szCs w:val="20"/>
          <w:color w:val="auto"/>
        </w:rPr>
      </w:pPr>
    </w:p>
    <w:p>
      <w:pPr>
        <w:ind w:left="660"/>
        <w:spacing w:after="0"/>
        <w:tabs>
          <w:tab w:leader="none" w:pos="2740" w:val="left"/>
        </w:tabs>
        <w:rPr>
          <w:sz w:val="20"/>
          <w:szCs w:val="20"/>
          <w:color w:val="auto"/>
        </w:rPr>
      </w:pPr>
      <w:r>
        <w:rPr>
          <w:rFonts w:ascii="Arial" w:cs="Arial" w:eastAsia="Arial" w:hAnsi="Arial"/>
          <w:sz w:val="18"/>
          <w:szCs w:val="18"/>
          <w:color w:val="auto"/>
        </w:rPr>
        <w:t>Section 9.2</w:t>
      </w:r>
      <w:r>
        <w:rPr>
          <w:sz w:val="20"/>
          <w:szCs w:val="20"/>
          <w:color w:val="auto"/>
        </w:rPr>
        <w:tab/>
      </w:r>
      <w:r>
        <w:rPr>
          <w:rFonts w:ascii="Arial" w:cs="Arial" w:eastAsia="Arial" w:hAnsi="Arial"/>
          <w:sz w:val="18"/>
          <w:szCs w:val="18"/>
          <w:u w:val="single" w:color="auto"/>
          <w:color w:val="auto"/>
        </w:rPr>
        <w:t>Administrative Agent’s Reliance, Indemnification, Etc.</w:t>
      </w:r>
    </w:p>
    <w:p>
      <w:pPr>
        <w:spacing w:after="0" w:line="279" w:lineRule="exact"/>
        <w:rPr>
          <w:sz w:val="20"/>
          <w:szCs w:val="20"/>
          <w:color w:val="auto"/>
        </w:rPr>
      </w:pPr>
    </w:p>
    <w:p>
      <w:pPr>
        <w:jc w:val="both"/>
        <w:ind w:firstLine="1305"/>
        <w:spacing w:after="0" w:line="303" w:lineRule="auto"/>
        <w:tabs>
          <w:tab w:leader="none" w:pos="2070" w:val="left"/>
        </w:tabs>
        <w:numPr>
          <w:ilvl w:val="0"/>
          <w:numId w:val="86"/>
        </w:numPr>
        <w:rPr>
          <w:rFonts w:ascii="Arial" w:cs="Arial" w:eastAsia="Arial" w:hAnsi="Arial"/>
          <w:sz w:val="16"/>
          <w:szCs w:val="16"/>
          <w:color w:val="auto"/>
        </w:rPr>
      </w:pPr>
      <w:r>
        <w:rPr>
          <w:rFonts w:ascii="Arial" w:cs="Arial" w:eastAsia="Arial" w:hAnsi="Arial"/>
          <w:sz w:val="18"/>
          <w:szCs w:val="18"/>
          <w:color w:val="auto"/>
        </w:rPr>
        <w:t>Neither the Administrative Agent nor any of its Related Parties shall be (i) liable for any action taken or omitted to be taken by such party under or in connection with this Agreement or the other Loan Documents (x) with the consent of or at the request of the Required Lenders (or such other number or percentage of the Lenders as shall be necessary, or as the Administrative Agent shall believe in good faith to be necessary, under the circumstances as provided in the Loan Documents) or (y) in the absence of its own gross negligence or willful misconduct (such absence to be presumed unless otherwise determined by a court of competent jurisdiction by a final and non-appealable judgment) or (ii) responsible in any manner to any of the Lenders for any recitals, statements, representations or warranties made the Borrower or any officer thereof contained in this Agreement or any other Loan Document or in any certificate, report, statement or other document referred to or provided for in, or received by the Administrative Agent under or in connection with, this Agreement or any other Loan Document or for the value, validity, effectiveness, genuineness, enforceability or sufficiency of this Agreement or any other Loan Document or for any failure of the Borrower to perform its obligations hereunder or thereunder.</w:t>
      </w:r>
    </w:p>
    <w:p>
      <w:pPr>
        <w:spacing w:after="0" w:line="182" w:lineRule="exact"/>
        <w:rPr>
          <w:rFonts w:ascii="Arial" w:cs="Arial" w:eastAsia="Arial" w:hAnsi="Arial"/>
          <w:sz w:val="16"/>
          <w:szCs w:val="16"/>
          <w:color w:val="auto"/>
        </w:rPr>
      </w:pPr>
    </w:p>
    <w:p>
      <w:pPr>
        <w:jc w:val="both"/>
        <w:ind w:firstLine="1305"/>
        <w:spacing w:after="0" w:line="303" w:lineRule="auto"/>
        <w:tabs>
          <w:tab w:leader="none" w:pos="2080" w:val="left"/>
        </w:tabs>
        <w:numPr>
          <w:ilvl w:val="0"/>
          <w:numId w:val="86"/>
        </w:numPr>
        <w:rPr>
          <w:rFonts w:ascii="Arial" w:cs="Arial" w:eastAsia="Arial" w:hAnsi="Arial"/>
          <w:sz w:val="16"/>
          <w:szCs w:val="16"/>
          <w:color w:val="auto"/>
        </w:rPr>
      </w:pPr>
      <w:r>
        <w:rPr>
          <w:rFonts w:ascii="Arial" w:cs="Arial" w:eastAsia="Arial" w:hAnsi="Arial"/>
          <w:sz w:val="18"/>
          <w:szCs w:val="18"/>
          <w:color w:val="auto"/>
        </w:rPr>
        <w:t>The Administrative Agent shall be deemed not to have knowledge of any Default unless and until written notice thereof (stating that it is a “notice of default”) is given to the Administrative Agent by the Borrower or a Lender, and the Administrative Agent shall not be responsible for or have any duty to ascertain or inquire into (i) any statement, warranty or representation made in or in connection with any Loan Document, (ii) the contents of any certificate, report or other document delivered thereunder or in connection therewith, (iii) the performance or observance of any of the covenants, agreements or other terms or conditions set forth in any Loan Document or the occurrence of any Default, (iv) the sufficiency, validity, enforceability, effectiveness or genuineness of any Loan Document or any other agreement, instrument or document, or (v) the satisfaction of any condition set forth in Article 5 or elsewhere in any Loan Document, other than to confirm receipt of items (which on their face purport to be such items) expressly required to be delivered to the Administrative Agent or satisfaction of any condition that expressly refers to the matters described therein being acceptable or satisfactory to the Administrative Agent.</w:t>
      </w:r>
    </w:p>
    <w:p>
      <w:pPr>
        <w:spacing w:after="0" w:line="187" w:lineRule="exact"/>
        <w:rPr>
          <w:rFonts w:ascii="Arial" w:cs="Arial" w:eastAsia="Arial" w:hAnsi="Arial"/>
          <w:sz w:val="16"/>
          <w:szCs w:val="16"/>
          <w:color w:val="auto"/>
        </w:rPr>
      </w:pPr>
    </w:p>
    <w:p>
      <w:pPr>
        <w:jc w:val="both"/>
        <w:ind w:firstLine="1305"/>
        <w:spacing w:after="0" w:line="301" w:lineRule="auto"/>
        <w:tabs>
          <w:tab w:leader="none" w:pos="2070" w:val="left"/>
        </w:tabs>
        <w:numPr>
          <w:ilvl w:val="0"/>
          <w:numId w:val="86"/>
        </w:numPr>
        <w:rPr>
          <w:rFonts w:ascii="Arial" w:cs="Arial" w:eastAsia="Arial" w:hAnsi="Arial"/>
          <w:sz w:val="16"/>
          <w:szCs w:val="16"/>
          <w:color w:val="auto"/>
        </w:rPr>
      </w:pPr>
      <w:r>
        <w:rPr>
          <w:rFonts w:ascii="Arial" w:cs="Arial" w:eastAsia="Arial" w:hAnsi="Arial"/>
          <w:sz w:val="18"/>
          <w:szCs w:val="18"/>
          <w:color w:val="auto"/>
        </w:rPr>
        <w:t>Without limiting the foregoing, the Administrative Agent (i) may treat the payee of any Note as its holder until such Note has been assigned in accordance with Section 10.4, (ii) may rely on the Register to the extent set forth in Section 10.4(c), (iii) may consult with legal counsel (including counsel to the Borrower), independent public accountants and other experts selected by it, and shall not be liable for any action taken or omitted to be taken in good faith by it in accordance with the advice of such counsel, accountants or experts, (iv) makes no warranty or representation to any Lender and shall not be responsible to any Lender for any statements, warranties or representations made by or on behalf of the Borrower in connection with this Agreement or any other Loan Document, (v) in determining compliance with any condition hereunder to the making of a Loan that by its terms must be fulfilled to the satisfaction of a Lender, may presume that such condition is satisfactory to such Lender unless the Administrative Agent shall have received notice to the contrary from such Lender Bank sufficiently in advance of the making of such Loan and (vi) shall be entitled to rely on, and shall incur no liability under or in respect of this Agreement or any other Loan Document by acting upon, any notice, consent, certificate or other instrument or writing (which writing may be a fax, any electronic message, Internet or intranet website posting or other distribution) or any statement made to it orally or by telephone and believed by it to be genuine and signed or sent or otherwise authenticated by the proper party or parties (whether or not such Person in fact meets the requirements set forth in the Loan Documents for being the maker thereof).</w:t>
      </w:r>
    </w:p>
    <w:p>
      <w:pPr>
        <w:spacing w:after="0" w:line="191" w:lineRule="exact"/>
        <w:rPr>
          <w:sz w:val="20"/>
          <w:szCs w:val="20"/>
          <w:color w:val="auto"/>
        </w:rPr>
      </w:pPr>
    </w:p>
    <w:p>
      <w:pPr>
        <w:ind w:left="660"/>
        <w:spacing w:after="0"/>
        <w:tabs>
          <w:tab w:leader="none" w:pos="2740" w:val="left"/>
        </w:tabs>
        <w:rPr>
          <w:sz w:val="20"/>
          <w:szCs w:val="20"/>
          <w:color w:val="auto"/>
        </w:rPr>
      </w:pPr>
      <w:r>
        <w:rPr>
          <w:rFonts w:ascii="Arial" w:cs="Arial" w:eastAsia="Arial" w:hAnsi="Arial"/>
          <w:sz w:val="18"/>
          <w:szCs w:val="18"/>
          <w:color w:val="auto"/>
        </w:rPr>
        <w:t>Section 9.3</w:t>
      </w:r>
      <w:r>
        <w:rPr>
          <w:sz w:val="20"/>
          <w:szCs w:val="20"/>
          <w:color w:val="auto"/>
        </w:rPr>
        <w:tab/>
      </w:r>
      <w:r>
        <w:rPr>
          <w:rFonts w:ascii="Arial" w:cs="Arial" w:eastAsia="Arial" w:hAnsi="Arial"/>
          <w:sz w:val="18"/>
          <w:szCs w:val="18"/>
          <w:u w:val="single" w:color="auto"/>
          <w:color w:val="auto"/>
        </w:rPr>
        <w:t>Posting of Communications</w:t>
      </w:r>
      <w:r>
        <w:rPr>
          <w:rFonts w:ascii="Arial" w:cs="Arial" w:eastAsia="Arial" w:hAnsi="Arial"/>
          <w:sz w:val="18"/>
          <w:szCs w:val="18"/>
          <w:color w:val="auto"/>
        </w:rPr>
        <w:t>.</w:t>
      </w:r>
    </w:p>
    <w:p>
      <w:pPr>
        <w:spacing w:after="0" w:line="279" w:lineRule="exact"/>
        <w:rPr>
          <w:sz w:val="20"/>
          <w:szCs w:val="20"/>
          <w:color w:val="auto"/>
        </w:rPr>
      </w:pPr>
    </w:p>
    <w:p>
      <w:pPr>
        <w:jc w:val="both"/>
        <w:ind w:firstLine="1305"/>
        <w:spacing w:after="0" w:line="322" w:lineRule="auto"/>
        <w:tabs>
          <w:tab w:leader="none" w:pos="2070" w:val="left"/>
        </w:tabs>
        <w:numPr>
          <w:ilvl w:val="0"/>
          <w:numId w:val="87"/>
        </w:numPr>
        <w:rPr>
          <w:rFonts w:ascii="Arial" w:cs="Arial" w:eastAsia="Arial" w:hAnsi="Arial"/>
          <w:sz w:val="16"/>
          <w:szCs w:val="16"/>
          <w:color w:val="auto"/>
        </w:rPr>
      </w:pPr>
      <w:r>
        <w:rPr>
          <w:rFonts w:ascii="Arial" w:cs="Arial" w:eastAsia="Arial" w:hAnsi="Arial"/>
          <w:sz w:val="18"/>
          <w:szCs w:val="18"/>
          <w:color w:val="auto"/>
        </w:rPr>
        <w:t>The Borrower agrees that the Administrative Agent may, but shall not be obligated to, make any Communications available to the Lenders by posting the Communications on IntraLinks™, DebtDomain, SyndTrak, ClearPar or any other electronic platform chosen by the Administrative Agent to be its electronic transmission system (the “</w:t>
      </w:r>
      <w:r>
        <w:rPr>
          <w:rFonts w:ascii="Arial" w:cs="Arial" w:eastAsia="Arial" w:hAnsi="Arial"/>
          <w:sz w:val="18"/>
          <w:szCs w:val="18"/>
          <w:u w:val="single" w:color="auto"/>
          <w:color w:val="auto"/>
        </w:rPr>
        <w:t>Approved Electronic Platform</w:t>
      </w:r>
      <w:r>
        <w:rPr>
          <w:rFonts w:ascii="Arial" w:cs="Arial" w:eastAsia="Arial" w:hAnsi="Arial"/>
          <w:sz w:val="18"/>
          <w:szCs w:val="18"/>
          <w:color w:val="auto"/>
        </w:rPr>
        <w:t>”).</w:t>
      </w:r>
    </w:p>
    <w:p>
      <w:pPr>
        <w:spacing w:after="0" w:line="166" w:lineRule="exact"/>
        <w:rPr>
          <w:rFonts w:ascii="Arial" w:cs="Arial" w:eastAsia="Arial" w:hAnsi="Arial"/>
          <w:sz w:val="16"/>
          <w:szCs w:val="16"/>
          <w:color w:val="auto"/>
        </w:rPr>
      </w:pPr>
    </w:p>
    <w:p>
      <w:pPr>
        <w:jc w:val="both"/>
        <w:ind w:firstLine="1305"/>
        <w:spacing w:after="0" w:line="278" w:lineRule="auto"/>
        <w:tabs>
          <w:tab w:leader="none" w:pos="2080" w:val="left"/>
        </w:tabs>
        <w:numPr>
          <w:ilvl w:val="0"/>
          <w:numId w:val="87"/>
        </w:numPr>
        <w:rPr>
          <w:rFonts w:ascii="Arial" w:cs="Arial" w:eastAsia="Arial" w:hAnsi="Arial"/>
          <w:sz w:val="18"/>
          <w:szCs w:val="18"/>
          <w:color w:val="auto"/>
        </w:rPr>
      </w:pPr>
      <w:r>
        <w:rPr>
          <w:rFonts w:ascii="Arial" w:cs="Arial" w:eastAsia="Arial" w:hAnsi="Arial"/>
          <w:sz w:val="20"/>
          <w:szCs w:val="20"/>
          <w:color w:val="auto"/>
        </w:rPr>
        <w:t>Although the Approved Electronic Platform and its primary web portal are secured with generally-applicable security procedures and policies implemented or modified by the Administrative Agent from time to time (including, as of the Effective Date, a user ID/password authorization system) and the Approved Electronic</w:t>
      </w:r>
    </w:p>
    <w:p>
      <w:pPr>
        <w:sectPr>
          <w:pgSz w:w="11900" w:h="16838" w:orient="portrait"/>
          <w:cols w:equalWidth="0" w:num="1">
            <w:col w:w="11420"/>
          </w:cols>
          <w:pgMar w:left="240" w:top="337" w:right="239" w:bottom="1440" w:gutter="0" w:footer="0" w:header="0"/>
        </w:sectPr>
      </w:pPr>
    </w:p>
    <w:bookmarkStart w:id="96" w:name="page97"/>
    <w:bookmarkEnd w:id="96"/>
    <w:p>
      <w:pPr>
        <w:ind w:left="10720"/>
        <w:spacing w:after="0"/>
        <w:rPr>
          <w:sz w:val="20"/>
          <w:szCs w:val="20"/>
          <w:color w:val="auto"/>
        </w:rPr>
      </w:pPr>
      <w:r>
        <w:rPr>
          <w:rFonts w:ascii="Arial" w:cs="Arial" w:eastAsia="Arial" w:hAnsi="Arial"/>
          <w:sz w:val="16"/>
          <w:szCs w:val="16"/>
          <w:b w:val="1"/>
          <w:bCs w:val="1"/>
          <w:color w:val="auto"/>
        </w:rPr>
        <w:t>Exhibit 4</w:t>
      </w:r>
    </w:p>
    <w:p>
      <w:pPr>
        <w:spacing w:after="0" w:line="290"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Platform is secured through a per-deal authorization method whereby each user may access the Approved Electronic Platform only on a deal-by-deal basis, each of the Lenders and the Borrower acknowledges and agrees that the distribution of material through an electronic medium is not necessarily secure, that the Administrative Agent is not responsible for approving or vetting the representatives or contacts of any Lender that are added to the Approved Electronic Platform, and that there may be confidentiality and other risks associated with such distribution. Each of the Lenders and the Borrower hereby approves distribution of the Communications through the Approved Electronic Platform and understands and assumes the risks of such distribution.</w:t>
      </w:r>
    </w:p>
    <w:p>
      <w:pPr>
        <w:spacing w:after="0" w:line="196" w:lineRule="exact"/>
        <w:rPr>
          <w:sz w:val="20"/>
          <w:szCs w:val="20"/>
          <w:color w:val="auto"/>
        </w:rPr>
      </w:pPr>
    </w:p>
    <w:p>
      <w:pPr>
        <w:jc w:val="both"/>
        <w:ind w:firstLine="1305"/>
        <w:spacing w:after="0" w:line="269" w:lineRule="auto"/>
        <w:tabs>
          <w:tab w:leader="none" w:pos="2070" w:val="left"/>
        </w:tabs>
        <w:numPr>
          <w:ilvl w:val="0"/>
          <w:numId w:val="88"/>
        </w:numPr>
        <w:rPr>
          <w:rFonts w:ascii="Arial" w:cs="Arial" w:eastAsia="Arial" w:hAnsi="Arial"/>
          <w:sz w:val="18"/>
          <w:szCs w:val="18"/>
          <w:color w:val="auto"/>
        </w:rPr>
      </w:pPr>
      <w:r>
        <w:rPr>
          <w:rFonts w:ascii="Arial" w:cs="Arial" w:eastAsia="Arial" w:hAnsi="Arial"/>
          <w:sz w:val="20"/>
          <w:szCs w:val="20"/>
          <w:color w:val="auto"/>
        </w:rPr>
        <w:t>THE APPROVED ELECTRONIC PLATFORM AND THE COMMUNICATIONS ARE PROVIDED “AS IS” AND “AS AVAILABLE”. THE APPLICABLE PARTIES (AS DEFINED BELOW) DO NOT WARRANT THE ACCURACY OR COMPLETENESS OF THE COMMUNICATIONS, OR THE ADEQUACY OF THE APPROVED ELECTRONIC PLATFORM AND EXPRESSLY DISCLAIM LIABILITY FOR ERRORS OR OMISSIONS IN THE APPROVED ELECTRONIC PLATFORM AND THE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COMMUNICATIONS OR THE APPROVED ELECTRONIC PLATFORM. IN NO EVENT SHALL THE ADMINISTRATIVE AGENT, THE SOLE LEAD ARRANGER AND SOLE BOOKRUNNER OR ANY OF THEIR RESPECTIVE RELATED PARTIES (COLLECTIVELY, “APPLICABLE PARTIES”) HAVE ANY LIABILITY TO THE BORROWER, ANY LENDER OR ANY OTHER PERSON OR ENTITY FOR DAMAGES OF ANY KIND, INCLUDING DIRECT OR INDIRECT, SPECIAL, INCIDENTAL OR CONSEQUENTIAL DAMAGES, LOSSES OR EXPENSES (WHETHER IN TORT, CONTRACT OR OTHERWISE) ARISING OUT OF THE BORROWER’S OR THE ADMINISTRATIVE AGENT’S TRANSMISSION OF COMMUNICATIONS THROUGH THE INTERNET OR THE APPROVED ELECTRONIC PLATFORM.</w:t>
      </w:r>
    </w:p>
    <w:p>
      <w:pPr>
        <w:spacing w:after="0" w:line="200"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“Communications” means, collectively, any notice, demand, communication, information, document or other material provided by or on behalf of the Borrower pursuant to any Loan Document or the transactions contemplated therein which is distributed by the Administrative Agent or any Lender by means of electronic communications pursuant to this Section, including through an Approved Electronic Platform.</w:t>
      </w:r>
    </w:p>
    <w:p>
      <w:pPr>
        <w:spacing w:after="0" w:line="138" w:lineRule="exact"/>
        <w:rPr>
          <w:sz w:val="20"/>
          <w:szCs w:val="20"/>
          <w:color w:val="auto"/>
        </w:rPr>
      </w:pPr>
    </w:p>
    <w:p>
      <w:pPr>
        <w:jc w:val="both"/>
        <w:ind w:firstLine="1305"/>
        <w:spacing w:after="0" w:line="273" w:lineRule="auto"/>
        <w:tabs>
          <w:tab w:leader="none" w:pos="2080" w:val="left"/>
        </w:tabs>
        <w:numPr>
          <w:ilvl w:val="0"/>
          <w:numId w:val="89"/>
        </w:numPr>
        <w:rPr>
          <w:rFonts w:ascii="Arial" w:cs="Arial" w:eastAsia="Arial" w:hAnsi="Arial"/>
          <w:sz w:val="18"/>
          <w:szCs w:val="18"/>
          <w:color w:val="auto"/>
        </w:rPr>
      </w:pPr>
      <w:r>
        <w:rPr>
          <w:rFonts w:ascii="Arial" w:cs="Arial" w:eastAsia="Arial" w:hAnsi="Arial"/>
          <w:sz w:val="20"/>
          <w:szCs w:val="20"/>
          <w:color w:val="auto"/>
        </w:rPr>
        <w:t>Each Lender agrees that notice to it (as provided in the next sentence) specifying that Communications have been posted to the Approved Electronic Platform shall constitute effective delivery of the Communications to such Lender for purposes of the Loan Documents. Each Lender agrees (i) to notify the Administrative Agent in writing (which could be in the form of electronic communication) from time to time of such Lender’s email address to which the foregoing notice may be sent by electronic transmission and (ii) that the foregoing notice may be sent to such email address.</w:t>
      </w:r>
    </w:p>
    <w:p>
      <w:pPr>
        <w:spacing w:after="0" w:line="204" w:lineRule="exact"/>
        <w:rPr>
          <w:rFonts w:ascii="Arial" w:cs="Arial" w:eastAsia="Arial" w:hAnsi="Arial"/>
          <w:sz w:val="18"/>
          <w:szCs w:val="18"/>
          <w:color w:val="auto"/>
        </w:rPr>
      </w:pPr>
    </w:p>
    <w:p>
      <w:pPr>
        <w:jc w:val="both"/>
        <w:ind w:firstLine="1305"/>
        <w:spacing w:after="0" w:line="278" w:lineRule="auto"/>
        <w:tabs>
          <w:tab w:leader="none" w:pos="2070" w:val="left"/>
        </w:tabs>
        <w:numPr>
          <w:ilvl w:val="0"/>
          <w:numId w:val="89"/>
        </w:numPr>
        <w:rPr>
          <w:rFonts w:ascii="Arial" w:cs="Arial" w:eastAsia="Arial" w:hAnsi="Arial"/>
          <w:sz w:val="18"/>
          <w:szCs w:val="18"/>
          <w:color w:val="auto"/>
        </w:rPr>
      </w:pPr>
      <w:r>
        <w:rPr>
          <w:rFonts w:ascii="Arial" w:cs="Arial" w:eastAsia="Arial" w:hAnsi="Arial"/>
          <w:sz w:val="20"/>
          <w:szCs w:val="20"/>
          <w:color w:val="auto"/>
        </w:rPr>
        <w:t>Each of the Lenders and the Borrower agrees that the Administrative Agent may, but (except as may be required by applicable law) shall not be obligated to, store the Communications on the Approved Electronic Platform in accordance with the Administrative Agent’s generally applicable document retention procedures and policies.</w:t>
      </w:r>
    </w:p>
    <w:p>
      <w:pPr>
        <w:spacing w:after="0" w:line="200" w:lineRule="exact"/>
        <w:rPr>
          <w:rFonts w:ascii="Arial" w:cs="Arial" w:eastAsia="Arial" w:hAnsi="Arial"/>
          <w:sz w:val="18"/>
          <w:szCs w:val="18"/>
          <w:color w:val="auto"/>
        </w:rPr>
      </w:pPr>
    </w:p>
    <w:p>
      <w:pPr>
        <w:ind w:firstLine="1305"/>
        <w:spacing w:after="0" w:line="289" w:lineRule="auto"/>
        <w:tabs>
          <w:tab w:leader="none" w:pos="2050" w:val="left"/>
        </w:tabs>
        <w:numPr>
          <w:ilvl w:val="0"/>
          <w:numId w:val="89"/>
        </w:numPr>
        <w:rPr>
          <w:rFonts w:ascii="Arial" w:cs="Arial" w:eastAsia="Arial" w:hAnsi="Arial"/>
          <w:sz w:val="18"/>
          <w:szCs w:val="18"/>
          <w:color w:val="auto"/>
        </w:rPr>
      </w:pPr>
      <w:r>
        <w:rPr>
          <w:rFonts w:ascii="Arial" w:cs="Arial" w:eastAsia="Arial" w:hAnsi="Arial"/>
          <w:sz w:val="20"/>
          <w:szCs w:val="20"/>
          <w:color w:val="auto"/>
        </w:rPr>
        <w:t>Nothing herein shall prejudice the right of the Administrative Agent or any Lender to give any notice or other communication pursuant to any Loan Document in any other manner specified in such Loan Document.</w:t>
      </w:r>
    </w:p>
    <w:p>
      <w:pPr>
        <w:spacing w:after="0" w:line="18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8"/>
          <w:szCs w:val="18"/>
          <w:color w:val="auto"/>
        </w:rPr>
        <w:t xml:space="preserve">Section 9.4 </w:t>
      </w:r>
      <w:r>
        <w:rPr>
          <w:rFonts w:ascii="Arial" w:cs="Arial" w:eastAsia="Arial" w:hAnsi="Arial"/>
          <w:sz w:val="19"/>
          <w:szCs w:val="19"/>
          <w:u w:val="single" w:color="auto"/>
          <w:color w:val="auto"/>
        </w:rPr>
        <w:t>The Administrative Agent Individually</w:t>
      </w:r>
      <w:r>
        <w:rPr>
          <w:rFonts w:ascii="Arial" w:cs="Arial" w:eastAsia="Arial" w:hAnsi="Arial"/>
          <w:sz w:val="19"/>
          <w:szCs w:val="19"/>
          <w:color w:val="auto"/>
        </w:rPr>
        <w:t>. With respect to its Commitment and Loans, the Person serving as</w:t>
      </w:r>
      <w:r>
        <w:rPr>
          <w:rFonts w:ascii="Arial" w:cs="Arial" w:eastAsia="Arial" w:hAnsi="Arial"/>
          <w:sz w:val="18"/>
          <w:szCs w:val="18"/>
          <w:color w:val="auto"/>
        </w:rPr>
        <w:t xml:space="preserve"> </w:t>
      </w:r>
      <w:r>
        <w:rPr>
          <w:rFonts w:ascii="Arial" w:cs="Arial" w:eastAsia="Arial" w:hAnsi="Arial"/>
          <w:sz w:val="19"/>
          <w:szCs w:val="19"/>
          <w:color w:val="auto"/>
        </w:rPr>
        <w:t>the Administrative Agent shall have and may exercise the same rights and powers hereunder and is subject to the same obligations and liabilities as and to the extent set forth herein for any other Lender. The terms “Lenders”, “Required Lenders” and any similar terms shall, unless the context clearly otherwise indicates, include the Administrative Agent in its individual capacity as a Lender or as one of the Required Lenders, as applicable. The Person serving as the Administrative Agent and its Affiliates may accept deposits from, lend money to, own securities of, act</w:t>
      </w:r>
    </w:p>
    <w:p>
      <w:pPr>
        <w:sectPr>
          <w:pgSz w:w="11900" w:h="16838" w:orient="portrait"/>
          <w:cols w:equalWidth="0" w:num="1">
            <w:col w:w="11420"/>
          </w:cols>
          <w:pgMar w:left="240" w:top="337" w:right="239" w:bottom="1440" w:gutter="0" w:footer="0" w:header="0"/>
        </w:sectPr>
      </w:pPr>
    </w:p>
    <w:bookmarkStart w:id="97" w:name="page98"/>
    <w:bookmarkEnd w:id="97"/>
    <w:p>
      <w:pPr>
        <w:ind w:left="10720"/>
        <w:spacing w:after="0"/>
        <w:rPr>
          <w:sz w:val="20"/>
          <w:szCs w:val="20"/>
          <w:color w:val="auto"/>
        </w:rPr>
      </w:pPr>
      <w:r>
        <w:rPr>
          <w:rFonts w:ascii="Arial" w:cs="Arial" w:eastAsia="Arial" w:hAnsi="Arial"/>
          <w:sz w:val="16"/>
          <w:szCs w:val="16"/>
          <w:b w:val="1"/>
          <w:bCs w:val="1"/>
          <w:color w:val="auto"/>
        </w:rPr>
        <w:t>Exhibit 4</w:t>
      </w:r>
    </w:p>
    <w:p>
      <w:pPr>
        <w:spacing w:after="0" w:line="290"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as the financial advisor or in any other advisory capacity for and generally engage in any kind of banking, trust or other business with, the Borrower, any Subsidiary or any Affiliate of any of the foregoing as if such Person was not acting as the Administrative Agent and without any duty to account therefor to the Lenders.</w:t>
      </w:r>
    </w:p>
    <w:p>
      <w:pPr>
        <w:spacing w:after="0" w:line="200" w:lineRule="exact"/>
        <w:rPr>
          <w:sz w:val="20"/>
          <w:szCs w:val="20"/>
          <w:color w:val="auto"/>
        </w:rPr>
      </w:pPr>
    </w:p>
    <w:p>
      <w:pPr>
        <w:ind w:left="660"/>
        <w:spacing w:after="0"/>
        <w:tabs>
          <w:tab w:leader="none" w:pos="2740" w:val="left"/>
        </w:tabs>
        <w:rPr>
          <w:sz w:val="20"/>
          <w:szCs w:val="20"/>
          <w:color w:val="auto"/>
        </w:rPr>
      </w:pPr>
      <w:r>
        <w:rPr>
          <w:rFonts w:ascii="Arial" w:cs="Arial" w:eastAsia="Arial" w:hAnsi="Arial"/>
          <w:sz w:val="18"/>
          <w:szCs w:val="18"/>
          <w:color w:val="auto"/>
        </w:rPr>
        <w:t>Section 9.5</w:t>
      </w:r>
      <w:r>
        <w:rPr>
          <w:sz w:val="20"/>
          <w:szCs w:val="20"/>
          <w:color w:val="auto"/>
        </w:rPr>
        <w:tab/>
      </w:r>
      <w:r>
        <w:rPr>
          <w:rFonts w:ascii="Arial" w:cs="Arial" w:eastAsia="Arial" w:hAnsi="Arial"/>
          <w:sz w:val="18"/>
          <w:szCs w:val="18"/>
          <w:u w:val="single" w:color="auto"/>
          <w:color w:val="auto"/>
        </w:rPr>
        <w:t>Successor Administrative Agent</w:t>
      </w:r>
      <w:r>
        <w:rPr>
          <w:rFonts w:ascii="Arial" w:cs="Arial" w:eastAsia="Arial" w:hAnsi="Arial"/>
          <w:sz w:val="18"/>
          <w:szCs w:val="18"/>
          <w:color w:val="auto"/>
        </w:rPr>
        <w:t>.</w:t>
      </w:r>
    </w:p>
    <w:p>
      <w:pPr>
        <w:spacing w:after="0" w:line="279" w:lineRule="exact"/>
        <w:rPr>
          <w:sz w:val="20"/>
          <w:szCs w:val="20"/>
          <w:color w:val="auto"/>
        </w:rPr>
      </w:pPr>
    </w:p>
    <w:p>
      <w:pPr>
        <w:jc w:val="both"/>
        <w:ind w:firstLine="1305"/>
        <w:spacing w:after="0" w:line="301" w:lineRule="auto"/>
        <w:tabs>
          <w:tab w:leader="none" w:pos="2070" w:val="left"/>
        </w:tabs>
        <w:numPr>
          <w:ilvl w:val="0"/>
          <w:numId w:val="90"/>
        </w:numPr>
        <w:rPr>
          <w:rFonts w:ascii="Arial" w:cs="Arial" w:eastAsia="Arial" w:hAnsi="Arial"/>
          <w:sz w:val="16"/>
          <w:szCs w:val="16"/>
          <w:color w:val="auto"/>
        </w:rPr>
      </w:pPr>
      <w:r>
        <w:rPr>
          <w:rFonts w:ascii="Arial" w:cs="Arial" w:eastAsia="Arial" w:hAnsi="Arial"/>
          <w:sz w:val="18"/>
          <w:szCs w:val="18"/>
          <w:color w:val="auto"/>
        </w:rPr>
        <w:t>The Administrative Agent may resign at any time by giving 30 days’ prior written notice thereof to the Lenders and the Borrower, whether or not a successor Administrative Agent has been appointed. Upon any such resignation, the Required Lenders shall have the right to appoint a successor Administrative Agent. If no successor Administrative Agent shall have been so appointed by the Required Lenders, and shall have accepted such appointment, within 30 days after the retiring Administrative Agent’s giving of notice of resignation, then the retiring Administrative Agent may, on behalf of the Lenders, appoint a successor Administrative Agent, which shall be a bank with an office in New York, New York or an Affiliate of any such bank. In either case, such appointment shall be subject to the prior written approval of the Borrower (which approval may not be unreasonably withheld and shall not be required while an Event of Default has occurred and is continuing). Upon the acceptance of any appointment as Administrative Agent by a successor Administrative Agent, such successor Administrative Agent shall succeed to, and become vested with, all the rights, powers, privileges and duties of the retiring Administrative Agent. Upon the acceptance of appointment as Administrative Agent by a successor Administrative Agent, the retiring Administrative Agent shall be discharged from its duties and obligations under this Agreement and the other Loan Documents. Prior to any retiring Administrative Agent’s resignation hereunder as Administrative Agent, the retiring Administrative Agent shall take such action as may be reasonably necessary to assign to the successor Administrative Agent its rights as Administrative Agent under the Loan Documents.</w:t>
      </w:r>
    </w:p>
    <w:p>
      <w:pPr>
        <w:spacing w:after="0" w:line="190" w:lineRule="exact"/>
        <w:rPr>
          <w:rFonts w:ascii="Arial" w:cs="Arial" w:eastAsia="Arial" w:hAnsi="Arial"/>
          <w:sz w:val="16"/>
          <w:szCs w:val="16"/>
          <w:color w:val="auto"/>
        </w:rPr>
      </w:pPr>
    </w:p>
    <w:p>
      <w:pPr>
        <w:jc w:val="both"/>
        <w:ind w:firstLine="1305"/>
        <w:spacing w:after="0" w:line="284" w:lineRule="auto"/>
        <w:tabs>
          <w:tab w:leader="none" w:pos="2080" w:val="left"/>
        </w:tabs>
        <w:numPr>
          <w:ilvl w:val="0"/>
          <w:numId w:val="90"/>
        </w:numPr>
        <w:rPr>
          <w:rFonts w:ascii="Arial" w:cs="Arial" w:eastAsia="Arial" w:hAnsi="Arial"/>
          <w:sz w:val="17"/>
          <w:szCs w:val="17"/>
          <w:color w:val="auto"/>
        </w:rPr>
      </w:pPr>
      <w:r>
        <w:rPr>
          <w:rFonts w:ascii="Arial" w:cs="Arial" w:eastAsia="Arial" w:hAnsi="Arial"/>
          <w:sz w:val="19"/>
          <w:szCs w:val="19"/>
          <w:color w:val="auto"/>
        </w:rPr>
        <w:t>Notwithstanding paragraph (a) of this Section, in the event no successor Administrative Agent shall have been so appointed and shall have accepted such appointment within 30 days after the retiring Administrative Agent gives notice of its intent to resign, the retiring Administrative Agent may give notice of the effectiveness of its resignation to the Lenders and the Borrower, whereupon, on the date of effectiveness of such resignation stated in such notice, (i) the retiring Administrative Agent shall be discharged from its duties and obligations hereunder and under the other Loan Documents; and (ii) the Required Lenders shall succeed to and become vested with all the rights, powers, privileges and duties of the retiring Administrative Agent; provided that (A) all payments required to be made hereunder or under any other Loan Document to the Administrative Agent for the account of any Person other than the Administrative Agent shall be made directly to such Person and (B) all notices and other communications required or contemplated to be given or made to the Administrative Agent shall directly be given or made to each Lender. Following the effectiveness of the Administrative Agent’s resignation from its capacity as such, the provisions of this Article and Section 10.3, as well as any exculpatory, reimbursement and indemnification provisions set forth in any other Loan Document, shall continue in effect for the benefit of such retiring Administrative Agent, its sub-agents and their respective Related Parties in respect of any actions taken or omitted to be taken by any of them while the retiring Administrative Agent was acting as Administrative Agent.</w:t>
      </w:r>
    </w:p>
    <w:p>
      <w:pPr>
        <w:spacing w:after="0" w:line="204" w:lineRule="exact"/>
        <w:rPr>
          <w:sz w:val="20"/>
          <w:szCs w:val="20"/>
          <w:color w:val="auto"/>
        </w:rPr>
      </w:pPr>
    </w:p>
    <w:p>
      <w:pPr>
        <w:ind w:left="660"/>
        <w:spacing w:after="0"/>
        <w:tabs>
          <w:tab w:leader="none" w:pos="2740" w:val="left"/>
        </w:tabs>
        <w:rPr>
          <w:sz w:val="20"/>
          <w:szCs w:val="20"/>
          <w:color w:val="auto"/>
        </w:rPr>
      </w:pPr>
      <w:r>
        <w:rPr>
          <w:rFonts w:ascii="Arial" w:cs="Arial" w:eastAsia="Arial" w:hAnsi="Arial"/>
          <w:sz w:val="18"/>
          <w:szCs w:val="18"/>
          <w:color w:val="auto"/>
        </w:rPr>
        <w:t>Section 9.6</w:t>
      </w:r>
      <w:r>
        <w:rPr>
          <w:sz w:val="20"/>
          <w:szCs w:val="20"/>
          <w:color w:val="auto"/>
        </w:rPr>
        <w:tab/>
      </w:r>
      <w:r>
        <w:rPr>
          <w:rFonts w:ascii="Arial" w:cs="Arial" w:eastAsia="Arial" w:hAnsi="Arial"/>
          <w:sz w:val="18"/>
          <w:szCs w:val="18"/>
          <w:u w:val="single" w:color="auto"/>
          <w:color w:val="auto"/>
        </w:rPr>
        <w:t>Acknowledgements of Lenders</w:t>
      </w:r>
      <w:r>
        <w:rPr>
          <w:rFonts w:ascii="Arial" w:cs="Arial" w:eastAsia="Arial" w:hAnsi="Arial"/>
          <w:sz w:val="18"/>
          <w:szCs w:val="18"/>
          <w:color w:val="auto"/>
        </w:rPr>
        <w:t>.</w:t>
      </w:r>
    </w:p>
    <w:p>
      <w:pPr>
        <w:spacing w:after="0" w:line="279" w:lineRule="exact"/>
        <w:rPr>
          <w:sz w:val="20"/>
          <w:szCs w:val="20"/>
          <w:color w:val="auto"/>
        </w:rPr>
      </w:pPr>
    </w:p>
    <w:p>
      <w:pPr>
        <w:jc w:val="both"/>
        <w:ind w:firstLine="1305"/>
        <w:spacing w:after="0" w:line="303" w:lineRule="auto"/>
        <w:tabs>
          <w:tab w:leader="none" w:pos="2070" w:val="left"/>
        </w:tabs>
        <w:numPr>
          <w:ilvl w:val="0"/>
          <w:numId w:val="91"/>
        </w:numPr>
        <w:rPr>
          <w:rFonts w:ascii="Arial" w:cs="Arial" w:eastAsia="Arial" w:hAnsi="Arial"/>
          <w:sz w:val="16"/>
          <w:szCs w:val="16"/>
          <w:color w:val="auto"/>
        </w:rPr>
      </w:pPr>
      <w:r>
        <w:rPr>
          <w:rFonts w:ascii="Arial" w:cs="Arial" w:eastAsia="Arial" w:hAnsi="Arial"/>
          <w:sz w:val="18"/>
          <w:szCs w:val="18"/>
          <w:color w:val="auto"/>
        </w:rPr>
        <w:t>Each Lender represents that it is engaged in making, acquiring or holding commercial loans in the ordinary course of its business and that it has, independently and without reliance upon the Administrative Agent, the Sole Lead Arranger and Sole Bookrunner or any other Lender, or any of the Related Parties of any of the foregoing, and based on such documents and information as it has deemed appropriate, made its own credit analysis and decision to enter into this Agreement as a Lender, and to make, acquire or hold Loans hereunder. Each Lender also acknowledges that it will, independently and without reliance upon the Administrative Agent, the Sole Lead Arranger and Sole Bookrunner or any other Lender, or any of the Related Parties of any of the foregoing, and based on such documents and information (which may contain material, non-public information within the meaning of the United States securities laws concerning the Borrower and its Affiliates) as it shall from time to time deem appropriate, continue to make its own decisions in taking or not taking action under or based upon this Agreement, any other Loan Document or any related agreement or any document furnished hereunder or thereunder.</w:t>
      </w:r>
    </w:p>
    <w:p>
      <w:pPr>
        <w:sectPr>
          <w:pgSz w:w="11900" w:h="16838" w:orient="portrait"/>
          <w:cols w:equalWidth="0" w:num="1">
            <w:col w:w="11420"/>
          </w:cols>
          <w:pgMar w:left="240" w:top="337" w:right="2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4</w:t>
      </w:r>
    </w:p>
    <w:p>
      <w:pPr>
        <w:spacing w:after="0" w:line="267" w:lineRule="exact"/>
        <w:rPr>
          <w:sz w:val="20"/>
          <w:szCs w:val="20"/>
          <w:color w:val="auto"/>
        </w:rPr>
      </w:pPr>
    </w:p>
    <w:p>
      <w:pPr>
        <w:jc w:val="both"/>
        <w:ind w:firstLine="1305"/>
        <w:spacing w:after="0" w:line="293" w:lineRule="auto"/>
        <w:tabs>
          <w:tab w:leader="none" w:pos="2080" w:val="left"/>
        </w:tabs>
        <w:numPr>
          <w:ilvl w:val="0"/>
          <w:numId w:val="92"/>
        </w:numPr>
        <w:rPr>
          <w:rFonts w:ascii="Arial" w:cs="Arial" w:eastAsia="Arial" w:hAnsi="Arial"/>
          <w:sz w:val="17"/>
          <w:szCs w:val="17"/>
          <w:color w:val="auto"/>
        </w:rPr>
      </w:pPr>
      <w:r>
        <w:rPr>
          <w:rFonts w:ascii="Arial" w:cs="Arial" w:eastAsia="Arial" w:hAnsi="Arial"/>
          <w:sz w:val="19"/>
          <w:szCs w:val="19"/>
          <w:color w:val="auto"/>
        </w:rPr>
        <w:t>Each Lender, by delivering its signature page to this Agreement on the Effective Date, or delivering its signature page to an Assignment and Assumption or any other Loan Document pursuant to which it shall become a Lender hereunder, shall be deemed to have acknowledged receipt of, and consented to and approved, each Loan Document and each other document required to be delivered to, or be approved by or satisfactory to, the Administrative Agent or the Lenders on the Effective Date.</w:t>
      </w:r>
    </w:p>
    <w:p>
      <w:pPr>
        <w:spacing w:after="0" w:line="189" w:lineRule="exact"/>
        <w:rPr>
          <w:sz w:val="20"/>
          <w:szCs w:val="20"/>
          <w:color w:val="auto"/>
        </w:rPr>
      </w:pPr>
    </w:p>
    <w:p>
      <w:pPr>
        <w:ind w:left="660"/>
        <w:spacing w:after="0"/>
        <w:tabs>
          <w:tab w:leader="none" w:pos="2740" w:val="left"/>
        </w:tabs>
        <w:rPr>
          <w:sz w:val="20"/>
          <w:szCs w:val="20"/>
          <w:color w:val="auto"/>
        </w:rPr>
      </w:pPr>
      <w:r>
        <w:rPr>
          <w:rFonts w:ascii="Arial" w:cs="Arial" w:eastAsia="Arial" w:hAnsi="Arial"/>
          <w:sz w:val="18"/>
          <w:szCs w:val="18"/>
          <w:color w:val="auto"/>
        </w:rPr>
        <w:t>Section 9.7</w:t>
      </w:r>
      <w:r>
        <w:rPr>
          <w:sz w:val="20"/>
          <w:szCs w:val="20"/>
          <w:color w:val="auto"/>
        </w:rPr>
        <w:tab/>
      </w:r>
      <w:r>
        <w:rPr>
          <w:rFonts w:ascii="Arial" w:cs="Arial" w:eastAsia="Arial" w:hAnsi="Arial"/>
          <w:sz w:val="18"/>
          <w:szCs w:val="18"/>
          <w:u w:val="single" w:color="auto"/>
          <w:color w:val="auto"/>
        </w:rPr>
        <w:t>Certain ERISA Matters</w:t>
      </w:r>
      <w:r>
        <w:rPr>
          <w:rFonts w:ascii="Arial" w:cs="Arial" w:eastAsia="Arial" w:hAnsi="Arial"/>
          <w:sz w:val="18"/>
          <w:szCs w:val="18"/>
          <w:color w:val="auto"/>
        </w:rPr>
        <w:t>.</w:t>
      </w:r>
    </w:p>
    <w:p>
      <w:pPr>
        <w:spacing w:after="0" w:line="279" w:lineRule="exact"/>
        <w:rPr>
          <w:sz w:val="20"/>
          <w:szCs w:val="20"/>
          <w:color w:val="auto"/>
        </w:rPr>
      </w:pPr>
    </w:p>
    <w:p>
      <w:pPr>
        <w:jc w:val="both"/>
        <w:ind w:firstLine="1305"/>
        <w:spacing w:after="0" w:line="293" w:lineRule="auto"/>
        <w:tabs>
          <w:tab w:leader="none" w:pos="2070" w:val="left"/>
        </w:tabs>
        <w:numPr>
          <w:ilvl w:val="0"/>
          <w:numId w:val="93"/>
        </w:numPr>
        <w:rPr>
          <w:rFonts w:ascii="Arial" w:cs="Arial" w:eastAsia="Arial" w:hAnsi="Arial"/>
          <w:sz w:val="17"/>
          <w:szCs w:val="17"/>
          <w:color w:val="auto"/>
        </w:rPr>
      </w:pPr>
      <w:r>
        <w:rPr>
          <w:rFonts w:ascii="Arial" w:cs="Arial" w:eastAsia="Arial" w:hAnsi="Arial"/>
          <w:sz w:val="19"/>
          <w:szCs w:val="19"/>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the Sole Lead Arranger and Sole Bookrunner and their respective Affiliates, and not, for the avoidance of doubt, to or for the benefit of the Borrower, that at least one of the following is and will be true:</w:t>
      </w:r>
    </w:p>
    <w:p>
      <w:pPr>
        <w:spacing w:after="0" w:line="189" w:lineRule="exact"/>
        <w:rPr>
          <w:rFonts w:ascii="Arial" w:cs="Arial" w:eastAsia="Arial" w:hAnsi="Arial"/>
          <w:sz w:val="17"/>
          <w:szCs w:val="17"/>
          <w:color w:val="auto"/>
        </w:rPr>
      </w:pPr>
    </w:p>
    <w:p>
      <w:pPr>
        <w:ind w:left="1300" w:right="20" w:firstLine="653"/>
        <w:spacing w:after="0" w:line="289" w:lineRule="auto"/>
        <w:tabs>
          <w:tab w:leader="none" w:pos="2691" w:val="left"/>
        </w:tabs>
        <w:numPr>
          <w:ilvl w:val="1"/>
          <w:numId w:val="93"/>
        </w:numPr>
        <w:rPr>
          <w:rFonts w:ascii="Arial" w:cs="Arial" w:eastAsia="Arial" w:hAnsi="Arial"/>
          <w:sz w:val="18"/>
          <w:szCs w:val="18"/>
          <w:color w:val="auto"/>
        </w:rPr>
      </w:pPr>
      <w:r>
        <w:rPr>
          <w:rFonts w:ascii="Arial" w:cs="Arial" w:eastAsia="Arial" w:hAnsi="Arial"/>
          <w:sz w:val="20"/>
          <w:szCs w:val="20"/>
          <w:color w:val="auto"/>
        </w:rPr>
        <w:t>such Lender is not using “plan assets” (within the meaning of the Plan Asset Regulations) of one or more Benefit Plans in connection with the Loans or the Commitments,</w:t>
      </w:r>
    </w:p>
    <w:p>
      <w:pPr>
        <w:spacing w:after="0" w:line="188" w:lineRule="exact"/>
        <w:rPr>
          <w:rFonts w:ascii="Arial" w:cs="Arial" w:eastAsia="Arial" w:hAnsi="Arial"/>
          <w:sz w:val="18"/>
          <w:szCs w:val="18"/>
          <w:color w:val="auto"/>
        </w:rPr>
      </w:pPr>
    </w:p>
    <w:p>
      <w:pPr>
        <w:jc w:val="both"/>
        <w:ind w:left="1300" w:firstLine="653"/>
        <w:spacing w:after="0" w:line="271" w:lineRule="auto"/>
        <w:tabs>
          <w:tab w:leader="none" w:pos="2741" w:val="left"/>
        </w:tabs>
        <w:numPr>
          <w:ilvl w:val="1"/>
          <w:numId w:val="93"/>
        </w:numPr>
        <w:rPr>
          <w:rFonts w:ascii="Arial" w:cs="Arial" w:eastAsia="Arial" w:hAnsi="Arial"/>
          <w:sz w:val="18"/>
          <w:szCs w:val="18"/>
          <w:color w:val="auto"/>
        </w:rPr>
      </w:pPr>
      <w:r>
        <w:rPr>
          <w:rFonts w:ascii="Arial" w:cs="Arial" w:eastAsia="Arial" w:hAnsi="Arial"/>
          <w:sz w:val="20"/>
          <w:szCs w:val="20"/>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Commitments and this Agreement,</w:t>
      </w:r>
    </w:p>
    <w:p>
      <w:pPr>
        <w:spacing w:after="0" w:line="207" w:lineRule="exact"/>
        <w:rPr>
          <w:rFonts w:ascii="Arial" w:cs="Arial" w:eastAsia="Arial" w:hAnsi="Arial"/>
          <w:sz w:val="18"/>
          <w:szCs w:val="18"/>
          <w:color w:val="auto"/>
        </w:rPr>
      </w:pPr>
    </w:p>
    <w:p>
      <w:pPr>
        <w:jc w:val="both"/>
        <w:ind w:left="1300" w:firstLine="653"/>
        <w:spacing w:after="0" w:line="305" w:lineRule="auto"/>
        <w:tabs>
          <w:tab w:leader="none" w:pos="2791" w:val="left"/>
        </w:tabs>
        <w:numPr>
          <w:ilvl w:val="1"/>
          <w:numId w:val="93"/>
        </w:numPr>
        <w:rPr>
          <w:rFonts w:ascii="Arial" w:cs="Arial" w:eastAsia="Arial" w:hAnsi="Arial"/>
          <w:sz w:val="16"/>
          <w:szCs w:val="16"/>
          <w:color w:val="auto"/>
        </w:rPr>
      </w:pPr>
      <w:r>
        <w:rPr>
          <w:rFonts w:ascii="Arial" w:cs="Arial" w:eastAsia="Arial" w:hAnsi="Arial"/>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Commitments and this Agreement, (C) the entrance into, participation in, administration of and performance of the Loans,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Commitments and this Agreement, or</w:t>
      </w:r>
    </w:p>
    <w:p>
      <w:pPr>
        <w:spacing w:after="0" w:line="184" w:lineRule="exact"/>
        <w:rPr>
          <w:rFonts w:ascii="Arial" w:cs="Arial" w:eastAsia="Arial" w:hAnsi="Arial"/>
          <w:sz w:val="16"/>
          <w:szCs w:val="16"/>
          <w:color w:val="auto"/>
        </w:rPr>
      </w:pPr>
    </w:p>
    <w:p>
      <w:pPr>
        <w:ind w:left="1300" w:firstLine="653"/>
        <w:spacing w:after="0" w:line="289" w:lineRule="auto"/>
        <w:tabs>
          <w:tab w:leader="none" w:pos="2770" w:val="left"/>
        </w:tabs>
        <w:numPr>
          <w:ilvl w:val="1"/>
          <w:numId w:val="93"/>
        </w:numPr>
        <w:rPr>
          <w:rFonts w:ascii="Arial" w:cs="Arial" w:eastAsia="Arial" w:hAnsi="Arial"/>
          <w:sz w:val="18"/>
          <w:szCs w:val="18"/>
          <w:color w:val="auto"/>
        </w:rPr>
      </w:pPr>
      <w:r>
        <w:rPr>
          <w:rFonts w:ascii="Arial" w:cs="Arial" w:eastAsia="Arial" w:hAnsi="Arial"/>
          <w:sz w:val="20"/>
          <w:szCs w:val="20"/>
          <w:color w:val="auto"/>
        </w:rPr>
        <w:t>such other representation, warranty and covenant as may be agreed in writing between the Administrative Agent, in its sole discretion, and such Lender.</w:t>
      </w:r>
    </w:p>
    <w:p>
      <w:pPr>
        <w:spacing w:after="0" w:line="188" w:lineRule="exact"/>
        <w:rPr>
          <w:rFonts w:ascii="Arial" w:cs="Arial" w:eastAsia="Arial" w:hAnsi="Arial"/>
          <w:sz w:val="18"/>
          <w:szCs w:val="18"/>
          <w:color w:val="auto"/>
        </w:rPr>
      </w:pPr>
    </w:p>
    <w:p>
      <w:pPr>
        <w:jc w:val="both"/>
        <w:ind w:firstLine="1305"/>
        <w:spacing w:after="0" w:line="286" w:lineRule="auto"/>
        <w:tabs>
          <w:tab w:leader="none" w:pos="2080" w:val="left"/>
        </w:tabs>
        <w:numPr>
          <w:ilvl w:val="0"/>
          <w:numId w:val="93"/>
        </w:numPr>
        <w:rPr>
          <w:rFonts w:ascii="Arial" w:cs="Arial" w:eastAsia="Arial" w:hAnsi="Arial"/>
          <w:sz w:val="17"/>
          <w:szCs w:val="17"/>
          <w:color w:val="auto"/>
        </w:rPr>
      </w:pPr>
      <w:r>
        <w:rPr>
          <w:rFonts w:ascii="Arial" w:cs="Arial" w:eastAsia="Arial" w:hAnsi="Arial"/>
          <w:sz w:val="19"/>
          <w:szCs w:val="19"/>
          <w:color w:val="auto"/>
        </w:rPr>
        <w:t>In addition, unless sub-clause (i) in the immediately preceding clause (a) is true with respect to a Lender or such Lender has not provided another representation, warranty and covenant as provided in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the Sole Lead Arranger and Sole Bookrunner and their respective Affiliates, and not, for the avoidance of doubt, to or for the benefit of the Borrower, that none of the Administrative Agent or any of their respective Affiliates is a fiduciary with respect to the assets of such Lender (including in connection with the reservation or exercise of any rights by the Administrative Agent under this Agreement, any Loan Document or any documents related to hereto or thereto).</w:t>
      </w:r>
    </w:p>
    <w:p>
      <w:pPr>
        <w:spacing w:after="0" w:line="199" w:lineRule="exact"/>
        <w:rPr>
          <w:rFonts w:ascii="Arial" w:cs="Arial" w:eastAsia="Arial" w:hAnsi="Arial"/>
          <w:sz w:val="17"/>
          <w:szCs w:val="17"/>
          <w:color w:val="auto"/>
        </w:rPr>
      </w:pPr>
    </w:p>
    <w:p>
      <w:pPr>
        <w:jc w:val="both"/>
        <w:ind w:firstLine="1305"/>
        <w:spacing w:after="0" w:line="274" w:lineRule="auto"/>
        <w:tabs>
          <w:tab w:leader="none" w:pos="2070" w:val="left"/>
        </w:tabs>
        <w:numPr>
          <w:ilvl w:val="0"/>
          <w:numId w:val="93"/>
        </w:numPr>
        <w:rPr>
          <w:rFonts w:ascii="Arial" w:cs="Arial" w:eastAsia="Arial" w:hAnsi="Arial"/>
          <w:sz w:val="18"/>
          <w:szCs w:val="18"/>
          <w:color w:val="auto"/>
        </w:rPr>
      </w:pPr>
      <w:r>
        <w:rPr>
          <w:rFonts w:ascii="Arial" w:cs="Arial" w:eastAsia="Arial" w:hAnsi="Arial"/>
          <w:sz w:val="20"/>
          <w:szCs w:val="20"/>
          <w:color w:val="auto"/>
        </w:rPr>
        <w:t>The Administrative Agent and the Sole Lead Arranger and Sole Bookrunner hereby inform the Lenders that each such Person is not undertaking to provide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w:t>
      </w:r>
    </w:p>
    <w:p>
      <w:pPr>
        <w:sectPr>
          <w:pgSz w:w="11900" w:h="16838" w:orient="portrait"/>
          <w:cols w:equalWidth="0" w:num="1">
            <w:col w:w="11420"/>
          </w:cols>
          <w:pgMar w:left="240" w:top="337" w:right="239" w:bottom="1440" w:gutter="0" w:footer="0" w:header="0"/>
        </w:sectPr>
      </w:pPr>
    </w:p>
    <w:bookmarkStart w:id="99" w:name="page100"/>
    <w:bookmarkEnd w:id="99"/>
    <w:p>
      <w:pPr>
        <w:ind w:left="10720"/>
        <w:spacing w:after="0"/>
        <w:rPr>
          <w:sz w:val="20"/>
          <w:szCs w:val="20"/>
          <w:color w:val="auto"/>
        </w:rPr>
      </w:pPr>
      <w:r>
        <w:rPr>
          <w:rFonts w:ascii="Arial" w:cs="Arial" w:eastAsia="Arial" w:hAnsi="Arial"/>
          <w:sz w:val="16"/>
          <w:szCs w:val="16"/>
          <w:b w:val="1"/>
          <w:bCs w:val="1"/>
          <w:color w:val="auto"/>
        </w:rPr>
        <w:t>Exhibit 4</w:t>
      </w:r>
    </w:p>
    <w:p>
      <w:pPr>
        <w:spacing w:after="0" w:line="290"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with respect to the Loans, the Commitments, this Agreement and any other Loan Documents (ii) may recognize a gain if it extended the Loans or the Commitments for an amount less than the amount being paid for an interest in the Loans or the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10.</w:t>
      </w:r>
    </w:p>
    <w:p>
      <w:pPr>
        <w:spacing w:after="0" w:line="202" w:lineRule="exact"/>
        <w:rPr>
          <w:sz w:val="20"/>
          <w:szCs w:val="20"/>
          <w:color w:val="auto"/>
        </w:rPr>
      </w:pPr>
    </w:p>
    <w:p>
      <w:pPr>
        <w:ind w:left="3900"/>
        <w:spacing w:after="0"/>
        <w:tabs>
          <w:tab w:leader="none" w:pos="5860" w:val="left"/>
        </w:tabs>
        <w:rPr>
          <w:sz w:val="20"/>
          <w:szCs w:val="20"/>
          <w:color w:val="auto"/>
        </w:rPr>
      </w:pPr>
      <w:r>
        <w:rPr>
          <w:rFonts w:ascii="Arial" w:cs="Arial" w:eastAsia="Arial" w:hAnsi="Arial"/>
          <w:sz w:val="18"/>
          <w:szCs w:val="18"/>
          <w:color w:val="auto"/>
        </w:rPr>
        <w:t>Article 1.</w:t>
      </w:r>
      <w:r>
        <w:rPr>
          <w:sz w:val="20"/>
          <w:szCs w:val="20"/>
          <w:color w:val="auto"/>
        </w:rPr>
        <w:tab/>
      </w:r>
      <w:r>
        <w:rPr>
          <w:rFonts w:ascii="Arial" w:cs="Arial" w:eastAsia="Arial" w:hAnsi="Arial"/>
          <w:sz w:val="19"/>
          <w:szCs w:val="19"/>
          <w:color w:val="auto"/>
        </w:rPr>
        <w:t>MISCELLANEOUS</w:t>
      </w:r>
    </w:p>
    <w:p>
      <w:pPr>
        <w:spacing w:after="0" w:line="38" w:lineRule="exact"/>
        <w:rPr>
          <w:sz w:val="20"/>
          <w:szCs w:val="20"/>
          <w:color w:val="auto"/>
        </w:rPr>
      </w:pPr>
    </w:p>
    <w:p>
      <w:pPr>
        <w:ind w:left="660"/>
        <w:spacing w:after="0"/>
        <w:tabs>
          <w:tab w:leader="none" w:pos="284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6"/>
          <w:szCs w:val="16"/>
          <w:u w:val="single" w:color="auto"/>
          <w:color w:val="auto"/>
        </w:rPr>
        <w:t>Notices</w:t>
      </w:r>
      <w:r>
        <w:rPr>
          <w:rFonts w:ascii="Arial" w:cs="Arial" w:eastAsia="Arial" w:hAnsi="Arial"/>
          <w:sz w:val="16"/>
          <w:szCs w:val="16"/>
          <w:color w:val="auto"/>
        </w:rPr>
        <w:t>.</w:t>
      </w:r>
    </w:p>
    <w:p>
      <w:pPr>
        <w:spacing w:after="0" w:line="279" w:lineRule="exact"/>
        <w:rPr>
          <w:sz w:val="20"/>
          <w:szCs w:val="20"/>
          <w:color w:val="auto"/>
        </w:rPr>
      </w:pPr>
    </w:p>
    <w:p>
      <w:pPr>
        <w:jc w:val="both"/>
        <w:ind w:left="660" w:firstLine="1293"/>
        <w:spacing w:after="0" w:line="274" w:lineRule="auto"/>
        <w:tabs>
          <w:tab w:leader="none" w:pos="2730" w:val="left"/>
        </w:tabs>
        <w:numPr>
          <w:ilvl w:val="1"/>
          <w:numId w:val="94"/>
        </w:numPr>
        <w:rPr>
          <w:rFonts w:ascii="Arial" w:cs="Arial" w:eastAsia="Arial" w:hAnsi="Arial"/>
          <w:sz w:val="18"/>
          <w:szCs w:val="18"/>
          <w:color w:val="auto"/>
        </w:rPr>
      </w:pPr>
      <w:r>
        <w:rPr>
          <w:rFonts w:ascii="Arial" w:cs="Arial" w:eastAsia="Arial" w:hAnsi="Arial"/>
          <w:sz w:val="20"/>
          <w:szCs w:val="20"/>
          <w:u w:val="single" w:color="auto"/>
          <w:color w:val="auto"/>
        </w:rPr>
        <w:t>Notices Generally</w:t>
      </w:r>
      <w:r>
        <w:rPr>
          <w:rFonts w:ascii="Arial" w:cs="Arial" w:eastAsia="Arial" w:hAnsi="Arial"/>
          <w:sz w:val="20"/>
          <w:szCs w:val="20"/>
          <w:color w:val="auto"/>
        </w:rPr>
        <w:t xml:space="preserve">. Except in the case of notices and other communications expressly permitted to be given by telephone (and except as provided in </w:t>
      </w:r>
      <w:r>
        <w:rPr>
          <w:rFonts w:ascii="Arial" w:cs="Arial" w:eastAsia="Arial" w:hAnsi="Arial"/>
          <w:sz w:val="20"/>
          <w:szCs w:val="20"/>
          <w:u w:val="single" w:color="auto"/>
          <w:color w:val="auto"/>
        </w:rPr>
        <w:t>paragraph (b)</w:t>
      </w:r>
      <w:r>
        <w:rPr>
          <w:rFonts w:ascii="Arial" w:cs="Arial" w:eastAsia="Arial" w:hAnsi="Arial"/>
          <w:sz w:val="20"/>
          <w:szCs w:val="20"/>
          <w:color w:val="auto"/>
        </w:rPr>
        <w:t xml:space="preserve"> below), all notices and other communications provided for herein shall be in writing and shall be delivered by hand or overnight courier service, mailed by certified or registered mail or sent by facsimile (or e-mail in accordance with </w:t>
      </w:r>
      <w:r>
        <w:rPr>
          <w:rFonts w:ascii="Arial" w:cs="Arial" w:eastAsia="Arial" w:hAnsi="Arial"/>
          <w:sz w:val="20"/>
          <w:szCs w:val="20"/>
          <w:u w:val="single" w:color="auto"/>
          <w:color w:val="auto"/>
        </w:rPr>
        <w:t>Section 10.1(b)</w:t>
      </w:r>
      <w:r>
        <w:rPr>
          <w:rFonts w:ascii="Arial" w:cs="Arial" w:eastAsia="Arial" w:hAnsi="Arial"/>
          <w:sz w:val="20"/>
          <w:szCs w:val="20"/>
          <w:color w:val="auto"/>
        </w:rPr>
        <w:t xml:space="preserve"> below) as follows:</w:t>
      </w:r>
    </w:p>
    <w:p>
      <w:pPr>
        <w:spacing w:after="0" w:line="205" w:lineRule="exact"/>
        <w:rPr>
          <w:rFonts w:ascii="Arial" w:cs="Arial" w:eastAsia="Arial" w:hAnsi="Arial"/>
          <w:sz w:val="18"/>
          <w:szCs w:val="18"/>
          <w:color w:val="auto"/>
        </w:rPr>
      </w:pPr>
    </w:p>
    <w:p>
      <w:pPr>
        <w:ind w:left="2080" w:hanging="775"/>
        <w:spacing w:after="0"/>
        <w:tabs>
          <w:tab w:leader="none" w:pos="2080" w:val="left"/>
        </w:tabs>
        <w:numPr>
          <w:ilvl w:val="0"/>
          <w:numId w:val="95"/>
        </w:numPr>
        <w:rPr>
          <w:rFonts w:ascii="Arial" w:cs="Arial" w:eastAsia="Arial" w:hAnsi="Arial"/>
          <w:sz w:val="17"/>
          <w:szCs w:val="17"/>
          <w:color w:val="auto"/>
        </w:rPr>
      </w:pPr>
      <w:r>
        <w:rPr>
          <w:rFonts w:ascii="Arial" w:cs="Arial" w:eastAsia="Arial" w:hAnsi="Arial"/>
          <w:sz w:val="19"/>
          <w:szCs w:val="19"/>
          <w:color w:val="auto"/>
        </w:rPr>
        <w:t>if to the Borrower, to it at 30 West Superior Street, Duluth, Minnesota 55802, Attention of: Patrick L. Cutshall,</w:t>
      </w:r>
    </w:p>
    <w:p>
      <w:pPr>
        <w:spacing w:after="0" w:line="3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20"/>
          <w:szCs w:val="20"/>
          <w:color w:val="auto"/>
        </w:rPr>
        <w:t>Treasurer, Phone: 218-723-3978, Fax: 218-723-3912, Email: pcutshall@allete.com;</w:t>
      </w:r>
    </w:p>
    <w:p>
      <w:pPr>
        <w:spacing w:after="0" w:line="256" w:lineRule="exact"/>
        <w:rPr>
          <w:rFonts w:ascii="Arial" w:cs="Arial" w:eastAsia="Arial" w:hAnsi="Arial"/>
          <w:sz w:val="17"/>
          <w:szCs w:val="17"/>
          <w:color w:val="auto"/>
        </w:rPr>
      </w:pPr>
    </w:p>
    <w:p>
      <w:pPr>
        <w:ind w:left="2080" w:hanging="775"/>
        <w:spacing w:after="0"/>
        <w:tabs>
          <w:tab w:leader="none" w:pos="2080" w:val="left"/>
        </w:tabs>
        <w:numPr>
          <w:ilvl w:val="0"/>
          <w:numId w:val="95"/>
        </w:numPr>
        <w:rPr>
          <w:rFonts w:ascii="Arial" w:cs="Arial" w:eastAsia="Arial" w:hAnsi="Arial"/>
          <w:sz w:val="18"/>
          <w:szCs w:val="18"/>
          <w:color w:val="auto"/>
        </w:rPr>
      </w:pPr>
      <w:r>
        <w:rPr>
          <w:rFonts w:ascii="Arial" w:cs="Arial" w:eastAsia="Arial" w:hAnsi="Arial"/>
          <w:sz w:val="20"/>
          <w:szCs w:val="20"/>
          <w:color w:val="auto"/>
        </w:rPr>
        <w:t>if to the Administrative Agent,</w:t>
      </w:r>
    </w:p>
    <w:p>
      <w:pPr>
        <w:spacing w:after="0" w:line="256" w:lineRule="exact"/>
        <w:rPr>
          <w:rFonts w:ascii="Arial" w:cs="Arial" w:eastAsia="Arial" w:hAnsi="Arial"/>
          <w:sz w:val="18"/>
          <w:szCs w:val="18"/>
          <w:color w:val="auto"/>
        </w:rPr>
      </w:pPr>
    </w:p>
    <w:p>
      <w:pPr>
        <w:ind w:left="1300" w:firstLine="653"/>
        <w:spacing w:after="0" w:line="289" w:lineRule="auto"/>
        <w:tabs>
          <w:tab w:leader="none" w:pos="2691" w:val="left"/>
        </w:tabs>
        <w:numPr>
          <w:ilvl w:val="1"/>
          <w:numId w:val="95"/>
        </w:numPr>
        <w:rPr>
          <w:rFonts w:ascii="Arial" w:cs="Arial" w:eastAsia="Arial" w:hAnsi="Arial"/>
          <w:sz w:val="18"/>
          <w:szCs w:val="18"/>
          <w:color w:val="auto"/>
        </w:rPr>
      </w:pPr>
      <w:r>
        <w:rPr>
          <w:rFonts w:ascii="Arial" w:cs="Arial" w:eastAsia="Arial" w:hAnsi="Arial"/>
          <w:sz w:val="20"/>
          <w:szCs w:val="20"/>
          <w:color w:val="auto"/>
        </w:rPr>
        <w:t>for Loans, to it at its Loan and Agency Services Group, 10 S. Dearborn Street, Floor 07, Chicago, Illinois 60603, Attention of: Philip Martino, Email: jpm.agency.servicing4@jpmchase.com;</w:t>
      </w:r>
    </w:p>
    <w:p>
      <w:pPr>
        <w:spacing w:after="0" w:line="189" w:lineRule="exact"/>
        <w:rPr>
          <w:sz w:val="20"/>
          <w:szCs w:val="20"/>
          <w:color w:val="auto"/>
        </w:rPr>
      </w:pPr>
    </w:p>
    <w:p>
      <w:pPr>
        <w:jc w:val="both"/>
        <w:ind w:left="1300" w:firstLine="653"/>
        <w:spacing w:after="0" w:line="278" w:lineRule="auto"/>
        <w:tabs>
          <w:tab w:leader="none" w:pos="2741" w:val="left"/>
        </w:tabs>
        <w:numPr>
          <w:ilvl w:val="1"/>
          <w:numId w:val="96"/>
        </w:numPr>
        <w:rPr>
          <w:rFonts w:ascii="Arial" w:cs="Arial" w:eastAsia="Arial" w:hAnsi="Arial"/>
          <w:sz w:val="18"/>
          <w:szCs w:val="18"/>
          <w:color w:val="auto"/>
        </w:rPr>
      </w:pPr>
      <w:r>
        <w:rPr>
          <w:rFonts w:ascii="Arial" w:cs="Arial" w:eastAsia="Arial" w:hAnsi="Arial"/>
          <w:sz w:val="20"/>
          <w:szCs w:val="20"/>
          <w:color w:val="auto"/>
        </w:rPr>
        <w:t xml:space="preserve">for credit related matters including compliance requirements pursuant to </w:t>
      </w:r>
      <w:r>
        <w:rPr>
          <w:rFonts w:ascii="Arial" w:cs="Arial" w:eastAsia="Arial" w:hAnsi="Arial"/>
          <w:sz w:val="20"/>
          <w:szCs w:val="20"/>
          <w:u w:val="single" w:color="auto"/>
          <w:color w:val="auto"/>
        </w:rPr>
        <w:t>Article 6</w:t>
      </w:r>
      <w:r>
        <w:rPr>
          <w:rFonts w:ascii="Arial" w:cs="Arial" w:eastAsia="Arial" w:hAnsi="Arial"/>
          <w:sz w:val="20"/>
          <w:szCs w:val="20"/>
          <w:color w:val="auto"/>
        </w:rPr>
        <w:t>, to it at its Corporate Client Banking, 10 S. Dearborn Street, Floor 09, Chicago, Illinois 60603, Attention of: Justin Martin, Phone: 312-732-4441, Fax: 312-732-1762, Email: justin.2.martin@jpmorgan.com; and</w:t>
      </w:r>
    </w:p>
    <w:p>
      <w:pPr>
        <w:spacing w:after="0" w:line="200" w:lineRule="exact"/>
        <w:rPr>
          <w:rFonts w:ascii="Arial" w:cs="Arial" w:eastAsia="Arial" w:hAnsi="Arial"/>
          <w:sz w:val="18"/>
          <w:szCs w:val="18"/>
          <w:color w:val="auto"/>
        </w:rPr>
      </w:pPr>
    </w:p>
    <w:p>
      <w:pPr>
        <w:ind w:left="2080" w:hanging="775"/>
        <w:spacing w:after="0"/>
        <w:tabs>
          <w:tab w:leader="none" w:pos="2080" w:val="left"/>
        </w:tabs>
        <w:numPr>
          <w:ilvl w:val="0"/>
          <w:numId w:val="97"/>
        </w:numPr>
        <w:rPr>
          <w:rFonts w:ascii="Arial" w:cs="Arial" w:eastAsia="Arial" w:hAnsi="Arial"/>
          <w:sz w:val="16"/>
          <w:szCs w:val="16"/>
          <w:color w:val="auto"/>
        </w:rPr>
      </w:pPr>
      <w:r>
        <w:rPr>
          <w:rFonts w:ascii="Arial" w:cs="Arial" w:eastAsia="Arial" w:hAnsi="Arial"/>
          <w:sz w:val="18"/>
          <w:szCs w:val="18"/>
          <w:color w:val="auto"/>
        </w:rPr>
        <w:t>if to any other Credit Party, to it at its address (or facsimile number) set forth in its Administrative Questionnaire.</w:t>
      </w:r>
    </w:p>
    <w:p>
      <w:pPr>
        <w:spacing w:after="0" w:line="266" w:lineRule="exact"/>
        <w:rPr>
          <w:sz w:val="20"/>
          <w:szCs w:val="20"/>
          <w:color w:val="auto"/>
        </w:rPr>
      </w:pPr>
    </w:p>
    <w:p>
      <w:pPr>
        <w:jc w:val="both"/>
        <w:ind w:firstLine="1297"/>
        <w:spacing w:after="0" w:line="244" w:lineRule="auto"/>
        <w:rPr>
          <w:sz w:val="20"/>
          <w:szCs w:val="20"/>
          <w:color w:val="auto"/>
        </w:rPr>
      </w:pPr>
      <w:r>
        <w:rPr>
          <w:rFonts w:ascii="Arial" w:cs="Arial" w:eastAsia="Arial" w:hAnsi="Arial"/>
          <w:sz w:val="20"/>
          <w:szCs w:val="20"/>
          <w:color w:val="auto"/>
        </w:rPr>
        <w:t xml:space="preserve">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 Notices delivered through electronic communications or Approved Electronic Platforms to the extent provided in </w:t>
      </w:r>
      <w:r>
        <w:rPr>
          <w:rFonts w:ascii="Arial" w:cs="Arial" w:eastAsia="Arial" w:hAnsi="Arial"/>
          <w:sz w:val="20"/>
          <w:szCs w:val="20"/>
          <w:u w:val="single" w:color="auto"/>
          <w:color w:val="auto"/>
        </w:rPr>
        <w:t>paragraph (b)</w:t>
      </w:r>
      <w:r>
        <w:rPr>
          <w:rFonts w:ascii="Arial" w:cs="Arial" w:eastAsia="Arial" w:hAnsi="Arial"/>
          <w:sz w:val="20"/>
          <w:szCs w:val="20"/>
          <w:color w:val="auto"/>
        </w:rPr>
        <w:t xml:space="preserve"> below, shall be effective as provided in such </w:t>
      </w:r>
      <w:r>
        <w:rPr>
          <w:rFonts w:ascii="Arial" w:cs="Arial" w:eastAsia="Arial" w:hAnsi="Arial"/>
          <w:sz w:val="20"/>
          <w:szCs w:val="20"/>
          <w:u w:val="single" w:color="auto"/>
          <w:color w:val="auto"/>
        </w:rPr>
        <w:t>paragraph (b)</w:t>
      </w:r>
      <w:r>
        <w:rPr>
          <w:rFonts w:ascii="Arial" w:cs="Arial" w:eastAsia="Arial" w:hAnsi="Arial"/>
          <w:sz w:val="20"/>
          <w:szCs w:val="20"/>
          <w:color w:val="auto"/>
        </w:rPr>
        <w:t>.</w:t>
      </w:r>
    </w:p>
    <w:p>
      <w:pPr>
        <w:spacing w:after="0" w:line="181" w:lineRule="exact"/>
        <w:rPr>
          <w:sz w:val="20"/>
          <w:szCs w:val="20"/>
          <w:color w:val="auto"/>
        </w:rPr>
      </w:pPr>
    </w:p>
    <w:p>
      <w:pPr>
        <w:jc w:val="both"/>
        <w:ind w:left="660" w:firstLine="1293"/>
        <w:spacing w:after="0" w:line="271" w:lineRule="auto"/>
        <w:tabs>
          <w:tab w:leader="none" w:pos="2730" w:val="left"/>
        </w:tabs>
        <w:numPr>
          <w:ilvl w:val="0"/>
          <w:numId w:val="98"/>
        </w:numPr>
        <w:rPr>
          <w:rFonts w:ascii="Arial" w:cs="Arial" w:eastAsia="Arial" w:hAnsi="Arial"/>
          <w:sz w:val="18"/>
          <w:szCs w:val="18"/>
          <w:color w:val="auto"/>
        </w:rPr>
      </w:pPr>
      <w:r>
        <w:rPr>
          <w:rFonts w:ascii="Arial" w:cs="Arial" w:eastAsia="Arial" w:hAnsi="Arial"/>
          <w:sz w:val="20"/>
          <w:szCs w:val="20"/>
          <w:u w:val="single" w:color="auto"/>
          <w:color w:val="auto"/>
        </w:rPr>
        <w:t>Electronic Communications</w:t>
      </w:r>
      <w:r>
        <w:rPr>
          <w:rFonts w:ascii="Arial" w:cs="Arial" w:eastAsia="Arial" w:hAnsi="Arial"/>
          <w:sz w:val="20"/>
          <w:szCs w:val="20"/>
          <w:color w:val="auto"/>
        </w:rPr>
        <w:t xml:space="preserve">. Notices and other communications to the Credit Parties hereunder may be delivered or furnished by using Approved Electronic Platforms pursuant to procedures approved by the Administrative Agent,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foregoing shall not apply to notices to any Credit Party pursuant to </w:t>
      </w:r>
      <w:r>
        <w:rPr>
          <w:rFonts w:ascii="Arial" w:cs="Arial" w:eastAsia="Arial" w:hAnsi="Arial"/>
          <w:sz w:val="20"/>
          <w:szCs w:val="20"/>
          <w:u w:val="single" w:color="auto"/>
          <w:color w:val="auto"/>
        </w:rPr>
        <w:t>Article 2</w:t>
      </w:r>
      <w:r>
        <w:rPr>
          <w:rFonts w:ascii="Arial" w:cs="Arial" w:eastAsia="Arial" w:hAnsi="Arial"/>
          <w:sz w:val="20"/>
          <w:szCs w:val="20"/>
          <w:color w:val="auto"/>
        </w:rPr>
        <w:t xml:space="preserve"> if such Credit Party has notified the Administrative Agent that it is incapable of receiving notices under such Article by electronic communication. The Administrative Agent or the Borrower may, in its discretion, agree to accept notices and other communications to it hereunder by electronic communications pursuant to procedures approved by it,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approval of such procedures may be limited to particular notices or communications.</w:t>
      </w:r>
    </w:p>
    <w:p>
      <w:pPr>
        <w:sectPr>
          <w:pgSz w:w="11900" w:h="16838" w:orient="portrait"/>
          <w:cols w:equalWidth="0" w:num="1">
            <w:col w:w="11420"/>
          </w:cols>
          <w:pgMar w:left="240" w:top="337" w:right="239" w:bottom="1440" w:gutter="0" w:footer="0" w:header="0"/>
        </w:sectPr>
      </w:pPr>
    </w:p>
    <w:bookmarkStart w:id="100" w:name="page101"/>
    <w:bookmarkEnd w:id="100"/>
    <w:p>
      <w:pPr>
        <w:ind w:left="10720"/>
        <w:spacing w:after="0"/>
        <w:rPr>
          <w:sz w:val="20"/>
          <w:szCs w:val="20"/>
          <w:color w:val="auto"/>
        </w:rPr>
      </w:pPr>
      <w:r>
        <w:rPr>
          <w:rFonts w:ascii="Arial" w:cs="Arial" w:eastAsia="Arial" w:hAnsi="Arial"/>
          <w:sz w:val="16"/>
          <w:szCs w:val="16"/>
          <w:b w:val="1"/>
          <w:bCs w:val="1"/>
          <w:color w:val="auto"/>
        </w:rPr>
        <w:t>Exhibit 4</w:t>
      </w:r>
    </w:p>
    <w:p>
      <w:pPr>
        <w:spacing w:after="0" w:line="277" w:lineRule="exact"/>
        <w:rPr>
          <w:sz w:val="20"/>
          <w:szCs w:val="20"/>
          <w:color w:val="auto"/>
        </w:rPr>
      </w:pPr>
    </w:p>
    <w:p>
      <w:pPr>
        <w:jc w:val="both"/>
        <w:ind w:firstLine="1297"/>
        <w:spacing w:after="0" w:line="274" w:lineRule="auto"/>
        <w:rPr>
          <w:sz w:val="20"/>
          <w:szCs w:val="20"/>
          <w:color w:val="auto"/>
        </w:rPr>
      </w:pPr>
      <w:r>
        <w:rPr>
          <w:rFonts w:ascii="Arial" w:cs="Arial" w:eastAsia="Arial" w:hAnsi="Arial"/>
          <w:sz w:val="18"/>
          <w:szCs w:val="18"/>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of notification that such notice or communication is available and identifying the website address therefor;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notice, posting or other communication is not sent or posted during the normal business hours of the recipient, such notice, posting or communication shall be deemed to have been sent or posted at the opening of business on the next business day for the recipient.</w:t>
      </w:r>
    </w:p>
    <w:p>
      <w:pPr>
        <w:spacing w:after="0" w:line="14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 xml:space="preserve">For purposes of </w:t>
      </w:r>
      <w:r>
        <w:rPr>
          <w:rFonts w:ascii="Arial" w:cs="Arial" w:eastAsia="Arial" w:hAnsi="Arial"/>
          <w:sz w:val="20"/>
          <w:szCs w:val="20"/>
          <w:u w:val="single" w:color="auto"/>
          <w:color w:val="auto"/>
        </w:rPr>
        <w:t>Section 6.2(d)</w:t>
      </w:r>
      <w:r>
        <w:rPr>
          <w:rFonts w:ascii="Arial" w:cs="Arial" w:eastAsia="Arial" w:hAnsi="Arial"/>
          <w:sz w:val="20"/>
          <w:szCs w:val="20"/>
          <w:color w:val="auto"/>
        </w:rPr>
        <w:t>, the Borrower’s website is www.allete.com.</w:t>
      </w:r>
    </w:p>
    <w:p>
      <w:pPr>
        <w:spacing w:after="0" w:line="202" w:lineRule="exact"/>
        <w:rPr>
          <w:sz w:val="20"/>
          <w:szCs w:val="20"/>
          <w:color w:val="auto"/>
        </w:rPr>
      </w:pPr>
    </w:p>
    <w:p>
      <w:pPr>
        <w:ind w:left="660" w:firstLine="1293"/>
        <w:spacing w:after="0" w:line="289" w:lineRule="auto"/>
        <w:tabs>
          <w:tab w:leader="none" w:pos="2710" w:val="left"/>
        </w:tabs>
        <w:numPr>
          <w:ilvl w:val="0"/>
          <w:numId w:val="99"/>
        </w:numPr>
        <w:rPr>
          <w:rFonts w:ascii="Arial" w:cs="Arial" w:eastAsia="Arial" w:hAnsi="Arial"/>
          <w:sz w:val="18"/>
          <w:szCs w:val="18"/>
          <w:color w:val="auto"/>
        </w:rPr>
      </w:pPr>
      <w:r>
        <w:rPr>
          <w:rFonts w:ascii="Arial" w:cs="Arial" w:eastAsia="Arial" w:hAnsi="Arial"/>
          <w:sz w:val="20"/>
          <w:szCs w:val="20"/>
          <w:u w:val="single" w:color="auto"/>
          <w:color w:val="auto"/>
        </w:rPr>
        <w:t>Change of Address, Etc.</w:t>
      </w:r>
      <w:r>
        <w:rPr>
          <w:rFonts w:ascii="Arial" w:cs="Arial" w:eastAsia="Arial" w:hAnsi="Arial"/>
          <w:sz w:val="20"/>
          <w:szCs w:val="20"/>
          <w:color w:val="auto"/>
        </w:rPr>
        <w:t xml:space="preserve"> Any party hereto may change its address or facsimile number or e-mail address for notices and other communications hereunder by notice to the other parties hereto.</w:t>
      </w:r>
    </w:p>
    <w:p>
      <w:pPr>
        <w:spacing w:after="0" w:line="189" w:lineRule="exact"/>
        <w:rPr>
          <w:sz w:val="20"/>
          <w:szCs w:val="20"/>
          <w:color w:val="auto"/>
        </w:rPr>
      </w:pPr>
    </w:p>
    <w:p>
      <w:pPr>
        <w:ind w:left="660"/>
        <w:spacing w:after="0"/>
        <w:tabs>
          <w:tab w:leader="none" w:pos="2840" w:val="left"/>
        </w:tabs>
        <w:rPr>
          <w:sz w:val="20"/>
          <w:szCs w:val="20"/>
          <w:color w:val="auto"/>
        </w:rPr>
      </w:pPr>
      <w:r>
        <w:rPr>
          <w:rFonts w:ascii="Arial" w:cs="Arial" w:eastAsia="Arial" w:hAnsi="Arial"/>
          <w:sz w:val="18"/>
          <w:szCs w:val="18"/>
          <w:color w:val="auto"/>
        </w:rPr>
        <w:t>Section 10.2</w:t>
      </w:r>
      <w:r>
        <w:rPr>
          <w:sz w:val="20"/>
          <w:szCs w:val="20"/>
          <w:color w:val="auto"/>
        </w:rPr>
        <w:tab/>
      </w:r>
      <w:r>
        <w:rPr>
          <w:rFonts w:ascii="Arial" w:cs="Arial" w:eastAsia="Arial" w:hAnsi="Arial"/>
          <w:sz w:val="16"/>
          <w:szCs w:val="16"/>
          <w:u w:val="single" w:color="auto"/>
          <w:color w:val="auto"/>
        </w:rPr>
        <w:t>Waivers; Amendments</w:t>
      </w:r>
      <w:r>
        <w:rPr>
          <w:rFonts w:ascii="Arial" w:cs="Arial" w:eastAsia="Arial" w:hAnsi="Arial"/>
          <w:sz w:val="16"/>
          <w:szCs w:val="16"/>
          <w:color w:val="auto"/>
        </w:rPr>
        <w:t>.</w:t>
      </w:r>
    </w:p>
    <w:p>
      <w:pPr>
        <w:spacing w:after="0" w:line="279" w:lineRule="exact"/>
        <w:rPr>
          <w:sz w:val="20"/>
          <w:szCs w:val="20"/>
          <w:color w:val="auto"/>
        </w:rPr>
      </w:pPr>
    </w:p>
    <w:p>
      <w:pPr>
        <w:jc w:val="both"/>
        <w:ind w:firstLine="1305"/>
        <w:spacing w:after="0" w:line="304" w:lineRule="auto"/>
        <w:tabs>
          <w:tab w:leader="none" w:pos="2070" w:val="left"/>
        </w:tabs>
        <w:numPr>
          <w:ilvl w:val="0"/>
          <w:numId w:val="100"/>
        </w:numPr>
        <w:rPr>
          <w:rFonts w:ascii="Arial" w:cs="Arial" w:eastAsia="Arial" w:hAnsi="Arial"/>
          <w:sz w:val="16"/>
          <w:szCs w:val="16"/>
          <w:color w:val="auto"/>
        </w:rPr>
      </w:pPr>
      <w:r>
        <w:rPr>
          <w:rFonts w:ascii="Arial" w:cs="Arial" w:eastAsia="Arial" w:hAnsi="Arial"/>
          <w:sz w:val="18"/>
          <w:szCs w:val="18"/>
          <w:color w:val="auto"/>
        </w:rPr>
        <w:t xml:space="preserve">No failure or delay by any Credit Party in exercising any right or power under any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Credit Parties under the Loan Documents are cumulative and are not exclusive of any rights or remedies that they would otherwise have. No waiver of any provision of any Loan Document or consent to any departure by the Borrower therefrom shall in any event be effective unless the same shall be permitted by </w:t>
      </w:r>
      <w:r>
        <w:rPr>
          <w:rFonts w:ascii="Arial" w:cs="Arial" w:eastAsia="Arial" w:hAnsi="Arial"/>
          <w:sz w:val="18"/>
          <w:szCs w:val="18"/>
          <w:u w:val="single" w:color="auto"/>
          <w:color w:val="auto"/>
        </w:rPr>
        <w:t>paragraph (b)</w:t>
      </w:r>
      <w:r>
        <w:rPr>
          <w:rFonts w:ascii="Arial" w:cs="Arial" w:eastAsia="Arial" w:hAnsi="Arial"/>
          <w:sz w:val="18"/>
          <w:szCs w:val="18"/>
          <w:color w:val="auto"/>
        </w:rPr>
        <w:t xml:space="preserve"> of this Section, and then such waiver or consent shall be effective only in the specific instance and for the purpose for which given. Without limiting the generality of the foregoing, the making of a Loan shall not be construed as a waiver of any Default, regardless of whether any Credit Party may have had notice or knowledge of such Default at the time.</w:t>
      </w:r>
    </w:p>
    <w:p>
      <w:pPr>
        <w:spacing w:after="0" w:line="184" w:lineRule="exact"/>
        <w:rPr>
          <w:rFonts w:ascii="Arial" w:cs="Arial" w:eastAsia="Arial" w:hAnsi="Arial"/>
          <w:sz w:val="16"/>
          <w:szCs w:val="16"/>
          <w:color w:val="auto"/>
        </w:rPr>
      </w:pPr>
    </w:p>
    <w:p>
      <w:pPr>
        <w:jc w:val="both"/>
        <w:ind w:firstLine="1305"/>
        <w:spacing w:after="0" w:line="300" w:lineRule="auto"/>
        <w:tabs>
          <w:tab w:leader="none" w:pos="2080" w:val="left"/>
        </w:tabs>
        <w:numPr>
          <w:ilvl w:val="0"/>
          <w:numId w:val="100"/>
        </w:numPr>
        <w:rPr>
          <w:rFonts w:ascii="Arial" w:cs="Arial" w:eastAsia="Arial" w:hAnsi="Arial"/>
          <w:sz w:val="16"/>
          <w:szCs w:val="16"/>
          <w:color w:val="auto"/>
        </w:rPr>
      </w:pPr>
      <w:r>
        <w:rPr>
          <w:rFonts w:ascii="Arial" w:cs="Arial" w:eastAsia="Arial" w:hAnsi="Arial"/>
          <w:sz w:val="18"/>
          <w:szCs w:val="18"/>
          <w:color w:val="auto"/>
        </w:rPr>
        <w:t xml:space="preserve">Neither any Loan Document nor any provision thereof may be waived, amended or modified except pursuant to an agreement or agreements in writing entered into by the Borrower and the Required Lenders or by the Borrower and the Administrative Agent with the consent of the Required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agreement shall (i) increase the Commitment of any Lender without the written consent of such Lender, (ii) reduce the principal amount of any Loan, or reduce the rate of any interest, or reduce any fees, payable under the Loan Documents, without the written consent of each Credit Party affected thereby, (iii) postpone the date of payment at stated maturity of any Loan, or the date of any interest or any fees payable under the Loan Documents, or reduce the amount of, waive or excuse any such payment, without the written consent of each Credit Party affected thereby, (iv) change any provision hereof in a manner that would alter the pro rata sharing of payments required by </w:t>
      </w:r>
      <w:r>
        <w:rPr>
          <w:rFonts w:ascii="Arial" w:cs="Arial" w:eastAsia="Arial" w:hAnsi="Arial"/>
          <w:sz w:val="18"/>
          <w:szCs w:val="18"/>
          <w:u w:val="single" w:color="auto"/>
          <w:color w:val="auto"/>
        </w:rPr>
        <w:t>Section 2.5(b)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2.5(c)</w:t>
      </w:r>
      <w:r>
        <w:rPr>
          <w:rFonts w:ascii="Arial" w:cs="Arial" w:eastAsia="Arial" w:hAnsi="Arial"/>
          <w:sz w:val="18"/>
          <w:szCs w:val="18"/>
          <w:color w:val="auto"/>
        </w:rPr>
        <w:t xml:space="preserve"> without the written consent of each Credit Party affected thereby, and (v) change any of the provisions of this Section or the definition of the term “Required Lenders” or any other provision hereof specifying the number or percentage of Lenders required to waive, amend or modify any rights hereunder or make any determination or grant any consent hereunder, or change the currency in which Loans are to be made or payment under the Loan Documents is to be made, or add additional borrowers, without the written consent of each Lender,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no such agreement shall amend, modify or otherwise affect the rights or duties of the Administrative Agent hereunder without the prior written consent of the Administrative Agent, as applicable. Notwithstanding the foregoing, no consent with respect to any amendment, waiver or other modification of this Agreement shall be required of any Defaulting Lender, except with respect to any amendment, waiver or other modification referred to in clause (i), (ii) or (iii) of the first proviso of this paragraph and then only in the event such Defaulting Lender shall be directly affected by such amendment, waiver or other modification.</w:t>
      </w:r>
    </w:p>
    <w:p>
      <w:pPr>
        <w:spacing w:after="0" w:line="195" w:lineRule="exact"/>
        <w:rPr>
          <w:rFonts w:ascii="Arial" w:cs="Arial" w:eastAsia="Arial" w:hAnsi="Arial"/>
          <w:sz w:val="16"/>
          <w:szCs w:val="16"/>
          <w:color w:val="auto"/>
        </w:rPr>
      </w:pPr>
    </w:p>
    <w:p>
      <w:pPr>
        <w:jc w:val="both"/>
        <w:ind w:firstLine="1305"/>
        <w:spacing w:after="0" w:line="278" w:lineRule="auto"/>
        <w:tabs>
          <w:tab w:leader="none" w:pos="2070" w:val="left"/>
        </w:tabs>
        <w:numPr>
          <w:ilvl w:val="0"/>
          <w:numId w:val="100"/>
        </w:numPr>
        <w:rPr>
          <w:rFonts w:ascii="Arial" w:cs="Arial" w:eastAsia="Arial" w:hAnsi="Arial"/>
          <w:sz w:val="18"/>
          <w:szCs w:val="18"/>
          <w:color w:val="auto"/>
        </w:rPr>
      </w:pPr>
      <w:r>
        <w:rPr>
          <w:rFonts w:ascii="Arial" w:cs="Arial" w:eastAsia="Arial" w:hAnsi="Arial"/>
          <w:sz w:val="20"/>
          <w:szCs w:val="20"/>
          <w:color w:val="auto"/>
        </w:rPr>
        <w:t>Notwithstanding anything to the contrary herein the Administrative Agent may, with the consent of the Borrower only, amend, modify or supplement this Agreement or any of the other Loan Documents to cure any ambiguity, omission, mistake, defect or inconsistency.</w:t>
      </w:r>
    </w:p>
    <w:p>
      <w:pPr>
        <w:sectPr>
          <w:pgSz w:w="11900" w:h="16838" w:orient="portrait"/>
          <w:cols w:equalWidth="0" w:num="1">
            <w:col w:w="11420"/>
          </w:cols>
          <w:pgMar w:left="240" w:top="337" w:right="2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4</w:t>
      </w:r>
    </w:p>
    <w:p>
      <w:pPr>
        <w:spacing w:after="0" w:line="267" w:lineRule="exact"/>
        <w:rPr>
          <w:sz w:val="20"/>
          <w:szCs w:val="20"/>
          <w:color w:val="auto"/>
        </w:rPr>
      </w:pPr>
    </w:p>
    <w:p>
      <w:pPr>
        <w:ind w:left="660"/>
        <w:spacing w:after="0"/>
        <w:tabs>
          <w:tab w:leader="none" w:pos="2840" w:val="left"/>
        </w:tabs>
        <w:rPr>
          <w:sz w:val="20"/>
          <w:szCs w:val="20"/>
          <w:color w:val="auto"/>
        </w:rPr>
      </w:pPr>
      <w:r>
        <w:rPr>
          <w:rFonts w:ascii="Arial" w:cs="Arial" w:eastAsia="Arial" w:hAnsi="Arial"/>
          <w:sz w:val="18"/>
          <w:szCs w:val="18"/>
          <w:color w:val="auto"/>
        </w:rPr>
        <w:t>Section 10.3</w:t>
      </w:r>
      <w:r>
        <w:rPr>
          <w:sz w:val="20"/>
          <w:szCs w:val="20"/>
          <w:color w:val="auto"/>
        </w:rPr>
        <w:tab/>
      </w:r>
      <w:r>
        <w:rPr>
          <w:rFonts w:ascii="Arial" w:cs="Arial" w:eastAsia="Arial" w:hAnsi="Arial"/>
          <w:sz w:val="16"/>
          <w:szCs w:val="16"/>
          <w:u w:val="single" w:color="auto"/>
          <w:color w:val="auto"/>
        </w:rPr>
        <w:t>Expenses; Indemnity; Damage Waiver</w:t>
      </w:r>
      <w:r>
        <w:rPr>
          <w:rFonts w:ascii="Arial" w:cs="Arial" w:eastAsia="Arial" w:hAnsi="Arial"/>
          <w:sz w:val="16"/>
          <w:szCs w:val="16"/>
          <w:color w:val="auto"/>
        </w:rPr>
        <w:t>.</w:t>
      </w:r>
    </w:p>
    <w:p>
      <w:pPr>
        <w:spacing w:after="0" w:line="279" w:lineRule="exact"/>
        <w:rPr>
          <w:sz w:val="20"/>
          <w:szCs w:val="20"/>
          <w:color w:val="auto"/>
        </w:rPr>
      </w:pPr>
    </w:p>
    <w:p>
      <w:pPr>
        <w:jc w:val="both"/>
        <w:ind w:firstLine="1305"/>
        <w:spacing w:after="0" w:line="303" w:lineRule="auto"/>
        <w:tabs>
          <w:tab w:leader="none" w:pos="2070" w:val="left"/>
        </w:tabs>
        <w:numPr>
          <w:ilvl w:val="1"/>
          <w:numId w:val="101"/>
        </w:numPr>
        <w:rPr>
          <w:rFonts w:ascii="Arial" w:cs="Arial" w:eastAsia="Arial" w:hAnsi="Arial"/>
          <w:sz w:val="16"/>
          <w:szCs w:val="16"/>
          <w:color w:val="auto"/>
        </w:rPr>
      </w:pPr>
      <w:r>
        <w:rPr>
          <w:rFonts w:ascii="Arial" w:cs="Arial" w:eastAsia="Arial" w:hAnsi="Arial"/>
          <w:sz w:val="18"/>
          <w:szCs w:val="18"/>
          <w:u w:val="single" w:color="auto"/>
          <w:color w:val="auto"/>
        </w:rPr>
        <w:t>Cost and Expenses</w:t>
      </w:r>
      <w:r>
        <w:rPr>
          <w:rFonts w:ascii="Arial" w:cs="Arial" w:eastAsia="Arial" w:hAnsi="Arial"/>
          <w:sz w:val="18"/>
          <w:szCs w:val="18"/>
          <w:color w:val="auto"/>
        </w:rPr>
        <w:t>. The Borrower shall pay (i) all reasonable out-of-pocket costs and expenses incurred by the Administrative Agent and its Affiliates, including the reasonable fees, charges and disbursements of counsel for the Administrative Agent, in connection with the syndication and distribution (including, without limitation, via the internet or through a service such as Intralinks) of the term loan facility provided for herein, the preparation and administration of each Loan Document or any amendments, modifications or waivers of the provisions thereof (whether or not the transactions contemplated thereby shall be consummated) and (ii) all reasonable out-of-pocket costs and expenses incurred by any Credit Party, including the reasonable fees, charges and disbursements of any counsel for any Credit Party and any consultant or expert witness fees and expenses, in connection with the enforcement or protection of its rights in connection with the Loan Documents, including its rights under this Section, or in connection with the Loans made hereunder, including all such reasonable out-of-pocket costs and expenses incurred during any workout, restructuring or negotiations in respect of such Loans.</w:t>
      </w:r>
    </w:p>
    <w:p>
      <w:pPr>
        <w:spacing w:after="0" w:line="187" w:lineRule="exact"/>
        <w:rPr>
          <w:rFonts w:ascii="Arial" w:cs="Arial" w:eastAsia="Arial" w:hAnsi="Arial"/>
          <w:sz w:val="16"/>
          <w:szCs w:val="16"/>
          <w:color w:val="auto"/>
        </w:rPr>
      </w:pPr>
    </w:p>
    <w:p>
      <w:pPr>
        <w:jc w:val="both"/>
        <w:ind w:firstLine="1305"/>
        <w:spacing w:after="0" w:line="334" w:lineRule="auto"/>
        <w:tabs>
          <w:tab w:leader="none" w:pos="2080" w:val="left"/>
        </w:tabs>
        <w:numPr>
          <w:ilvl w:val="1"/>
          <w:numId w:val="101"/>
        </w:numPr>
        <w:rPr>
          <w:rFonts w:ascii="Arial" w:cs="Arial" w:eastAsia="Arial" w:hAnsi="Arial"/>
          <w:sz w:val="15"/>
          <w:szCs w:val="15"/>
          <w:color w:val="auto"/>
        </w:rPr>
      </w:pPr>
      <w:r>
        <w:rPr>
          <w:rFonts w:ascii="Arial" w:cs="Arial" w:eastAsia="Arial" w:hAnsi="Arial"/>
          <w:sz w:val="16"/>
          <w:szCs w:val="16"/>
          <w:u w:val="single" w:color="auto"/>
          <w:color w:val="auto"/>
        </w:rPr>
        <w:t>Indemnification by the Borrower</w:t>
      </w:r>
      <w:r>
        <w:rPr>
          <w:rFonts w:ascii="Arial" w:cs="Arial" w:eastAsia="Arial" w:hAnsi="Arial"/>
          <w:sz w:val="16"/>
          <w:szCs w:val="16"/>
          <w:color w:val="auto"/>
        </w:rPr>
        <w:t>. The Borrower shall indemnify each Credit Party and each Related Party thereof (each such Person being called an “</w:t>
      </w:r>
      <w:r>
        <w:rPr>
          <w:rFonts w:ascii="Arial" w:cs="Arial" w:eastAsia="Arial" w:hAnsi="Arial"/>
          <w:sz w:val="16"/>
          <w:szCs w:val="16"/>
          <w:u w:val="single" w:color="auto"/>
          <w:color w:val="auto"/>
        </w:rPr>
        <w:t>Indemnitee</w:t>
      </w:r>
      <w:r>
        <w:rPr>
          <w:rFonts w:ascii="Arial" w:cs="Arial" w:eastAsia="Arial" w:hAnsi="Arial"/>
          <w:sz w:val="16"/>
          <w:szCs w:val="16"/>
          <w:color w:val="auto"/>
        </w:rPr>
        <w:t>”) against, and hold each Indemnitee harmless from, any and all losses, claims, damages, liabilities and related expenses, including the reasonable fees, charges and disbursements of any counsel for any Indemnitee, incurred by or asserted against any Indemnitee arising out of, in connection with, or as a result of (i) the execution or delivery of any Loan Document or any agreement or instrument contemplated thereby, the performance by the parties to the Loan Documents of their respective obligations thereunder or the consummation of the Transactions or any other transactions contemplated thereby, (ii) any Loan or the use of the proceeds thereof,</w:t>
      </w:r>
    </w:p>
    <w:p>
      <w:pPr>
        <w:spacing w:after="0" w:line="3" w:lineRule="exact"/>
        <w:rPr>
          <w:rFonts w:ascii="Arial" w:cs="Arial" w:eastAsia="Arial" w:hAnsi="Arial"/>
          <w:sz w:val="15"/>
          <w:szCs w:val="15"/>
          <w:color w:val="auto"/>
        </w:rPr>
      </w:pPr>
    </w:p>
    <w:p>
      <w:pPr>
        <w:jc w:val="both"/>
        <w:ind w:firstLine="8"/>
        <w:spacing w:after="0" w:line="304" w:lineRule="auto"/>
        <w:tabs>
          <w:tab w:leader="none" w:pos="35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any actual or alleged presence or release of Hazardous Materials on or from any property owned or operated by the Borrower or any of the Subsidiaries, or any liability under any Environmental Law related in any way to the Borrower or any of the Subsidiaries or (iv) any actual or prospective claim, litigation, investigation or proceeding relating to any of the foregoing, whether or not such claim, litigation, investigation or proceeding is brought by the Borrower or any or its equity holders, Affiliates, creditors or any other third Person and whether based on contract, tort or any other theory and regardless of whether any Indemnitee is a party thereto,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indemnity shall not, as to any Indemnitee, be available to the extent that such losses, claims, damages, liabilities or related expenses are determined by a court of competent jurisdiction by final and nonappealable judgment to have resulted from (x) the gross negligence or willful misconduct of such Indemnitee or (y) a breach in bad faith by such Indemnitee or arising solely from claims between or among one or more Indemnitees.</w:t>
      </w:r>
    </w:p>
    <w:p>
      <w:pPr>
        <w:spacing w:after="0" w:line="184" w:lineRule="exact"/>
        <w:rPr>
          <w:rFonts w:ascii="Arial" w:cs="Arial" w:eastAsia="Arial" w:hAnsi="Arial"/>
          <w:sz w:val="18"/>
          <w:szCs w:val="18"/>
          <w:color w:val="auto"/>
        </w:rPr>
      </w:pPr>
    </w:p>
    <w:p>
      <w:pPr>
        <w:jc w:val="both"/>
        <w:ind w:firstLine="1305"/>
        <w:spacing w:after="0" w:line="287" w:lineRule="auto"/>
        <w:tabs>
          <w:tab w:leader="none" w:pos="2070" w:val="left"/>
        </w:tabs>
        <w:numPr>
          <w:ilvl w:val="1"/>
          <w:numId w:val="102"/>
        </w:numPr>
        <w:rPr>
          <w:rFonts w:ascii="Arial" w:cs="Arial" w:eastAsia="Arial" w:hAnsi="Arial"/>
          <w:sz w:val="17"/>
          <w:szCs w:val="17"/>
          <w:color w:val="auto"/>
        </w:rPr>
      </w:pPr>
      <w:r>
        <w:rPr>
          <w:rFonts w:ascii="Arial" w:cs="Arial" w:eastAsia="Arial" w:hAnsi="Arial"/>
          <w:sz w:val="19"/>
          <w:szCs w:val="19"/>
          <w:u w:val="single" w:color="auto"/>
          <w:color w:val="auto"/>
        </w:rPr>
        <w:t>Reimbursement by Lenders</w:t>
      </w:r>
      <w:r>
        <w:rPr>
          <w:rFonts w:ascii="Arial" w:cs="Arial" w:eastAsia="Arial" w:hAnsi="Arial"/>
          <w:sz w:val="19"/>
          <w:szCs w:val="19"/>
          <w:color w:val="auto"/>
        </w:rPr>
        <w:t xml:space="preserve">. To the extent that the Borrower fails to pay any amount required to be paid by it to the Administrative Agent under </w:t>
      </w:r>
      <w:r>
        <w:rPr>
          <w:rFonts w:ascii="Arial" w:cs="Arial" w:eastAsia="Arial" w:hAnsi="Arial"/>
          <w:sz w:val="19"/>
          <w:szCs w:val="19"/>
          <w:u w:val="single" w:color="auto"/>
          <w:color w:val="auto"/>
        </w:rPr>
        <w:t>paragraph (a)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of this Section (and without limiting the Borrower’s obligation to do so), each Lender severally agrees to pay to the Administrative Agent an amount equal to the product of such unpaid amount </w:t>
      </w:r>
      <w:r>
        <w:rPr>
          <w:rFonts w:ascii="Arial" w:cs="Arial" w:eastAsia="Arial" w:hAnsi="Arial"/>
          <w:sz w:val="19"/>
          <w:szCs w:val="19"/>
          <w:u w:val="single" w:color="auto"/>
          <w:color w:val="auto"/>
        </w:rPr>
        <w:t>multiplied by</w:t>
      </w:r>
      <w:r>
        <w:rPr>
          <w:rFonts w:ascii="Arial" w:cs="Arial" w:eastAsia="Arial" w:hAnsi="Arial"/>
          <w:sz w:val="19"/>
          <w:szCs w:val="19"/>
          <w:color w:val="auto"/>
        </w:rPr>
        <w:t xml:space="preserve"> a fraction, the numerator of which is the outstanding principal balance of such Lender’s Loans and the denominator of which is the outstanding principal balance of all Lender’s Loans (in each case determined as of the time that the applicable unreimbursed expense or indemnity payment is sought),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unreimbursed expense or indemnified loss, claim, damage, liability or related expense, as applicable, was incurred by or asserted against the Administrative Agent in its capacity as such.</w:t>
      </w:r>
    </w:p>
    <w:p>
      <w:pPr>
        <w:spacing w:after="0" w:line="196" w:lineRule="exact"/>
        <w:rPr>
          <w:rFonts w:ascii="Arial" w:cs="Arial" w:eastAsia="Arial" w:hAnsi="Arial"/>
          <w:sz w:val="17"/>
          <w:szCs w:val="17"/>
          <w:color w:val="auto"/>
        </w:rPr>
      </w:pPr>
    </w:p>
    <w:p>
      <w:pPr>
        <w:jc w:val="both"/>
        <w:ind w:firstLine="1305"/>
        <w:spacing w:after="0" w:line="286" w:lineRule="auto"/>
        <w:tabs>
          <w:tab w:leader="none" w:pos="2080" w:val="left"/>
        </w:tabs>
        <w:numPr>
          <w:ilvl w:val="1"/>
          <w:numId w:val="102"/>
        </w:numPr>
        <w:rPr>
          <w:rFonts w:ascii="Arial" w:cs="Arial" w:eastAsia="Arial" w:hAnsi="Arial"/>
          <w:sz w:val="17"/>
          <w:szCs w:val="17"/>
          <w:color w:val="auto"/>
        </w:rPr>
      </w:pPr>
      <w:r>
        <w:rPr>
          <w:rFonts w:ascii="Arial" w:cs="Arial" w:eastAsia="Arial" w:hAnsi="Arial"/>
          <w:sz w:val="19"/>
          <w:szCs w:val="19"/>
          <w:u w:val="single" w:color="auto"/>
          <w:color w:val="auto"/>
        </w:rPr>
        <w:t>Waiver of Consequential Damages, etc.</w:t>
      </w:r>
      <w:r>
        <w:rPr>
          <w:rFonts w:ascii="Arial" w:cs="Arial" w:eastAsia="Arial" w:hAnsi="Arial"/>
          <w:sz w:val="19"/>
          <w:szCs w:val="19"/>
          <w:color w:val="auto"/>
        </w:rPr>
        <w:t xml:space="preserve"> To the extent permitted by applicable law, the Borrower shall not assert, and hereby waives, any claim against any Indemnitee, (i) subject to the provisions of </w:t>
      </w:r>
      <w:r>
        <w:rPr>
          <w:rFonts w:ascii="Arial" w:cs="Arial" w:eastAsia="Arial" w:hAnsi="Arial"/>
          <w:sz w:val="19"/>
          <w:szCs w:val="19"/>
          <w:u w:val="single" w:color="auto"/>
          <w:color w:val="auto"/>
        </w:rPr>
        <w:t>Section 10.15</w:t>
      </w:r>
      <w:r>
        <w:rPr>
          <w:rFonts w:ascii="Arial" w:cs="Arial" w:eastAsia="Arial" w:hAnsi="Arial"/>
          <w:sz w:val="19"/>
          <w:szCs w:val="19"/>
          <w:color w:val="auto"/>
        </w:rPr>
        <w:t xml:space="preserve">, for any damages arising from the use by others of information or other materials obtained through telecommunications, electronic or other information transmission systems (including the Internet) (except for any claims by the Borrower for damages arising from the gross negligence or willful misconduct of such Indemnitee, which claims shall be permitted by this Section 10.3(d)(i);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Indemnitee shall be liable for any such damages except to the extent determined by a court of competent jurisdiction in a final nonappealable judgment) or (ii) on any theory of liability, for special, indirect, consequential or punitive damages (as opposed to direct and actual damages) arising out of, in connection with, or as a result of, any Loan Document or any agreement, instrument or other document contemplated thereby, the Transactions or any Loan or the use of the proceeds thereof.</w:t>
      </w:r>
    </w:p>
    <w:p>
      <w:pPr>
        <w:sectPr>
          <w:pgSz w:w="11900" w:h="16838" w:orient="portrait"/>
          <w:cols w:equalWidth="0" w:num="1">
            <w:col w:w="11420"/>
          </w:cols>
          <w:pgMar w:left="240" w:top="337" w:right="239" w:bottom="1440" w:gutter="0" w:footer="0" w:header="0"/>
        </w:sectPr>
      </w:pPr>
    </w:p>
    <w:bookmarkStart w:id="102" w:name="page103"/>
    <w:bookmarkEnd w:id="102"/>
    <w:p>
      <w:pPr>
        <w:ind w:left="10720"/>
        <w:spacing w:after="0"/>
        <w:rPr>
          <w:sz w:val="20"/>
          <w:szCs w:val="20"/>
          <w:color w:val="auto"/>
        </w:rPr>
      </w:pPr>
      <w:r>
        <w:rPr>
          <w:rFonts w:ascii="Arial" w:cs="Arial" w:eastAsia="Arial" w:hAnsi="Arial"/>
          <w:sz w:val="16"/>
          <w:szCs w:val="16"/>
          <w:b w:val="1"/>
          <w:bCs w:val="1"/>
          <w:color w:val="auto"/>
        </w:rPr>
        <w:t>Exhibit 4</w:t>
      </w:r>
    </w:p>
    <w:p>
      <w:pPr>
        <w:spacing w:after="0" w:line="290" w:lineRule="exact"/>
        <w:rPr>
          <w:sz w:val="20"/>
          <w:szCs w:val="20"/>
          <w:color w:val="auto"/>
        </w:rPr>
      </w:pPr>
    </w:p>
    <w:p>
      <w:pPr>
        <w:ind w:left="2080" w:hanging="775"/>
        <w:spacing w:after="0"/>
        <w:tabs>
          <w:tab w:leader="none" w:pos="2080" w:val="left"/>
        </w:tabs>
        <w:numPr>
          <w:ilvl w:val="0"/>
          <w:numId w:val="103"/>
        </w:numPr>
        <w:rPr>
          <w:rFonts w:ascii="Arial" w:cs="Arial" w:eastAsia="Arial" w:hAnsi="Arial"/>
          <w:sz w:val="16"/>
          <w:szCs w:val="16"/>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 All amounts due under this Section shall be payable promptly but in no event later than ten days after</w:t>
      </w:r>
    </w:p>
    <w:p>
      <w:pPr>
        <w:spacing w:after="0" w:line="4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0"/>
          <w:szCs w:val="20"/>
          <w:color w:val="auto"/>
        </w:rPr>
        <w:t>written demand therefor.</w:t>
      </w:r>
    </w:p>
    <w:p>
      <w:pPr>
        <w:spacing w:after="0" w:line="256" w:lineRule="exact"/>
        <w:rPr>
          <w:sz w:val="20"/>
          <w:szCs w:val="20"/>
          <w:color w:val="auto"/>
        </w:rPr>
      </w:pPr>
    </w:p>
    <w:p>
      <w:pPr>
        <w:ind w:left="660"/>
        <w:spacing w:after="0"/>
        <w:tabs>
          <w:tab w:leader="none" w:pos="2840" w:val="left"/>
        </w:tabs>
        <w:rPr>
          <w:sz w:val="20"/>
          <w:szCs w:val="20"/>
          <w:color w:val="auto"/>
        </w:rPr>
      </w:pPr>
      <w:r>
        <w:rPr>
          <w:rFonts w:ascii="Arial" w:cs="Arial" w:eastAsia="Arial" w:hAnsi="Arial"/>
          <w:sz w:val="18"/>
          <w:szCs w:val="18"/>
          <w:color w:val="auto"/>
        </w:rPr>
        <w:t>Section 10.4</w:t>
      </w:r>
      <w:r>
        <w:rPr>
          <w:sz w:val="20"/>
          <w:szCs w:val="20"/>
          <w:color w:val="auto"/>
        </w:rPr>
        <w:tab/>
      </w:r>
      <w:r>
        <w:rPr>
          <w:rFonts w:ascii="Arial" w:cs="Arial" w:eastAsia="Arial" w:hAnsi="Arial"/>
          <w:sz w:val="16"/>
          <w:szCs w:val="16"/>
          <w:u w:val="single" w:color="auto"/>
          <w:color w:val="auto"/>
        </w:rPr>
        <w:t>Successors and Assigns</w:t>
      </w:r>
      <w:r>
        <w:rPr>
          <w:rFonts w:ascii="Arial" w:cs="Arial" w:eastAsia="Arial" w:hAnsi="Arial"/>
          <w:sz w:val="16"/>
          <w:szCs w:val="16"/>
          <w:color w:val="auto"/>
        </w:rPr>
        <w:t>.</w:t>
      </w:r>
    </w:p>
    <w:p>
      <w:pPr>
        <w:spacing w:after="0" w:line="279" w:lineRule="exact"/>
        <w:rPr>
          <w:sz w:val="20"/>
          <w:szCs w:val="20"/>
          <w:color w:val="auto"/>
        </w:rPr>
      </w:pPr>
    </w:p>
    <w:p>
      <w:pPr>
        <w:jc w:val="both"/>
        <w:ind w:firstLine="1305"/>
        <w:spacing w:after="0" w:line="285" w:lineRule="auto"/>
        <w:tabs>
          <w:tab w:leader="none" w:pos="2070" w:val="left"/>
        </w:tabs>
        <w:numPr>
          <w:ilvl w:val="0"/>
          <w:numId w:val="104"/>
        </w:numPr>
        <w:rPr>
          <w:rFonts w:ascii="Arial" w:cs="Arial" w:eastAsia="Arial" w:hAnsi="Arial"/>
          <w:sz w:val="17"/>
          <w:szCs w:val="17"/>
          <w:color w:val="auto"/>
        </w:rPr>
      </w:pPr>
      <w:r>
        <w:rPr>
          <w:rFonts w:ascii="Arial" w:cs="Arial" w:eastAsia="Arial" w:hAnsi="Arial"/>
          <w:sz w:val="19"/>
          <w:szCs w:val="19"/>
          <w:u w:val="single" w:color="auto"/>
          <w:color w:val="auto"/>
        </w:rPr>
        <w:t>Successors and Assigns Generally</w:t>
      </w:r>
      <w:r>
        <w:rPr>
          <w:rFonts w:ascii="Arial" w:cs="Arial" w:eastAsia="Arial" w:hAnsi="Arial"/>
          <w:sz w:val="19"/>
          <w:szCs w:val="19"/>
          <w:color w:val="auto"/>
        </w:rPr>
        <w:t xml:space="preserve">. The provisions of this Agreement shall be binding upon and inure to the benefit of the parties hereto and their respective successors and assigns permitted hereby, except that the Borrower may not assign or otherwise transfer any of its rights or obligations hereunder without the prior written consent of the Administrative Agent and each Lender, and no Lender may assign or otherwise transfer any of its rights or obligations hereunder except (i) to an Eligible Assignee in accordance with the provisions of </w:t>
      </w:r>
      <w:r>
        <w:rPr>
          <w:rFonts w:ascii="Arial" w:cs="Arial" w:eastAsia="Arial" w:hAnsi="Arial"/>
          <w:sz w:val="19"/>
          <w:szCs w:val="19"/>
          <w:u w:val="single" w:color="auto"/>
          <w:color w:val="auto"/>
        </w:rPr>
        <w:t>paragraph (b)</w:t>
      </w:r>
      <w:r>
        <w:rPr>
          <w:rFonts w:ascii="Arial" w:cs="Arial" w:eastAsia="Arial" w:hAnsi="Arial"/>
          <w:sz w:val="19"/>
          <w:szCs w:val="19"/>
          <w:color w:val="auto"/>
        </w:rPr>
        <w:t xml:space="preserve"> of this Section, (ii) by way of participation in accordance with the provisions of </w:t>
      </w:r>
      <w:r>
        <w:rPr>
          <w:rFonts w:ascii="Arial" w:cs="Arial" w:eastAsia="Arial" w:hAnsi="Arial"/>
          <w:sz w:val="19"/>
          <w:szCs w:val="19"/>
          <w:u w:val="single" w:color="auto"/>
          <w:color w:val="auto"/>
        </w:rPr>
        <w:t>paragraph (d)</w:t>
      </w:r>
      <w:r>
        <w:rPr>
          <w:rFonts w:ascii="Arial" w:cs="Arial" w:eastAsia="Arial" w:hAnsi="Arial"/>
          <w:sz w:val="19"/>
          <w:szCs w:val="19"/>
          <w:color w:val="auto"/>
        </w:rPr>
        <w:t xml:space="preserve"> of this Section or (iii) by way of pledge or assignment of a security interest subject to the restrictions of </w:t>
      </w:r>
      <w:r>
        <w:rPr>
          <w:rFonts w:ascii="Arial" w:cs="Arial" w:eastAsia="Arial" w:hAnsi="Arial"/>
          <w:sz w:val="19"/>
          <w:szCs w:val="19"/>
          <w:u w:val="single" w:color="auto"/>
          <w:color w:val="auto"/>
        </w:rPr>
        <w:t>paragraph (f)</w:t>
      </w:r>
      <w:r>
        <w:rPr>
          <w:rFonts w:ascii="Arial" w:cs="Arial" w:eastAsia="Arial" w:hAnsi="Arial"/>
          <w:sz w:val="19"/>
          <w:szCs w:val="19"/>
          <w:color w:val="auto"/>
        </w:rPr>
        <w:t xml:space="preserve">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w:t>
      </w:r>
      <w:r>
        <w:rPr>
          <w:rFonts w:ascii="Arial" w:cs="Arial" w:eastAsia="Arial" w:hAnsi="Arial"/>
          <w:sz w:val="19"/>
          <w:szCs w:val="19"/>
          <w:u w:val="single" w:color="auto"/>
          <w:color w:val="auto"/>
        </w:rPr>
        <w:t>paragraph (d)</w:t>
      </w:r>
      <w:r>
        <w:rPr>
          <w:rFonts w:ascii="Arial" w:cs="Arial" w:eastAsia="Arial" w:hAnsi="Arial"/>
          <w:sz w:val="19"/>
          <w:szCs w:val="19"/>
          <w:color w:val="auto"/>
        </w:rPr>
        <w:t xml:space="preserve"> of this Section and, to the extent expressly contemplated hereby, the Related Parties of each Credit Party) any legal or equitable right, remedy or claim under or by reason of this Agreement.</w:t>
      </w:r>
    </w:p>
    <w:p>
      <w:pPr>
        <w:spacing w:after="0" w:line="201" w:lineRule="exact"/>
        <w:rPr>
          <w:rFonts w:ascii="Arial" w:cs="Arial" w:eastAsia="Arial" w:hAnsi="Arial"/>
          <w:sz w:val="17"/>
          <w:szCs w:val="17"/>
          <w:color w:val="auto"/>
        </w:rPr>
      </w:pPr>
    </w:p>
    <w:p>
      <w:pPr>
        <w:jc w:val="both"/>
        <w:ind w:right="20" w:firstLine="1305"/>
        <w:spacing w:after="0" w:line="274" w:lineRule="auto"/>
        <w:tabs>
          <w:tab w:leader="none" w:pos="2080" w:val="left"/>
        </w:tabs>
        <w:numPr>
          <w:ilvl w:val="0"/>
          <w:numId w:val="104"/>
        </w:numPr>
        <w:rPr>
          <w:rFonts w:ascii="Arial" w:cs="Arial" w:eastAsia="Arial" w:hAnsi="Arial"/>
          <w:sz w:val="18"/>
          <w:szCs w:val="18"/>
          <w:color w:val="auto"/>
        </w:rPr>
      </w:pPr>
      <w:r>
        <w:rPr>
          <w:rFonts w:ascii="Arial" w:cs="Arial" w:eastAsia="Arial" w:hAnsi="Arial"/>
          <w:sz w:val="20"/>
          <w:szCs w:val="20"/>
          <w:u w:val="single" w:color="auto"/>
          <w:color w:val="auto"/>
        </w:rPr>
        <w:t>Assignments by Lenders</w:t>
      </w:r>
      <w:r>
        <w:rPr>
          <w:rFonts w:ascii="Arial" w:cs="Arial" w:eastAsia="Arial" w:hAnsi="Arial"/>
          <w:sz w:val="20"/>
          <w:szCs w:val="20"/>
          <w:color w:val="auto"/>
        </w:rPr>
        <w:t xml:space="preserve">. Any Lender may (and if demanded by Borrower pursuant to </w:t>
      </w:r>
      <w:r>
        <w:rPr>
          <w:rFonts w:ascii="Arial" w:cs="Arial" w:eastAsia="Arial" w:hAnsi="Arial"/>
          <w:sz w:val="20"/>
          <w:szCs w:val="20"/>
          <w:u w:val="single" w:color="auto"/>
          <w:color w:val="auto"/>
        </w:rPr>
        <w:t>Section 3.6</w:t>
      </w:r>
      <w:r>
        <w:rPr>
          <w:rFonts w:ascii="Arial" w:cs="Arial" w:eastAsia="Arial" w:hAnsi="Arial"/>
          <w:sz w:val="20"/>
          <w:szCs w:val="20"/>
          <w:color w:val="auto"/>
        </w:rPr>
        <w:t xml:space="preserve"> shall to the extent required thereby) at any time assign to one or more Eligible Assignees all or a portion of its rights and obligations under this Agreement (including all or a portion of its Commitments and the Loans at the time owing to it);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such assignment shall be subject to the following conditions:</w:t>
      </w:r>
    </w:p>
    <w:p>
      <w:pPr>
        <w:spacing w:after="0" w:line="205" w:lineRule="exact"/>
        <w:rPr>
          <w:rFonts w:ascii="Arial" w:cs="Arial" w:eastAsia="Arial" w:hAnsi="Arial"/>
          <w:sz w:val="18"/>
          <w:szCs w:val="18"/>
          <w:color w:val="auto"/>
        </w:rPr>
      </w:pPr>
    </w:p>
    <w:p>
      <w:pPr>
        <w:ind w:left="2700" w:hanging="747"/>
        <w:spacing w:after="0"/>
        <w:tabs>
          <w:tab w:leader="none" w:pos="2700" w:val="left"/>
        </w:tabs>
        <w:numPr>
          <w:ilvl w:val="1"/>
          <w:numId w:val="104"/>
        </w:numPr>
        <w:rPr>
          <w:rFonts w:ascii="Arial" w:cs="Arial" w:eastAsia="Arial" w:hAnsi="Arial"/>
          <w:sz w:val="18"/>
          <w:szCs w:val="18"/>
          <w:color w:val="auto"/>
        </w:rPr>
      </w:pPr>
      <w:r>
        <w:rPr>
          <w:rFonts w:ascii="Arial" w:cs="Arial" w:eastAsia="Arial" w:hAnsi="Arial"/>
          <w:sz w:val="20"/>
          <w:szCs w:val="20"/>
          <w:u w:val="single" w:color="auto"/>
          <w:color w:val="auto"/>
        </w:rPr>
        <w:t>Minimum Amounts</w:t>
      </w:r>
      <w:r>
        <w:rPr>
          <w:rFonts w:ascii="Arial" w:cs="Arial" w:eastAsia="Arial" w:hAnsi="Arial"/>
          <w:sz w:val="20"/>
          <w:szCs w:val="20"/>
          <w:color w:val="auto"/>
        </w:rPr>
        <w:t>.</w:t>
      </w:r>
    </w:p>
    <w:p>
      <w:pPr>
        <w:spacing w:after="0" w:line="256" w:lineRule="exact"/>
        <w:rPr>
          <w:rFonts w:ascii="Arial" w:cs="Arial" w:eastAsia="Arial" w:hAnsi="Arial"/>
          <w:sz w:val="18"/>
          <w:szCs w:val="18"/>
          <w:color w:val="auto"/>
        </w:rPr>
      </w:pPr>
    </w:p>
    <w:p>
      <w:pPr>
        <w:jc w:val="both"/>
        <w:ind w:left="1960" w:right="20" w:firstLine="641"/>
        <w:spacing w:after="0" w:line="278" w:lineRule="auto"/>
        <w:tabs>
          <w:tab w:leader="none" w:pos="3391" w:val="left"/>
        </w:tabs>
        <w:numPr>
          <w:ilvl w:val="2"/>
          <w:numId w:val="104"/>
        </w:numPr>
        <w:rPr>
          <w:rFonts w:ascii="Arial" w:cs="Arial" w:eastAsia="Arial" w:hAnsi="Arial"/>
          <w:sz w:val="18"/>
          <w:szCs w:val="18"/>
          <w:color w:val="auto"/>
        </w:rPr>
      </w:pPr>
      <w:r>
        <w:rPr>
          <w:rFonts w:ascii="Arial" w:cs="Arial" w:eastAsia="Arial" w:hAnsi="Arial"/>
          <w:sz w:val="20"/>
          <w:szCs w:val="20"/>
          <w:color w:val="auto"/>
        </w:rPr>
        <w:t>In the case of an assignment of the entire remaining amount of the assigning Lender’s Loans at the time owing to it or in the case of an assignment to a Lender, an Affiliate of a Lender or an Approved Fund, no minimum amount need be assigned; and</w:t>
      </w:r>
    </w:p>
    <w:p>
      <w:pPr>
        <w:spacing w:after="0" w:line="200" w:lineRule="exact"/>
        <w:rPr>
          <w:rFonts w:ascii="Arial" w:cs="Arial" w:eastAsia="Arial" w:hAnsi="Arial"/>
          <w:sz w:val="18"/>
          <w:szCs w:val="18"/>
          <w:color w:val="auto"/>
        </w:rPr>
      </w:pPr>
    </w:p>
    <w:p>
      <w:pPr>
        <w:jc w:val="both"/>
        <w:ind w:left="1960" w:firstLine="641"/>
        <w:spacing w:after="0" w:line="314" w:lineRule="auto"/>
        <w:tabs>
          <w:tab w:leader="none" w:pos="3391" w:val="left"/>
        </w:tabs>
        <w:numPr>
          <w:ilvl w:val="2"/>
          <w:numId w:val="104"/>
        </w:numPr>
        <w:rPr>
          <w:rFonts w:ascii="Arial" w:cs="Arial" w:eastAsia="Arial" w:hAnsi="Arial"/>
          <w:sz w:val="16"/>
          <w:szCs w:val="16"/>
          <w:color w:val="auto"/>
        </w:rPr>
      </w:pPr>
      <w:r>
        <w:rPr>
          <w:rFonts w:ascii="Arial" w:cs="Arial" w:eastAsia="Arial" w:hAnsi="Arial"/>
          <w:sz w:val="18"/>
          <w:szCs w:val="18"/>
          <w:color w:val="auto"/>
        </w:rPr>
        <w:t xml:space="preserve">In any case not described in </w:t>
      </w:r>
      <w:r>
        <w:rPr>
          <w:rFonts w:ascii="Arial" w:cs="Arial" w:eastAsia="Arial" w:hAnsi="Arial"/>
          <w:sz w:val="18"/>
          <w:szCs w:val="18"/>
          <w:u w:val="single" w:color="auto"/>
          <w:color w:val="auto"/>
        </w:rPr>
        <w:t>paragraph (b)(i)(A)</w:t>
      </w:r>
      <w:r>
        <w:rPr>
          <w:rFonts w:ascii="Arial" w:cs="Arial" w:eastAsia="Arial" w:hAnsi="Arial"/>
          <w:sz w:val="18"/>
          <w:szCs w:val="18"/>
          <w:color w:val="auto"/>
        </w:rPr>
        <w:t xml:space="preserve"> of this Section,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w:t>
      </w:r>
    </w:p>
    <w:p>
      <w:pPr>
        <w:spacing w:after="0" w:line="172" w:lineRule="exact"/>
        <w:rPr>
          <w:rFonts w:ascii="Arial" w:cs="Arial" w:eastAsia="Arial" w:hAnsi="Arial"/>
          <w:sz w:val="16"/>
          <w:szCs w:val="16"/>
          <w:color w:val="auto"/>
        </w:rPr>
      </w:pPr>
    </w:p>
    <w:p>
      <w:pPr>
        <w:ind w:left="1300" w:firstLine="653"/>
        <w:spacing w:after="0" w:line="347" w:lineRule="auto"/>
        <w:tabs>
          <w:tab w:leader="none" w:pos="2741" w:val="left"/>
        </w:tabs>
        <w:numPr>
          <w:ilvl w:val="1"/>
          <w:numId w:val="104"/>
        </w:numPr>
        <w:rPr>
          <w:rFonts w:ascii="Arial" w:cs="Arial" w:eastAsia="Arial" w:hAnsi="Arial"/>
          <w:sz w:val="16"/>
          <w:szCs w:val="16"/>
          <w:color w:val="auto"/>
        </w:rPr>
      </w:pPr>
      <w:r>
        <w:rPr>
          <w:rFonts w:ascii="Arial" w:cs="Arial" w:eastAsia="Arial" w:hAnsi="Arial"/>
          <w:sz w:val="18"/>
          <w:szCs w:val="18"/>
          <w:u w:val="single" w:color="auto"/>
          <w:color w:val="auto"/>
        </w:rPr>
        <w:t>Proportionate Amounts</w:t>
      </w:r>
      <w:r>
        <w:rPr>
          <w:rFonts w:ascii="Arial" w:cs="Arial" w:eastAsia="Arial" w:hAnsi="Arial"/>
          <w:sz w:val="18"/>
          <w:szCs w:val="18"/>
          <w:color w:val="auto"/>
        </w:rPr>
        <w:t>. Each partial assignment shall be made as an assignment of a proportionate part of all the assigning Lender’s rights and obligations under this Agreement with respect to the Loan or the Commitment assigned.</w:t>
      </w:r>
    </w:p>
    <w:p>
      <w:pPr>
        <w:spacing w:after="0" w:line="144" w:lineRule="exact"/>
        <w:rPr>
          <w:rFonts w:ascii="Arial" w:cs="Arial" w:eastAsia="Arial" w:hAnsi="Arial"/>
          <w:sz w:val="16"/>
          <w:szCs w:val="16"/>
          <w:color w:val="auto"/>
        </w:rPr>
      </w:pPr>
    </w:p>
    <w:p>
      <w:pPr>
        <w:ind w:left="2800" w:hanging="847"/>
        <w:spacing w:after="0"/>
        <w:tabs>
          <w:tab w:leader="none" w:pos="2800" w:val="left"/>
        </w:tabs>
        <w:numPr>
          <w:ilvl w:val="1"/>
          <w:numId w:val="104"/>
        </w:numPr>
        <w:rPr>
          <w:rFonts w:ascii="Arial" w:cs="Arial" w:eastAsia="Arial" w:hAnsi="Arial"/>
          <w:sz w:val="18"/>
          <w:szCs w:val="18"/>
          <w:color w:val="auto"/>
        </w:rPr>
      </w:pPr>
      <w:r>
        <w:rPr>
          <w:rFonts w:ascii="Arial" w:cs="Arial" w:eastAsia="Arial" w:hAnsi="Arial"/>
          <w:sz w:val="20"/>
          <w:szCs w:val="20"/>
          <w:u w:val="single" w:color="auto"/>
          <w:color w:val="auto"/>
        </w:rPr>
        <w:t>Required Consents</w:t>
      </w:r>
      <w:r>
        <w:rPr>
          <w:rFonts w:ascii="Arial" w:cs="Arial" w:eastAsia="Arial" w:hAnsi="Arial"/>
          <w:sz w:val="20"/>
          <w:szCs w:val="20"/>
          <w:color w:val="auto"/>
        </w:rPr>
        <w:t>. For each such assignment, the consent of:</w:t>
      </w:r>
    </w:p>
    <w:p>
      <w:pPr>
        <w:spacing w:after="0" w:line="256" w:lineRule="exact"/>
        <w:rPr>
          <w:rFonts w:ascii="Arial" w:cs="Arial" w:eastAsia="Arial" w:hAnsi="Arial"/>
          <w:sz w:val="18"/>
          <w:szCs w:val="18"/>
          <w:color w:val="auto"/>
        </w:rPr>
      </w:pPr>
    </w:p>
    <w:p>
      <w:pPr>
        <w:jc w:val="both"/>
        <w:ind w:left="1960" w:firstLine="641"/>
        <w:spacing w:after="0" w:line="273" w:lineRule="auto"/>
        <w:tabs>
          <w:tab w:leader="none" w:pos="3391" w:val="left"/>
        </w:tabs>
        <w:numPr>
          <w:ilvl w:val="2"/>
          <w:numId w:val="104"/>
        </w:numPr>
        <w:rPr>
          <w:rFonts w:ascii="Arial" w:cs="Arial" w:eastAsia="Arial" w:hAnsi="Arial"/>
          <w:sz w:val="18"/>
          <w:szCs w:val="18"/>
          <w:color w:val="auto"/>
        </w:rPr>
      </w:pPr>
      <w:r>
        <w:rPr>
          <w:rFonts w:ascii="Arial" w:cs="Arial" w:eastAsia="Arial" w:hAnsi="Arial"/>
          <w:sz w:val="20"/>
          <w:szCs w:val="20"/>
          <w:color w:val="auto"/>
        </w:rPr>
        <w:t xml:space="preserve">the Borrower (such consent not to be unreasonably withheld) shall be required unless (x) an Event of Default has occurred and is continuing at the time of such assignment or (y) such assignment is to a Lender, an Affiliate of a Lender or an Approved Fund;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Borrower shall be deemed to have consented to any such assignment unless it shall object thereto by written notice to the Administrative Agent within five Business Days after having received notice thereof; and</w:t>
      </w:r>
    </w:p>
    <w:p>
      <w:pPr>
        <w:spacing w:after="0" w:line="204" w:lineRule="exact"/>
        <w:rPr>
          <w:rFonts w:ascii="Arial" w:cs="Arial" w:eastAsia="Arial" w:hAnsi="Arial"/>
          <w:sz w:val="18"/>
          <w:szCs w:val="18"/>
          <w:color w:val="auto"/>
        </w:rPr>
      </w:pPr>
    </w:p>
    <w:p>
      <w:pPr>
        <w:jc w:val="both"/>
        <w:ind w:left="1960" w:firstLine="641"/>
        <w:spacing w:after="0" w:line="278" w:lineRule="auto"/>
        <w:tabs>
          <w:tab w:leader="none" w:pos="3391" w:val="left"/>
        </w:tabs>
        <w:numPr>
          <w:ilvl w:val="2"/>
          <w:numId w:val="104"/>
        </w:numPr>
        <w:rPr>
          <w:rFonts w:ascii="Arial" w:cs="Arial" w:eastAsia="Arial" w:hAnsi="Arial"/>
          <w:sz w:val="18"/>
          <w:szCs w:val="18"/>
          <w:color w:val="auto"/>
        </w:rPr>
      </w:pPr>
      <w:r>
        <w:rPr>
          <w:rFonts w:ascii="Arial" w:cs="Arial" w:eastAsia="Arial" w:hAnsi="Arial"/>
          <w:sz w:val="20"/>
          <w:szCs w:val="20"/>
          <w:color w:val="auto"/>
        </w:rPr>
        <w:t xml:space="preserve">the Administrative Agent (such consent not to be unreasonably withheld);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consent of the Administrative Agent shall be required for an assignment of all or any portion of a Loan to a Lender, an Affiliate of a Lender or an Approved Fund.</w:t>
      </w:r>
    </w:p>
    <w:p>
      <w:pPr>
        <w:sectPr>
          <w:pgSz w:w="11900" w:h="16838" w:orient="portrait"/>
          <w:cols w:equalWidth="0" w:num="1">
            <w:col w:w="11420"/>
          </w:cols>
          <w:pgMar w:left="240" w:top="337" w:right="2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4</w:t>
      </w:r>
    </w:p>
    <w:p>
      <w:pPr>
        <w:spacing w:after="0" w:line="267" w:lineRule="exact"/>
        <w:rPr>
          <w:sz w:val="20"/>
          <w:szCs w:val="20"/>
          <w:color w:val="auto"/>
        </w:rPr>
      </w:pPr>
    </w:p>
    <w:p>
      <w:pPr>
        <w:jc w:val="both"/>
        <w:ind w:left="1300" w:firstLine="653"/>
        <w:spacing w:after="0" w:line="285" w:lineRule="auto"/>
        <w:tabs>
          <w:tab w:leader="none" w:pos="2770" w:val="left"/>
        </w:tabs>
        <w:numPr>
          <w:ilvl w:val="0"/>
          <w:numId w:val="105"/>
        </w:numPr>
        <w:rPr>
          <w:rFonts w:ascii="Arial" w:cs="Arial" w:eastAsia="Arial" w:hAnsi="Arial"/>
          <w:sz w:val="17"/>
          <w:szCs w:val="17"/>
          <w:color w:val="auto"/>
        </w:rPr>
      </w:pPr>
      <w:r>
        <w:rPr>
          <w:rFonts w:ascii="Arial" w:cs="Arial" w:eastAsia="Arial" w:hAnsi="Arial"/>
          <w:sz w:val="19"/>
          <w:szCs w:val="19"/>
          <w:u w:val="single" w:color="auto"/>
          <w:color w:val="auto"/>
        </w:rPr>
        <w:t>Assignment and Assumption</w:t>
      </w:r>
      <w:r>
        <w:rPr>
          <w:rFonts w:ascii="Arial" w:cs="Arial" w:eastAsia="Arial" w:hAnsi="Arial"/>
          <w:sz w:val="19"/>
          <w:szCs w:val="19"/>
          <w:color w:val="auto"/>
        </w:rPr>
        <w:t>. The parties to each assignment shall execute and deliver to the Administrative Agent (x) an Assignment and Assumption or (y) to the extent applicable, an agreement incorporating an Assignment and Assumption by reference pursuant to an Approved Electronic Platform as to which the Administrative Agent and the parties to the Assignment and Assumption are participants, together with a processing and recordation fee of $3,500 (such fee to be paid by either the assigning Lender or the assignee Lender or shared between such Lenders), and the Eligible Assignee, if it is not a Lender, shall deliver to the Administrative Agent an Administrative Questionnaire in which the assignee designates one or more credit contacts to whom all syndicate-level information (which may contain material non-public information about the Borrower and its Affiliates and their Related Parties or their respective securities) will be made available and who may receive such information in accordance with the assignee’s compliance procedures and applicable laws, including Federal and state securities laws.</w:t>
      </w:r>
    </w:p>
    <w:p>
      <w:pPr>
        <w:spacing w:after="0" w:line="201" w:lineRule="exact"/>
        <w:rPr>
          <w:rFonts w:ascii="Arial" w:cs="Arial" w:eastAsia="Arial" w:hAnsi="Arial"/>
          <w:sz w:val="17"/>
          <w:szCs w:val="17"/>
          <w:color w:val="auto"/>
        </w:rPr>
      </w:pPr>
    </w:p>
    <w:p>
      <w:pPr>
        <w:ind w:left="1300" w:firstLine="653"/>
        <w:spacing w:after="0" w:line="289" w:lineRule="auto"/>
        <w:tabs>
          <w:tab w:leader="none" w:pos="2720" w:val="left"/>
        </w:tabs>
        <w:numPr>
          <w:ilvl w:val="0"/>
          <w:numId w:val="105"/>
        </w:numPr>
        <w:rPr>
          <w:rFonts w:ascii="Arial" w:cs="Arial" w:eastAsia="Arial" w:hAnsi="Arial"/>
          <w:sz w:val="18"/>
          <w:szCs w:val="18"/>
          <w:color w:val="auto"/>
        </w:rPr>
      </w:pPr>
      <w:r>
        <w:rPr>
          <w:rFonts w:ascii="Arial" w:cs="Arial" w:eastAsia="Arial" w:hAnsi="Arial"/>
          <w:sz w:val="20"/>
          <w:szCs w:val="20"/>
          <w:u w:val="single" w:color="auto"/>
          <w:color w:val="auto"/>
        </w:rPr>
        <w:t>No Assignment to Borrower</w:t>
      </w:r>
      <w:r>
        <w:rPr>
          <w:rFonts w:ascii="Arial" w:cs="Arial" w:eastAsia="Arial" w:hAnsi="Arial"/>
          <w:sz w:val="20"/>
          <w:szCs w:val="20"/>
          <w:color w:val="auto"/>
        </w:rPr>
        <w:t>. No such assignment shall be made to the Borrower or any of the Borrower’s Affiliates or Subsidiaries.</w:t>
      </w:r>
    </w:p>
    <w:p>
      <w:pPr>
        <w:spacing w:after="0" w:line="188" w:lineRule="exact"/>
        <w:rPr>
          <w:rFonts w:ascii="Arial" w:cs="Arial" w:eastAsia="Arial" w:hAnsi="Arial"/>
          <w:sz w:val="18"/>
          <w:szCs w:val="18"/>
          <w:color w:val="auto"/>
        </w:rPr>
      </w:pPr>
    </w:p>
    <w:p>
      <w:pPr>
        <w:ind w:left="2780" w:hanging="827"/>
        <w:spacing w:after="0"/>
        <w:tabs>
          <w:tab w:leader="none" w:pos="2780" w:val="left"/>
        </w:tabs>
        <w:numPr>
          <w:ilvl w:val="0"/>
          <w:numId w:val="105"/>
        </w:numPr>
        <w:rPr>
          <w:rFonts w:ascii="Arial" w:cs="Arial" w:eastAsia="Arial" w:hAnsi="Arial"/>
          <w:sz w:val="18"/>
          <w:szCs w:val="18"/>
          <w:color w:val="auto"/>
        </w:rPr>
      </w:pPr>
      <w:r>
        <w:rPr>
          <w:rFonts w:ascii="Arial" w:cs="Arial" w:eastAsia="Arial" w:hAnsi="Arial"/>
          <w:sz w:val="20"/>
          <w:szCs w:val="20"/>
          <w:u w:val="single" w:color="auto"/>
          <w:color w:val="auto"/>
        </w:rPr>
        <w:t>No Assignment to Natural Persons</w:t>
      </w:r>
      <w:r>
        <w:rPr>
          <w:rFonts w:ascii="Arial" w:cs="Arial" w:eastAsia="Arial" w:hAnsi="Arial"/>
          <w:sz w:val="20"/>
          <w:szCs w:val="20"/>
          <w:color w:val="auto"/>
        </w:rPr>
        <w:t>. No such assignment shall be made to a natural person.</w:t>
      </w:r>
    </w:p>
    <w:p>
      <w:pPr>
        <w:spacing w:after="0" w:line="243"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8"/>
          <w:szCs w:val="18"/>
          <w:color w:val="auto"/>
        </w:rPr>
        <w:t xml:space="preserve">Subject to acceptance and recording thereof by the Administrative Agent pursuant to </w:t>
      </w:r>
      <w:r>
        <w:rPr>
          <w:rFonts w:ascii="Arial" w:cs="Arial" w:eastAsia="Arial" w:hAnsi="Arial"/>
          <w:sz w:val="18"/>
          <w:szCs w:val="18"/>
          <w:u w:val="single" w:color="auto"/>
          <w:color w:val="auto"/>
        </w:rPr>
        <w:t>paragraph (c)</w:t>
      </w:r>
      <w:r>
        <w:rPr>
          <w:rFonts w:ascii="Arial" w:cs="Arial" w:eastAsia="Arial" w:hAnsi="Arial"/>
          <w:sz w:val="18"/>
          <w:szCs w:val="18"/>
          <w:color w:val="auto"/>
        </w:rPr>
        <w:t xml:space="preserve"> of this Section, from and after the effective date specified in each Assignment and Assumption, the Eligible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8"/>
          <w:szCs w:val="18"/>
          <w:u w:val="single" w:color="auto"/>
          <w:color w:val="auto"/>
        </w:rPr>
        <w:t>Sections 3.3</w:t>
      </w:r>
      <w:r>
        <w:rPr>
          <w:rFonts w:ascii="Arial" w:cs="Arial" w:eastAsia="Arial" w:hAnsi="Arial"/>
          <w:sz w:val="18"/>
          <w:szCs w:val="18"/>
          <w:color w:val="auto"/>
        </w:rPr>
        <w:t xml:space="preserve">, </w:t>
      </w:r>
      <w:r>
        <w:rPr>
          <w:rFonts w:ascii="Arial" w:cs="Arial" w:eastAsia="Arial" w:hAnsi="Arial"/>
          <w:sz w:val="18"/>
          <w:szCs w:val="18"/>
          <w:u w:val="single" w:color="auto"/>
          <w:color w:val="auto"/>
        </w:rPr>
        <w:t>3.4</w:t>
      </w:r>
      <w:r>
        <w:rPr>
          <w:rFonts w:ascii="Arial" w:cs="Arial" w:eastAsia="Arial" w:hAnsi="Arial"/>
          <w:sz w:val="18"/>
          <w:szCs w:val="18"/>
          <w:color w:val="auto"/>
        </w:rPr>
        <w:t xml:space="preserve">, </w:t>
      </w:r>
      <w:r>
        <w:rPr>
          <w:rFonts w:ascii="Arial" w:cs="Arial" w:eastAsia="Arial" w:hAnsi="Arial"/>
          <w:sz w:val="18"/>
          <w:szCs w:val="18"/>
          <w:u w:val="single" w:color="auto"/>
          <w:color w:val="auto"/>
        </w:rPr>
        <w:t>3.5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10.3</w:t>
      </w:r>
      <w:r>
        <w:rPr>
          <w:rFonts w:ascii="Arial" w:cs="Arial" w:eastAsia="Arial" w:hAnsi="Arial"/>
          <w:sz w:val="18"/>
          <w:szCs w:val="18"/>
          <w:color w:val="auto"/>
        </w:rPr>
        <w:t xml:space="preserve"> with respect to facts and circumstances occurring prior to the effective date of such assignment. Any assignment or transfer by a Lender of rights or obligations under this Agreement that does not comply with this paragraph shall be treated for purposes of this Agreement as a sale by such Lender of a participation in such rights and obligations in accordance with </w:t>
      </w:r>
      <w:r>
        <w:rPr>
          <w:rFonts w:ascii="Arial" w:cs="Arial" w:eastAsia="Arial" w:hAnsi="Arial"/>
          <w:sz w:val="18"/>
          <w:szCs w:val="18"/>
          <w:u w:val="single" w:color="auto"/>
          <w:color w:val="auto"/>
        </w:rPr>
        <w:t>paragraph (d)</w:t>
      </w:r>
      <w:r>
        <w:rPr>
          <w:rFonts w:ascii="Arial" w:cs="Arial" w:eastAsia="Arial" w:hAnsi="Arial"/>
          <w:sz w:val="18"/>
          <w:szCs w:val="18"/>
          <w:color w:val="auto"/>
        </w:rPr>
        <w:t xml:space="preserve"> of this Section.</w:t>
      </w:r>
    </w:p>
    <w:p>
      <w:pPr>
        <w:spacing w:after="0" w:line="158" w:lineRule="exact"/>
        <w:rPr>
          <w:sz w:val="20"/>
          <w:szCs w:val="20"/>
          <w:color w:val="auto"/>
        </w:rPr>
      </w:pPr>
    </w:p>
    <w:p>
      <w:pPr>
        <w:ind w:left="2080" w:hanging="775"/>
        <w:spacing w:after="0"/>
        <w:tabs>
          <w:tab w:leader="none" w:pos="2080" w:val="left"/>
        </w:tabs>
        <w:numPr>
          <w:ilvl w:val="0"/>
          <w:numId w:val="106"/>
        </w:numPr>
        <w:rPr>
          <w:rFonts w:ascii="Arial" w:cs="Arial" w:eastAsia="Arial" w:hAnsi="Arial"/>
          <w:sz w:val="18"/>
          <w:szCs w:val="18"/>
          <w:color w:val="auto"/>
        </w:rPr>
      </w:pPr>
      <w:r>
        <w:rPr>
          <w:rFonts w:ascii="Arial" w:cs="Arial" w:eastAsia="Arial" w:hAnsi="Arial"/>
          <w:sz w:val="20"/>
          <w:szCs w:val="20"/>
          <w:u w:val="single" w:color="auto"/>
          <w:color w:val="auto"/>
        </w:rPr>
        <w:t>Register</w:t>
      </w:r>
      <w:r>
        <w:rPr>
          <w:rFonts w:ascii="Arial" w:cs="Arial" w:eastAsia="Arial" w:hAnsi="Arial"/>
          <w:sz w:val="20"/>
          <w:szCs w:val="20"/>
          <w:color w:val="auto"/>
        </w:rPr>
        <w:t>.</w:t>
      </w:r>
    </w:p>
    <w:p>
      <w:pPr>
        <w:spacing w:after="0" w:line="256" w:lineRule="exact"/>
        <w:rPr>
          <w:rFonts w:ascii="Arial" w:cs="Arial" w:eastAsia="Arial" w:hAnsi="Arial"/>
          <w:sz w:val="18"/>
          <w:szCs w:val="18"/>
          <w:color w:val="auto"/>
        </w:rPr>
      </w:pPr>
    </w:p>
    <w:p>
      <w:pPr>
        <w:jc w:val="both"/>
        <w:ind w:left="1300" w:firstLine="653"/>
        <w:spacing w:after="0" w:line="303" w:lineRule="auto"/>
        <w:tabs>
          <w:tab w:leader="none" w:pos="2691" w:val="left"/>
        </w:tabs>
        <w:numPr>
          <w:ilvl w:val="1"/>
          <w:numId w:val="106"/>
        </w:numPr>
        <w:rPr>
          <w:rFonts w:ascii="Arial" w:cs="Arial" w:eastAsia="Arial" w:hAnsi="Arial"/>
          <w:sz w:val="16"/>
          <w:szCs w:val="16"/>
          <w:color w:val="auto"/>
        </w:rPr>
      </w:pPr>
      <w:r>
        <w:rPr>
          <w:rFonts w:ascii="Arial" w:cs="Arial" w:eastAsia="Arial" w:hAnsi="Arial"/>
          <w:sz w:val="18"/>
          <w:szCs w:val="18"/>
          <w:color w:val="auto"/>
        </w:rPr>
        <w:t>The Administrative Agent, acting solely for this purpose as a non-fiduciary agent of the Borrower, shall maintain at one of its offices in New York, New York a copy of each Assignment and Assumption (or, to the extent applicable, an agreement incorporating an Assignment and Assumption by reference pursuant to an Approved Electronic Platform as to which the Administrative Agent and the parties to the Assignment and Assumption are participants) delivered to it and a register for the recordation of the names and addresses of the Lenders, and the Commitments of, and principal amounts (and stated interest) of the Loans owing to, each Lender pursuant to the terms hereof from time to time (the “</w:t>
      </w:r>
      <w:r>
        <w:rPr>
          <w:rFonts w:ascii="Arial" w:cs="Arial" w:eastAsia="Arial" w:hAnsi="Arial"/>
          <w:sz w:val="18"/>
          <w:szCs w:val="18"/>
          <w:u w:val="single" w:color="auto"/>
          <w:color w:val="auto"/>
        </w:rPr>
        <w:t>Register</w:t>
      </w:r>
      <w:r>
        <w:rPr>
          <w:rFonts w:ascii="Arial" w:cs="Arial" w:eastAsia="Arial" w:hAnsi="Arial"/>
          <w:sz w:val="18"/>
          <w:szCs w:val="18"/>
          <w:color w:val="auto"/>
        </w:rPr>
        <w:t>”). The entries in the Register shall be conclusive, and the Borrower, the Administrative Agent and the Lenders may treat each Person whose name is recorded in the Register pursuant to the terms hereof as a Lender hereunder for all purposes of this Agreement, notwithstanding notice to the contrary. The Register shall be available for inspection by the Borrower and any Lender, at any reasonable time and from time to time upon reasonable prior notice.</w:t>
      </w:r>
    </w:p>
    <w:p>
      <w:pPr>
        <w:spacing w:after="0" w:line="182" w:lineRule="exact"/>
        <w:rPr>
          <w:rFonts w:ascii="Arial" w:cs="Arial" w:eastAsia="Arial" w:hAnsi="Arial"/>
          <w:sz w:val="16"/>
          <w:szCs w:val="16"/>
          <w:color w:val="auto"/>
        </w:rPr>
      </w:pPr>
    </w:p>
    <w:p>
      <w:pPr>
        <w:jc w:val="both"/>
        <w:ind w:left="1300" w:firstLine="653"/>
        <w:spacing w:after="0" w:line="288" w:lineRule="auto"/>
        <w:tabs>
          <w:tab w:leader="none" w:pos="2741" w:val="left"/>
        </w:tabs>
        <w:numPr>
          <w:ilvl w:val="1"/>
          <w:numId w:val="106"/>
        </w:numPr>
        <w:rPr>
          <w:rFonts w:ascii="Arial" w:cs="Arial" w:eastAsia="Arial" w:hAnsi="Arial"/>
          <w:sz w:val="17"/>
          <w:szCs w:val="17"/>
          <w:color w:val="auto"/>
        </w:rPr>
      </w:pPr>
      <w:r>
        <w:rPr>
          <w:rFonts w:ascii="Arial" w:cs="Arial" w:eastAsia="Arial" w:hAnsi="Arial"/>
          <w:sz w:val="19"/>
          <w:szCs w:val="19"/>
          <w:color w:val="auto"/>
        </w:rPr>
        <w:t>Upon its receipt of (x) a duly completed Assignment and Assumption executed by an assigning Lender and an assignee or (y) to the extent applicable, an agreement incorporating an Assignment and Assumption by reference pursuant to an Approved Electronic Platform as to which the Administrative Agent and the parties to the Assignment and Assumption are participants, the assignee’s completed Administrative Questionnaire (unless the assignee shall already be a Lender hereunder), the processing and recordation fee referred to in paragraph (b) of this Section and any written consent to such assignment required by paragraph (b) of this Section, the Administrative Agent</w:t>
      </w:r>
    </w:p>
    <w:p>
      <w:pPr>
        <w:sectPr>
          <w:pgSz w:w="11900" w:h="16838" w:orient="portrait"/>
          <w:cols w:equalWidth="0" w:num="1">
            <w:col w:w="11420"/>
          </w:cols>
          <w:pgMar w:left="240" w:top="337" w:right="239" w:bottom="1440" w:gutter="0" w:footer="0" w:header="0"/>
        </w:sectPr>
      </w:pPr>
    </w:p>
    <w:bookmarkStart w:id="104" w:name="page105"/>
    <w:bookmarkEnd w:id="104"/>
    <w:p>
      <w:pPr>
        <w:ind w:left="10720"/>
        <w:spacing w:after="0"/>
        <w:rPr>
          <w:sz w:val="20"/>
          <w:szCs w:val="20"/>
          <w:color w:val="auto"/>
        </w:rPr>
      </w:pPr>
      <w:r>
        <w:rPr>
          <w:rFonts w:ascii="Arial" w:cs="Arial" w:eastAsia="Arial" w:hAnsi="Arial"/>
          <w:sz w:val="16"/>
          <w:szCs w:val="16"/>
          <w:b w:val="1"/>
          <w:bCs w:val="1"/>
          <w:color w:val="auto"/>
        </w:rPr>
        <w:t>Exhibit 4</w:t>
      </w:r>
    </w:p>
    <w:p>
      <w:pPr>
        <w:spacing w:after="0" w:line="290" w:lineRule="exact"/>
        <w:rPr>
          <w:sz w:val="20"/>
          <w:szCs w:val="20"/>
          <w:color w:val="auto"/>
        </w:rPr>
      </w:pPr>
    </w:p>
    <w:p>
      <w:pPr>
        <w:jc w:val="both"/>
        <w:ind w:left="1300"/>
        <w:spacing w:after="0" w:line="272" w:lineRule="auto"/>
        <w:rPr>
          <w:sz w:val="20"/>
          <w:szCs w:val="20"/>
          <w:color w:val="auto"/>
        </w:rPr>
      </w:pPr>
      <w:r>
        <w:rPr>
          <w:rFonts w:ascii="Arial" w:cs="Arial" w:eastAsia="Arial" w:hAnsi="Arial"/>
          <w:sz w:val="20"/>
          <w:szCs w:val="20"/>
          <w:color w:val="auto"/>
        </w:rPr>
        <w:t xml:space="preserve">shall accept such Assignment and Assumption and record the information contained therein in the Register; provided that if either the assigning Lender or the assignee shall have failed to make any payment required to be made by it pursuant to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10.3(c)</w:t>
      </w:r>
      <w:r>
        <w:rPr>
          <w:rFonts w:ascii="Arial" w:cs="Arial" w:eastAsia="Arial" w:hAnsi="Arial"/>
          <w:sz w:val="20"/>
          <w:szCs w:val="20"/>
          <w:color w:val="auto"/>
        </w:rPr>
        <w:t>, the Administrative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spacing w:after="0" w:line="205" w:lineRule="exact"/>
        <w:rPr>
          <w:sz w:val="20"/>
          <w:szCs w:val="20"/>
          <w:color w:val="auto"/>
        </w:rPr>
      </w:pPr>
    </w:p>
    <w:p>
      <w:pPr>
        <w:jc w:val="both"/>
        <w:ind w:firstLine="1305"/>
        <w:spacing w:after="0" w:line="285" w:lineRule="auto"/>
        <w:tabs>
          <w:tab w:leader="none" w:pos="2080" w:val="left"/>
        </w:tabs>
        <w:numPr>
          <w:ilvl w:val="0"/>
          <w:numId w:val="107"/>
        </w:numPr>
        <w:rPr>
          <w:rFonts w:ascii="Arial" w:cs="Arial" w:eastAsia="Arial" w:hAnsi="Arial"/>
          <w:sz w:val="17"/>
          <w:szCs w:val="17"/>
          <w:color w:val="auto"/>
        </w:rPr>
      </w:pPr>
      <w:r>
        <w:rPr>
          <w:rFonts w:ascii="Arial" w:cs="Arial" w:eastAsia="Arial" w:hAnsi="Arial"/>
          <w:sz w:val="19"/>
          <w:szCs w:val="19"/>
          <w:u w:val="single" w:color="auto"/>
          <w:color w:val="auto"/>
        </w:rPr>
        <w:t>Participations</w:t>
      </w:r>
      <w:r>
        <w:rPr>
          <w:rFonts w:ascii="Arial" w:cs="Arial" w:eastAsia="Arial" w:hAnsi="Arial"/>
          <w:sz w:val="19"/>
          <w:szCs w:val="19"/>
          <w:color w:val="auto"/>
        </w:rPr>
        <w:t>. Any Lender may at any time, without the consent of, but with notice to, the Borrower and the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failure to give such notice shall not impair the effectiveness of such participation except as expressly provided in </w:t>
      </w:r>
      <w:r>
        <w:rPr>
          <w:rFonts w:ascii="Arial" w:cs="Arial" w:eastAsia="Arial" w:hAnsi="Arial"/>
          <w:sz w:val="19"/>
          <w:szCs w:val="19"/>
          <w:u w:val="single" w:color="auto"/>
          <w:color w:val="auto"/>
        </w:rPr>
        <w:t>paragraph (e)</w:t>
      </w:r>
      <w:r>
        <w:rPr>
          <w:rFonts w:ascii="Arial" w:cs="Arial" w:eastAsia="Arial" w:hAnsi="Arial"/>
          <w:sz w:val="19"/>
          <w:szCs w:val="19"/>
          <w:color w:val="auto"/>
        </w:rPr>
        <w:t xml:space="preserve"> of this Section), sell participations to any Eligible Assignee (each, a “</w:t>
      </w:r>
      <w:r>
        <w:rPr>
          <w:rFonts w:ascii="Arial" w:cs="Arial" w:eastAsia="Arial" w:hAnsi="Arial"/>
          <w:sz w:val="19"/>
          <w:szCs w:val="19"/>
          <w:u w:val="single" w:color="auto"/>
          <w:color w:val="auto"/>
        </w:rPr>
        <w:t>Participant</w:t>
      </w:r>
      <w:r>
        <w:rPr>
          <w:rFonts w:ascii="Arial" w:cs="Arial" w:eastAsia="Arial" w:hAnsi="Arial"/>
          <w:sz w:val="19"/>
          <w:szCs w:val="19"/>
          <w:color w:val="auto"/>
        </w:rPr>
        <w:t xml:space="preserve">”) in all or a portion of such Lender’s rights and/or obligations under this Agreement (including all or a portion of the Loans owing to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Lender’s obligations under this Agreement shall remain unchanged, (ii) such Lender shall remain solely responsible to the other parties hereto for the performance of such obligations, (iii) such Lender shall remain the holder of any Note for all purposes of this Agreement and (iv) the Borrower, the Administrative Agent and each Credit Party shall continue to deal solely and directly with such Lender in connection with such Lender’s rights and obligations under this Agreement. Notwithstanding the foregoing, in no event may a participation be granted to any entity which is not a commercial bank, finance company, insurance company or other financial institution or fund (whether a corporation, partnership or other entity) engaged generally in making, purchasing or otherwise investing in commercial loans in the ordinary course of its business without the express prior written consent of the Borrower.</w:t>
      </w:r>
    </w:p>
    <w:p>
      <w:pPr>
        <w:spacing w:after="0" w:line="185"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18"/>
          <w:szCs w:val="18"/>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agreement or instrument may provide that such Lender will not, without the consent of the Participant, agree to any amendment, modification or waiver with respect to the following matters described in </w:t>
      </w:r>
      <w:r>
        <w:rPr>
          <w:rFonts w:ascii="Arial" w:cs="Arial" w:eastAsia="Arial" w:hAnsi="Arial"/>
          <w:sz w:val="18"/>
          <w:szCs w:val="18"/>
          <w:u w:val="single" w:color="auto"/>
          <w:color w:val="auto"/>
        </w:rPr>
        <w:t>clauses (ii)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of the first proviso in </w:t>
      </w:r>
      <w:r>
        <w:rPr>
          <w:rFonts w:ascii="Arial" w:cs="Arial" w:eastAsia="Arial" w:hAnsi="Arial"/>
          <w:sz w:val="18"/>
          <w:szCs w:val="18"/>
          <w:u w:val="single" w:color="auto"/>
          <w:color w:val="auto"/>
        </w:rPr>
        <w:t>Section 10.2(b)</w:t>
      </w:r>
      <w:r>
        <w:rPr>
          <w:rFonts w:ascii="Arial" w:cs="Arial" w:eastAsia="Arial" w:hAnsi="Arial"/>
          <w:sz w:val="18"/>
          <w:szCs w:val="18"/>
          <w:color w:val="auto"/>
        </w:rPr>
        <w:t xml:space="preserve"> that directly affects such Participant. Subject to </w:t>
      </w:r>
      <w:r>
        <w:rPr>
          <w:rFonts w:ascii="Arial" w:cs="Arial" w:eastAsia="Arial" w:hAnsi="Arial"/>
          <w:sz w:val="18"/>
          <w:szCs w:val="18"/>
          <w:u w:val="single" w:color="auto"/>
          <w:color w:val="auto"/>
        </w:rPr>
        <w:t>paragraph (e)</w:t>
      </w:r>
      <w:r>
        <w:rPr>
          <w:rFonts w:ascii="Arial" w:cs="Arial" w:eastAsia="Arial" w:hAnsi="Arial"/>
          <w:sz w:val="18"/>
          <w:szCs w:val="18"/>
          <w:color w:val="auto"/>
        </w:rPr>
        <w:t xml:space="preserve"> of this Section, the Borrower agrees that each Participant shall be entitled to the benefits of </w:t>
      </w:r>
      <w:r>
        <w:rPr>
          <w:rFonts w:ascii="Arial" w:cs="Arial" w:eastAsia="Arial" w:hAnsi="Arial"/>
          <w:sz w:val="18"/>
          <w:szCs w:val="18"/>
          <w:u w:val="single" w:color="auto"/>
          <w:color w:val="auto"/>
        </w:rPr>
        <w:t>Sections 3.3</w:t>
      </w:r>
      <w:r>
        <w:rPr>
          <w:rFonts w:ascii="Arial" w:cs="Arial" w:eastAsia="Arial" w:hAnsi="Arial"/>
          <w:sz w:val="18"/>
          <w:szCs w:val="18"/>
          <w:color w:val="auto"/>
        </w:rPr>
        <w:t xml:space="preserve">, </w:t>
      </w:r>
      <w:r>
        <w:rPr>
          <w:rFonts w:ascii="Arial" w:cs="Arial" w:eastAsia="Arial" w:hAnsi="Arial"/>
          <w:sz w:val="18"/>
          <w:szCs w:val="18"/>
          <w:u w:val="single" w:color="auto"/>
          <w:color w:val="auto"/>
        </w:rPr>
        <w:t>3.4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3.5</w:t>
      </w:r>
      <w:r>
        <w:rPr>
          <w:rFonts w:ascii="Arial" w:cs="Arial" w:eastAsia="Arial" w:hAnsi="Arial"/>
          <w:sz w:val="18"/>
          <w:szCs w:val="18"/>
          <w:color w:val="auto"/>
        </w:rPr>
        <w:t xml:space="preserve"> to the same extent as if it were a Lender and had acquired its interest by assignment pursuant to </w:t>
      </w:r>
      <w:r>
        <w:rPr>
          <w:rFonts w:ascii="Arial" w:cs="Arial" w:eastAsia="Arial" w:hAnsi="Arial"/>
          <w:sz w:val="18"/>
          <w:szCs w:val="18"/>
          <w:u w:val="single" w:color="auto"/>
          <w:color w:val="auto"/>
        </w:rPr>
        <w:t>paragraph (b)</w:t>
      </w:r>
      <w:r>
        <w:rPr>
          <w:rFonts w:ascii="Arial" w:cs="Arial" w:eastAsia="Arial" w:hAnsi="Arial"/>
          <w:sz w:val="18"/>
          <w:szCs w:val="18"/>
          <w:color w:val="auto"/>
        </w:rPr>
        <w:t xml:space="preserve"> of this Section but (x) shall not be entitled to recover greater amounts under any such Section than the selling Lender would be entitled to recover and</w:t>
      </w:r>
    </w:p>
    <w:p>
      <w:pPr>
        <w:spacing w:after="0" w:line="5" w:lineRule="exact"/>
        <w:rPr>
          <w:sz w:val="20"/>
          <w:szCs w:val="20"/>
          <w:color w:val="auto"/>
        </w:rPr>
      </w:pPr>
    </w:p>
    <w:p>
      <w:pPr>
        <w:jc w:val="both"/>
        <w:ind w:firstLine="8"/>
        <w:spacing w:after="0" w:line="258" w:lineRule="auto"/>
        <w:tabs>
          <w:tab w:leader="none" w:pos="284" w:val="left"/>
        </w:tabs>
        <w:numPr>
          <w:ilvl w:val="0"/>
          <w:numId w:val="108"/>
        </w:numPr>
        <w:rPr>
          <w:rFonts w:ascii="Arial" w:cs="Arial" w:eastAsia="Arial" w:hAnsi="Arial"/>
          <w:sz w:val="19"/>
          <w:szCs w:val="19"/>
          <w:color w:val="auto"/>
        </w:rPr>
      </w:pPr>
      <w:r>
        <w:rPr>
          <w:rFonts w:ascii="Arial" w:cs="Arial" w:eastAsia="Arial" w:hAnsi="Arial"/>
          <w:sz w:val="19"/>
          <w:szCs w:val="19"/>
          <w:color w:val="auto"/>
        </w:rPr>
        <w:t xml:space="preserve">shall be subject to replacement by the Borrower under </w:t>
      </w:r>
      <w:r>
        <w:rPr>
          <w:rFonts w:ascii="Arial" w:cs="Arial" w:eastAsia="Arial" w:hAnsi="Arial"/>
          <w:sz w:val="19"/>
          <w:szCs w:val="19"/>
          <w:u w:val="single" w:color="auto"/>
          <w:color w:val="auto"/>
        </w:rPr>
        <w:t>Section 3.6</w:t>
      </w:r>
      <w:r>
        <w:rPr>
          <w:rFonts w:ascii="Arial" w:cs="Arial" w:eastAsia="Arial" w:hAnsi="Arial"/>
          <w:sz w:val="19"/>
          <w:szCs w:val="19"/>
          <w:color w:val="auto"/>
        </w:rPr>
        <w:t xml:space="preserve"> to the same extent as if it were a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replacement Participant shall be an Eligible Assignee engaged generally in making, purchasing or otherwise investing in commercial loans in the ordinary course of its business. To the extent permitted by law, each Participant also shall be entitled to the benefits of </w:t>
      </w:r>
      <w:r>
        <w:rPr>
          <w:rFonts w:ascii="Arial" w:cs="Arial" w:eastAsia="Arial" w:hAnsi="Arial"/>
          <w:sz w:val="19"/>
          <w:szCs w:val="19"/>
          <w:u w:val="single" w:color="auto"/>
          <w:color w:val="auto"/>
        </w:rPr>
        <w:t>Section 10.8</w:t>
      </w:r>
      <w:r>
        <w:rPr>
          <w:rFonts w:ascii="Arial" w:cs="Arial" w:eastAsia="Arial" w:hAnsi="Arial"/>
          <w:sz w:val="19"/>
          <w:szCs w:val="19"/>
          <w:color w:val="auto"/>
        </w:rPr>
        <w:t xml:space="preserve"> as though it were a Lender, provided such Participant agrees to be subject to </w:t>
      </w:r>
      <w:r>
        <w:rPr>
          <w:rFonts w:ascii="Arial" w:cs="Arial" w:eastAsia="Arial" w:hAnsi="Arial"/>
          <w:sz w:val="19"/>
          <w:szCs w:val="19"/>
          <w:u w:val="single" w:color="auto"/>
          <w:color w:val="auto"/>
        </w:rPr>
        <w:t>Section 2.5(c)</w:t>
      </w:r>
      <w:r>
        <w:rPr>
          <w:rFonts w:ascii="Arial" w:cs="Arial" w:eastAsia="Arial" w:hAnsi="Arial"/>
          <w:sz w:val="19"/>
          <w:szCs w:val="19"/>
          <w:color w:val="auto"/>
        </w:rPr>
        <w:t xml:space="preserve"> as though it were a Lender.</w:t>
      </w:r>
    </w:p>
    <w:p>
      <w:pPr>
        <w:spacing w:after="0" w:line="152"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9"/>
          <w:szCs w:val="19"/>
          <w:color w:val="auto"/>
        </w:rPr>
        <w:t>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“Participant Register”); provided that no Lender shall have any obligation to disclose all or any portion of the Participant Register (including the identity of any Participant or any information relating to a Participant’s interest in any Loans or its other obligations under any Loan Document) to any Person except to the extent that such disclosure is necessary to establish that such Loan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68" w:lineRule="exact"/>
        <w:rPr>
          <w:sz w:val="20"/>
          <w:szCs w:val="20"/>
          <w:color w:val="auto"/>
        </w:rPr>
      </w:pPr>
    </w:p>
    <w:p>
      <w:pPr>
        <w:jc w:val="both"/>
        <w:ind w:firstLine="1305"/>
        <w:spacing w:after="0" w:line="310" w:lineRule="auto"/>
        <w:tabs>
          <w:tab w:leader="none" w:pos="2070" w:val="left"/>
        </w:tabs>
        <w:numPr>
          <w:ilvl w:val="0"/>
          <w:numId w:val="109"/>
        </w:numPr>
        <w:rPr>
          <w:rFonts w:ascii="Arial" w:cs="Arial" w:eastAsia="Arial" w:hAnsi="Arial"/>
          <w:sz w:val="16"/>
          <w:szCs w:val="16"/>
          <w:color w:val="auto"/>
        </w:rPr>
      </w:pPr>
      <w:r>
        <w:rPr>
          <w:rFonts w:ascii="Arial" w:cs="Arial" w:eastAsia="Arial" w:hAnsi="Arial"/>
          <w:sz w:val="18"/>
          <w:szCs w:val="18"/>
          <w:u w:val="single" w:color="auto"/>
          <w:color w:val="auto"/>
        </w:rPr>
        <w:t>Limitations upon Participant Rights</w:t>
      </w:r>
      <w:r>
        <w:rPr>
          <w:rFonts w:ascii="Arial" w:cs="Arial" w:eastAsia="Arial" w:hAnsi="Arial"/>
          <w:sz w:val="18"/>
          <w:szCs w:val="18"/>
          <w:color w:val="auto"/>
        </w:rPr>
        <w:t xml:space="preserve">. A Participant shall not be entitled to receive any greater payment under </w:t>
      </w:r>
      <w:r>
        <w:rPr>
          <w:rFonts w:ascii="Arial" w:cs="Arial" w:eastAsia="Arial" w:hAnsi="Arial"/>
          <w:sz w:val="18"/>
          <w:szCs w:val="18"/>
          <w:u w:val="single" w:color="auto"/>
          <w:color w:val="auto"/>
        </w:rPr>
        <w:t>Sections 3.3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3.5</w:t>
      </w:r>
      <w:r>
        <w:rPr>
          <w:rFonts w:ascii="Arial" w:cs="Arial" w:eastAsia="Arial" w:hAnsi="Arial"/>
          <w:sz w:val="18"/>
          <w:szCs w:val="18"/>
          <w:color w:val="auto"/>
        </w:rPr>
        <w:t xml:space="preserve"> than the applicable Lender would have been entitled to receive with respect to the participation sold to such Participant, unless the sale of the participation to such Participant is made with the Borrower’s prior written consent. A Participant that would be a Foreign Lender if it were a Lender shall not be entitled to the benefits of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unless the Borrower is notified of the participation sold to such Participant and such Participant agrees, for the benefit of the Borrower, to comply with </w:t>
      </w:r>
      <w:r>
        <w:rPr>
          <w:rFonts w:ascii="Arial" w:cs="Arial" w:eastAsia="Arial" w:hAnsi="Arial"/>
          <w:sz w:val="18"/>
          <w:szCs w:val="18"/>
          <w:u w:val="single" w:color="auto"/>
          <w:color w:val="auto"/>
        </w:rPr>
        <w:t>Section 3.5(f)</w:t>
      </w:r>
      <w:r>
        <w:rPr>
          <w:rFonts w:ascii="Arial" w:cs="Arial" w:eastAsia="Arial" w:hAnsi="Arial"/>
          <w:sz w:val="18"/>
          <w:szCs w:val="18"/>
          <w:color w:val="auto"/>
        </w:rPr>
        <w:t xml:space="preserve"> as though it were a Lender.</w:t>
      </w:r>
    </w:p>
    <w:p>
      <w:pPr>
        <w:sectPr>
          <w:pgSz w:w="11900" w:h="16838" w:orient="portrait"/>
          <w:cols w:equalWidth="0" w:num="1">
            <w:col w:w="11420"/>
          </w:cols>
          <w:pgMar w:left="240" w:top="337" w:right="239" w:bottom="1440" w:gutter="0" w:footer="0" w:header="0"/>
        </w:sectPr>
      </w:pPr>
    </w:p>
    <w:bookmarkStart w:id="105" w:name="page106"/>
    <w:bookmarkEnd w:id="105"/>
    <w:p>
      <w:pPr>
        <w:ind w:left="10720"/>
        <w:spacing w:after="0"/>
        <w:rPr>
          <w:sz w:val="20"/>
          <w:szCs w:val="20"/>
          <w:color w:val="auto"/>
        </w:rPr>
      </w:pPr>
      <w:r>
        <w:rPr>
          <w:rFonts w:ascii="Arial" w:cs="Arial" w:eastAsia="Arial" w:hAnsi="Arial"/>
          <w:sz w:val="16"/>
          <w:szCs w:val="16"/>
          <w:b w:val="1"/>
          <w:bCs w:val="1"/>
          <w:color w:val="auto"/>
        </w:rPr>
        <w:t>Exhibit 4</w:t>
      </w:r>
    </w:p>
    <w:p>
      <w:pPr>
        <w:spacing w:after="0" w:line="200" w:lineRule="exact"/>
        <w:rPr>
          <w:sz w:val="20"/>
          <w:szCs w:val="20"/>
          <w:color w:val="auto"/>
        </w:rPr>
      </w:pPr>
    </w:p>
    <w:p>
      <w:pPr>
        <w:spacing w:after="0" w:line="320" w:lineRule="exact"/>
        <w:rPr>
          <w:sz w:val="20"/>
          <w:szCs w:val="20"/>
          <w:color w:val="auto"/>
        </w:rPr>
      </w:pPr>
    </w:p>
    <w:p>
      <w:pPr>
        <w:jc w:val="both"/>
        <w:ind w:firstLine="1305"/>
        <w:spacing w:after="0" w:line="274" w:lineRule="auto"/>
        <w:tabs>
          <w:tab w:leader="none" w:pos="2050" w:val="left"/>
        </w:tabs>
        <w:numPr>
          <w:ilvl w:val="0"/>
          <w:numId w:val="110"/>
        </w:numPr>
        <w:rPr>
          <w:rFonts w:ascii="Arial" w:cs="Arial" w:eastAsia="Arial" w:hAnsi="Arial"/>
          <w:sz w:val="18"/>
          <w:szCs w:val="18"/>
          <w:color w:val="auto"/>
        </w:rPr>
      </w:pPr>
      <w:r>
        <w:rPr>
          <w:rFonts w:ascii="Arial" w:cs="Arial" w:eastAsia="Arial" w:hAnsi="Arial"/>
          <w:sz w:val="20"/>
          <w:szCs w:val="20"/>
          <w:u w:val="single" w:color="auto"/>
          <w:color w:val="auto"/>
        </w:rPr>
        <w:t>Certain Pledges</w:t>
      </w:r>
      <w:r>
        <w:rPr>
          <w:rFonts w:ascii="Arial" w:cs="Arial" w:eastAsia="Arial" w:hAnsi="Arial"/>
          <w:sz w:val="20"/>
          <w:szCs w:val="20"/>
          <w:color w:val="auto"/>
        </w:rPr>
        <w:t xml:space="preserve">. Any Lender may at any time pledge or assign a security interest in all or any portion of its rights under this Agreement to secure obligations of such Lender, including any pledge or assignment to secure obligations to a Federal Reserve Bank;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such pledge or assignment shall release such Lender from any of its obligations hereunder or substitute any such pledgee or assignee for such Lender as a party hereto.</w:t>
      </w:r>
    </w:p>
    <w:p>
      <w:pPr>
        <w:spacing w:after="0" w:line="206"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7"/>
          <w:szCs w:val="17"/>
          <w:color w:val="auto"/>
        </w:rPr>
        <w:t xml:space="preserve">Section 10.5 </w:t>
      </w:r>
      <w:r>
        <w:rPr>
          <w:rFonts w:ascii="Arial" w:cs="Arial" w:eastAsia="Arial" w:hAnsi="Arial"/>
          <w:sz w:val="18"/>
          <w:szCs w:val="18"/>
          <w:u w:val="single" w:color="auto"/>
          <w:color w:val="auto"/>
        </w:rPr>
        <w:t>Survival</w:t>
      </w:r>
      <w:r>
        <w:rPr>
          <w:rFonts w:ascii="Arial" w:cs="Arial" w:eastAsia="Arial" w:hAnsi="Arial"/>
          <w:sz w:val="18"/>
          <w:szCs w:val="18"/>
          <w:color w:val="auto"/>
        </w:rPr>
        <w:t>. All covenants, agreements, representations and warranties made by the Borrower herein and in</w:t>
      </w:r>
      <w:r>
        <w:rPr>
          <w:rFonts w:ascii="Arial" w:cs="Arial" w:eastAsia="Arial" w:hAnsi="Arial"/>
          <w:sz w:val="17"/>
          <w:szCs w:val="17"/>
          <w:color w:val="auto"/>
        </w:rPr>
        <w:t xml:space="preserve"> </w:t>
      </w:r>
      <w:r>
        <w:rPr>
          <w:rFonts w:ascii="Arial" w:cs="Arial" w:eastAsia="Arial" w:hAnsi="Arial"/>
          <w:sz w:val="18"/>
          <w:szCs w:val="18"/>
          <w:color w:val="auto"/>
        </w:rPr>
        <w:t xml:space="preserve">the certificates or other instruments prepared or delivered in connection with or pursuant to this Agreement or any other Loan Document shall be considered to have been relied upon by the other parties hereto and shall survive the execution and delivery of any Loan Document and the making of any Loans, regardless of any investigation made by any such other party or on its behalf and notwithstanding that any Credit Party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the Loan Documents is outstanding and unpaid and so long as the Commitments have not expired or terminated. The provisions of </w:t>
      </w:r>
      <w:r>
        <w:rPr>
          <w:rFonts w:ascii="Arial" w:cs="Arial" w:eastAsia="Arial" w:hAnsi="Arial"/>
          <w:sz w:val="18"/>
          <w:szCs w:val="18"/>
          <w:u w:val="single" w:color="auto"/>
          <w:color w:val="auto"/>
        </w:rPr>
        <w:t>Sections 3.4</w:t>
      </w:r>
      <w:r>
        <w:rPr>
          <w:rFonts w:ascii="Arial" w:cs="Arial" w:eastAsia="Arial" w:hAnsi="Arial"/>
          <w:sz w:val="18"/>
          <w:szCs w:val="18"/>
          <w:color w:val="auto"/>
        </w:rPr>
        <w:t xml:space="preserve">, </w:t>
      </w:r>
      <w:r>
        <w:rPr>
          <w:rFonts w:ascii="Arial" w:cs="Arial" w:eastAsia="Arial" w:hAnsi="Arial"/>
          <w:sz w:val="18"/>
          <w:szCs w:val="18"/>
          <w:u w:val="single" w:color="auto"/>
          <w:color w:val="auto"/>
        </w:rPr>
        <w:t>3.5</w:t>
      </w:r>
      <w:r>
        <w:rPr>
          <w:rFonts w:ascii="Arial" w:cs="Arial" w:eastAsia="Arial" w:hAnsi="Arial"/>
          <w:sz w:val="18"/>
          <w:szCs w:val="18"/>
          <w:color w:val="auto"/>
        </w:rPr>
        <w:t xml:space="preserve">, </w:t>
      </w:r>
      <w:r>
        <w:rPr>
          <w:rFonts w:ascii="Arial" w:cs="Arial" w:eastAsia="Arial" w:hAnsi="Arial"/>
          <w:sz w:val="18"/>
          <w:szCs w:val="18"/>
          <w:u w:val="single" w:color="auto"/>
          <w:color w:val="auto"/>
        </w:rPr>
        <w:t>3.6</w:t>
      </w:r>
      <w:r>
        <w:rPr>
          <w:rFonts w:ascii="Arial" w:cs="Arial" w:eastAsia="Arial" w:hAnsi="Arial"/>
          <w:sz w:val="18"/>
          <w:szCs w:val="18"/>
          <w:color w:val="auto"/>
        </w:rPr>
        <w:t xml:space="preserve">, </w:t>
      </w:r>
      <w:r>
        <w:rPr>
          <w:rFonts w:ascii="Arial" w:cs="Arial" w:eastAsia="Arial" w:hAnsi="Arial"/>
          <w:sz w:val="18"/>
          <w:szCs w:val="18"/>
          <w:u w:val="single" w:color="auto"/>
          <w:color w:val="auto"/>
        </w:rPr>
        <w:t>10.3</w:t>
      </w:r>
      <w:r>
        <w:rPr>
          <w:rFonts w:ascii="Arial" w:cs="Arial" w:eastAsia="Arial" w:hAnsi="Arial"/>
          <w:sz w:val="18"/>
          <w:szCs w:val="18"/>
          <w:color w:val="auto"/>
        </w:rPr>
        <w:t xml:space="preserve">, </w:t>
      </w:r>
      <w:r>
        <w:rPr>
          <w:rFonts w:ascii="Arial" w:cs="Arial" w:eastAsia="Arial" w:hAnsi="Arial"/>
          <w:sz w:val="18"/>
          <w:szCs w:val="18"/>
          <w:u w:val="single" w:color="auto"/>
          <w:color w:val="auto"/>
        </w:rPr>
        <w:t>10.9</w:t>
      </w:r>
      <w:r>
        <w:rPr>
          <w:rFonts w:ascii="Arial" w:cs="Arial" w:eastAsia="Arial" w:hAnsi="Arial"/>
          <w:sz w:val="18"/>
          <w:szCs w:val="18"/>
          <w:color w:val="auto"/>
        </w:rPr>
        <w:t xml:space="preserve">, </w:t>
      </w:r>
      <w:r>
        <w:rPr>
          <w:rFonts w:ascii="Arial" w:cs="Arial" w:eastAsia="Arial" w:hAnsi="Arial"/>
          <w:sz w:val="18"/>
          <w:szCs w:val="18"/>
          <w:u w:val="single" w:color="auto"/>
          <w:color w:val="auto"/>
        </w:rPr>
        <w:t>10.10</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9</w:t>
      </w:r>
      <w:r>
        <w:rPr>
          <w:rFonts w:ascii="Arial" w:cs="Arial" w:eastAsia="Arial" w:hAnsi="Arial"/>
          <w:sz w:val="18"/>
          <w:szCs w:val="18"/>
          <w:color w:val="auto"/>
        </w:rPr>
        <w:t xml:space="preserve"> shall survive and remain in full force and effect regardless of the consummation of the Transactions, the repayment of the Loans or the termination of this Agreement or any provision hereof.</w:t>
      </w:r>
    </w:p>
    <w:p>
      <w:pPr>
        <w:spacing w:after="0" w:line="187" w:lineRule="exact"/>
        <w:rPr>
          <w:sz w:val="20"/>
          <w:szCs w:val="20"/>
          <w:color w:val="auto"/>
        </w:rPr>
      </w:pPr>
    </w:p>
    <w:p>
      <w:pPr>
        <w:ind w:left="660"/>
        <w:spacing w:after="0"/>
        <w:tabs>
          <w:tab w:leader="none" w:pos="2880" w:val="left"/>
        </w:tabs>
        <w:rPr>
          <w:sz w:val="20"/>
          <w:szCs w:val="20"/>
          <w:color w:val="auto"/>
        </w:rPr>
      </w:pPr>
      <w:r>
        <w:rPr>
          <w:rFonts w:ascii="Arial" w:cs="Arial" w:eastAsia="Arial" w:hAnsi="Arial"/>
          <w:sz w:val="18"/>
          <w:szCs w:val="18"/>
          <w:color w:val="auto"/>
        </w:rPr>
        <w:t>Section 10.6</w:t>
      </w:r>
      <w:r>
        <w:rPr>
          <w:sz w:val="20"/>
          <w:szCs w:val="20"/>
          <w:color w:val="auto"/>
        </w:rPr>
        <w:tab/>
      </w:r>
      <w:r>
        <w:rPr>
          <w:rFonts w:ascii="Arial" w:cs="Arial" w:eastAsia="Arial" w:hAnsi="Arial"/>
          <w:sz w:val="19"/>
          <w:szCs w:val="19"/>
          <w:u w:val="single" w:color="auto"/>
          <w:color w:val="auto"/>
        </w:rPr>
        <w:t>Counterparts; Integration; Effectiveness; Electronic Execution</w:t>
      </w:r>
      <w:r>
        <w:rPr>
          <w:rFonts w:ascii="Arial" w:cs="Arial" w:eastAsia="Arial" w:hAnsi="Arial"/>
          <w:sz w:val="19"/>
          <w:szCs w:val="19"/>
          <w:color w:val="auto"/>
        </w:rPr>
        <w:t>. This Agreement may be executed in</w:t>
      </w:r>
    </w:p>
    <w:p>
      <w:pPr>
        <w:spacing w:after="0" w:line="38" w:lineRule="exact"/>
        <w:rPr>
          <w:sz w:val="20"/>
          <w:szCs w:val="20"/>
          <w:color w:val="auto"/>
        </w:rPr>
      </w:pPr>
    </w:p>
    <w:p>
      <w:pPr>
        <w:jc w:val="both"/>
        <w:spacing w:after="0" w:line="300" w:lineRule="auto"/>
        <w:rPr>
          <w:sz w:val="20"/>
          <w:szCs w:val="20"/>
          <w:color w:val="auto"/>
        </w:rPr>
      </w:pPr>
      <w:r>
        <w:rPr>
          <w:rFonts w:ascii="Arial" w:cs="Arial" w:eastAsia="Arial" w:hAnsi="Arial"/>
          <w:sz w:val="18"/>
          <w:szCs w:val="18"/>
          <w:color w:val="auto"/>
        </w:rPr>
        <w:t xml:space="preserve">counterparts (and by different parties hereto on different counterparts), each of which shall constitute an original, but all of which when taken together shall constitute a single contract. This Agreement, the other Loan Documents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Except as provided in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telecopy, e-mailed .pdf or any other electronic means that reproduces an image of the actual executed signature page shall be effective as delivery of a manually executed counterpart of this Agreement. The words “execution,” “signed,” “signature,” “delivery,” and words of like import in or relating to any document to be signed in connection with this Agreement and the transactions contemplated 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nothing herein shall require the Administrative Agent to accept electronic signatures in any form or format without its prior written consent.</w:t>
      </w:r>
    </w:p>
    <w:p>
      <w:pPr>
        <w:spacing w:after="0" w:line="19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8"/>
          <w:szCs w:val="18"/>
          <w:color w:val="auto"/>
        </w:rPr>
        <w:t xml:space="preserve">Section 10.7 </w:t>
      </w:r>
      <w:r>
        <w:rPr>
          <w:rFonts w:ascii="Arial" w:cs="Arial" w:eastAsia="Arial" w:hAnsi="Arial"/>
          <w:sz w:val="19"/>
          <w:szCs w:val="19"/>
          <w:u w:val="single" w:color="auto"/>
          <w:color w:val="auto"/>
        </w:rPr>
        <w:t>Severability</w:t>
      </w:r>
      <w:r>
        <w:rPr>
          <w:rFonts w:ascii="Arial" w:cs="Arial" w:eastAsia="Arial" w:hAnsi="Arial"/>
          <w:sz w:val="19"/>
          <w:szCs w:val="19"/>
          <w:color w:val="auto"/>
        </w:rPr>
        <w:t>. In the event any one or more of the provisions contained in this Agreement should be held</w:t>
      </w:r>
      <w:r>
        <w:rPr>
          <w:rFonts w:ascii="Arial" w:cs="Arial" w:eastAsia="Arial" w:hAnsi="Arial"/>
          <w:sz w:val="18"/>
          <w:szCs w:val="18"/>
          <w:color w:val="auto"/>
        </w:rPr>
        <w:t xml:space="preserve"> </w:t>
      </w:r>
      <w:r>
        <w:rPr>
          <w:rFonts w:ascii="Arial" w:cs="Arial" w:eastAsia="Arial" w:hAnsi="Arial"/>
          <w:sz w:val="19"/>
          <w:szCs w:val="19"/>
          <w:color w:val="auto"/>
        </w:rPr>
        <w:t>invalid, illegal or unenforceable in any respect, the validity, legality and enforceability of the remaining provisions contained herein shall not in any way be affected or impaired thereby (it being understood that the invalidity of a particular provision in a particular jurisdiction shall not in and of itself affect the validity of such provision in any other jurisdiction). The parties shall endeavor in good faith negotiations to replace the invalid, illegal or unenforceable provisions with valid provisions the economic effect of which comes as close as possible to that of the invalid, illegal or unenforceable provisions.</w:t>
      </w:r>
    </w:p>
    <w:p>
      <w:pPr>
        <w:spacing w:after="0" w:line="19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8"/>
          <w:szCs w:val="18"/>
          <w:color w:val="auto"/>
        </w:rPr>
        <w:t xml:space="preserve">Section 10.8 </w:t>
      </w:r>
      <w:r>
        <w:rPr>
          <w:rFonts w:ascii="Arial" w:cs="Arial" w:eastAsia="Arial" w:hAnsi="Arial"/>
          <w:sz w:val="19"/>
          <w:szCs w:val="19"/>
          <w:u w:val="single" w:color="auto"/>
          <w:color w:val="auto"/>
        </w:rPr>
        <w:t>Right of Set-off</w:t>
      </w:r>
      <w:r>
        <w:rPr>
          <w:rFonts w:ascii="Arial" w:cs="Arial" w:eastAsia="Arial" w:hAnsi="Arial"/>
          <w:sz w:val="19"/>
          <w:szCs w:val="19"/>
          <w:color w:val="auto"/>
        </w:rPr>
        <w:t>. If an Event of Default shall have occurred and be continuing, and the acceleration of all</w:t>
      </w:r>
      <w:r>
        <w:rPr>
          <w:rFonts w:ascii="Arial" w:cs="Arial" w:eastAsia="Arial" w:hAnsi="Arial"/>
          <w:sz w:val="18"/>
          <w:szCs w:val="18"/>
          <w:color w:val="auto"/>
        </w:rPr>
        <w:t xml:space="preserve"> </w:t>
      </w:r>
      <w:r>
        <w:rPr>
          <w:rFonts w:ascii="Arial" w:cs="Arial" w:eastAsia="Arial" w:hAnsi="Arial"/>
          <w:sz w:val="19"/>
          <w:szCs w:val="19"/>
          <w:color w:val="auto"/>
        </w:rPr>
        <w:t xml:space="preserve">obligations owing in connection with the Loan Documents, or at any time upon the occurrence and during the continuance of an Event of Default under </w:t>
      </w:r>
      <w:r>
        <w:rPr>
          <w:rFonts w:ascii="Arial" w:cs="Arial" w:eastAsia="Arial" w:hAnsi="Arial"/>
          <w:sz w:val="19"/>
          <w:szCs w:val="19"/>
          <w:u w:val="single" w:color="auto"/>
          <w:color w:val="auto"/>
        </w:rPr>
        <w:t>paragraph (a)</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Article 8</w:t>
      </w:r>
      <w:r>
        <w:rPr>
          <w:rFonts w:ascii="Arial" w:cs="Arial" w:eastAsia="Arial" w:hAnsi="Arial"/>
          <w:sz w:val="19"/>
          <w:szCs w:val="19"/>
          <w:color w:val="auto"/>
        </w:rPr>
        <w:t>, each of the Lenders and their respective Affiliates is hereby authorized at any time and from time to time, to the fullest extent permitted by applicable law, to set-off and apply any and all deposits (general or special, time or demand, provisional or final) at any time held and other obligations at any time owing by it to or for the credit or the account of the Borrower against any of the Obligations</w:t>
      </w:r>
    </w:p>
    <w:p>
      <w:pPr>
        <w:sectPr>
          <w:pgSz w:w="11900" w:h="16838" w:orient="portrait"/>
          <w:cols w:equalWidth="0" w:num="1">
            <w:col w:w="11420"/>
          </w:cols>
          <w:pgMar w:left="240" w:top="337" w:right="239" w:bottom="1440" w:gutter="0" w:footer="0" w:header="0"/>
        </w:sectPr>
      </w:pPr>
    </w:p>
    <w:bookmarkStart w:id="106" w:name="page107"/>
    <w:bookmarkEnd w:id="106"/>
    <w:p>
      <w:pPr>
        <w:ind w:left="10720"/>
        <w:spacing w:after="0"/>
        <w:rPr>
          <w:sz w:val="20"/>
          <w:szCs w:val="20"/>
          <w:color w:val="auto"/>
        </w:rPr>
      </w:pPr>
      <w:r>
        <w:rPr>
          <w:rFonts w:ascii="Arial" w:cs="Arial" w:eastAsia="Arial" w:hAnsi="Arial"/>
          <w:sz w:val="16"/>
          <w:szCs w:val="16"/>
          <w:b w:val="1"/>
          <w:bCs w:val="1"/>
          <w:color w:val="auto"/>
        </w:rPr>
        <w:t>Exhibit 4</w:t>
      </w:r>
    </w:p>
    <w:p>
      <w:pPr>
        <w:spacing w:after="0" w:line="290" w:lineRule="exact"/>
        <w:rPr>
          <w:sz w:val="20"/>
          <w:szCs w:val="20"/>
          <w:color w:val="auto"/>
        </w:rPr>
      </w:pPr>
    </w:p>
    <w:p>
      <w:pPr>
        <w:jc w:val="both"/>
        <w:spacing w:after="0" w:line="273" w:lineRule="auto"/>
        <w:rPr>
          <w:sz w:val="20"/>
          <w:szCs w:val="20"/>
          <w:color w:val="auto"/>
        </w:rPr>
      </w:pPr>
      <w:r>
        <w:rPr>
          <w:rFonts w:ascii="Arial" w:cs="Arial" w:eastAsia="Arial" w:hAnsi="Arial"/>
          <w:sz w:val="20"/>
          <w:szCs w:val="20"/>
          <w:color w:val="auto"/>
        </w:rPr>
        <w:t xml:space="preserve">now or hereafter existing under this Agreement and the other Loan Documents held by it, irrespective of whether or not it shall have made any demand therefor and although such Obligations may be unmatured. The rights of each of the Lenders and their respective Affiliates under this Section are in addition to other rights and remedies (including other rights of set-off) that it may have. Each Lender agrees promptly to notify the Borrower and the Administrative Agent after any such set-off and application made by such Lender,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failure to give such notice shall not affect the validity of such set-off and application.</w:t>
      </w:r>
    </w:p>
    <w:p>
      <w:pPr>
        <w:spacing w:after="0" w:line="205" w:lineRule="exact"/>
        <w:rPr>
          <w:sz w:val="20"/>
          <w:szCs w:val="20"/>
          <w:color w:val="auto"/>
        </w:rPr>
      </w:pPr>
    </w:p>
    <w:p>
      <w:pPr>
        <w:ind w:left="660"/>
        <w:spacing w:after="0"/>
        <w:tabs>
          <w:tab w:leader="none" w:pos="2840" w:val="left"/>
        </w:tabs>
        <w:rPr>
          <w:sz w:val="20"/>
          <w:szCs w:val="20"/>
          <w:color w:val="auto"/>
        </w:rPr>
      </w:pPr>
      <w:r>
        <w:rPr>
          <w:rFonts w:ascii="Arial" w:cs="Arial" w:eastAsia="Arial" w:hAnsi="Arial"/>
          <w:sz w:val="18"/>
          <w:szCs w:val="18"/>
          <w:color w:val="auto"/>
        </w:rPr>
        <w:t>Section 10.9</w:t>
      </w:r>
      <w:r>
        <w:rPr>
          <w:sz w:val="20"/>
          <w:szCs w:val="20"/>
          <w:color w:val="auto"/>
        </w:rPr>
        <w:tab/>
      </w:r>
      <w:r>
        <w:rPr>
          <w:rFonts w:ascii="Arial" w:cs="Arial" w:eastAsia="Arial" w:hAnsi="Arial"/>
          <w:sz w:val="16"/>
          <w:szCs w:val="16"/>
          <w:u w:val="single" w:color="auto"/>
          <w:color w:val="auto"/>
        </w:rPr>
        <w:t>Governing Law; Jurisdiction; Consent to Service of Process</w:t>
      </w:r>
      <w:r>
        <w:rPr>
          <w:rFonts w:ascii="Arial" w:cs="Arial" w:eastAsia="Arial" w:hAnsi="Arial"/>
          <w:sz w:val="16"/>
          <w:szCs w:val="16"/>
          <w:color w:val="auto"/>
        </w:rPr>
        <w:t>.</w:t>
      </w:r>
    </w:p>
    <w:p>
      <w:pPr>
        <w:spacing w:after="0" w:line="279" w:lineRule="exact"/>
        <w:rPr>
          <w:sz w:val="20"/>
          <w:szCs w:val="20"/>
          <w:color w:val="auto"/>
        </w:rPr>
      </w:pPr>
    </w:p>
    <w:p>
      <w:pPr>
        <w:ind w:left="2080" w:hanging="775"/>
        <w:spacing w:after="0"/>
        <w:tabs>
          <w:tab w:leader="none" w:pos="2080" w:val="left"/>
        </w:tabs>
        <w:numPr>
          <w:ilvl w:val="0"/>
          <w:numId w:val="111"/>
        </w:numPr>
        <w:rPr>
          <w:rFonts w:ascii="Arial" w:cs="Arial" w:eastAsia="Arial" w:hAnsi="Arial"/>
          <w:sz w:val="17"/>
          <w:szCs w:val="17"/>
          <w:color w:val="auto"/>
        </w:rPr>
      </w:pPr>
      <w:r>
        <w:rPr>
          <w:rFonts w:ascii="Arial" w:cs="Arial" w:eastAsia="Arial" w:hAnsi="Arial"/>
          <w:sz w:val="19"/>
          <w:szCs w:val="19"/>
          <w:color w:val="auto"/>
        </w:rPr>
        <w:t>This Agreement shall be governed by, and construed in accordance with, the laws of the State of New York.</w:t>
      </w:r>
    </w:p>
    <w:p>
      <w:pPr>
        <w:spacing w:after="0" w:line="267" w:lineRule="exact"/>
        <w:rPr>
          <w:rFonts w:ascii="Arial" w:cs="Arial" w:eastAsia="Arial" w:hAnsi="Arial"/>
          <w:sz w:val="17"/>
          <w:szCs w:val="17"/>
          <w:color w:val="auto"/>
        </w:rPr>
      </w:pPr>
    </w:p>
    <w:p>
      <w:pPr>
        <w:jc w:val="both"/>
        <w:ind w:firstLine="1305"/>
        <w:spacing w:after="0" w:line="303" w:lineRule="auto"/>
        <w:tabs>
          <w:tab w:leader="none" w:pos="2080" w:val="left"/>
        </w:tabs>
        <w:numPr>
          <w:ilvl w:val="0"/>
          <w:numId w:val="111"/>
        </w:numPr>
        <w:rPr>
          <w:rFonts w:ascii="Arial" w:cs="Arial" w:eastAsia="Arial" w:hAnsi="Arial"/>
          <w:sz w:val="16"/>
          <w:szCs w:val="16"/>
          <w:color w:val="auto"/>
        </w:rPr>
      </w:pPr>
      <w:r>
        <w:rPr>
          <w:rFonts w:ascii="Arial" w:cs="Arial" w:eastAsia="Arial" w:hAnsi="Arial"/>
          <w:sz w:val="18"/>
          <w:szCs w:val="18"/>
          <w:color w:val="auto"/>
        </w:rPr>
        <w:t>Each of the parties hereto hereby irrevocably and unconditionally submits, for itself and its property, to the nonexclusive jurisdiction of the Supreme Court of the State of New York sitting in the Borough of Manhattan and of the United States District Court of the Southern District of New York City, sitting in the Borough of Manhattan, and any appellate court from any thereof, in any action or proceeding arising out of or relating to this Agreement or the other Loan Documents, or for recognition or enforcement of any judgment, and each of the parties hereto hereby irrevocably and unconditionally agrees that, to the extent permitted by applicable law, all claims in respect of any such action or proceeding may be heard and determined in such New York State court or, to the extent permitted by applicable law, in such Federal court. Each of the parties hereto agrees that a final judgment in any such action or proceeding shall be conclusive and may be enforced in other jurisdictions by suit on the judgment or in any other manner provided by law. Nothing in this Agreement shall affect any right that the Administrative Agent or any other Credit Party may otherwise have to bring any action or proceeding relating to this Agreement or the other Loan Documents against the Borrower, or any of its property, in the courts of any jurisdiction.</w:t>
      </w:r>
    </w:p>
    <w:p>
      <w:pPr>
        <w:spacing w:after="0" w:line="182" w:lineRule="exact"/>
        <w:rPr>
          <w:rFonts w:ascii="Arial" w:cs="Arial" w:eastAsia="Arial" w:hAnsi="Arial"/>
          <w:sz w:val="16"/>
          <w:szCs w:val="16"/>
          <w:color w:val="auto"/>
        </w:rPr>
      </w:pPr>
    </w:p>
    <w:p>
      <w:pPr>
        <w:jc w:val="both"/>
        <w:ind w:firstLine="1305"/>
        <w:spacing w:after="0" w:line="273" w:lineRule="auto"/>
        <w:tabs>
          <w:tab w:leader="none" w:pos="2070" w:val="left"/>
        </w:tabs>
        <w:numPr>
          <w:ilvl w:val="0"/>
          <w:numId w:val="111"/>
        </w:numPr>
        <w:rPr>
          <w:rFonts w:ascii="Arial" w:cs="Arial" w:eastAsia="Arial" w:hAnsi="Arial"/>
          <w:sz w:val="18"/>
          <w:szCs w:val="18"/>
          <w:color w:val="auto"/>
        </w:rPr>
      </w:pPr>
      <w:r>
        <w:rPr>
          <w:rFonts w:ascii="Arial" w:cs="Arial" w:eastAsia="Arial" w:hAnsi="Arial"/>
          <w:sz w:val="20"/>
          <w:szCs w:val="20"/>
          <w:color w:val="auto"/>
        </w:rPr>
        <w:t xml:space="preserve">The Borrower hereby irrevocably and unconditionally waives, to the fullest extent it may legally and effectively do so, any objection that it may now or hereafter have to the laying of venue of any suit, action or proceeding arising out of or relating to this Agreement or the other Loan Documents in any court referred to in </w:t>
      </w:r>
      <w:r>
        <w:rPr>
          <w:rFonts w:ascii="Arial" w:cs="Arial" w:eastAsia="Arial" w:hAnsi="Arial"/>
          <w:sz w:val="20"/>
          <w:szCs w:val="20"/>
          <w:u w:val="single" w:color="auto"/>
          <w:color w:val="auto"/>
        </w:rPr>
        <w:t>paragraph (b)</w:t>
      </w:r>
      <w:r>
        <w:rPr>
          <w:rFonts w:ascii="Arial" w:cs="Arial" w:eastAsia="Arial" w:hAnsi="Arial"/>
          <w:sz w:val="20"/>
          <w:szCs w:val="20"/>
          <w:color w:val="auto"/>
        </w:rPr>
        <w:t xml:space="preserve"> of this Section. Each of the parties hereto hereby irrevocably waives, to the fullest extent permitted by applicable law, the defense of an inconvenient forum to the maintenance of such action or proceeding in any such court.</w:t>
      </w:r>
    </w:p>
    <w:p>
      <w:pPr>
        <w:spacing w:after="0" w:line="204" w:lineRule="exact"/>
        <w:rPr>
          <w:rFonts w:ascii="Arial" w:cs="Arial" w:eastAsia="Arial" w:hAnsi="Arial"/>
          <w:sz w:val="18"/>
          <w:szCs w:val="18"/>
          <w:color w:val="auto"/>
        </w:rPr>
      </w:pPr>
    </w:p>
    <w:p>
      <w:pPr>
        <w:jc w:val="both"/>
        <w:ind w:firstLine="1305"/>
        <w:spacing w:after="0" w:line="278" w:lineRule="auto"/>
        <w:tabs>
          <w:tab w:leader="none" w:pos="2080" w:val="left"/>
        </w:tabs>
        <w:numPr>
          <w:ilvl w:val="0"/>
          <w:numId w:val="111"/>
        </w:numPr>
        <w:rPr>
          <w:rFonts w:ascii="Arial" w:cs="Arial" w:eastAsia="Arial" w:hAnsi="Arial"/>
          <w:sz w:val="18"/>
          <w:szCs w:val="18"/>
          <w:color w:val="auto"/>
        </w:rPr>
      </w:pPr>
      <w:r>
        <w:rPr>
          <w:rFonts w:ascii="Arial" w:cs="Arial" w:eastAsia="Arial" w:hAnsi="Arial"/>
          <w:sz w:val="20"/>
          <w:szCs w:val="20"/>
          <w:color w:val="auto"/>
        </w:rPr>
        <w:t xml:space="preserve">Each of the parties hereto irrevocably consents to service of process in the manner provided for notices in </w:t>
      </w:r>
      <w:r>
        <w:rPr>
          <w:rFonts w:ascii="Arial" w:cs="Arial" w:eastAsia="Arial" w:hAnsi="Arial"/>
          <w:sz w:val="20"/>
          <w:szCs w:val="20"/>
          <w:u w:val="single" w:color="auto"/>
          <w:color w:val="auto"/>
        </w:rPr>
        <w:t>Section 10.1</w:t>
      </w:r>
      <w:r>
        <w:rPr>
          <w:rFonts w:ascii="Arial" w:cs="Arial" w:eastAsia="Arial" w:hAnsi="Arial"/>
          <w:sz w:val="20"/>
          <w:szCs w:val="20"/>
          <w:color w:val="auto"/>
        </w:rPr>
        <w:t>. Nothing in this Agreement will affect the right of any party to this Agreement to serve process in any other manner permitted by law.</w:t>
      </w:r>
    </w:p>
    <w:p>
      <w:pPr>
        <w:spacing w:after="0" w:line="200"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8"/>
          <w:szCs w:val="18"/>
          <w:color w:val="auto"/>
        </w:rPr>
        <w:t xml:space="preserve">Section 10.10 </w:t>
      </w:r>
      <w:r>
        <w:rPr>
          <w:rFonts w:ascii="Arial" w:cs="Arial" w:eastAsia="Arial" w:hAnsi="Arial"/>
          <w:sz w:val="19"/>
          <w:szCs w:val="19"/>
          <w:u w:val="single" w:color="auto"/>
          <w:color w:val="auto"/>
        </w:rPr>
        <w:t>WAIVER OF JURY TRIAL</w:t>
      </w:r>
      <w:r>
        <w:rPr>
          <w:rFonts w:ascii="Arial" w:cs="Arial" w:eastAsia="Arial" w:hAnsi="Arial"/>
          <w:sz w:val="19"/>
          <w:szCs w:val="19"/>
          <w:color w:val="auto"/>
        </w:rPr>
        <w:t>. EACH PARTY HERETO HEREBY WAIVES, TO THE FULLEST</w:t>
      </w:r>
      <w:r>
        <w:rPr>
          <w:rFonts w:ascii="Arial" w:cs="Arial" w:eastAsia="Arial" w:hAnsi="Arial"/>
          <w:sz w:val="18"/>
          <w:szCs w:val="18"/>
          <w:color w:val="auto"/>
        </w:rPr>
        <w:t xml:space="preserve"> </w:t>
      </w:r>
      <w:r>
        <w:rPr>
          <w:rFonts w:ascii="Arial" w:cs="Arial" w:eastAsia="Arial" w:hAnsi="Arial"/>
          <w:sz w:val="19"/>
          <w:szCs w:val="19"/>
          <w:color w:val="auto"/>
        </w:rPr>
        <w:t>EXTENT PERMITTED BY APPLICABLE LAW, ANY RIGHT IT MAY HAVE TO A TRIAL BY JURY IN ANY LEGAL PROCEEDING DIRECTLY OR INDIRECTLY ARISING OUT OF, UNDER OR RELATING TO THIS AGREEMENT OR THE TRANSACTIONS CONTEMPLATED HEREBY (WHETHER BASED ON CONTRACT, TORT OR ANY OTHER THEORY). EACH PARTY HERETO</w:t>
      </w:r>
    </w:p>
    <w:p>
      <w:pPr>
        <w:spacing w:after="0" w:line="3" w:lineRule="exact"/>
        <w:rPr>
          <w:sz w:val="20"/>
          <w:szCs w:val="20"/>
          <w:color w:val="auto"/>
        </w:rPr>
      </w:pPr>
    </w:p>
    <w:p>
      <w:pPr>
        <w:jc w:val="both"/>
        <w:ind w:firstLine="8"/>
        <w:spacing w:after="0" w:line="273" w:lineRule="auto"/>
        <w:tabs>
          <w:tab w:leader="none" w:pos="332" w:val="left"/>
        </w:tabs>
        <w:numPr>
          <w:ilvl w:val="0"/>
          <w:numId w:val="112"/>
        </w:numPr>
        <w:rPr>
          <w:rFonts w:ascii="Arial" w:cs="Arial" w:eastAsia="Arial" w:hAnsi="Arial"/>
          <w:sz w:val="20"/>
          <w:szCs w:val="20"/>
          <w:color w:val="auto"/>
        </w:rPr>
      </w:pPr>
      <w:r>
        <w:rPr>
          <w:rFonts w:ascii="Arial" w:cs="Arial" w:eastAsia="Arial" w:hAnsi="Arial"/>
          <w:sz w:val="20"/>
          <w:szCs w:val="20"/>
          <w:color w:val="auto"/>
        </w:rPr>
        <w:t>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AND THE OTHER LOAN DOCUMENTS TO WHICH IT IS A PARTY BY, AMONG OTHER THINGS, THE MUTUAL WAIVERS AND CERTIFICATIONS IN THIS SECTION.</w:t>
      </w:r>
    </w:p>
    <w:p>
      <w:pPr>
        <w:sectPr>
          <w:pgSz w:w="11900" w:h="16838" w:orient="portrait"/>
          <w:cols w:equalWidth="0" w:num="1">
            <w:col w:w="11420"/>
          </w:cols>
          <w:pgMar w:left="240" w:top="337" w:right="239" w:bottom="1440" w:gutter="0" w:footer="0" w:header="0"/>
        </w:sectPr>
      </w:pPr>
    </w:p>
    <w:bookmarkStart w:id="107" w:name="page108"/>
    <w:bookmarkEnd w:id="107"/>
    <w:tbl>
      <w:tblPr>
        <w:tblLayout w:type="fixed"/>
        <w:tblInd w:w="660" w:type="dxa"/>
        <w:tblCellMar>
          <w:top w:w="0" w:type="dxa"/>
          <w:left w:w="0" w:type="dxa"/>
          <w:bottom w:w="0" w:type="dxa"/>
          <w:right w:w="0" w:type="dxa"/>
        </w:tblCellMar>
      </w:tblPr>
      <w:tr>
        <w:trPr>
          <w:trHeight w:val="234"/>
        </w:trPr>
        <w:tc>
          <w:tcPr>
            <w:tcW w:w="2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700" w:type="dxa"/>
            <w:vAlign w:val="bottom"/>
          </w:tcPr>
          <w:p>
            <w:pPr>
              <w:ind w:left="7000"/>
              <w:spacing w:after="0"/>
              <w:rPr>
                <w:sz w:val="20"/>
                <w:szCs w:val="20"/>
                <w:color w:val="auto"/>
              </w:rPr>
            </w:pPr>
            <w:r>
              <w:rPr>
                <w:rFonts w:ascii="Arial" w:cs="Arial" w:eastAsia="Arial" w:hAnsi="Arial"/>
                <w:sz w:val="18"/>
                <w:szCs w:val="18"/>
                <w:b w:val="1"/>
                <w:bCs w:val="1"/>
                <w:color w:val="auto"/>
                <w:w w:val="90"/>
              </w:rPr>
              <w:t>Exhibit 4</w:t>
            </w:r>
          </w:p>
        </w:tc>
      </w:tr>
      <w:tr>
        <w:trPr>
          <w:trHeight w:val="446"/>
        </w:trPr>
        <w:tc>
          <w:tcPr>
            <w:tcW w:w="2300" w:type="dxa"/>
            <w:vAlign w:val="bottom"/>
          </w:tcPr>
          <w:p>
            <w:pPr>
              <w:spacing w:after="0"/>
              <w:rPr>
                <w:sz w:val="20"/>
                <w:szCs w:val="20"/>
                <w:color w:val="auto"/>
              </w:rPr>
            </w:pPr>
            <w:r>
              <w:rPr>
                <w:rFonts w:ascii="Arial" w:cs="Arial" w:eastAsia="Arial" w:hAnsi="Arial"/>
                <w:sz w:val="18"/>
                <w:szCs w:val="18"/>
                <w:color w:val="auto"/>
              </w:rPr>
              <w:t>Section 10.11</w:t>
            </w:r>
          </w:p>
        </w:tc>
        <w:tc>
          <w:tcPr>
            <w:tcW w:w="8460" w:type="dxa"/>
            <w:vAlign w:val="bottom"/>
            <w:gridSpan w:val="2"/>
          </w:tcPr>
          <w:p>
            <w:pPr>
              <w:spacing w:after="0"/>
              <w:rPr>
                <w:sz w:val="20"/>
                <w:szCs w:val="20"/>
                <w:color w:val="auto"/>
              </w:rPr>
            </w:pPr>
            <w:r>
              <w:rPr>
                <w:rFonts w:ascii="Arial" w:cs="Arial" w:eastAsia="Arial" w:hAnsi="Arial"/>
                <w:sz w:val="20"/>
                <w:szCs w:val="20"/>
                <w:color w:val="auto"/>
                <w:w w:val="93"/>
              </w:rPr>
              <w:t>Headings. Article and Section headings and the Table of Contents used herein are for convenience of</w:t>
            </w:r>
          </w:p>
        </w:tc>
      </w:tr>
      <w:tr>
        <w:trPr>
          <w:trHeight w:val="20"/>
        </w:trPr>
        <w:tc>
          <w:tcPr>
            <w:tcW w:w="23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r>
    </w:tbl>
    <w:p>
      <w:pPr>
        <w:spacing w:after="0" w:line="37" w:lineRule="exact"/>
        <w:rPr>
          <w:sz w:val="20"/>
          <w:szCs w:val="20"/>
          <w:color w:val="auto"/>
        </w:rPr>
      </w:pPr>
    </w:p>
    <w:p>
      <w:pPr>
        <w:jc w:val="both"/>
        <w:spacing w:after="0" w:line="289" w:lineRule="auto"/>
        <w:rPr>
          <w:sz w:val="20"/>
          <w:szCs w:val="20"/>
          <w:color w:val="auto"/>
        </w:rPr>
      </w:pPr>
      <w:r>
        <w:rPr>
          <w:rFonts w:ascii="Arial" w:cs="Arial" w:eastAsia="Arial" w:hAnsi="Arial"/>
          <w:sz w:val="20"/>
          <w:szCs w:val="20"/>
          <w:color w:val="auto"/>
        </w:rPr>
        <w:t>reference only, are not part of this Agreement and shall not affect the construction of, or be taken into consideration in interpreting, this Agreement.</w:t>
      </w:r>
    </w:p>
    <w:p>
      <w:pPr>
        <w:spacing w:after="0" w:line="18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8"/>
          <w:szCs w:val="18"/>
          <w:color w:val="auto"/>
        </w:rPr>
        <w:t xml:space="preserve">Section 10.12 </w:t>
      </w:r>
      <w:r>
        <w:rPr>
          <w:rFonts w:ascii="Arial" w:cs="Arial" w:eastAsia="Arial" w:hAnsi="Arial"/>
          <w:sz w:val="19"/>
          <w:szCs w:val="19"/>
          <w:u w:val="single" w:color="auto"/>
          <w:color w:val="auto"/>
        </w:rPr>
        <w:t>Interest Rate Limitation</w:t>
      </w:r>
      <w:r>
        <w:rPr>
          <w:rFonts w:ascii="Arial" w:cs="Arial" w:eastAsia="Arial" w:hAnsi="Arial"/>
          <w:sz w:val="19"/>
          <w:szCs w:val="19"/>
          <w:color w:val="auto"/>
        </w:rPr>
        <w:t>. Notwithstanding anything herein to the contrary, if at any time the interest rate</w:t>
      </w:r>
      <w:r>
        <w:rPr>
          <w:rFonts w:ascii="Arial" w:cs="Arial" w:eastAsia="Arial" w:hAnsi="Arial"/>
          <w:sz w:val="18"/>
          <w:szCs w:val="18"/>
          <w:color w:val="auto"/>
        </w:rPr>
        <w:t xml:space="preserve"> </w:t>
      </w:r>
      <w:r>
        <w:rPr>
          <w:rFonts w:ascii="Arial" w:cs="Arial" w:eastAsia="Arial" w:hAnsi="Arial"/>
          <w:sz w:val="19"/>
          <w:szCs w:val="19"/>
          <w:color w:val="auto"/>
        </w:rPr>
        <w:t>applicable to any Loan, together with all fees, charges and other amounts that are treated as interest thereon under applicable law (collectively the “</w:t>
      </w:r>
      <w:r>
        <w:rPr>
          <w:rFonts w:ascii="Arial" w:cs="Arial" w:eastAsia="Arial" w:hAnsi="Arial"/>
          <w:sz w:val="19"/>
          <w:szCs w:val="19"/>
          <w:u w:val="single" w:color="auto"/>
          <w:color w:val="auto"/>
        </w:rPr>
        <w:t>Charges</w:t>
      </w:r>
      <w:r>
        <w:rPr>
          <w:rFonts w:ascii="Arial" w:cs="Arial" w:eastAsia="Arial" w:hAnsi="Arial"/>
          <w:sz w:val="19"/>
          <w:szCs w:val="19"/>
          <w:color w:val="auto"/>
        </w:rPr>
        <w:t>”), shall exceed the maximum lawful rate (the “</w:t>
      </w:r>
      <w:r>
        <w:rPr>
          <w:rFonts w:ascii="Arial" w:cs="Arial" w:eastAsia="Arial" w:hAnsi="Arial"/>
          <w:sz w:val="19"/>
          <w:szCs w:val="19"/>
          <w:u w:val="single" w:color="auto"/>
          <w:color w:val="auto"/>
        </w:rPr>
        <w:t>Maximum Rate</w:t>
      </w:r>
      <w:r>
        <w:rPr>
          <w:rFonts w:ascii="Arial" w:cs="Arial" w:eastAsia="Arial" w:hAnsi="Arial"/>
          <w:sz w:val="19"/>
          <w:szCs w:val="19"/>
          <w:color w:val="auto"/>
        </w:rPr>
        <w:t>”) that may be contracted for, charged, taken, received or reserved by the Lender holding an interest in such Loan in accordance with applicable law, the rate of interest payable in respect of such Loan hereunder, together with all of the Charges payable in respect thereof, shall be limited to the Maximum Rate and, to the extent lawful, the interest and the Charges that would have been payable in respect of such Loan but were not payable as a result of the operation of this Section shall be cumulated, and the interest and the Charges payable to such Lender in respect of other Loans or periods shall be increased (but not above the Maximum Rate therefor) until such cumulated amount, together with interest thereon at the Federal Funds Effective Rate to the date of repayment, shall have been received by such Lender.</w:t>
      </w:r>
    </w:p>
    <w:p>
      <w:pPr>
        <w:spacing w:after="0" w:line="19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8"/>
          <w:szCs w:val="18"/>
          <w:color w:val="auto"/>
        </w:rPr>
        <w:t xml:space="preserve">Section 10.13 </w:t>
      </w:r>
      <w:r>
        <w:rPr>
          <w:rFonts w:ascii="Arial" w:cs="Arial" w:eastAsia="Arial" w:hAnsi="Arial"/>
          <w:sz w:val="19"/>
          <w:szCs w:val="19"/>
          <w:u w:val="single" w:color="auto"/>
          <w:color w:val="auto"/>
        </w:rPr>
        <w:t>Advertisement</w:t>
      </w:r>
      <w:r>
        <w:rPr>
          <w:rFonts w:ascii="Arial" w:cs="Arial" w:eastAsia="Arial" w:hAnsi="Arial"/>
          <w:sz w:val="19"/>
          <w:szCs w:val="19"/>
          <w:color w:val="auto"/>
        </w:rPr>
        <w:t>. The Borrower hereby authorizes JPMorgan Chase or any Affiliate thereof to publish the</w:t>
      </w:r>
      <w:r>
        <w:rPr>
          <w:rFonts w:ascii="Arial" w:cs="Arial" w:eastAsia="Arial" w:hAnsi="Arial"/>
          <w:sz w:val="18"/>
          <w:szCs w:val="18"/>
          <w:color w:val="auto"/>
        </w:rPr>
        <w:t xml:space="preserve"> </w:t>
      </w:r>
      <w:r>
        <w:rPr>
          <w:rFonts w:ascii="Arial" w:cs="Arial" w:eastAsia="Arial" w:hAnsi="Arial"/>
          <w:sz w:val="19"/>
          <w:szCs w:val="19"/>
          <w:color w:val="auto"/>
        </w:rPr>
        <w:t>name of the Borrower and the amount of the financing evidenced hereby in any “tombstone” or comparable advertisement that JPMorgan Chase or such Affiliate elects to publish at its own expense. In addition, the Borrower agrees that JPMorgan Chase or any Affiliates thereof may provide lending industry trade organizations with information necessary and customary for inclusion in league table measurements after the Effective Date.</w:t>
      </w:r>
    </w:p>
    <w:p>
      <w:pPr>
        <w:spacing w:after="0" w:line="19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8"/>
          <w:szCs w:val="18"/>
          <w:color w:val="auto"/>
        </w:rPr>
        <w:t xml:space="preserve">Section 10.14 </w:t>
      </w:r>
      <w:r>
        <w:rPr>
          <w:rFonts w:ascii="Arial" w:cs="Arial" w:eastAsia="Arial" w:hAnsi="Arial"/>
          <w:sz w:val="19"/>
          <w:szCs w:val="19"/>
          <w:u w:val="single" w:color="auto"/>
          <w:color w:val="auto"/>
        </w:rPr>
        <w:t>USA PATRIOT Act Notice</w:t>
      </w:r>
      <w:r>
        <w:rPr>
          <w:rFonts w:ascii="Arial" w:cs="Arial" w:eastAsia="Arial" w:hAnsi="Arial"/>
          <w:sz w:val="19"/>
          <w:szCs w:val="19"/>
          <w:color w:val="auto"/>
        </w:rPr>
        <w:t>. Each Lender that is subject to the requirements of the PATRIOT Act hereby</w:t>
      </w:r>
      <w:r>
        <w:rPr>
          <w:rFonts w:ascii="Arial" w:cs="Arial" w:eastAsia="Arial" w:hAnsi="Arial"/>
          <w:sz w:val="18"/>
          <w:szCs w:val="18"/>
          <w:color w:val="auto"/>
        </w:rPr>
        <w:t xml:space="preserve"> </w:t>
      </w:r>
      <w:r>
        <w:rPr>
          <w:rFonts w:ascii="Arial" w:cs="Arial" w:eastAsia="Arial" w:hAnsi="Arial"/>
          <w:sz w:val="19"/>
          <w:szCs w:val="19"/>
          <w:color w:val="auto"/>
        </w:rPr>
        <w:t>notifies the Borrower that such Lender is required to obtain, verify and record information that identifies the Borrower, which information includes the name, address, tax identification number of the Borrower and other information that will allow such Lender to identify the Borrower in accordance with the PATRIOT Act.</w:t>
      </w:r>
    </w:p>
    <w:p>
      <w:pPr>
        <w:spacing w:after="0" w:line="189" w:lineRule="exact"/>
        <w:rPr>
          <w:sz w:val="20"/>
          <w:szCs w:val="20"/>
          <w:color w:val="auto"/>
        </w:rPr>
      </w:pPr>
    </w:p>
    <w:p>
      <w:pPr>
        <w:jc w:val="both"/>
        <w:ind w:firstLine="648"/>
        <w:spacing w:after="0" w:line="299" w:lineRule="auto"/>
        <w:rPr>
          <w:sz w:val="20"/>
          <w:szCs w:val="20"/>
          <w:color w:val="auto"/>
        </w:rPr>
      </w:pPr>
      <w:r>
        <w:rPr>
          <w:rFonts w:ascii="Arial" w:cs="Arial" w:eastAsia="Arial" w:hAnsi="Arial"/>
          <w:sz w:val="17"/>
          <w:szCs w:val="17"/>
          <w:color w:val="auto"/>
        </w:rPr>
        <w:t xml:space="preserve">Section10.15 </w:t>
      </w:r>
      <w:r>
        <w:rPr>
          <w:rFonts w:ascii="Arial" w:cs="Arial" w:eastAsia="Arial" w:hAnsi="Arial"/>
          <w:sz w:val="18"/>
          <w:szCs w:val="18"/>
          <w:u w:val="single" w:color="auto"/>
          <w:color w:val="auto"/>
        </w:rPr>
        <w:t>Treatment of Certain Information</w:t>
      </w:r>
      <w:r>
        <w:rPr>
          <w:rFonts w:ascii="Arial" w:cs="Arial" w:eastAsia="Arial" w:hAnsi="Arial"/>
          <w:sz w:val="18"/>
          <w:szCs w:val="18"/>
          <w:color w:val="auto"/>
        </w:rPr>
        <w:t>. Each Credit Party agrees to keep confidential, in accordance with its</w:t>
      </w:r>
      <w:r>
        <w:rPr>
          <w:rFonts w:ascii="Arial" w:cs="Arial" w:eastAsia="Arial" w:hAnsi="Arial"/>
          <w:sz w:val="17"/>
          <w:szCs w:val="17"/>
          <w:color w:val="auto"/>
        </w:rPr>
        <w:t xml:space="preserve"> </w:t>
      </w:r>
      <w:r>
        <w:rPr>
          <w:rFonts w:ascii="Arial" w:cs="Arial" w:eastAsia="Arial" w:hAnsi="Arial"/>
          <w:sz w:val="18"/>
          <w:szCs w:val="18"/>
          <w:color w:val="auto"/>
        </w:rPr>
        <w:t>customary procedures for handling confidential information of the same nature, all confidential, proprietary or non-public information supplied by the Borrower or any Subsidiary pursuant to this Agreement relating to the Borrower, such Subsidiary or their respective businesses, including, without limitation, any financial statement, financial projections or forecasts, budget, Compliance Certificate, audit report, management letter or accountants’ certification delivered hereunder (“</w:t>
      </w:r>
      <w:r>
        <w:rPr>
          <w:rFonts w:ascii="Arial" w:cs="Arial" w:eastAsia="Arial" w:hAnsi="Arial"/>
          <w:sz w:val="18"/>
          <w:szCs w:val="18"/>
          <w:u w:val="single" w:color="auto"/>
          <w:color w:val="auto"/>
        </w:rPr>
        <w:t>Information</w:t>
      </w:r>
      <w:r>
        <w:rPr>
          <w:rFonts w:ascii="Arial" w:cs="Arial" w:eastAsia="Arial" w:hAnsi="Arial"/>
          <w:sz w:val="18"/>
          <w:szCs w:val="18"/>
          <w:color w:val="auto"/>
        </w:rPr>
        <w:t xml:space="preserve">”), provided that nothing herein shall limit the disclosure of any Information (a) to any of its respective Related Parties that needs to know such Information, (b) to the extent required by applicable laws or regulations or by any subpoena or similar legal process, or requested by any bank regulatory authority, (c) on a confidential basis, to any bona fide or potential assignee or participant in connection with the contemplated assignment or participation of any Loans or any participations therein or by any direct or indirect contractual counterparties (or the professional advisors thereto) to any swap or derivative transaction relating to the Borrower and its obligations (provided such assignees, participants, counterparties and advisors are advised of and agree to be bound by either the provisions of this </w:t>
      </w:r>
      <w:r>
        <w:rPr>
          <w:rFonts w:ascii="Arial" w:cs="Arial" w:eastAsia="Arial" w:hAnsi="Arial"/>
          <w:sz w:val="18"/>
          <w:szCs w:val="18"/>
          <w:u w:val="single" w:color="auto"/>
          <w:color w:val="auto"/>
        </w:rPr>
        <w:t>Section 10.15</w:t>
      </w:r>
      <w:r>
        <w:rPr>
          <w:rFonts w:ascii="Arial" w:cs="Arial" w:eastAsia="Arial" w:hAnsi="Arial"/>
          <w:sz w:val="18"/>
          <w:szCs w:val="18"/>
          <w:color w:val="auto"/>
        </w:rPr>
        <w:t xml:space="preserve"> or other provisions at least as restrictive as this </w:t>
      </w:r>
      <w:r>
        <w:rPr>
          <w:rFonts w:ascii="Arial" w:cs="Arial" w:eastAsia="Arial" w:hAnsi="Arial"/>
          <w:sz w:val="18"/>
          <w:szCs w:val="18"/>
          <w:u w:val="single" w:color="auto"/>
          <w:color w:val="auto"/>
        </w:rPr>
        <w:t>Section 10.15</w:t>
      </w:r>
      <w:r>
        <w:rPr>
          <w:rFonts w:ascii="Arial" w:cs="Arial" w:eastAsia="Arial" w:hAnsi="Arial"/>
          <w:sz w:val="18"/>
          <w:szCs w:val="18"/>
          <w:color w:val="auto"/>
        </w:rPr>
        <w:t>), (d) to auditors, accountants, consultants and advisors, and any analogous counterpart thereof, (e) to any other Credit Party, (f) in connection with the exercise of any remedies under this Agreement or any other Loan Document or any suit, action or proceeding relating to this Agreement or any other Loan Document or the enforcement of rights hereunder or thereunder, (g) on a confidential basis to (1) any rating agency in connection with rating the Borrower or its Subsidiaries or the term loan facility provided for herein or (2) the CUSIP Service Bureau or any similar agency in connection with the issuance and monitoring of CUSIP numbers with respect to the term loan facility provided for herein, (h) to the extent such Information (A) becomes publicly available other than as a result of a breach of this Agreement, (B) becomes available to any of the Credit Parties on a non-confidential basis from a source other than the Borrower or any of its Affiliates, (C) was available to the Credit Parties on a non-confidential basis prior to its disclosure to any of them by the Borrower or any of its Affiliates or (D) pertains to this Agreement and is of the type routinely provided by arrangers to data service providers, including league table providers, that serve the lending industry, and (i) to the extent the Borrower shall have consented to such disclosure in writing. Any Person required to maintain the confidentiality of Information as provided in this Section shall be considered to have complied with</w:t>
      </w:r>
    </w:p>
    <w:p>
      <w:pPr>
        <w:sectPr>
          <w:pgSz w:w="11900" w:h="16838" w:orient="portrait"/>
          <w:cols w:equalWidth="0" w:num="1">
            <w:col w:w="11420"/>
          </w:cols>
          <w:pgMar w:left="240" w:top="337" w:right="239" w:bottom="1440" w:gutter="0" w:footer="0" w:header="0"/>
        </w:sectPr>
      </w:pPr>
    </w:p>
    <w:bookmarkStart w:id="108" w:name="page109"/>
    <w:bookmarkEnd w:id="108"/>
    <w:p>
      <w:pPr>
        <w:ind w:left="10720"/>
        <w:spacing w:after="0"/>
        <w:rPr>
          <w:sz w:val="20"/>
          <w:szCs w:val="20"/>
          <w:color w:val="auto"/>
        </w:rPr>
      </w:pPr>
      <w:r>
        <w:rPr>
          <w:rFonts w:ascii="Arial" w:cs="Arial" w:eastAsia="Arial" w:hAnsi="Arial"/>
          <w:sz w:val="16"/>
          <w:szCs w:val="16"/>
          <w:b w:val="1"/>
          <w:bCs w:val="1"/>
          <w:color w:val="auto"/>
        </w:rPr>
        <w:t>Exhibit 4</w:t>
      </w:r>
    </w:p>
    <w:p>
      <w:pPr>
        <w:spacing w:after="0" w:line="290" w:lineRule="exact"/>
        <w:rPr>
          <w:sz w:val="20"/>
          <w:szCs w:val="20"/>
          <w:color w:val="auto"/>
        </w:rPr>
      </w:pPr>
    </w:p>
    <w:p>
      <w:pPr>
        <w:jc w:val="both"/>
        <w:spacing w:after="0" w:line="289" w:lineRule="auto"/>
        <w:rPr>
          <w:sz w:val="20"/>
          <w:szCs w:val="20"/>
          <w:color w:val="auto"/>
        </w:rPr>
      </w:pPr>
      <w:r>
        <w:rPr>
          <w:rFonts w:ascii="Arial" w:cs="Arial" w:eastAsia="Arial" w:hAnsi="Arial"/>
          <w:sz w:val="20"/>
          <w:szCs w:val="20"/>
          <w:color w:val="auto"/>
        </w:rPr>
        <w:t>its obligation to do so if such Person has exercised the same degree of care to maintain the confidentiality of such Information as such Person would accord to its own confidential information.</w:t>
      </w:r>
    </w:p>
    <w:p>
      <w:pPr>
        <w:spacing w:after="0" w:line="169"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0"/>
          <w:szCs w:val="20"/>
          <w:b w:val="1"/>
          <w:bCs w:val="1"/>
          <w:color w:val="auto"/>
        </w:rPr>
        <w:t>EACH LENDER ACKNOWLEDGES THAT INFORMATION AS DEFINED IN THE IMMEDIATELY PRECEDING PARAGRAPH FURNISHED TO IT PURSUANT TO THIS AGREEMENT MAY INCLUDE MATERIAL NON-PUBLIC INFORMATION CONCERNING THE BORROWER AND ITS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spacing w:after="0" w:line="15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b w:val="1"/>
          <w:bCs w:val="1"/>
          <w:color w:val="auto"/>
        </w:rPr>
        <w:t>ALL INFORMATION, INCLUDING REQUESTS FOR WAIVERS AND AMENDMENTS, FURNISHED BY THE BORROWER OR THE ADMINISTRATIVE AGENT PURSUANT TO, OR IN THE COURSE OF ADMINISTERING, THIS AGREEMENT WILL BE SYNDICATE-LEVEL INFORMATION, WHICH MAY CONTAIN MATERIAL NON-PUBLIC INFORMATION ABOUT THE BORROWER AND its RELATED PARTIES OR THEIR RESPECTIVE SECURITIES. ACCORDINGLY, EACH LENDER REPRESENTS TO THE BORROWER AND THE ADMINISTRATIVE AGENT THAT IT HAS IDENTIFIED IN ITS ADMINISTRATIVE QUESTIONNAIRE A CREDIT CONTACT WHO MAY RECEIVE INFORMATION THAT MAY CONTAIN MATERIAL NON-PUBLIC INFORMATION IN ACCORDANCE WITH ITS COMPLIANCE PROCEDURES AND APPLICABLE LAW.</w:t>
      </w:r>
    </w:p>
    <w:p>
      <w:pPr>
        <w:spacing w:after="0" w:line="18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7"/>
          <w:szCs w:val="17"/>
          <w:color w:val="auto"/>
        </w:rPr>
        <w:t xml:space="preserve">Section 10.16 </w:t>
      </w:r>
      <w:r>
        <w:rPr>
          <w:rFonts w:ascii="Arial" w:cs="Arial" w:eastAsia="Arial" w:hAnsi="Arial"/>
          <w:sz w:val="18"/>
          <w:szCs w:val="18"/>
          <w:u w:val="single" w:color="auto"/>
          <w:color w:val="auto"/>
        </w:rPr>
        <w:t>No Fiduciary Duty</w:t>
      </w:r>
      <w:r>
        <w:rPr>
          <w:rFonts w:ascii="Arial" w:cs="Arial" w:eastAsia="Arial" w:hAnsi="Arial"/>
          <w:sz w:val="18"/>
          <w:szCs w:val="18"/>
          <w:color w:val="auto"/>
        </w:rPr>
        <w:t>. The Administrative Agent, each Lender and their Affiliates (collectively, solely for</w:t>
      </w:r>
      <w:r>
        <w:rPr>
          <w:rFonts w:ascii="Arial" w:cs="Arial" w:eastAsia="Arial" w:hAnsi="Arial"/>
          <w:sz w:val="17"/>
          <w:szCs w:val="17"/>
          <w:color w:val="auto"/>
        </w:rPr>
        <w:t xml:space="preserve"> </w:t>
      </w:r>
      <w:r>
        <w:rPr>
          <w:rFonts w:ascii="Arial" w:cs="Arial" w:eastAsia="Arial" w:hAnsi="Arial"/>
          <w:sz w:val="18"/>
          <w:szCs w:val="18"/>
          <w:color w:val="auto"/>
        </w:rPr>
        <w:t>purposes of this paragraph, the “Lenders”), may have economic interests that conflict with those of the Borrower, their stockholders and/or their affiliates. The Borrower agrees that nothing in the Loan Documents or otherwise will be deemed to create an advisory, fiduciary or agency relationship or fiduciary or other implied duty between any Lender, on the one hand, and such Borrower, its stockholders or its affiliates, on the other. The Borrower acknowledges and agrees that (i) the transactions contemplated by the Loan Documents (including the exercise of rights and remedies hereunder and thereunder) are arm’s-length commercial transactions between the Lenders, on the one hand, and the Borrower, on the other, and (ii) in connection therewith and with the process leading thereto, (x) no Lender has assumed an advisory or fiduciary responsibility in favor of the Borrower, its stockholders or its affiliates with respect to the transactions contemplated hereby (or the exercise of rights or remedies with respect thereto) or the process leading thereto (irrespective of whether any Lender has advised, is currently advising or will advise the Borrower, its stockholders or its Affiliates on other matters) or any other obligation to the Borrower except the obligations expressly set forth in the Loan Documents and (y) each Lender is acting solely as principal and not as the agent or fiduciary of the Borrower, its management, stockholders, creditors or any other Person. The Borrower acknowledges and agrees that it has consulted its own legal and financial advisors to the extent it deemed appropriate and that it is responsible for making its own independent judgment with respect to such transactions and the process leading thereto. The Borrower agrees that it will not claim that any Lender has rendered advisory services of any nature or respect, or owes a fiduciary or similar duty to the Borrower, in connection with such transaction or the process leading thereto.</w:t>
      </w:r>
    </w:p>
    <w:p>
      <w:pPr>
        <w:spacing w:after="0" w:line="171"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The Borrower further acknowledges and agrees, and acknowledges its Subsidiaries’ understanding, that each Credit Party is a full service securities or banking firm engaged in securities trading and brokerage activities as well as providing investment banking and other financial services. In the ordinary course of business, any Credit Party may provide investment banking and other financial services to, and/or acquire, hold or sell, for its own accounts and the accounts of customers, equity, debt and other securities and financial instruments (including bank loans and other obligations) of, the Borrower and other companies with which it may have commercial or other relationships. With respect to any securities and/or financial instruments so held by any Credit Party or any of its customers, all rights in respect of such securities and financial instruments, including any voting rights, will be exercised by the holder of the rights, in its sole discretion.</w:t>
      </w:r>
    </w:p>
    <w:p>
      <w:pPr>
        <w:sectPr>
          <w:pgSz w:w="11900" w:h="16838" w:orient="portrait"/>
          <w:cols w:equalWidth="0" w:num="1">
            <w:col w:w="11420"/>
          </w:cols>
          <w:pgMar w:left="240" w:top="337" w:right="239" w:bottom="1440" w:gutter="0" w:footer="0" w:header="0"/>
        </w:sectPr>
      </w:pPr>
    </w:p>
    <w:bookmarkStart w:id="109" w:name="page110"/>
    <w:bookmarkEnd w:id="109"/>
    <w:p>
      <w:pPr>
        <w:ind w:left="10720"/>
        <w:spacing w:after="0"/>
        <w:rPr>
          <w:sz w:val="20"/>
          <w:szCs w:val="20"/>
          <w:color w:val="auto"/>
        </w:rPr>
      </w:pPr>
      <w:r>
        <w:rPr>
          <w:rFonts w:ascii="Arial" w:cs="Arial" w:eastAsia="Arial" w:hAnsi="Arial"/>
          <w:sz w:val="16"/>
          <w:szCs w:val="16"/>
          <w:b w:val="1"/>
          <w:bCs w:val="1"/>
          <w:color w:val="auto"/>
        </w:rPr>
        <w:t>Exhibit 4</w:t>
      </w:r>
    </w:p>
    <w:p>
      <w:pPr>
        <w:spacing w:after="0" w:line="277"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In addition, the Borrower acknowledges and agrees, and acknowledges its Subsidiaries’ understanding, that each Credit Party and its affiliates may be providing debt financing, equity capital or other services (including financial advisory services) to other companies in respect of which the Borrower or its Subsidiaries may have conflicting interests regarding the transactions described herein and otherwise. No Credit Party will use confidential information obtained from the Borrower by virtue of the transactions contemplated by the Loan Documents or its other relationships with the Borrower in connection with the performance by such Credit Party of services for other companies, and no Credit Party will furnish any such information to other companies. The Borrower also acknowledges that no Credit Party has any obligation to use in connection with the transactions contemplated by the Loan Documents, or to furnish to the Borrower, confidential information obtained from other companies.</w:t>
      </w:r>
    </w:p>
    <w:p>
      <w:pPr>
        <w:spacing w:after="0" w:line="184" w:lineRule="exact"/>
        <w:rPr>
          <w:sz w:val="20"/>
          <w:szCs w:val="20"/>
          <w:color w:val="auto"/>
        </w:rPr>
      </w:pPr>
    </w:p>
    <w:p>
      <w:pPr>
        <w:ind w:left="660"/>
        <w:spacing w:after="0"/>
        <w:tabs>
          <w:tab w:leader="none" w:pos="2980" w:val="left"/>
        </w:tabs>
        <w:rPr>
          <w:sz w:val="20"/>
          <w:szCs w:val="20"/>
          <w:color w:val="auto"/>
        </w:rPr>
      </w:pPr>
      <w:r>
        <w:rPr>
          <w:rFonts w:ascii="Arial" w:cs="Arial" w:eastAsia="Arial" w:hAnsi="Arial"/>
          <w:sz w:val="18"/>
          <w:szCs w:val="18"/>
          <w:color w:val="auto"/>
        </w:rPr>
        <w:t>Section 10.17</w:t>
      </w:r>
      <w:r>
        <w:rPr>
          <w:sz w:val="20"/>
          <w:szCs w:val="20"/>
          <w:color w:val="auto"/>
        </w:rPr>
        <w:tab/>
      </w:r>
      <w:r>
        <w:rPr>
          <w:rFonts w:ascii="Arial" w:cs="Arial" w:eastAsia="Arial" w:hAnsi="Arial"/>
          <w:sz w:val="18"/>
          <w:szCs w:val="18"/>
          <w:u w:val="single" w:color="auto"/>
          <w:color w:val="auto"/>
        </w:rPr>
        <w:t>Acknowledgment and Consent to Bail-In of EEA Financial Institutions</w:t>
      </w:r>
      <w:r>
        <w:rPr>
          <w:rFonts w:ascii="Arial" w:cs="Arial" w:eastAsia="Arial" w:hAnsi="Arial"/>
          <w:sz w:val="18"/>
          <w:szCs w:val="18"/>
          <w:color w:val="auto"/>
        </w:rPr>
        <w:t>. Notwithstanding anything to the</w:t>
      </w:r>
    </w:p>
    <w:p>
      <w:pPr>
        <w:spacing w:after="0" w:line="50" w:lineRule="exact"/>
        <w:rPr>
          <w:sz w:val="20"/>
          <w:szCs w:val="20"/>
          <w:color w:val="auto"/>
        </w:rPr>
      </w:pPr>
    </w:p>
    <w:p>
      <w:pPr>
        <w:jc w:val="both"/>
        <w:spacing w:after="0" w:line="299" w:lineRule="auto"/>
        <w:rPr>
          <w:sz w:val="20"/>
          <w:szCs w:val="20"/>
          <w:color w:val="auto"/>
        </w:rPr>
      </w:pPr>
      <w:r>
        <w:rPr>
          <w:rFonts w:ascii="Arial" w:cs="Arial" w:eastAsia="Arial" w:hAnsi="Arial"/>
          <w:sz w:val="19"/>
          <w:szCs w:val="19"/>
          <w:color w:val="auto"/>
        </w:rPr>
        <w:t>contrary in any Loan Document or in any other agreement, arrangement or understanding among any such parties, each party hereto acknowledges that any liability of any EEA Financial Institution arising under any Loan Document may be subject to the Write-Down and Conversion Powers of an EEA Resolution Authority and agrees and consents to, and acknowledges and agrees to be bound by:</w:t>
      </w:r>
    </w:p>
    <w:p>
      <w:pPr>
        <w:spacing w:after="0" w:line="183" w:lineRule="exact"/>
        <w:rPr>
          <w:sz w:val="20"/>
          <w:szCs w:val="20"/>
          <w:color w:val="auto"/>
        </w:rPr>
      </w:pPr>
    </w:p>
    <w:p>
      <w:pPr>
        <w:ind w:left="660" w:firstLine="1293"/>
        <w:spacing w:after="0" w:line="289" w:lineRule="auto"/>
        <w:tabs>
          <w:tab w:leader="none" w:pos="2730" w:val="left"/>
        </w:tabs>
        <w:numPr>
          <w:ilvl w:val="1"/>
          <w:numId w:val="113"/>
        </w:numPr>
        <w:rPr>
          <w:rFonts w:ascii="Arial" w:cs="Arial" w:eastAsia="Arial" w:hAnsi="Arial"/>
          <w:sz w:val="18"/>
          <w:szCs w:val="18"/>
          <w:color w:val="auto"/>
        </w:rPr>
      </w:pPr>
      <w:r>
        <w:rPr>
          <w:rFonts w:ascii="Arial" w:cs="Arial" w:eastAsia="Arial" w:hAnsi="Arial"/>
          <w:sz w:val="20"/>
          <w:szCs w:val="20"/>
          <w:color w:val="auto"/>
        </w:rPr>
        <w:t>the application of any Write-Down and Conversion Powers by an EEA Resolution Authority to any such liabilities arising hereunder which may be payable to it by any party hereto that is an EEA Financial Institution; and</w:t>
      </w:r>
    </w:p>
    <w:p>
      <w:pPr>
        <w:spacing w:after="0" w:line="188"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b.the effects of any Bail-In Action on any such liability, including, if applicable:</w:t>
      </w:r>
    </w:p>
    <w:p>
      <w:pPr>
        <w:spacing w:after="0" w:line="279" w:lineRule="exact"/>
        <w:rPr>
          <w:rFonts w:ascii="Arial" w:cs="Arial" w:eastAsia="Arial" w:hAnsi="Arial"/>
          <w:sz w:val="18"/>
          <w:szCs w:val="18"/>
          <w:color w:val="auto"/>
        </w:rPr>
      </w:pPr>
    </w:p>
    <w:p>
      <w:pPr>
        <w:ind w:left="2700" w:hanging="747"/>
        <w:spacing w:after="0"/>
        <w:tabs>
          <w:tab w:leader="none" w:pos="2700" w:val="left"/>
        </w:tabs>
        <w:numPr>
          <w:ilvl w:val="1"/>
          <w:numId w:val="114"/>
        </w:numPr>
        <w:rPr>
          <w:rFonts w:ascii="Arial" w:cs="Arial" w:eastAsia="Arial" w:hAnsi="Arial"/>
          <w:sz w:val="18"/>
          <w:szCs w:val="18"/>
          <w:color w:val="auto"/>
        </w:rPr>
      </w:pPr>
      <w:r>
        <w:rPr>
          <w:rFonts w:ascii="Arial" w:cs="Arial" w:eastAsia="Arial" w:hAnsi="Arial"/>
          <w:sz w:val="20"/>
          <w:szCs w:val="20"/>
          <w:color w:val="auto"/>
        </w:rPr>
        <w:t>a reduction in full or in part or cancellation of any such liability;</w:t>
      </w:r>
    </w:p>
    <w:p>
      <w:pPr>
        <w:spacing w:after="0" w:line="256" w:lineRule="exact"/>
        <w:rPr>
          <w:sz w:val="20"/>
          <w:szCs w:val="20"/>
          <w:color w:val="auto"/>
        </w:rPr>
      </w:pPr>
    </w:p>
    <w:p>
      <w:pPr>
        <w:jc w:val="both"/>
        <w:ind w:left="1300" w:firstLine="653"/>
        <w:spacing w:after="0" w:line="274" w:lineRule="auto"/>
        <w:tabs>
          <w:tab w:leader="none" w:pos="2741" w:val="left"/>
        </w:tabs>
        <w:numPr>
          <w:ilvl w:val="0"/>
          <w:numId w:val="115"/>
        </w:numPr>
        <w:rPr>
          <w:rFonts w:ascii="Arial" w:cs="Arial" w:eastAsia="Arial" w:hAnsi="Arial"/>
          <w:sz w:val="18"/>
          <w:szCs w:val="18"/>
          <w:color w:val="auto"/>
        </w:rPr>
      </w:pPr>
      <w:r>
        <w:rPr>
          <w:rFonts w:ascii="Arial" w:cs="Arial" w:eastAsia="Arial" w:hAnsi="Arial"/>
          <w:sz w:val="20"/>
          <w:szCs w:val="20"/>
          <w:color w:val="auto"/>
        </w:rPr>
        <w:t>a conversion of all, or a portion of, such liability into shares or other instruments of ownership in such EEA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205" w:lineRule="exact"/>
        <w:rPr>
          <w:rFonts w:ascii="Arial" w:cs="Arial" w:eastAsia="Arial" w:hAnsi="Arial"/>
          <w:sz w:val="18"/>
          <w:szCs w:val="18"/>
          <w:color w:val="auto"/>
        </w:rPr>
      </w:pPr>
    </w:p>
    <w:p>
      <w:pPr>
        <w:ind w:left="1300" w:firstLine="653"/>
        <w:spacing w:after="0" w:line="289" w:lineRule="auto"/>
        <w:tabs>
          <w:tab w:leader="none" w:pos="2791" w:val="left"/>
        </w:tabs>
        <w:numPr>
          <w:ilvl w:val="0"/>
          <w:numId w:val="115"/>
        </w:numPr>
        <w:rPr>
          <w:rFonts w:ascii="Arial" w:cs="Arial" w:eastAsia="Arial" w:hAnsi="Arial"/>
          <w:sz w:val="18"/>
          <w:szCs w:val="18"/>
          <w:color w:val="auto"/>
        </w:rPr>
      </w:pPr>
      <w:r>
        <w:rPr>
          <w:rFonts w:ascii="Arial" w:cs="Arial" w:eastAsia="Arial" w:hAnsi="Arial"/>
          <w:sz w:val="20"/>
          <w:szCs w:val="20"/>
          <w:color w:val="auto"/>
        </w:rPr>
        <w:t>the variation of the terms of such liability in connection with the exercise of the Write-Down and Conversion Powers of any EEA Resolution Authority.</w:t>
      </w:r>
    </w:p>
    <w:p>
      <w:pPr>
        <w:spacing w:after="0" w:line="189" w:lineRule="exact"/>
        <w:rPr>
          <w:sz w:val="20"/>
          <w:szCs w:val="20"/>
          <w:color w:val="auto"/>
        </w:rPr>
      </w:pPr>
    </w:p>
    <w:p>
      <w:pPr>
        <w:ind w:left="660"/>
        <w:spacing w:after="0"/>
        <w:tabs>
          <w:tab w:leader="none" w:pos="2960" w:val="left"/>
        </w:tabs>
        <w:rPr>
          <w:sz w:val="20"/>
          <w:szCs w:val="20"/>
          <w:color w:val="auto"/>
        </w:rPr>
      </w:pPr>
      <w:r>
        <w:rPr>
          <w:rFonts w:ascii="Arial" w:cs="Arial" w:eastAsia="Arial" w:hAnsi="Arial"/>
          <w:sz w:val="18"/>
          <w:szCs w:val="18"/>
          <w:color w:val="auto"/>
        </w:rPr>
        <w:t>Section 10.18</w:t>
      </w:r>
      <w:r>
        <w:rPr>
          <w:sz w:val="20"/>
          <w:szCs w:val="20"/>
          <w:color w:val="auto"/>
        </w:rPr>
        <w:tab/>
      </w:r>
      <w:r>
        <w:rPr>
          <w:rFonts w:ascii="Arial" w:cs="Arial" w:eastAsia="Arial" w:hAnsi="Arial"/>
          <w:sz w:val="19"/>
          <w:szCs w:val="19"/>
          <w:u w:val="single" w:color="auto"/>
          <w:color w:val="auto"/>
        </w:rPr>
        <w:t>Acknowledgement Regarding Any Supported QFC</w:t>
      </w:r>
      <w:r>
        <w:rPr>
          <w:rFonts w:ascii="Arial" w:cs="Arial" w:eastAsia="Arial" w:hAnsi="Arial"/>
          <w:sz w:val="19"/>
          <w:szCs w:val="19"/>
          <w:color w:val="auto"/>
        </w:rPr>
        <w:t>. To the extent that the Loan Documents provide</w:t>
      </w:r>
    </w:p>
    <w:p>
      <w:pPr>
        <w:spacing w:after="0" w:line="38"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support, through a guarantee or otherwise, for Swap Agreements or any other agreement or instrument that is a QFC (such support “QFC Credit Support” and each such QFC a “Supported QFC”),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“U.S. Special Resolution Regimes”)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ectPr>
          <w:pgSz w:w="11900" w:h="16838" w:orient="portrait"/>
          <w:cols w:equalWidth="0" w:num="1">
            <w:col w:w="11420"/>
          </w:cols>
          <w:pgMar w:left="240" w:top="337" w:right="239" w:bottom="1440" w:gutter="0" w:footer="0" w:header="0"/>
        </w:sectPr>
      </w:pPr>
    </w:p>
    <w:bookmarkStart w:id="110" w:name="page111"/>
    <w:bookmarkEnd w:id="110"/>
    <w:p>
      <w:pPr>
        <w:ind w:left="10720"/>
        <w:spacing w:after="0"/>
        <w:rPr>
          <w:sz w:val="20"/>
          <w:szCs w:val="20"/>
          <w:color w:val="auto"/>
        </w:rPr>
      </w:pPr>
      <w:r>
        <w:rPr>
          <w:rFonts w:ascii="Arial" w:cs="Arial" w:eastAsia="Arial" w:hAnsi="Arial"/>
          <w:sz w:val="16"/>
          <w:szCs w:val="16"/>
          <w:b w:val="1"/>
          <w:bCs w:val="1"/>
          <w:color w:val="auto"/>
        </w:rPr>
        <w:t>Exhibit 4</w:t>
      </w:r>
    </w:p>
    <w:p>
      <w:pPr>
        <w:spacing w:after="0" w:line="27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In the event a Covered Entity that is party to a Supported QFC (each, a “</w:t>
      </w:r>
      <w:r>
        <w:rPr>
          <w:rFonts w:ascii="Arial" w:cs="Arial" w:eastAsia="Arial" w:hAnsi="Arial"/>
          <w:sz w:val="18"/>
          <w:szCs w:val="18"/>
          <w:u w:val="single" w:color="auto"/>
          <w:color w:val="auto"/>
        </w:rPr>
        <w:t>Covered Party</w:t>
      </w:r>
      <w:r>
        <w:rPr>
          <w:rFonts w:ascii="Arial" w:cs="Arial" w:eastAsia="Arial" w:hAnsi="Arial"/>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pages follow]</w:t>
      </w:r>
    </w:p>
    <w:p>
      <w:pPr>
        <w:sectPr>
          <w:pgSz w:w="11900" w:h="16838" w:orient="portrait"/>
          <w:cols w:equalWidth="0" w:num="1">
            <w:col w:w="11420"/>
          </w:cols>
          <w:pgMar w:left="240" w:top="337"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4</w:t>
      </w:r>
    </w:p>
    <w:p>
      <w:pPr>
        <w:spacing w:after="0" w:line="200" w:lineRule="exact"/>
        <w:rPr>
          <w:sz w:val="20"/>
          <w:szCs w:val="20"/>
          <w:color w:val="auto"/>
        </w:rPr>
      </w:pPr>
    </w:p>
    <w:p>
      <w:pPr>
        <w:spacing w:after="0" w:line="270"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IN WITNESS WHEREOF, the parties hereto have caused this Agreement to be duly executed by their respective authorized officers as of the day and year first above written.</w:t>
      </w:r>
    </w:p>
    <w:p>
      <w:pPr>
        <w:spacing w:after="0" w:line="35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ALLETE, INC., as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w:t>
      </w:r>
    </w:p>
    <w:p>
      <w:pPr>
        <w:spacing w:after="0" w:line="200" w:lineRule="exact"/>
        <w:rPr>
          <w:sz w:val="20"/>
          <w:szCs w:val="20"/>
          <w:color w:val="auto"/>
        </w:rPr>
      </w:pPr>
    </w:p>
    <w:p>
      <w:pPr>
        <w:spacing w:after="0" w:line="23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w:t>
      </w:r>
    </w:p>
    <w:p>
      <w:pPr>
        <w:spacing w:after="0" w:line="200" w:lineRule="exact"/>
        <w:rPr>
          <w:sz w:val="20"/>
          <w:szCs w:val="20"/>
          <w:color w:val="auto"/>
        </w:rPr>
      </w:pPr>
    </w:p>
    <w:p>
      <w:pPr>
        <w:spacing w:after="0" w:line="23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900"/>
        <w:spacing w:after="0"/>
        <w:rPr>
          <w:sz w:val="20"/>
          <w:szCs w:val="20"/>
          <w:color w:val="auto"/>
        </w:rPr>
      </w:pPr>
      <w:r>
        <w:rPr>
          <w:rFonts w:ascii="Arial" w:cs="Arial" w:eastAsia="Arial" w:hAnsi="Arial"/>
          <w:sz w:val="19"/>
          <w:szCs w:val="19"/>
          <w:color w:val="auto"/>
        </w:rPr>
        <w:t>JPMORGAN CHASE BANK, N.A., individually as a Lender and as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w:t>
      </w:r>
    </w:p>
    <w:p>
      <w:pPr>
        <w:spacing w:after="0" w:line="200" w:lineRule="exact"/>
        <w:rPr>
          <w:sz w:val="20"/>
          <w:szCs w:val="20"/>
          <w:color w:val="auto"/>
        </w:rPr>
      </w:pPr>
    </w:p>
    <w:p>
      <w:pPr>
        <w:spacing w:after="0" w:line="23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w:t>
      </w:r>
    </w:p>
    <w:p>
      <w:pPr>
        <w:spacing w:after="0" w:line="200" w:lineRule="exact"/>
        <w:rPr>
          <w:sz w:val="20"/>
          <w:szCs w:val="20"/>
          <w:color w:val="auto"/>
        </w:rPr>
      </w:pPr>
    </w:p>
    <w:p>
      <w:pPr>
        <w:spacing w:after="0" w:line="23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BANK OF AMERICA, N.A., individually as a Lender and as Syndication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w:t>
      </w:r>
    </w:p>
    <w:p>
      <w:pPr>
        <w:spacing w:after="0" w:line="200" w:lineRule="exact"/>
        <w:rPr>
          <w:sz w:val="20"/>
          <w:szCs w:val="20"/>
          <w:color w:val="auto"/>
        </w:rPr>
      </w:pPr>
    </w:p>
    <w:p>
      <w:pPr>
        <w:spacing w:after="0" w:line="23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w:t>
      </w:r>
    </w:p>
    <w:p>
      <w:pPr>
        <w:spacing w:after="0" w:line="200" w:lineRule="exact"/>
        <w:rPr>
          <w:sz w:val="20"/>
          <w:szCs w:val="20"/>
          <w:color w:val="auto"/>
        </w:rPr>
      </w:pPr>
    </w:p>
    <w:p>
      <w:pPr>
        <w:spacing w:after="0" w:line="23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Title:</w:t>
      </w:r>
    </w:p>
    <w:p>
      <w:pPr>
        <w:sectPr>
          <w:pgSz w:w="11900" w:h="16838" w:orient="portrait"/>
          <w:cols w:equalWidth="0" w:num="1">
            <w:col w:w="11420"/>
          </w:cols>
          <w:pgMar w:left="240" w:top="337"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4</w:t>
      </w:r>
    </w:p>
    <w:p>
      <w:pPr>
        <w:spacing w:after="0" w:line="248" w:lineRule="exact"/>
        <w:rPr>
          <w:sz w:val="20"/>
          <w:szCs w:val="20"/>
          <w:color w:val="auto"/>
        </w:rPr>
      </w:pPr>
    </w:p>
    <w:p>
      <w:pPr>
        <w:jc w:val="center"/>
        <w:ind w:right="420"/>
        <w:spacing w:after="0"/>
        <w:rPr>
          <w:sz w:val="20"/>
          <w:szCs w:val="20"/>
          <w:color w:val="auto"/>
        </w:rPr>
      </w:pPr>
      <w:r>
        <w:rPr>
          <w:rFonts w:ascii="Arial" w:cs="Arial" w:eastAsia="Arial" w:hAnsi="Arial"/>
          <w:sz w:val="20"/>
          <w:szCs w:val="20"/>
          <w:b w:val="1"/>
          <w:bCs w:val="1"/>
          <w:color w:val="auto"/>
        </w:rPr>
        <w:t>SCHEDULE 2.1</w:t>
      </w:r>
    </w:p>
    <w:p>
      <w:pPr>
        <w:spacing w:after="0" w:line="189" w:lineRule="exact"/>
        <w:rPr>
          <w:sz w:val="20"/>
          <w:szCs w:val="20"/>
          <w:color w:val="auto"/>
        </w:rPr>
      </w:pPr>
    </w:p>
    <w:p>
      <w:pPr>
        <w:jc w:val="center"/>
        <w:ind w:right="420"/>
        <w:spacing w:after="0"/>
        <w:rPr>
          <w:sz w:val="20"/>
          <w:szCs w:val="20"/>
          <w:color w:val="auto"/>
        </w:rPr>
      </w:pPr>
      <w:r>
        <w:rPr>
          <w:rFonts w:ascii="Arial" w:cs="Arial" w:eastAsia="Arial" w:hAnsi="Arial"/>
          <w:sz w:val="20"/>
          <w:szCs w:val="20"/>
          <w:b w:val="1"/>
          <w:bCs w:val="1"/>
          <w:u w:val="single" w:color="auto"/>
          <w:color w:val="auto"/>
        </w:rPr>
        <w:t>LIST OF EXISTING LOANS AND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374650</wp:posOffset>
            </wp:positionV>
            <wp:extent cx="6732270" cy="909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32270" cy="90932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3260" w:type="dxa"/>
            <w:vAlign w:val="bottom"/>
          </w:tcPr>
          <w:p>
            <w:pPr>
              <w:ind w:left="700"/>
              <w:spacing w:after="0"/>
              <w:rPr>
                <w:sz w:val="20"/>
                <w:szCs w:val="20"/>
                <w:color w:val="auto"/>
              </w:rPr>
            </w:pPr>
            <w:r>
              <w:rPr>
                <w:rFonts w:ascii="Arial" w:cs="Arial" w:eastAsia="Arial" w:hAnsi="Arial"/>
                <w:sz w:val="20"/>
                <w:szCs w:val="20"/>
                <w:b w:val="1"/>
                <w:bCs w:val="1"/>
                <w:color w:val="auto"/>
                <w:w w:val="93"/>
              </w:rPr>
              <w:t>Commitment for Incremental</w:t>
            </w:r>
          </w:p>
        </w:tc>
        <w:tc>
          <w:tcPr>
            <w:tcW w:w="2700" w:type="dxa"/>
            <w:vAlign w:val="bottom"/>
          </w:tcPr>
          <w:p>
            <w:pPr>
              <w:spacing w:after="0"/>
              <w:rPr>
                <w:sz w:val="19"/>
                <w:szCs w:val="19"/>
                <w:color w:val="auto"/>
              </w:rPr>
            </w:pPr>
          </w:p>
        </w:tc>
      </w:tr>
      <w:tr>
        <w:trPr>
          <w:trHeight w:val="256"/>
        </w:trPr>
        <w:tc>
          <w:tcPr>
            <w:tcW w:w="2520" w:type="dxa"/>
            <w:vAlign w:val="bottom"/>
          </w:tcPr>
          <w:p>
            <w:pPr>
              <w:ind w:left="40"/>
              <w:spacing w:after="0"/>
              <w:rPr>
                <w:sz w:val="20"/>
                <w:szCs w:val="20"/>
                <w:color w:val="auto"/>
              </w:rPr>
            </w:pPr>
            <w:r>
              <w:rPr>
                <w:rFonts w:ascii="Arial" w:cs="Arial" w:eastAsia="Arial" w:hAnsi="Arial"/>
                <w:sz w:val="20"/>
                <w:szCs w:val="20"/>
                <w:b w:val="1"/>
                <w:bCs w:val="1"/>
                <w:color w:val="auto"/>
              </w:rPr>
              <w:t>LENDER</w:t>
            </w:r>
          </w:p>
        </w:tc>
        <w:tc>
          <w:tcPr>
            <w:tcW w:w="2120" w:type="dxa"/>
            <w:vAlign w:val="bottom"/>
          </w:tcPr>
          <w:p>
            <w:pPr>
              <w:ind w:left="160"/>
              <w:spacing w:after="0"/>
              <w:rPr>
                <w:sz w:val="20"/>
                <w:szCs w:val="20"/>
                <w:color w:val="auto"/>
              </w:rPr>
            </w:pPr>
            <w:r>
              <w:rPr>
                <w:rFonts w:ascii="Arial" w:cs="Arial" w:eastAsia="Arial" w:hAnsi="Arial"/>
                <w:sz w:val="20"/>
                <w:szCs w:val="20"/>
                <w:b w:val="1"/>
                <w:bCs w:val="1"/>
                <w:color w:val="auto"/>
              </w:rPr>
              <w:t>Existing Loans</w:t>
            </w:r>
          </w:p>
        </w:tc>
        <w:tc>
          <w:tcPr>
            <w:tcW w:w="3260" w:type="dxa"/>
            <w:vAlign w:val="bottom"/>
          </w:tcPr>
          <w:p>
            <w:pPr>
              <w:ind w:left="700"/>
              <w:spacing w:after="0"/>
              <w:rPr>
                <w:sz w:val="20"/>
                <w:szCs w:val="20"/>
                <w:color w:val="auto"/>
              </w:rPr>
            </w:pPr>
            <w:r>
              <w:rPr>
                <w:rFonts w:ascii="Arial" w:cs="Arial" w:eastAsia="Arial" w:hAnsi="Arial"/>
                <w:sz w:val="20"/>
                <w:szCs w:val="20"/>
                <w:b w:val="1"/>
                <w:bCs w:val="1"/>
                <w:color w:val="auto"/>
              </w:rPr>
              <w:t>Loan</w:t>
            </w:r>
          </w:p>
        </w:tc>
        <w:tc>
          <w:tcPr>
            <w:tcW w:w="2700" w:type="dxa"/>
            <w:vAlign w:val="bottom"/>
          </w:tcPr>
          <w:p>
            <w:pPr>
              <w:ind w:left="80"/>
              <w:spacing w:after="0"/>
              <w:rPr>
                <w:sz w:val="20"/>
                <w:szCs w:val="20"/>
                <w:color w:val="auto"/>
              </w:rPr>
            </w:pPr>
            <w:r>
              <w:rPr>
                <w:rFonts w:ascii="Arial" w:cs="Arial" w:eastAsia="Arial" w:hAnsi="Arial"/>
                <w:sz w:val="20"/>
                <w:szCs w:val="20"/>
                <w:b w:val="1"/>
                <w:bCs w:val="1"/>
                <w:color w:val="auto"/>
              </w:rPr>
              <w:t>Total</w:t>
            </w:r>
          </w:p>
        </w:tc>
      </w:tr>
      <w:tr>
        <w:trPr>
          <w:trHeight w:val="23"/>
        </w:trPr>
        <w:tc>
          <w:tcPr>
            <w:tcW w:w="25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r>
      <w:tr>
        <w:trPr>
          <w:trHeight w:val="254"/>
        </w:trPr>
        <w:tc>
          <w:tcPr>
            <w:tcW w:w="2520" w:type="dxa"/>
            <w:vAlign w:val="bottom"/>
          </w:tcPr>
          <w:p>
            <w:pPr>
              <w:ind w:left="40"/>
              <w:spacing w:after="0"/>
              <w:rPr>
                <w:sz w:val="20"/>
                <w:szCs w:val="20"/>
                <w:color w:val="auto"/>
              </w:rPr>
            </w:pPr>
            <w:r>
              <w:rPr>
                <w:rFonts w:ascii="Arial" w:cs="Arial" w:eastAsia="Arial" w:hAnsi="Arial"/>
                <w:sz w:val="20"/>
                <w:szCs w:val="20"/>
                <w:color w:val="auto"/>
                <w:w w:val="96"/>
              </w:rPr>
              <w:t>JPMorgan Chase Bank, N.A.</w:t>
            </w:r>
          </w:p>
        </w:tc>
        <w:tc>
          <w:tcPr>
            <w:tcW w:w="2120" w:type="dxa"/>
            <w:vAlign w:val="bottom"/>
          </w:tcPr>
          <w:p>
            <w:pPr>
              <w:ind w:left="160"/>
              <w:spacing w:after="0"/>
              <w:rPr>
                <w:sz w:val="20"/>
                <w:szCs w:val="20"/>
                <w:color w:val="auto"/>
              </w:rPr>
            </w:pPr>
            <w:r>
              <w:rPr>
                <w:rFonts w:ascii="Arial" w:cs="Arial" w:eastAsia="Arial" w:hAnsi="Arial"/>
                <w:sz w:val="20"/>
                <w:szCs w:val="20"/>
                <w:color w:val="auto"/>
              </w:rPr>
              <w:t>$5,000,000</w:t>
            </w:r>
          </w:p>
        </w:tc>
        <w:tc>
          <w:tcPr>
            <w:tcW w:w="3260" w:type="dxa"/>
            <w:vAlign w:val="bottom"/>
          </w:tcPr>
          <w:p>
            <w:pPr>
              <w:ind w:left="700"/>
              <w:spacing w:after="0"/>
              <w:rPr>
                <w:sz w:val="20"/>
                <w:szCs w:val="20"/>
                <w:color w:val="auto"/>
              </w:rPr>
            </w:pPr>
            <w:r>
              <w:rPr>
                <w:rFonts w:ascii="Arial" w:cs="Arial" w:eastAsia="Arial" w:hAnsi="Arial"/>
                <w:sz w:val="20"/>
                <w:szCs w:val="20"/>
                <w:color w:val="auto"/>
              </w:rPr>
              <w:t>$50,000,000</w:t>
            </w:r>
          </w:p>
        </w:tc>
        <w:tc>
          <w:tcPr>
            <w:tcW w:w="2700" w:type="dxa"/>
            <w:vAlign w:val="bottom"/>
          </w:tcPr>
          <w:p>
            <w:pPr>
              <w:ind w:left="80"/>
              <w:spacing w:after="0"/>
              <w:rPr>
                <w:sz w:val="20"/>
                <w:szCs w:val="20"/>
                <w:color w:val="auto"/>
              </w:rPr>
            </w:pPr>
            <w:r>
              <w:rPr>
                <w:rFonts w:ascii="Arial" w:cs="Arial" w:eastAsia="Arial" w:hAnsi="Arial"/>
                <w:sz w:val="20"/>
                <w:szCs w:val="20"/>
                <w:color w:val="auto"/>
              </w:rPr>
              <w:t>$55,000,000</w:t>
            </w:r>
          </w:p>
        </w:tc>
      </w:tr>
      <w:tr>
        <w:trPr>
          <w:trHeight w:val="23"/>
        </w:trPr>
        <w:tc>
          <w:tcPr>
            <w:tcW w:w="25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r>
      <w:tr>
        <w:trPr>
          <w:trHeight w:val="254"/>
        </w:trPr>
        <w:tc>
          <w:tcPr>
            <w:tcW w:w="2520" w:type="dxa"/>
            <w:vAlign w:val="bottom"/>
          </w:tcPr>
          <w:p>
            <w:pPr>
              <w:ind w:left="40"/>
              <w:spacing w:after="0"/>
              <w:rPr>
                <w:sz w:val="20"/>
                <w:szCs w:val="20"/>
                <w:color w:val="auto"/>
              </w:rPr>
            </w:pPr>
            <w:r>
              <w:rPr>
                <w:rFonts w:ascii="Arial" w:cs="Arial" w:eastAsia="Arial" w:hAnsi="Arial"/>
                <w:sz w:val="20"/>
                <w:szCs w:val="20"/>
                <w:color w:val="auto"/>
              </w:rPr>
              <w:t>Bank of America, N.A.</w:t>
            </w:r>
          </w:p>
        </w:tc>
        <w:tc>
          <w:tcPr>
            <w:tcW w:w="2120" w:type="dxa"/>
            <w:vAlign w:val="bottom"/>
          </w:tcPr>
          <w:p>
            <w:pPr>
              <w:ind w:left="160"/>
              <w:spacing w:after="0"/>
              <w:rPr>
                <w:sz w:val="20"/>
                <w:szCs w:val="20"/>
                <w:color w:val="auto"/>
              </w:rPr>
            </w:pPr>
            <w:r>
              <w:rPr>
                <w:rFonts w:ascii="Arial" w:cs="Arial" w:eastAsia="Arial" w:hAnsi="Arial"/>
                <w:sz w:val="20"/>
                <w:szCs w:val="20"/>
                <w:color w:val="auto"/>
              </w:rPr>
              <w:t>$5,000,000</w:t>
            </w:r>
          </w:p>
        </w:tc>
        <w:tc>
          <w:tcPr>
            <w:tcW w:w="3260" w:type="dxa"/>
            <w:vAlign w:val="bottom"/>
          </w:tcPr>
          <w:p>
            <w:pPr>
              <w:ind w:left="700"/>
              <w:spacing w:after="0"/>
              <w:rPr>
                <w:sz w:val="20"/>
                <w:szCs w:val="20"/>
                <w:color w:val="auto"/>
              </w:rPr>
            </w:pPr>
            <w:r>
              <w:rPr>
                <w:rFonts w:ascii="Arial" w:cs="Arial" w:eastAsia="Arial" w:hAnsi="Arial"/>
                <w:sz w:val="20"/>
                <w:szCs w:val="20"/>
                <w:color w:val="auto"/>
              </w:rPr>
              <w:t>$50,000,000</w:t>
            </w:r>
          </w:p>
        </w:tc>
        <w:tc>
          <w:tcPr>
            <w:tcW w:w="2700" w:type="dxa"/>
            <w:vAlign w:val="bottom"/>
          </w:tcPr>
          <w:p>
            <w:pPr>
              <w:ind w:left="80"/>
              <w:spacing w:after="0"/>
              <w:rPr>
                <w:sz w:val="20"/>
                <w:szCs w:val="20"/>
                <w:color w:val="auto"/>
              </w:rPr>
            </w:pPr>
            <w:r>
              <w:rPr>
                <w:rFonts w:ascii="Arial" w:cs="Arial" w:eastAsia="Arial" w:hAnsi="Arial"/>
                <w:sz w:val="20"/>
                <w:szCs w:val="20"/>
                <w:color w:val="auto"/>
              </w:rPr>
              <w:t>$55,000,000</w:t>
            </w:r>
          </w:p>
        </w:tc>
      </w:tr>
      <w:tr>
        <w:trPr>
          <w:trHeight w:val="23"/>
        </w:trPr>
        <w:tc>
          <w:tcPr>
            <w:tcW w:w="25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r>
      <w:tr>
        <w:trPr>
          <w:trHeight w:val="254"/>
        </w:trPr>
        <w:tc>
          <w:tcPr>
            <w:tcW w:w="2520" w:type="dxa"/>
            <w:vAlign w:val="bottom"/>
          </w:tcPr>
          <w:p>
            <w:pPr>
              <w:ind w:left="40"/>
              <w:spacing w:after="0"/>
              <w:rPr>
                <w:sz w:val="20"/>
                <w:szCs w:val="20"/>
                <w:color w:val="auto"/>
              </w:rPr>
            </w:pPr>
            <w:r>
              <w:rPr>
                <w:rFonts w:ascii="Arial" w:cs="Arial" w:eastAsia="Arial" w:hAnsi="Arial"/>
                <w:sz w:val="20"/>
                <w:szCs w:val="20"/>
                <w:b w:val="1"/>
                <w:bCs w:val="1"/>
                <w:color w:val="auto"/>
              </w:rPr>
              <w:t>Total</w:t>
            </w:r>
          </w:p>
        </w:tc>
        <w:tc>
          <w:tcPr>
            <w:tcW w:w="2120" w:type="dxa"/>
            <w:vAlign w:val="bottom"/>
          </w:tcPr>
          <w:p>
            <w:pPr>
              <w:ind w:left="160"/>
              <w:spacing w:after="0"/>
              <w:rPr>
                <w:sz w:val="20"/>
                <w:szCs w:val="20"/>
                <w:color w:val="auto"/>
              </w:rPr>
            </w:pPr>
            <w:r>
              <w:rPr>
                <w:rFonts w:ascii="Arial" w:cs="Arial" w:eastAsia="Arial" w:hAnsi="Arial"/>
                <w:sz w:val="20"/>
                <w:szCs w:val="20"/>
                <w:b w:val="1"/>
                <w:bCs w:val="1"/>
                <w:color w:val="auto"/>
              </w:rPr>
              <w:t>$10,000,000</w:t>
            </w:r>
          </w:p>
        </w:tc>
        <w:tc>
          <w:tcPr>
            <w:tcW w:w="3260" w:type="dxa"/>
            <w:vAlign w:val="bottom"/>
          </w:tcPr>
          <w:p>
            <w:pPr>
              <w:ind w:left="700"/>
              <w:spacing w:after="0"/>
              <w:rPr>
                <w:sz w:val="20"/>
                <w:szCs w:val="20"/>
                <w:color w:val="auto"/>
              </w:rPr>
            </w:pPr>
            <w:r>
              <w:rPr>
                <w:rFonts w:ascii="Arial" w:cs="Arial" w:eastAsia="Arial" w:hAnsi="Arial"/>
                <w:sz w:val="20"/>
                <w:szCs w:val="20"/>
                <w:b w:val="1"/>
                <w:bCs w:val="1"/>
                <w:color w:val="auto"/>
              </w:rPr>
              <w:t>$100,000,000</w:t>
            </w:r>
          </w:p>
        </w:tc>
        <w:tc>
          <w:tcPr>
            <w:tcW w:w="2700" w:type="dxa"/>
            <w:vAlign w:val="bottom"/>
          </w:tcPr>
          <w:p>
            <w:pPr>
              <w:ind w:left="80"/>
              <w:spacing w:after="0"/>
              <w:rPr>
                <w:sz w:val="20"/>
                <w:szCs w:val="20"/>
                <w:color w:val="auto"/>
              </w:rPr>
            </w:pPr>
            <w:r>
              <w:rPr>
                <w:rFonts w:ascii="Arial" w:cs="Arial" w:eastAsia="Arial" w:hAnsi="Arial"/>
                <w:sz w:val="20"/>
                <w:szCs w:val="20"/>
                <w:b w:val="1"/>
                <w:bCs w:val="1"/>
                <w:color w:val="auto"/>
              </w:rPr>
              <w:t>$110,000,000</w:t>
            </w:r>
          </w:p>
        </w:tc>
      </w:tr>
    </w:tbl>
    <w:p>
      <w:pPr>
        <w:spacing w:after="0" w:line="20" w:lineRule="exact"/>
        <w:rPr>
          <w:sz w:val="20"/>
          <w:szCs w:val="20"/>
          <w:color w:val="auto"/>
        </w:rPr>
      </w:pPr>
    </w:p>
    <w:p>
      <w:pPr>
        <w:jc w:val="center"/>
        <w:ind w:right="400"/>
        <w:spacing w:after="0"/>
        <w:rPr>
          <w:sz w:val="20"/>
          <w:szCs w:val="20"/>
          <w:color w:val="auto"/>
        </w:rPr>
      </w:pPr>
      <w:r>
        <w:rPr>
          <w:rFonts w:ascii="Arial" w:cs="Arial" w:eastAsia="Arial" w:hAnsi="Arial"/>
          <w:sz w:val="20"/>
          <w:szCs w:val="20"/>
          <w:color w:val="auto"/>
        </w:rPr>
        <w:t>Schedule 4.5/4.6</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ALLETE Amended and Restated Term Loan Agreement</w:t>
      </w:r>
    </w:p>
    <w:p>
      <w:pPr>
        <w:spacing w:after="0" w:line="7" w:lineRule="exact"/>
        <w:rPr>
          <w:sz w:val="20"/>
          <w:szCs w:val="20"/>
          <w:color w:val="auto"/>
        </w:rPr>
      </w:pPr>
    </w:p>
    <w:p>
      <w:pPr>
        <w:jc w:val="center"/>
        <w:ind w:right="420"/>
        <w:spacing w:after="0"/>
        <w:rPr>
          <w:sz w:val="20"/>
          <w:szCs w:val="20"/>
          <w:color w:val="auto"/>
        </w:rPr>
      </w:pPr>
      <w:r>
        <w:rPr>
          <w:rFonts w:ascii="Arial" w:cs="Arial" w:eastAsia="Arial" w:hAnsi="Arial"/>
          <w:sz w:val="20"/>
          <w:szCs w:val="20"/>
          <w:b w:val="1"/>
          <w:bCs w:val="1"/>
          <w:color w:val="auto"/>
        </w:rPr>
        <w:t>SCHEDULE 4.5/4.6</w:t>
      </w:r>
    </w:p>
    <w:p>
      <w:pPr>
        <w:spacing w:after="0" w:line="167" w:lineRule="exact"/>
        <w:rPr>
          <w:sz w:val="20"/>
          <w:szCs w:val="20"/>
          <w:color w:val="auto"/>
        </w:rPr>
      </w:pPr>
    </w:p>
    <w:p>
      <w:pPr>
        <w:jc w:val="center"/>
        <w:ind w:right="420"/>
        <w:spacing w:after="0"/>
        <w:rPr>
          <w:sz w:val="20"/>
          <w:szCs w:val="20"/>
          <w:color w:val="auto"/>
        </w:rPr>
      </w:pPr>
      <w:r>
        <w:rPr>
          <w:rFonts w:ascii="Arial" w:cs="Arial" w:eastAsia="Arial" w:hAnsi="Arial"/>
          <w:sz w:val="20"/>
          <w:szCs w:val="20"/>
          <w:b w:val="1"/>
          <w:bCs w:val="1"/>
          <w:u w:val="single" w:color="auto"/>
          <w:color w:val="auto"/>
        </w:rPr>
        <w:t>DISCLOSED MATTERS</w:t>
      </w:r>
    </w:p>
    <w:p>
      <w:pPr>
        <w:spacing w:after="0" w:line="222" w:lineRule="exact"/>
        <w:rPr>
          <w:sz w:val="20"/>
          <w:szCs w:val="20"/>
          <w:color w:val="auto"/>
        </w:rPr>
      </w:pPr>
    </w:p>
    <w:p>
      <w:pPr>
        <w:jc w:val="center"/>
        <w:ind w:right="420"/>
        <w:spacing w:after="0"/>
        <w:rPr>
          <w:sz w:val="20"/>
          <w:szCs w:val="20"/>
          <w:color w:val="auto"/>
        </w:rPr>
      </w:pPr>
      <w:r>
        <w:rPr>
          <w:rFonts w:ascii="Arial" w:cs="Arial" w:eastAsia="Arial" w:hAnsi="Arial"/>
          <w:sz w:val="20"/>
          <w:szCs w:val="20"/>
          <w:color w:val="auto"/>
        </w:rPr>
        <w:t>None.</w:t>
      </w:r>
    </w:p>
    <w:p>
      <w:pPr>
        <w:sectPr>
          <w:pgSz w:w="11900" w:h="16838" w:orient="portrait"/>
          <w:cols w:equalWidth="0" w:num="1">
            <w:col w:w="11000"/>
          </w:cols>
          <w:pgMar w:left="660" w:top="337" w:right="2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4</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SCHEDULE 4.10</w:t>
      </w:r>
    </w:p>
    <w:p>
      <w:pPr>
        <w:spacing w:after="0" w:line="189" w:lineRule="exact"/>
        <w:rPr>
          <w:sz w:val="20"/>
          <w:szCs w:val="20"/>
          <w:color w:val="auto"/>
        </w:rPr>
      </w:pPr>
    </w:p>
    <w:p>
      <w:pPr>
        <w:jc w:val="center"/>
        <w:spacing w:after="0" w:line="256" w:lineRule="auto"/>
        <w:rPr>
          <w:sz w:val="20"/>
          <w:szCs w:val="20"/>
          <w:color w:val="auto"/>
        </w:rPr>
      </w:pPr>
      <w:r>
        <w:rPr>
          <w:rFonts w:ascii="Arial" w:cs="Arial" w:eastAsia="Arial" w:hAnsi="Arial"/>
          <w:sz w:val="20"/>
          <w:szCs w:val="20"/>
          <w:b w:val="1"/>
          <w:bCs w:val="1"/>
          <w:u w:val="single" w:color="auto"/>
          <w:color w:val="auto"/>
        </w:rPr>
        <w:t>LIST OF SUBSIDIARIES</w:t>
      </w:r>
      <w:r>
        <w:rPr>
          <w:rFonts w:ascii="Arial" w:cs="Arial" w:eastAsia="Arial" w:hAnsi="Arial"/>
          <w:sz w:val="20"/>
          <w:szCs w:val="20"/>
          <w:b w:val="1"/>
          <w:bCs w:val="1"/>
          <w:color w:val="auto"/>
        </w:rPr>
        <w:t xml:space="preserve">  </w:t>
      </w:r>
      <w:r>
        <w:rPr>
          <w:rFonts w:ascii="Arial" w:cs="Arial" w:eastAsia="Arial" w:hAnsi="Arial"/>
          <w:sz w:val="16"/>
          <w:szCs w:val="16"/>
          <w:color w:val="auto"/>
        </w:rPr>
        <w:t>Unless otherwise specified, the Equity Interests in each Subsidiary are owned 100% by the Subsidiary identified above it, with first-tier</w:t>
      </w:r>
      <w:r>
        <w:rPr>
          <w:rFonts w:ascii="Arial" w:cs="Arial" w:eastAsia="Arial" w:hAnsi="Arial"/>
          <w:sz w:val="20"/>
          <w:szCs w:val="20"/>
          <w:b w:val="1"/>
          <w:bCs w:val="1"/>
          <w:color w:val="auto"/>
        </w:rPr>
        <w:t xml:space="preserve"> </w:t>
      </w:r>
      <w:r>
        <w:rPr>
          <w:rFonts w:ascii="Arial" w:cs="Arial" w:eastAsia="Arial" w:hAnsi="Arial"/>
          <w:sz w:val="16"/>
          <w:szCs w:val="16"/>
          <w:color w:val="auto"/>
        </w:rPr>
        <w:t>Subsidiaries’ Equity Interests owned 100% by ALLETE,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ALLETE Automotive Services,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ALLETE Enterprises, Inc.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ALLETE Clean Energy, Inc.</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ACE O&amp;M, LLC</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ACE Wind LLC</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ACE Mid-West Holdings, LLC</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MWW Holdings, LLC</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Lake Benton Power Associates LLC</w:t>
      </w:r>
    </w:p>
    <w:p>
      <w:pPr>
        <w:spacing w:after="0" w:line="9"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Lake Benton Holdings LLC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Lake Benton Power Partners L.L.C.</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Storm Lake Power Partners I LLC</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Storm Lake II Power Associates LLC</w:t>
      </w:r>
    </w:p>
    <w:p>
      <w:pPr>
        <w:spacing w:after="0" w:line="9"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Storm Lake II Holdings LLC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Storm Lake Power Partners II LLC</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Great American Wind West, LLC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Glen Ullin Energy Center, LLC</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Northern Wind Energy, LLC</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Chanarambie Power Partners, LLC</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Viking Wind Holdings, LLC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Viking Wind Partners, LLC</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Buffalo Ridge Wind Farm, LLC</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Moulton Heights Wind Power Project, LLC</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Muncie Power Partners, LLC</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North Ridge Wind Farm, LLC</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Vandy South Project, LLC</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Viking Wind Farm, LLC</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Vindy Power Partners, LLC</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Wilson-West Wind Farm, LLC</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MINNIGAN HOLDCO, LLC</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ACE Gopher Holdings, LLC</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ACE Lincoln Heights Holdings, LLC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Windy Dog - I, LLC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Wally’s Wind Farm, LLC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Roadrunner - I, LLC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Salty Dog - I, LLC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Salty Dog - II, LLC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Breezy Bucks - I, LLC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Breezy Bucks - II, LLC</w:t>
      </w:r>
    </w:p>
    <w:p>
      <w:pPr>
        <w:spacing w:after="0" w:line="9" w:lineRule="exact"/>
        <w:rPr>
          <w:sz w:val="20"/>
          <w:szCs w:val="20"/>
          <w:color w:val="auto"/>
        </w:rPr>
      </w:pPr>
    </w:p>
    <w:p>
      <w:pPr>
        <w:ind w:left="3900"/>
        <w:spacing w:after="0"/>
        <w:tabs>
          <w:tab w:leader="none" w:pos="6160" w:val="left"/>
        </w:tabs>
        <w:rPr>
          <w:sz w:val="20"/>
          <w:szCs w:val="20"/>
          <w:color w:val="auto"/>
        </w:rPr>
      </w:pPr>
      <w:r>
        <w:rPr>
          <w:rFonts w:ascii="Arial" w:cs="Arial" w:eastAsia="Arial" w:hAnsi="Arial"/>
          <w:sz w:val="18"/>
          <w:szCs w:val="18"/>
          <w:color w:val="auto"/>
        </w:rPr>
        <w:t>DAJAW Transmission, LLC</w:t>
      </w:r>
      <w:r>
        <w:rPr>
          <w:sz w:val="20"/>
          <w:szCs w:val="20"/>
          <w:color w:val="auto"/>
        </w:rPr>
        <w:tab/>
      </w:r>
      <w:r>
        <w:rPr>
          <w:rFonts w:ascii="Arial" w:cs="Arial" w:eastAsia="Arial" w:hAnsi="Arial"/>
          <w:sz w:val="15"/>
          <w:szCs w:val="15"/>
          <w:color w:val="auto"/>
        </w:rPr>
        <w:t>The limited liability companies in the tier above DAJAW, LLC each own 14.3%</w:t>
      </w:r>
    </w:p>
    <w:p>
      <w:pPr>
        <w:spacing w:after="0" w:line="13"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of DAJAW, LLC.</w:t>
      </w:r>
    </w:p>
    <w:p>
      <w:pPr>
        <w:spacing w:after="0" w:line="22"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Cisco Holdings, LLC</w:t>
      </w:r>
    </w:p>
    <w:p>
      <w:pPr>
        <w:spacing w:after="0" w:line="1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Christoffer Wind Energy I LLC</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Christoffer Wind Energy II LLC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Christoffer Wind Energy III LLC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Christoffer Wind Energy IV LLC</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 xml:space="preserve">Cisco Wind Energy, LLC </w:t>
      </w:r>
      <w:r>
        <w:rPr>
          <w:rFonts w:ascii="Arial" w:cs="Arial" w:eastAsia="Arial" w:hAnsi="Arial"/>
          <w:sz w:val="15"/>
          <w:szCs w:val="15"/>
          <w:color w:val="auto"/>
        </w:rPr>
        <w:t>The limited liability companies in the tier above Cisco Wind Energy, LLC each own 25% of Cisco Wind Energy,</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LLC.</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ACE West Holdings, LLC</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Condon Wind Power, LLC</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South Peak Wind, LLC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Armenia Holdings, LLC</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AMW I Holding, LLC</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Armenia Mountain Wind, LLC</w:t>
      </w:r>
    </w:p>
    <w:p>
      <w:pPr>
        <w:sectPr>
          <w:pgSz w:w="11900" w:h="16838" w:orient="portrait"/>
          <w:cols w:equalWidth="0" w:num="1">
            <w:col w:w="11420"/>
          </w:cols>
          <w:pgMar w:left="240" w:top="337" w:right="2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4</w:t>
      </w:r>
    </w:p>
    <w:p>
      <w:pPr>
        <w:spacing w:after="0" w:line="256"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Armenia Mountain Wind II, LLC</w:t>
      </w:r>
    </w:p>
    <w:p>
      <w:pPr>
        <w:spacing w:after="0" w:line="23"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ACE South Holdings, LLC</w:t>
      </w:r>
    </w:p>
    <w:p>
      <w:pPr>
        <w:spacing w:after="0" w:line="9"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Diamond Spring, LLC</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Diamond Spring Renewables, LLC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Thunder Spirit Wind, LLC</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ALLETE Power Systems, Inc.</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ALLETE Renewable Resources, Inc.</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ALLETE South Wind, LLC</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ALLETE Transmission Holdings, Inc.</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BNI Energy, Inc.</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BNI Coal, Ltd.</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MP Affiliate Resources, Inc.</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Rainy River Energy Corporation</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South Shore Energy, LLC</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Upper Minnesota Properties, Inc.</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Upper Minnesota Properties - Development,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ALLETE Properties, LLC</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ALLETE Commercial, LLC</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Lehigh Acquisition, LLC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Florida Landmark Communities, LLC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Lehigh Corporation</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Mardem, LLC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Palm Coast Holdings, Inc.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Port Orange Holdings, LLC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Interlachen Lakes Estates,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Palm Coast Land,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ALLETE Water Services, Inc.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Florida Water Services Corporation</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Energy Replacement Property,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Energy Land, 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Lakeview Financial Corporation 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Lakeview Financial Corporation 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MP Investments,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RendField Land Company,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Superior Water, Light and Power Company</w:t>
      </w:r>
    </w:p>
    <w:p>
      <w:pPr>
        <w:sectPr>
          <w:pgSz w:w="11900" w:h="16838" w:orient="portrait"/>
          <w:cols w:equalWidth="0" w:num="1">
            <w:col w:w="11420"/>
          </w:cols>
          <w:pgMar w:left="240" w:top="337" w:right="2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4</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EXHIBIT A</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FORM OF ASSIGNMENT AND ASSUMPTION</w:t>
      </w:r>
    </w:p>
    <w:p>
      <w:pPr>
        <w:spacing w:after="0" w:line="200" w:lineRule="exact"/>
        <w:rPr>
          <w:sz w:val="20"/>
          <w:szCs w:val="20"/>
          <w:color w:val="auto"/>
        </w:rPr>
      </w:pPr>
    </w:p>
    <w:p>
      <w:pPr>
        <w:spacing w:after="0" w:line="23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9"/>
          <w:szCs w:val="19"/>
          <w:color w:val="auto"/>
        </w:rPr>
        <w:t>This Assignment and Assumption (the “</w:t>
      </w:r>
      <w:r>
        <w:rPr>
          <w:rFonts w:ascii="Arial" w:cs="Arial" w:eastAsia="Arial" w:hAnsi="Arial"/>
          <w:sz w:val="19"/>
          <w:szCs w:val="19"/>
          <w:u w:val="single" w:color="auto"/>
          <w:color w:val="auto"/>
        </w:rPr>
        <w:t>Assignment and Assumption</w:t>
      </w:r>
      <w:r>
        <w:rPr>
          <w:rFonts w:ascii="Arial" w:cs="Arial" w:eastAsia="Arial" w:hAnsi="Arial"/>
          <w:sz w:val="19"/>
          <w:szCs w:val="19"/>
          <w:color w:val="auto"/>
        </w:rPr>
        <w:t xml:space="preserve">”) is dated as of the Effective Date set forth below and is entered into by and between [the] [each] </w:t>
      </w:r>
      <w:r>
        <w:rPr>
          <w:rFonts w:ascii="Arial" w:cs="Arial" w:eastAsia="Arial" w:hAnsi="Arial"/>
          <w:sz w:val="15"/>
          <w:szCs w:val="15"/>
          <w:color w:val="auto"/>
        </w:rPr>
        <w:t>For bracketed language here and elsewhere in this form relating to the Assignor(s), if the assignment is from a single Assignor,</w:t>
      </w:r>
      <w:r>
        <w:rPr>
          <w:rFonts w:ascii="Arial" w:cs="Arial" w:eastAsia="Arial" w:hAnsi="Arial"/>
          <w:sz w:val="19"/>
          <w:szCs w:val="19"/>
          <w:color w:val="auto"/>
        </w:rPr>
        <w:t xml:space="preserve"> </w:t>
      </w:r>
      <w:r>
        <w:rPr>
          <w:rFonts w:ascii="Arial" w:cs="Arial" w:eastAsia="Arial" w:hAnsi="Arial"/>
          <w:sz w:val="15"/>
          <w:szCs w:val="15"/>
          <w:color w:val="auto"/>
        </w:rPr>
        <w:t xml:space="preserve">choose the first bracketed language. If the assignment is from multiple Assignors, choose the second bracketed language. </w:t>
      </w:r>
      <w:r>
        <w:rPr>
          <w:rFonts w:ascii="Arial" w:cs="Arial" w:eastAsia="Arial" w:hAnsi="Arial"/>
          <w:sz w:val="18"/>
          <w:szCs w:val="18"/>
          <w:color w:val="auto"/>
        </w:rPr>
        <w:t>Assignor identified in item 1 below ([the]</w:t>
      </w:r>
      <w:r>
        <w:rPr>
          <w:rFonts w:ascii="Arial" w:cs="Arial" w:eastAsia="Arial" w:hAnsi="Arial"/>
          <w:sz w:val="15"/>
          <w:szCs w:val="15"/>
          <w:color w:val="auto"/>
        </w:rPr>
        <w:t xml:space="preserve"> </w:t>
      </w:r>
      <w:r>
        <w:rPr>
          <w:rFonts w:ascii="Arial" w:cs="Arial" w:eastAsia="Arial" w:hAnsi="Arial"/>
          <w:sz w:val="18"/>
          <w:szCs w:val="18"/>
          <w:color w:val="auto"/>
        </w:rPr>
        <w:t>[each, an] “</w:t>
      </w:r>
      <w:r>
        <w:rPr>
          <w:rFonts w:ascii="Arial" w:cs="Arial" w:eastAsia="Arial" w:hAnsi="Arial"/>
          <w:sz w:val="18"/>
          <w:szCs w:val="18"/>
          <w:u w:val="single" w:color="auto"/>
          <w:color w:val="auto"/>
        </w:rPr>
        <w:t>Assignor</w:t>
      </w:r>
      <w:r>
        <w:rPr>
          <w:rFonts w:ascii="Arial" w:cs="Arial" w:eastAsia="Arial" w:hAnsi="Arial"/>
          <w:sz w:val="18"/>
          <w:szCs w:val="18"/>
          <w:color w:val="auto"/>
        </w:rPr>
        <w:t xml:space="preserve">”) and [the][each] </w:t>
      </w:r>
      <w:r>
        <w:rPr>
          <w:rFonts w:ascii="Arial" w:cs="Arial" w:eastAsia="Arial" w:hAnsi="Arial"/>
          <w:sz w:val="15"/>
          <w:szCs w:val="15"/>
          <w:color w:val="auto"/>
        </w:rPr>
        <w:t>For bracketed language here and elsewhere in this form relating to the Assignee(s), if the assignment is to a single Assignee,</w:t>
      </w:r>
      <w:r>
        <w:rPr>
          <w:rFonts w:ascii="Arial" w:cs="Arial" w:eastAsia="Arial" w:hAnsi="Arial"/>
          <w:sz w:val="18"/>
          <w:szCs w:val="18"/>
          <w:color w:val="auto"/>
        </w:rPr>
        <w:t xml:space="preserve"> </w:t>
      </w:r>
      <w:r>
        <w:rPr>
          <w:rFonts w:ascii="Arial" w:cs="Arial" w:eastAsia="Arial" w:hAnsi="Arial"/>
          <w:sz w:val="15"/>
          <w:szCs w:val="15"/>
          <w:color w:val="auto"/>
        </w:rPr>
        <w:t xml:space="preserve">choose the first bracketed language. If the assignment is to multiple Assignees, choose the second bracketed language. </w:t>
      </w:r>
      <w:r>
        <w:rPr>
          <w:rFonts w:ascii="Arial" w:cs="Arial" w:eastAsia="Arial" w:hAnsi="Arial"/>
          <w:sz w:val="18"/>
          <w:szCs w:val="18"/>
          <w:color w:val="auto"/>
        </w:rPr>
        <w:t>Assignee identified in item 2 below ([the]</w:t>
      </w:r>
      <w:r>
        <w:rPr>
          <w:rFonts w:ascii="Arial" w:cs="Arial" w:eastAsia="Arial" w:hAnsi="Arial"/>
          <w:sz w:val="15"/>
          <w:szCs w:val="15"/>
          <w:color w:val="auto"/>
        </w:rPr>
        <w:t xml:space="preserve"> </w:t>
      </w:r>
      <w:r>
        <w:rPr>
          <w:rFonts w:ascii="Arial" w:cs="Arial" w:eastAsia="Arial" w:hAnsi="Arial"/>
          <w:sz w:val="18"/>
          <w:szCs w:val="18"/>
          <w:color w:val="auto"/>
        </w:rPr>
        <w:t>[each, an] “</w:t>
      </w:r>
      <w:r>
        <w:rPr>
          <w:rFonts w:ascii="Arial" w:cs="Arial" w:eastAsia="Arial" w:hAnsi="Arial"/>
          <w:sz w:val="18"/>
          <w:szCs w:val="18"/>
          <w:u w:val="single" w:color="auto"/>
          <w:color w:val="auto"/>
        </w:rPr>
        <w:t>Assignee</w:t>
      </w:r>
      <w:r>
        <w:rPr>
          <w:rFonts w:ascii="Arial" w:cs="Arial" w:eastAsia="Arial" w:hAnsi="Arial"/>
          <w:sz w:val="18"/>
          <w:szCs w:val="18"/>
          <w:color w:val="auto"/>
        </w:rPr>
        <w:t xml:space="preserve">”). [It is understood and agreed that the rights and obligations of [the Assignors][the Assignees] </w:t>
      </w:r>
      <w:r>
        <w:rPr>
          <w:rFonts w:ascii="Arial" w:cs="Arial" w:eastAsia="Arial" w:hAnsi="Arial"/>
          <w:sz w:val="15"/>
          <w:szCs w:val="15"/>
          <w:color w:val="auto"/>
        </w:rPr>
        <w:t>Select as appropriate.</w:t>
      </w:r>
      <w:r>
        <w:rPr>
          <w:rFonts w:ascii="Arial" w:cs="Arial" w:eastAsia="Arial" w:hAnsi="Arial"/>
          <w:sz w:val="18"/>
          <w:szCs w:val="18"/>
          <w:color w:val="auto"/>
        </w:rPr>
        <w:t xml:space="preserve"> hereunder are several and not joint.] </w:t>
      </w:r>
      <w:r>
        <w:rPr>
          <w:rFonts w:ascii="Arial" w:cs="Arial" w:eastAsia="Arial" w:hAnsi="Arial"/>
          <w:sz w:val="15"/>
          <w:szCs w:val="15"/>
          <w:color w:val="auto"/>
        </w:rPr>
        <w:t>Include bracketed language if there are either multiple Assignors or multiple Assignees.</w:t>
      </w:r>
      <w:r>
        <w:rPr>
          <w:rFonts w:ascii="Arial" w:cs="Arial" w:eastAsia="Arial" w:hAnsi="Arial"/>
          <w:sz w:val="18"/>
          <w:szCs w:val="18"/>
          <w:color w:val="auto"/>
        </w:rPr>
        <w:t xml:space="preserve"> Capitalized terms used but not defined herein shall have the meanings given to them in the Amended and Restated Term Loan Agreement identified below (as amended, modified or otherwise supplemented from time to time, the “</w:t>
      </w:r>
      <w:r>
        <w:rPr>
          <w:rFonts w:ascii="Arial" w:cs="Arial" w:eastAsia="Arial" w:hAnsi="Arial"/>
          <w:sz w:val="18"/>
          <w:szCs w:val="18"/>
          <w:u w:val="single" w:color="auto"/>
          <w:color w:val="auto"/>
        </w:rPr>
        <w:t>Term Loan Agreement</w:t>
      </w:r>
      <w:r>
        <w:rPr>
          <w:rFonts w:ascii="Arial" w:cs="Arial" w:eastAsia="Arial" w:hAnsi="Arial"/>
          <w:sz w:val="18"/>
          <w:szCs w:val="18"/>
          <w:color w:val="auto"/>
        </w:rPr>
        <w:t xml:space="preserve">”), receipt of a copy of which is hereby acknowledged by [the][each] Assignee. The Standard Terms and Conditions set forth in </w:t>
      </w:r>
      <w:r>
        <w:rPr>
          <w:rFonts w:ascii="Arial" w:cs="Arial" w:eastAsia="Arial" w:hAnsi="Arial"/>
          <w:sz w:val="18"/>
          <w:szCs w:val="18"/>
          <w:u w:val="single" w:color="auto"/>
          <w:color w:val="auto"/>
        </w:rPr>
        <w:t>Annex 1</w:t>
      </w:r>
      <w:r>
        <w:rPr>
          <w:rFonts w:ascii="Arial" w:cs="Arial" w:eastAsia="Arial" w:hAnsi="Arial"/>
          <w:sz w:val="18"/>
          <w:szCs w:val="18"/>
          <w:color w:val="auto"/>
        </w:rPr>
        <w:t xml:space="preserve"> attached hereto are hereby agreed to and incorporated herein by reference and made a part of this Assignment and Assumption as if set forth herein in full.</w:t>
      </w:r>
    </w:p>
    <w:p>
      <w:pPr>
        <w:spacing w:after="0" w:line="13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For an agreed consideration, the Assignor hereby irrevocably sells and assigns to the Assignee, and the Assignee hereby irrevocably purchases and assumes from the Assignor, subject to and in accordance with the Standard Terms and Conditions and the Term Loan Agreement, as of the Effective Date inserted by the Administrative Agent as contemplated below, all of the Assignor’s rights and obligations in its capacity as a Lender under the Term Loan Agreement and any other documents or instruments delivered pursuant thereto that represents the amount and percentage interest identified below of all of the Assignor’s outstanding rights and obligations under the respective facilities identified below (including without limitation, to the extent permitted to be assigned under applicable law, all claims (including without limitation contract claims, tort claims, malpractice claims, statutory claims and all other claims at law or in equity), suits, causes of action and any other right of the Assignor against any Person whether known or unknown arising under or in connection with the Term Loan Agreement, any other documents or instruments delivered pursuant thereto or the loan transactions governed thereby) other than claims for indemnification or reimbursement with respect to any period prior to the Effective Date referred to below (the “</w:t>
      </w:r>
      <w:r>
        <w:rPr>
          <w:rFonts w:ascii="Arial" w:cs="Arial" w:eastAsia="Arial" w:hAnsi="Arial"/>
          <w:sz w:val="19"/>
          <w:szCs w:val="19"/>
          <w:u w:val="single" w:color="auto"/>
          <w:color w:val="auto"/>
        </w:rPr>
        <w:t>Assigned Interest</w:t>
      </w:r>
      <w:r>
        <w:rPr>
          <w:rFonts w:ascii="Arial" w:cs="Arial" w:eastAsia="Arial" w:hAnsi="Arial"/>
          <w:sz w:val="19"/>
          <w:szCs w:val="19"/>
          <w:color w:val="auto"/>
        </w:rPr>
        <w:t>”). Such sale and assignment is without recourse to the Assignor and, except as expressly provided in this Assignment and Assumption, without representation or warranty by the Assignor.</w:t>
      </w:r>
    </w:p>
    <w:p>
      <w:pPr>
        <w:spacing w:after="0" w:line="158" w:lineRule="exact"/>
        <w:rPr>
          <w:sz w:val="20"/>
          <w:szCs w:val="20"/>
          <w:color w:val="auto"/>
        </w:rPr>
      </w:pPr>
    </w:p>
    <w:p>
      <w:pPr>
        <w:ind w:left="660" w:hanging="652"/>
        <w:spacing w:after="0"/>
        <w:tabs>
          <w:tab w:leader="none" w:pos="660" w:val="left"/>
        </w:tabs>
        <w:numPr>
          <w:ilvl w:val="0"/>
          <w:numId w:val="116"/>
        </w:numPr>
        <w:rPr>
          <w:rFonts w:ascii="Arial" w:cs="Arial" w:eastAsia="Arial" w:hAnsi="Arial"/>
          <w:sz w:val="18"/>
          <w:szCs w:val="18"/>
          <w:color w:val="auto"/>
        </w:rPr>
      </w:pPr>
      <w:r>
        <w:rPr>
          <w:rFonts w:ascii="Arial" w:cs="Arial" w:eastAsia="Arial" w:hAnsi="Arial"/>
          <w:sz w:val="20"/>
          <w:szCs w:val="20"/>
          <w:color w:val="auto"/>
        </w:rPr>
        <w:t>Assignor:  __________</w:t>
      </w:r>
    </w:p>
    <w:p>
      <w:pPr>
        <w:spacing w:after="0" w:line="15" w:lineRule="exact"/>
        <w:rPr>
          <w:rFonts w:ascii="Arial" w:cs="Arial" w:eastAsia="Arial" w:hAnsi="Arial"/>
          <w:sz w:val="18"/>
          <w:szCs w:val="18"/>
          <w:color w:val="auto"/>
        </w:rPr>
      </w:pPr>
    </w:p>
    <w:p>
      <w:pPr>
        <w:ind w:left="660" w:hanging="652"/>
        <w:spacing w:after="0"/>
        <w:tabs>
          <w:tab w:leader="none" w:pos="660" w:val="left"/>
        </w:tabs>
        <w:numPr>
          <w:ilvl w:val="0"/>
          <w:numId w:val="116"/>
        </w:numPr>
        <w:rPr>
          <w:rFonts w:ascii="Arial" w:cs="Arial" w:eastAsia="Arial" w:hAnsi="Arial"/>
          <w:sz w:val="18"/>
          <w:szCs w:val="18"/>
          <w:color w:val="auto"/>
        </w:rPr>
      </w:pPr>
      <w:r>
        <w:rPr>
          <w:rFonts w:ascii="Arial" w:cs="Arial" w:eastAsia="Arial" w:hAnsi="Arial"/>
          <w:sz w:val="20"/>
          <w:szCs w:val="20"/>
          <w:color w:val="auto"/>
        </w:rPr>
        <w:t>Assignee:  ____________ [and is an Affiliate of Assignor]</w:t>
      </w:r>
    </w:p>
    <w:p>
      <w:pPr>
        <w:ind w:left="660" w:hanging="652"/>
        <w:spacing w:after="0"/>
        <w:tabs>
          <w:tab w:leader="none" w:pos="660" w:val="left"/>
        </w:tabs>
        <w:numPr>
          <w:ilvl w:val="0"/>
          <w:numId w:val="116"/>
        </w:numPr>
        <w:rPr>
          <w:rFonts w:ascii="Arial" w:cs="Arial" w:eastAsia="Arial" w:hAnsi="Arial"/>
          <w:sz w:val="18"/>
          <w:szCs w:val="18"/>
          <w:color w:val="auto"/>
        </w:rPr>
      </w:pPr>
      <w:r>
        <w:rPr>
          <w:rFonts w:ascii="Arial" w:cs="Arial" w:eastAsia="Arial" w:hAnsi="Arial"/>
          <w:sz w:val="20"/>
          <w:szCs w:val="20"/>
          <w:color w:val="auto"/>
        </w:rPr>
        <w:t>Borrower:  ALLETE, Inc.</w:t>
      </w:r>
    </w:p>
    <w:p>
      <w:pPr>
        <w:ind w:left="660" w:hanging="652"/>
        <w:spacing w:after="0"/>
        <w:tabs>
          <w:tab w:leader="none" w:pos="660" w:val="left"/>
        </w:tabs>
        <w:numPr>
          <w:ilvl w:val="0"/>
          <w:numId w:val="116"/>
        </w:numPr>
        <w:rPr>
          <w:rFonts w:ascii="Arial" w:cs="Arial" w:eastAsia="Arial" w:hAnsi="Arial"/>
          <w:sz w:val="18"/>
          <w:szCs w:val="18"/>
          <w:color w:val="auto"/>
        </w:rPr>
      </w:pPr>
      <w:r>
        <w:rPr>
          <w:rFonts w:ascii="Arial" w:cs="Arial" w:eastAsia="Arial" w:hAnsi="Arial"/>
          <w:sz w:val="20"/>
          <w:szCs w:val="20"/>
          <w:color w:val="auto"/>
        </w:rPr>
        <w:t>Administrative Agent: JPMorgan Chase Bank, N.A.</w:t>
      </w:r>
    </w:p>
    <w:p>
      <w:pPr>
        <w:ind w:left="660" w:hanging="652"/>
        <w:spacing w:after="0" w:line="239" w:lineRule="auto"/>
        <w:tabs>
          <w:tab w:leader="none" w:pos="660" w:val="left"/>
        </w:tabs>
        <w:numPr>
          <w:ilvl w:val="0"/>
          <w:numId w:val="116"/>
        </w:numPr>
        <w:rPr>
          <w:rFonts w:ascii="Arial" w:cs="Arial" w:eastAsia="Arial" w:hAnsi="Arial"/>
          <w:sz w:val="18"/>
          <w:szCs w:val="18"/>
          <w:color w:val="auto"/>
        </w:rPr>
      </w:pPr>
      <w:r>
        <w:rPr>
          <w:rFonts w:ascii="Arial" w:cs="Arial" w:eastAsia="Arial" w:hAnsi="Arial"/>
          <w:sz w:val="20"/>
          <w:szCs w:val="20"/>
          <w:color w:val="auto"/>
        </w:rPr>
        <w:t>Term Loan Agreement: Amended and Restated Term Loan Agreement dated as of August 14, 2019 among the Borrower, the Lenders party thereto and the Administrative Agent.</w:t>
      </w:r>
    </w:p>
    <w:p>
      <w:pPr>
        <w:spacing w:after="0" w:line="1" w:lineRule="exact"/>
        <w:rPr>
          <w:rFonts w:ascii="Arial" w:cs="Arial" w:eastAsia="Arial" w:hAnsi="Arial"/>
          <w:sz w:val="18"/>
          <w:szCs w:val="18"/>
          <w:color w:val="auto"/>
        </w:rPr>
      </w:pPr>
    </w:p>
    <w:p>
      <w:pPr>
        <w:ind w:left="660" w:hanging="652"/>
        <w:spacing w:after="0"/>
        <w:tabs>
          <w:tab w:leader="none" w:pos="660" w:val="left"/>
        </w:tabs>
        <w:numPr>
          <w:ilvl w:val="0"/>
          <w:numId w:val="116"/>
        </w:numPr>
        <w:rPr>
          <w:rFonts w:ascii="Arial" w:cs="Arial" w:eastAsia="Arial" w:hAnsi="Arial"/>
          <w:sz w:val="18"/>
          <w:szCs w:val="18"/>
          <w:color w:val="auto"/>
        </w:rPr>
      </w:pPr>
      <w:r>
        <w:rPr>
          <w:rFonts w:ascii="Arial" w:cs="Arial" w:eastAsia="Arial" w:hAnsi="Arial"/>
          <w:sz w:val="20"/>
          <w:szCs w:val="20"/>
          <w:color w:val="auto"/>
        </w:rPr>
        <w:t>Assigned Interest:</w:t>
      </w:r>
    </w:p>
    <w:p>
      <w:pPr>
        <w:spacing w:after="0" w:line="116" w:lineRule="exact"/>
        <w:rPr>
          <w:sz w:val="20"/>
          <w:szCs w:val="20"/>
          <w:color w:val="auto"/>
        </w:rPr>
      </w:pPr>
    </w:p>
    <w:tbl>
      <w:tblPr>
        <w:tblLayout w:type="fixed"/>
        <w:tblInd w:w="42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800" w:type="dxa"/>
            <w:vAlign w:val="bottom"/>
            <w:tcBorders>
              <w:top w:val="single" w:sz="8" w:color="auto"/>
              <w:bottom w:val="single" w:sz="8" w:color="auto"/>
            </w:tcBorders>
          </w:tcPr>
          <w:p>
            <w:pPr>
              <w:spacing w:after="0"/>
              <w:rPr>
                <w:sz w:val="3"/>
                <w:szCs w:val="3"/>
                <w:color w:val="auto"/>
              </w:rPr>
            </w:pPr>
          </w:p>
        </w:tc>
        <w:tc>
          <w:tcPr>
            <w:tcW w:w="1780" w:type="dxa"/>
            <w:vAlign w:val="bottom"/>
            <w:tcBorders>
              <w:top w:val="single" w:sz="8" w:color="auto"/>
              <w:bottom w:val="single" w:sz="8" w:color="auto"/>
            </w:tcBorders>
          </w:tcPr>
          <w:p>
            <w:pPr>
              <w:spacing w:after="0"/>
              <w:rPr>
                <w:sz w:val="3"/>
                <w:szCs w:val="3"/>
                <w:color w:val="auto"/>
              </w:rPr>
            </w:pPr>
          </w:p>
        </w:tc>
        <w:tc>
          <w:tcPr>
            <w:tcW w:w="1800" w:type="dxa"/>
            <w:vAlign w:val="bottom"/>
            <w:tcBorders>
              <w:top w:val="single" w:sz="8" w:color="auto"/>
              <w:bottom w:val="single" w:sz="8" w:color="auto"/>
            </w:tcBorders>
          </w:tcPr>
          <w:p>
            <w:pPr>
              <w:spacing w:after="0"/>
              <w:rPr>
                <w:sz w:val="3"/>
                <w:szCs w:val="3"/>
                <w:color w:val="auto"/>
              </w:rPr>
            </w:pPr>
          </w:p>
        </w:tc>
        <w:tc>
          <w:tcPr>
            <w:tcW w:w="1780" w:type="dxa"/>
            <w:vAlign w:val="bottom"/>
            <w:tcBorders>
              <w:top w:val="single" w:sz="8" w:color="auto"/>
              <w:bottom w:val="single" w:sz="8" w:color="auto"/>
            </w:tcBorders>
          </w:tcPr>
          <w:p>
            <w:pPr>
              <w:spacing w:after="0"/>
              <w:rPr>
                <w:sz w:val="3"/>
                <w:szCs w:val="3"/>
                <w:color w:val="auto"/>
              </w:rPr>
            </w:pPr>
          </w:p>
        </w:tc>
        <w:tc>
          <w:tcPr>
            <w:tcW w:w="1800" w:type="dxa"/>
            <w:vAlign w:val="bottom"/>
            <w:tcBorders>
              <w:top w:val="single" w:sz="8" w:color="auto"/>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40" w:type="dxa"/>
            <w:vAlign w:val="bottom"/>
            <w:tcBorders>
              <w:right w:val="single" w:sz="8" w:color="auto"/>
            </w:tcBorders>
            <w:shd w:val="clear" w:color="auto" w:fill="000000"/>
          </w:tcPr>
          <w:p>
            <w:pPr>
              <w:spacing w:after="0"/>
              <w:rPr>
                <w:sz w:val="19"/>
                <w:szCs w:val="19"/>
                <w:color w:val="auto"/>
              </w:rPr>
            </w:pPr>
          </w:p>
        </w:tc>
        <w:tc>
          <w:tcPr>
            <w:tcW w:w="1600" w:type="dxa"/>
            <w:vAlign w:val="bottom"/>
            <w:tcBorders>
              <w:right w:val="single" w:sz="8" w:color="auto"/>
            </w:tcBorders>
          </w:tcPr>
          <w:p>
            <w:pPr>
              <w:spacing w:after="0"/>
              <w:rPr>
                <w:sz w:val="19"/>
                <w:szCs w:val="19"/>
                <w:color w:val="auto"/>
              </w:rPr>
            </w:pPr>
          </w:p>
        </w:tc>
        <w:tc>
          <w:tcPr>
            <w:tcW w:w="1800" w:type="dxa"/>
            <w:vAlign w:val="bottom"/>
            <w:tcBorders>
              <w:right w:val="single" w:sz="8" w:color="auto"/>
            </w:tcBorders>
          </w:tcPr>
          <w:p>
            <w:pPr>
              <w:spacing w:after="0"/>
              <w:rPr>
                <w:sz w:val="19"/>
                <w:szCs w:val="19"/>
                <w:color w:val="auto"/>
              </w:rPr>
            </w:pPr>
          </w:p>
        </w:tc>
        <w:tc>
          <w:tcPr>
            <w:tcW w:w="1780" w:type="dxa"/>
            <w:vAlign w:val="bottom"/>
            <w:tcBorders>
              <w:right w:val="single" w:sz="8" w:color="auto"/>
            </w:tcBorders>
          </w:tcPr>
          <w:p>
            <w:pPr>
              <w:spacing w:after="0"/>
              <w:rPr>
                <w:sz w:val="19"/>
                <w:szCs w:val="19"/>
                <w:color w:val="auto"/>
              </w:rPr>
            </w:pPr>
          </w:p>
        </w:tc>
        <w:tc>
          <w:tcPr>
            <w:tcW w:w="1800" w:type="dxa"/>
            <w:vAlign w:val="bottom"/>
            <w:tcBorders>
              <w:right w:val="single" w:sz="8" w:color="auto"/>
            </w:tcBorders>
          </w:tcPr>
          <w:p>
            <w:pPr>
              <w:jc w:val="center"/>
              <w:spacing w:after="0" w:line="220" w:lineRule="exact"/>
              <w:rPr>
                <w:sz w:val="20"/>
                <w:szCs w:val="20"/>
                <w:color w:val="auto"/>
              </w:rPr>
            </w:pPr>
            <w:r>
              <w:rPr>
                <w:rFonts w:ascii="Arial" w:cs="Arial" w:eastAsia="Arial" w:hAnsi="Arial"/>
                <w:sz w:val="20"/>
                <w:szCs w:val="20"/>
                <w:color w:val="auto"/>
                <w:w w:val="92"/>
              </w:rPr>
              <w:t>Aggregate Amount</w:t>
            </w:r>
          </w:p>
        </w:tc>
        <w:tc>
          <w:tcPr>
            <w:tcW w:w="1780" w:type="dxa"/>
            <w:vAlign w:val="bottom"/>
            <w:tcBorders>
              <w:right w:val="single" w:sz="8" w:color="auto"/>
            </w:tcBorders>
          </w:tcPr>
          <w:p>
            <w:pPr>
              <w:spacing w:after="0"/>
              <w:rPr>
                <w:sz w:val="19"/>
                <w:szCs w:val="19"/>
                <w:color w:val="auto"/>
              </w:rPr>
            </w:pPr>
          </w:p>
        </w:tc>
        <w:tc>
          <w:tcPr>
            <w:tcW w:w="18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19"/>
                <w:szCs w:val="19"/>
                <w:color w:val="auto"/>
              </w:rPr>
            </w:pPr>
          </w:p>
        </w:tc>
        <w:tc>
          <w:tcPr>
            <w:tcW w:w="1600" w:type="dxa"/>
            <w:vAlign w:val="bottom"/>
            <w:tcBorders>
              <w:right w:val="single" w:sz="8" w:color="auto"/>
            </w:tcBorders>
          </w:tcPr>
          <w:p>
            <w:pPr>
              <w:spacing w:after="0"/>
              <w:rPr>
                <w:sz w:val="19"/>
                <w:szCs w:val="19"/>
                <w:color w:val="auto"/>
              </w:rPr>
            </w:pPr>
          </w:p>
        </w:tc>
        <w:tc>
          <w:tcPr>
            <w:tcW w:w="1800" w:type="dxa"/>
            <w:vAlign w:val="bottom"/>
            <w:tcBorders>
              <w:right w:val="single" w:sz="8" w:color="auto"/>
            </w:tcBorders>
          </w:tcPr>
          <w:p>
            <w:pPr>
              <w:spacing w:after="0"/>
              <w:rPr>
                <w:sz w:val="19"/>
                <w:szCs w:val="19"/>
                <w:color w:val="auto"/>
              </w:rPr>
            </w:pPr>
          </w:p>
        </w:tc>
        <w:tc>
          <w:tcPr>
            <w:tcW w:w="1780" w:type="dxa"/>
            <w:vAlign w:val="bottom"/>
            <w:tcBorders>
              <w:right w:val="single" w:sz="8" w:color="auto"/>
            </w:tcBorders>
          </w:tcPr>
          <w:p>
            <w:pPr>
              <w:spacing w:after="0"/>
              <w:rPr>
                <w:sz w:val="19"/>
                <w:szCs w:val="19"/>
                <w:color w:val="auto"/>
              </w:rPr>
            </w:pP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2"/>
              </w:rPr>
              <w:t>of Commitment/</w:t>
            </w:r>
          </w:p>
        </w:tc>
        <w:tc>
          <w:tcPr>
            <w:tcW w:w="1780" w:type="dxa"/>
            <w:vAlign w:val="bottom"/>
            <w:tcBorders>
              <w:right w:val="single" w:sz="8" w:color="auto"/>
            </w:tcBorders>
          </w:tcPr>
          <w:p>
            <w:pPr>
              <w:spacing w:after="0"/>
              <w:rPr>
                <w:sz w:val="19"/>
                <w:szCs w:val="19"/>
                <w:color w:val="auto"/>
              </w:rPr>
            </w:pPr>
          </w:p>
        </w:tc>
        <w:tc>
          <w:tcPr>
            <w:tcW w:w="18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19"/>
                <w:szCs w:val="19"/>
                <w:color w:val="auto"/>
              </w:rPr>
            </w:pPr>
          </w:p>
        </w:tc>
        <w:tc>
          <w:tcPr>
            <w:tcW w:w="1600" w:type="dxa"/>
            <w:vAlign w:val="bottom"/>
            <w:tcBorders>
              <w:right w:val="single" w:sz="8" w:color="auto"/>
            </w:tcBorders>
          </w:tcPr>
          <w:p>
            <w:pPr>
              <w:spacing w:after="0"/>
              <w:rPr>
                <w:sz w:val="19"/>
                <w:szCs w:val="19"/>
                <w:color w:val="auto"/>
              </w:rPr>
            </w:pPr>
          </w:p>
        </w:tc>
        <w:tc>
          <w:tcPr>
            <w:tcW w:w="1800" w:type="dxa"/>
            <w:vAlign w:val="bottom"/>
            <w:tcBorders>
              <w:right w:val="single" w:sz="8" w:color="auto"/>
            </w:tcBorders>
          </w:tcPr>
          <w:p>
            <w:pPr>
              <w:spacing w:after="0"/>
              <w:rPr>
                <w:sz w:val="19"/>
                <w:szCs w:val="19"/>
                <w:color w:val="auto"/>
              </w:rPr>
            </w:pPr>
          </w:p>
        </w:tc>
        <w:tc>
          <w:tcPr>
            <w:tcW w:w="1780" w:type="dxa"/>
            <w:vAlign w:val="bottom"/>
            <w:tcBorders>
              <w:right w:val="single" w:sz="8" w:color="auto"/>
            </w:tcBorders>
          </w:tcPr>
          <w:p>
            <w:pPr>
              <w:spacing w:after="0"/>
              <w:rPr>
                <w:sz w:val="19"/>
                <w:szCs w:val="19"/>
                <w:color w:val="auto"/>
              </w:rPr>
            </w:pP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Loans for all</w:t>
            </w:r>
          </w:p>
        </w:tc>
        <w:tc>
          <w:tcPr>
            <w:tcW w:w="1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6"/>
              </w:rPr>
              <w:t>Amount of</w:t>
            </w:r>
          </w:p>
        </w:tc>
        <w:tc>
          <w:tcPr>
            <w:tcW w:w="18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40" w:type="dxa"/>
            <w:vAlign w:val="bottom"/>
            <w:tcBorders>
              <w:right w:val="single" w:sz="8" w:color="auto"/>
            </w:tcBorders>
            <w:shd w:val="clear" w:color="auto" w:fill="000000"/>
          </w:tcPr>
          <w:p>
            <w:pPr>
              <w:spacing w:after="0"/>
              <w:rPr>
                <w:sz w:val="16"/>
                <w:szCs w:val="16"/>
                <w:color w:val="auto"/>
              </w:rPr>
            </w:pPr>
          </w:p>
        </w:tc>
        <w:tc>
          <w:tcPr>
            <w:tcW w:w="1600" w:type="dxa"/>
            <w:vAlign w:val="bottom"/>
            <w:tcBorders>
              <w:right w:val="single" w:sz="8" w:color="auto"/>
            </w:tcBorders>
          </w:tcPr>
          <w:p>
            <w:pPr>
              <w:spacing w:after="0"/>
              <w:rPr>
                <w:sz w:val="16"/>
                <w:szCs w:val="16"/>
                <w:color w:val="auto"/>
              </w:rPr>
            </w:pPr>
          </w:p>
        </w:tc>
        <w:tc>
          <w:tcPr>
            <w:tcW w:w="1800" w:type="dxa"/>
            <w:vAlign w:val="bottom"/>
            <w:tcBorders>
              <w:right w:val="single" w:sz="8" w:color="auto"/>
            </w:tcBorders>
          </w:tcPr>
          <w:p>
            <w:pPr>
              <w:spacing w:after="0"/>
              <w:rPr>
                <w:sz w:val="16"/>
                <w:szCs w:val="16"/>
                <w:color w:val="auto"/>
              </w:rPr>
            </w:pPr>
          </w:p>
        </w:tc>
        <w:tc>
          <w:tcPr>
            <w:tcW w:w="1780" w:type="dxa"/>
            <w:vAlign w:val="bottom"/>
            <w:tcBorders>
              <w:right w:val="single" w:sz="8" w:color="auto"/>
            </w:tcBorders>
          </w:tcPr>
          <w:p>
            <w:pPr>
              <w:spacing w:after="0"/>
              <w:rPr>
                <w:sz w:val="16"/>
                <w:szCs w:val="16"/>
                <w:color w:val="auto"/>
              </w:rPr>
            </w:pPr>
          </w:p>
        </w:tc>
        <w:tc>
          <w:tcPr>
            <w:tcW w:w="1800" w:type="dxa"/>
            <w:vAlign w:val="bottom"/>
            <w:tcBorders>
              <w:right w:val="single" w:sz="8" w:color="auto"/>
            </w:tcBorders>
          </w:tcPr>
          <w:p>
            <w:pPr>
              <w:jc w:val="center"/>
              <w:spacing w:after="0" w:line="192" w:lineRule="exact"/>
              <w:rPr>
                <w:sz w:val="20"/>
                <w:szCs w:val="20"/>
                <w:color w:val="auto"/>
              </w:rPr>
            </w:pPr>
            <w:r>
              <w:rPr>
                <w:rFonts w:ascii="Arial" w:cs="Arial" w:eastAsia="Arial" w:hAnsi="Arial"/>
                <w:sz w:val="20"/>
                <w:szCs w:val="20"/>
                <w:color w:val="auto"/>
                <w:w w:val="91"/>
              </w:rPr>
              <w:t>Lenders</w:t>
            </w:r>
            <w:r>
              <w:rPr>
                <w:rFonts w:ascii="Arial" w:cs="Arial" w:eastAsia="Arial" w:hAnsi="Arial"/>
                <w:sz w:val="16"/>
                <w:szCs w:val="16"/>
                <w:color w:val="auto"/>
                <w:w w:val="91"/>
              </w:rPr>
              <w:t>Amount to be</w:t>
            </w:r>
          </w:p>
        </w:tc>
        <w:tc>
          <w:tcPr>
            <w:tcW w:w="1780" w:type="dxa"/>
            <w:vAlign w:val="bottom"/>
            <w:tcBorders>
              <w:right w:val="single" w:sz="8" w:color="auto"/>
            </w:tcBorders>
            <w:vMerge w:val="continue"/>
          </w:tcPr>
          <w:p>
            <w:pPr>
              <w:spacing w:after="0"/>
              <w:rPr>
                <w:sz w:val="16"/>
                <w:szCs w:val="16"/>
                <w:color w:val="auto"/>
              </w:rPr>
            </w:pPr>
          </w:p>
        </w:tc>
        <w:tc>
          <w:tcPr>
            <w:tcW w:w="18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0" w:type="dxa"/>
            <w:vAlign w:val="bottom"/>
            <w:tcBorders>
              <w:right w:val="single" w:sz="8" w:color="auto"/>
            </w:tcBorders>
            <w:shd w:val="clear" w:color="auto" w:fill="000000"/>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0"/>
              </w:rPr>
              <w:t>adjusted by the</w:t>
            </w:r>
          </w:p>
        </w:tc>
        <w:tc>
          <w:tcPr>
            <w:tcW w:w="1780" w:type="dxa"/>
            <w:vAlign w:val="bottom"/>
            <w:tcBorders>
              <w:right w:val="single" w:sz="8" w:color="auto"/>
            </w:tcBorders>
          </w:tcPr>
          <w:p>
            <w:pPr>
              <w:jc w:val="center"/>
              <w:spacing w:after="0" w:line="213" w:lineRule="exact"/>
              <w:rPr>
                <w:sz w:val="20"/>
                <w:szCs w:val="20"/>
                <w:color w:val="auto"/>
              </w:rPr>
            </w:pPr>
            <w:r>
              <w:rPr>
                <w:rFonts w:ascii="Arial" w:cs="Arial" w:eastAsia="Arial" w:hAnsi="Arial"/>
                <w:sz w:val="20"/>
                <w:szCs w:val="20"/>
                <w:color w:val="auto"/>
                <w:w w:val="91"/>
              </w:rPr>
              <w:t>Commitment/ Loans</w:t>
            </w:r>
          </w:p>
        </w:tc>
        <w:tc>
          <w:tcPr>
            <w:tcW w:w="18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 w:type="dxa"/>
            <w:vAlign w:val="bottom"/>
            <w:tcBorders>
              <w:right w:val="single" w:sz="8" w:color="auto"/>
            </w:tcBorders>
            <w:shd w:val="clear" w:color="auto" w:fill="000000"/>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178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counterparties to take into</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Assigned</w:t>
            </w:r>
            <w:r>
              <w:rPr>
                <w:rFonts w:ascii="Arial" w:cs="Arial" w:eastAsia="Arial" w:hAnsi="Arial"/>
                <w:sz w:val="16"/>
                <w:szCs w:val="16"/>
                <w:color w:val="auto"/>
                <w:w w:val="91"/>
              </w:rPr>
              <w:t>Set forth, to at</w:t>
            </w:r>
          </w:p>
        </w:tc>
        <w:tc>
          <w:tcPr>
            <w:tcW w:w="18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5"/>
              </w:rPr>
              <w:t>Assignor[s]</w:t>
            </w:r>
            <w:r>
              <w:rPr>
                <w:rFonts w:ascii="Arial" w:cs="Arial" w:eastAsia="Arial" w:hAnsi="Arial"/>
                <w:sz w:val="16"/>
                <w:szCs w:val="16"/>
                <w:color w:val="auto"/>
                <w:w w:val="95"/>
              </w:rPr>
              <w:t>List</w:t>
            </w:r>
          </w:p>
        </w:tc>
        <w:tc>
          <w:tcPr>
            <w:tcW w:w="180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0"/>
              </w:rPr>
              <w:t>account any payments or</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8"/>
              </w:rPr>
              <w:t>least 9 decimals, as a</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7"/>
              </w:rPr>
              <w:t>Percentage Assigned</w:t>
            </w:r>
          </w:p>
        </w:tc>
        <w:tc>
          <w:tcPr>
            <w:tcW w:w="0" w:type="dxa"/>
            <w:vAlign w:val="bottom"/>
          </w:tcPr>
          <w:p>
            <w:pPr>
              <w:spacing w:after="0"/>
              <w:rPr>
                <w:sz w:val="1"/>
                <w:szCs w:val="1"/>
                <w:color w:val="auto"/>
              </w:rPr>
            </w:pPr>
          </w:p>
        </w:tc>
      </w:tr>
      <w:tr>
        <w:trPr>
          <w:trHeight w:val="158"/>
        </w:trPr>
        <w:tc>
          <w:tcPr>
            <w:tcW w:w="40" w:type="dxa"/>
            <w:vAlign w:val="bottom"/>
            <w:tcBorders>
              <w:right w:val="single" w:sz="8" w:color="auto"/>
            </w:tcBorders>
            <w:shd w:val="clear" w:color="auto" w:fill="000000"/>
          </w:tcPr>
          <w:p>
            <w:pPr>
              <w:spacing w:after="0"/>
              <w:rPr>
                <w:sz w:val="13"/>
                <w:szCs w:val="13"/>
                <w:color w:val="auto"/>
              </w:rPr>
            </w:pPr>
          </w:p>
        </w:tc>
        <w:tc>
          <w:tcPr>
            <w:tcW w:w="1600" w:type="dxa"/>
            <w:vAlign w:val="bottom"/>
            <w:tcBorders>
              <w:right w:val="single" w:sz="8" w:color="auto"/>
            </w:tcBorders>
            <w:vMerge w:val="continue"/>
          </w:tcPr>
          <w:p>
            <w:pPr>
              <w:spacing w:after="0"/>
              <w:rPr>
                <w:sz w:val="13"/>
                <w:szCs w:val="13"/>
                <w:color w:val="auto"/>
              </w:rPr>
            </w:pPr>
          </w:p>
        </w:tc>
        <w:tc>
          <w:tcPr>
            <w:tcW w:w="1800" w:type="dxa"/>
            <w:vAlign w:val="bottom"/>
            <w:tcBorders>
              <w:right w:val="single" w:sz="8" w:color="auto"/>
            </w:tcBorders>
          </w:tcPr>
          <w:p>
            <w:pPr>
              <w:spacing w:after="0"/>
              <w:rPr>
                <w:sz w:val="13"/>
                <w:szCs w:val="13"/>
                <w:color w:val="auto"/>
              </w:rPr>
            </w:pPr>
          </w:p>
        </w:tc>
        <w:tc>
          <w:tcPr>
            <w:tcW w:w="1780" w:type="dxa"/>
            <w:vAlign w:val="bottom"/>
            <w:tcBorders>
              <w:right w:val="single" w:sz="8" w:color="auto"/>
            </w:tcBorders>
          </w:tcPr>
          <w:p>
            <w:pPr>
              <w:spacing w:after="0"/>
              <w:rPr>
                <w:sz w:val="13"/>
                <w:szCs w:val="13"/>
                <w:color w:val="auto"/>
              </w:rPr>
            </w:pPr>
          </w:p>
        </w:tc>
        <w:tc>
          <w:tcPr>
            <w:tcW w:w="180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6"/>
                <w:szCs w:val="16"/>
                <w:color w:val="auto"/>
                <w:w w:val="89"/>
              </w:rPr>
              <w:t>prepayments made</w:t>
            </w:r>
          </w:p>
        </w:tc>
        <w:tc>
          <w:tcPr>
            <w:tcW w:w="178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6"/>
                <w:szCs w:val="16"/>
                <w:color w:val="auto"/>
                <w:w w:val="89"/>
              </w:rPr>
              <w:t>percentage of the</w:t>
            </w:r>
          </w:p>
        </w:tc>
        <w:tc>
          <w:tcPr>
            <w:tcW w:w="180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40" w:type="dxa"/>
            <w:vAlign w:val="bottom"/>
            <w:tcBorders>
              <w:right w:val="single" w:sz="8" w:color="auto"/>
            </w:tcBorders>
            <w:shd w:val="clear" w:color="auto" w:fill="000000"/>
          </w:tcPr>
          <w:p>
            <w:pPr>
              <w:spacing w:after="0"/>
              <w:rPr>
                <w:sz w:val="18"/>
                <w:szCs w:val="18"/>
                <w:color w:val="auto"/>
              </w:rPr>
            </w:pP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each Assignor, as</w:t>
            </w:r>
          </w:p>
        </w:tc>
        <w:tc>
          <w:tcPr>
            <w:tcW w:w="1800" w:type="dxa"/>
            <w:vAlign w:val="bottom"/>
            <w:tcBorders>
              <w:right w:val="single" w:sz="8" w:color="auto"/>
            </w:tcBorders>
          </w:tcPr>
          <w:p>
            <w:pPr>
              <w:jc w:val="center"/>
              <w:spacing w:after="0" w:line="213" w:lineRule="exact"/>
              <w:rPr>
                <w:sz w:val="20"/>
                <w:szCs w:val="20"/>
                <w:color w:val="auto"/>
              </w:rPr>
            </w:pPr>
            <w:r>
              <w:rPr>
                <w:rFonts w:ascii="Arial" w:cs="Arial" w:eastAsia="Arial" w:hAnsi="Arial"/>
                <w:sz w:val="20"/>
                <w:szCs w:val="20"/>
                <w:color w:val="auto"/>
                <w:w w:val="90"/>
              </w:rPr>
              <w:t>Assignee[s]</w:t>
            </w:r>
            <w:r>
              <w:rPr>
                <w:rFonts w:ascii="Arial" w:cs="Arial" w:eastAsia="Arial" w:hAnsi="Arial"/>
                <w:sz w:val="16"/>
                <w:szCs w:val="16"/>
                <w:color w:val="auto"/>
                <w:w w:val="90"/>
              </w:rPr>
              <w:t>List each</w:t>
            </w:r>
          </w:p>
        </w:tc>
        <w:tc>
          <w:tcPr>
            <w:tcW w:w="178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between the Trade Date</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4"/>
              </w:rPr>
              <w:t>Commitment/Loans of all</w:t>
            </w:r>
          </w:p>
        </w:tc>
        <w:tc>
          <w:tcPr>
            <w:tcW w:w="1800" w:type="dxa"/>
            <w:vAlign w:val="bottom"/>
            <w:tcBorders>
              <w:right w:val="single" w:sz="8" w:color="auto"/>
            </w:tcBorders>
          </w:tcPr>
          <w:p>
            <w:pPr>
              <w:jc w:val="center"/>
              <w:spacing w:after="0" w:line="213" w:lineRule="exact"/>
              <w:rPr>
                <w:sz w:val="20"/>
                <w:szCs w:val="20"/>
                <w:color w:val="auto"/>
              </w:rPr>
            </w:pPr>
            <w:r>
              <w:rPr>
                <w:rFonts w:ascii="Arial" w:cs="Arial" w:eastAsia="Arial" w:hAnsi="Arial"/>
                <w:sz w:val="20"/>
                <w:szCs w:val="20"/>
                <w:color w:val="auto"/>
                <w:w w:val="93"/>
              </w:rPr>
              <w:t>of Commitment/</w:t>
            </w:r>
          </w:p>
        </w:tc>
        <w:tc>
          <w:tcPr>
            <w:tcW w:w="0" w:type="dxa"/>
            <w:vAlign w:val="bottom"/>
          </w:tcPr>
          <w:p>
            <w:pPr>
              <w:spacing w:after="0"/>
              <w:rPr>
                <w:sz w:val="1"/>
                <w:szCs w:val="1"/>
                <w:color w:val="auto"/>
              </w:rPr>
            </w:pPr>
          </w:p>
        </w:tc>
      </w:tr>
      <w:tr>
        <w:trPr>
          <w:trHeight w:val="273"/>
        </w:trPr>
        <w:tc>
          <w:tcPr>
            <w:tcW w:w="40" w:type="dxa"/>
            <w:vAlign w:val="bottom"/>
            <w:tcBorders>
              <w:bottom w:val="single" w:sz="8" w:color="auto"/>
              <w:right w:val="single" w:sz="8" w:color="auto"/>
            </w:tcBorders>
            <w:shd w:val="clear" w:color="auto" w:fill="000000"/>
          </w:tcPr>
          <w:p>
            <w:pPr>
              <w:spacing w:after="0"/>
              <w:rPr>
                <w:sz w:val="23"/>
                <w:szCs w:val="23"/>
                <w:color w:val="auto"/>
              </w:rPr>
            </w:pP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appropriate.</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Assignee, as appropriate.</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3"/>
              </w:rPr>
              <w:t>Facility Assigned</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and the Effective Date.</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Lenders thereunder.</w:t>
            </w:r>
          </w:p>
        </w:tc>
        <w:tc>
          <w:tcPr>
            <w:tcW w:w="1800" w:type="dxa"/>
            <w:vAlign w:val="bottom"/>
            <w:tcBorders>
              <w:bottom w:val="single" w:sz="8" w:color="auto"/>
              <w:right w:val="single" w:sz="8" w:color="auto"/>
            </w:tcBorders>
          </w:tcPr>
          <w:p>
            <w:pPr>
              <w:jc w:val="center"/>
              <w:spacing w:after="0" w:line="274" w:lineRule="exact"/>
              <w:rPr>
                <w:sz w:val="20"/>
                <w:szCs w:val="20"/>
                <w:color w:val="auto"/>
              </w:rPr>
            </w:pPr>
            <w:r>
              <w:rPr>
                <w:rFonts w:ascii="Arial" w:cs="Arial" w:eastAsia="Arial" w:hAnsi="Arial"/>
                <w:sz w:val="20"/>
                <w:szCs w:val="20"/>
                <w:color w:val="auto"/>
                <w:w w:val="84"/>
              </w:rPr>
              <w:t>Loans</w:t>
            </w:r>
            <w:r>
              <w:rPr>
                <w:rFonts w:ascii="Arial" w:cs="Arial" w:eastAsia="Arial" w:hAnsi="Arial"/>
                <w:sz w:val="25"/>
                <w:szCs w:val="25"/>
                <w:color w:val="auto"/>
                <w:w w:val="84"/>
                <w:vertAlign w:val="superscript"/>
              </w:rPr>
              <w:t>8</w:t>
            </w:r>
          </w:p>
        </w:tc>
        <w:tc>
          <w:tcPr>
            <w:tcW w:w="0" w:type="dxa"/>
            <w:vAlign w:val="bottom"/>
          </w:tcPr>
          <w:p>
            <w:pPr>
              <w:spacing w:after="0"/>
              <w:rPr>
                <w:sz w:val="1"/>
                <w:szCs w:val="1"/>
                <w:color w:val="auto"/>
              </w:rPr>
            </w:pPr>
          </w:p>
        </w:tc>
      </w:tr>
      <w:tr>
        <w:trPr>
          <w:trHeight w:val="254"/>
        </w:trPr>
        <w:tc>
          <w:tcPr>
            <w:tcW w:w="40" w:type="dxa"/>
            <w:vAlign w:val="bottom"/>
            <w:tcBorders>
              <w:right w:val="single" w:sz="8" w:color="auto"/>
            </w:tcBorders>
            <w:shd w:val="clear" w:color="auto" w:fill="000000"/>
          </w:tcPr>
          <w:p>
            <w:pPr>
              <w:spacing w:after="0"/>
              <w:rPr>
                <w:sz w:val="22"/>
                <w:szCs w:val="22"/>
                <w:color w:val="auto"/>
              </w:rPr>
            </w:pPr>
          </w:p>
        </w:tc>
        <w:tc>
          <w:tcPr>
            <w:tcW w:w="1600" w:type="dxa"/>
            <w:vAlign w:val="bottom"/>
            <w:tcBorders>
              <w:right w:val="single" w:sz="8" w:color="auto"/>
            </w:tcBorders>
          </w:tcPr>
          <w:p>
            <w:pPr>
              <w:spacing w:after="0"/>
              <w:rPr>
                <w:sz w:val="22"/>
                <w:szCs w:val="22"/>
                <w:color w:val="auto"/>
              </w:rPr>
            </w:pPr>
          </w:p>
        </w:tc>
        <w:tc>
          <w:tcPr>
            <w:tcW w:w="1800" w:type="dxa"/>
            <w:vAlign w:val="bottom"/>
            <w:tcBorders>
              <w:right w:val="single" w:sz="8" w:color="auto"/>
            </w:tcBorders>
          </w:tcPr>
          <w:p>
            <w:pPr>
              <w:spacing w:after="0"/>
              <w:rPr>
                <w:sz w:val="22"/>
                <w:szCs w:val="22"/>
                <w:color w:val="auto"/>
              </w:rPr>
            </w:pP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Revolving</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$[________]</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$[_______]</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2"/>
              </w:rPr>
              <w:t>[____]%</w:t>
            </w:r>
          </w:p>
        </w:tc>
        <w:tc>
          <w:tcPr>
            <w:tcW w:w="0" w:type="dxa"/>
            <w:vAlign w:val="bottom"/>
          </w:tcPr>
          <w:p>
            <w:pPr>
              <w:spacing w:after="0"/>
              <w:rPr>
                <w:sz w:val="1"/>
                <w:szCs w:val="1"/>
                <w:color w:val="auto"/>
              </w:rPr>
            </w:pPr>
          </w:p>
        </w:tc>
      </w:tr>
      <w:tr>
        <w:trPr>
          <w:trHeight w:val="23"/>
        </w:trPr>
        <w:tc>
          <w:tcPr>
            <w:tcW w:w="40" w:type="dxa"/>
            <w:vAlign w:val="bottom"/>
            <w:tcBorders>
              <w:bottom w:val="single" w:sz="8" w:color="auto"/>
              <w:right w:val="single" w:sz="8" w:color="auto"/>
            </w:tcBorders>
            <w:shd w:val="clear" w:color="auto" w:fill="000000"/>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337"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4</w:t>
      </w:r>
    </w:p>
    <w:p>
      <w:pPr>
        <w:spacing w:after="0" w:line="254" w:lineRule="exact"/>
        <w:rPr>
          <w:sz w:val="20"/>
          <w:szCs w:val="20"/>
          <w:color w:val="auto"/>
        </w:rPr>
      </w:pPr>
    </w:p>
    <w:p>
      <w:pPr>
        <w:ind w:left="660" w:hanging="652"/>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20"/>
          <w:szCs w:val="20"/>
          <w:color w:val="auto"/>
        </w:rPr>
        <w:t xml:space="preserve">Trade Date:  </w:t>
      </w:r>
      <w:r>
        <w:rPr>
          <w:rFonts w:ascii="Arial" w:cs="Arial" w:eastAsia="Arial" w:hAnsi="Arial"/>
          <w:sz w:val="16"/>
          <w:szCs w:val="16"/>
          <w:color w:val="auto"/>
        </w:rPr>
        <w:t>Insert if satisfaction of minimum amounts is to be determined as of the Trade Date.</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Effective Date: ____________________, 20__ [TO BE INSERTED BY THE ADMINISTRATIVE AGENT AND WHICH SHALL BE THE</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EFFECTIVE DATE OF RECORDATION OF TRANSFER BY THE ADMINISTRATIVE AGENT.]</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terms set forth in this Assignment and Assumption are hereby agreed to:</w:t>
      </w:r>
    </w:p>
    <w:p>
      <w:pPr>
        <w:spacing w:after="0" w:line="189"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ASSIGNOR</w:t>
      </w:r>
    </w:p>
    <w:p>
      <w:pPr>
        <w:spacing w:after="0" w:line="200" w:lineRule="exact"/>
        <w:rPr>
          <w:sz w:val="20"/>
          <w:szCs w:val="20"/>
          <w:color w:val="auto"/>
        </w:rPr>
      </w:pPr>
    </w:p>
    <w:p>
      <w:pPr>
        <w:spacing w:after="0" w:line="23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 OF ASSIGNOR]</w:t>
      </w:r>
    </w:p>
    <w:p>
      <w:pPr>
        <w:spacing w:after="0" w:line="200" w:lineRule="exact"/>
        <w:rPr>
          <w:sz w:val="20"/>
          <w:szCs w:val="20"/>
          <w:color w:val="auto"/>
        </w:rPr>
      </w:pPr>
    </w:p>
    <w:p>
      <w:pPr>
        <w:spacing w:after="0" w:line="23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w:t>
      </w:r>
    </w:p>
    <w:p>
      <w:pPr>
        <w:spacing w:after="0" w:line="200" w:lineRule="exact"/>
        <w:rPr>
          <w:sz w:val="20"/>
          <w:szCs w:val="20"/>
          <w:color w:val="auto"/>
        </w:rPr>
      </w:pPr>
    </w:p>
    <w:p>
      <w:pPr>
        <w:spacing w:after="0" w:line="23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3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ASSIGNEE</w:t>
      </w:r>
    </w:p>
    <w:p>
      <w:pPr>
        <w:spacing w:after="0" w:line="200" w:lineRule="exact"/>
        <w:rPr>
          <w:sz w:val="20"/>
          <w:szCs w:val="20"/>
          <w:color w:val="auto"/>
        </w:rPr>
      </w:pPr>
    </w:p>
    <w:p>
      <w:pPr>
        <w:spacing w:after="0" w:line="23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 OF ASSIGNEE]</w:t>
      </w:r>
    </w:p>
    <w:p>
      <w:pPr>
        <w:spacing w:after="0" w:line="200" w:lineRule="exact"/>
        <w:rPr>
          <w:sz w:val="20"/>
          <w:szCs w:val="20"/>
          <w:color w:val="auto"/>
        </w:rPr>
      </w:pPr>
    </w:p>
    <w:p>
      <w:pPr>
        <w:spacing w:after="0" w:line="23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w:t>
      </w:r>
    </w:p>
    <w:p>
      <w:pPr>
        <w:spacing w:after="0" w:line="200" w:lineRule="exact"/>
        <w:rPr>
          <w:sz w:val="20"/>
          <w:szCs w:val="20"/>
          <w:color w:val="auto"/>
        </w:rPr>
      </w:pPr>
    </w:p>
    <w:p>
      <w:pPr>
        <w:spacing w:after="0" w:line="23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tabs>
          <w:tab w:leader="none" w:pos="1940" w:val="left"/>
        </w:tabs>
        <w:rPr>
          <w:sz w:val="20"/>
          <w:szCs w:val="20"/>
          <w:color w:val="auto"/>
        </w:rPr>
      </w:pPr>
      <w:r>
        <w:rPr>
          <w:rFonts w:ascii="Arial" w:cs="Arial" w:eastAsia="Arial" w:hAnsi="Arial"/>
          <w:sz w:val="20"/>
          <w:szCs w:val="20"/>
          <w:color w:val="auto"/>
        </w:rPr>
        <w:t>[Consented to and] [a]</w:t>
      </w:r>
      <w:r>
        <w:rPr>
          <w:sz w:val="20"/>
          <w:szCs w:val="20"/>
          <w:color w:val="auto"/>
        </w:rPr>
        <w:tab/>
      </w:r>
      <w:r>
        <w:rPr>
          <w:rFonts w:ascii="Arial" w:cs="Arial" w:eastAsia="Arial" w:hAnsi="Arial"/>
          <w:sz w:val="14"/>
          <w:szCs w:val="14"/>
          <w:color w:val="auto"/>
        </w:rPr>
        <w:t xml:space="preserve">To be added only if the consent of the Administrative Agent is required by the terms of the Term Loan Agreement. </w:t>
      </w:r>
      <w:r>
        <w:rPr>
          <w:rFonts w:ascii="Arial" w:cs="Arial" w:eastAsia="Arial" w:hAnsi="Arial"/>
          <w:sz w:val="16"/>
          <w:szCs w:val="16"/>
          <w:color w:val="auto"/>
        </w:rPr>
        <w:t>[A]ccepted: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JPMORGAN CHASE BANK, N.A., as Administrative Agent</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32" w:lineRule="exact"/>
        <w:rPr>
          <w:sz w:val="20"/>
          <w:szCs w:val="20"/>
          <w:color w:val="auto"/>
        </w:rPr>
      </w:pPr>
    </w:p>
    <w:p>
      <w:pPr>
        <w:spacing w:after="0"/>
        <w:tabs>
          <w:tab w:leader="none" w:pos="1400" w:val="left"/>
        </w:tabs>
        <w:rPr>
          <w:sz w:val="20"/>
          <w:szCs w:val="20"/>
          <w:color w:val="auto"/>
        </w:rPr>
      </w:pPr>
      <w:r>
        <w:rPr>
          <w:rFonts w:ascii="Arial" w:cs="Arial" w:eastAsia="Arial" w:hAnsi="Arial"/>
          <w:sz w:val="20"/>
          <w:szCs w:val="20"/>
          <w:color w:val="auto"/>
        </w:rPr>
        <w:t>[Consented to:]</w:t>
      </w:r>
      <w:r>
        <w:rPr>
          <w:sz w:val="20"/>
          <w:szCs w:val="20"/>
          <w:color w:val="auto"/>
        </w:rPr>
        <w:tab/>
      </w:r>
      <w:r>
        <w:rPr>
          <w:rFonts w:ascii="Arial" w:cs="Arial" w:eastAsia="Arial" w:hAnsi="Arial"/>
          <w:sz w:val="14"/>
          <w:szCs w:val="14"/>
          <w:color w:val="auto"/>
        </w:rPr>
        <w:t>To be added only if the consent of the Borrower and/or other parties is required by the terms of the Term Loan Agreement.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[NAME OF RELEVANT PARTY]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Title:</w:t>
      </w:r>
    </w:p>
    <w:p>
      <w:pPr>
        <w:sectPr>
          <w:pgSz w:w="11900" w:h="16838" w:orient="portrait"/>
          <w:cols w:equalWidth="0" w:num="1">
            <w:col w:w="11420"/>
          </w:cols>
          <w:pgMar w:left="240" w:top="337" w:right="239" w:bottom="1440" w:gutter="0" w:footer="0" w:header="0"/>
        </w:sectPr>
      </w:pPr>
    </w:p>
    <w:bookmarkStart w:id="117" w:name="page118"/>
    <w:bookmarkEnd w:id="117"/>
    <w:p>
      <w:pPr>
        <w:ind w:left="10720"/>
        <w:spacing w:after="0"/>
        <w:rPr>
          <w:sz w:val="20"/>
          <w:szCs w:val="20"/>
          <w:color w:val="auto"/>
        </w:rPr>
      </w:pPr>
      <w:r>
        <w:rPr>
          <w:rFonts w:ascii="Arial" w:cs="Arial" w:eastAsia="Arial" w:hAnsi="Arial"/>
          <w:sz w:val="16"/>
          <w:szCs w:val="16"/>
          <w:b w:val="1"/>
          <w:bCs w:val="1"/>
          <w:color w:val="auto"/>
        </w:rPr>
        <w:t>Exhibit 4</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ANNEX 1</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TERMS AND CONDITIONS FOR</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ASSIGNMENT AND ASSUMPTION</w:t>
      </w:r>
    </w:p>
    <w:p>
      <w:pPr>
        <w:spacing w:after="0" w:line="195" w:lineRule="exact"/>
        <w:rPr>
          <w:sz w:val="20"/>
          <w:szCs w:val="20"/>
          <w:color w:val="auto"/>
        </w:rPr>
      </w:pPr>
    </w:p>
    <w:p>
      <w:pPr>
        <w:ind w:left="860" w:hanging="204"/>
        <w:spacing w:after="0"/>
        <w:tabs>
          <w:tab w:leader="none" w:pos="860" w:val="left"/>
        </w:tabs>
        <w:numPr>
          <w:ilvl w:val="0"/>
          <w:numId w:val="118"/>
        </w:numPr>
        <w:rPr>
          <w:rFonts w:ascii="Arial" w:cs="Arial" w:eastAsia="Arial" w:hAnsi="Arial"/>
          <w:sz w:val="20"/>
          <w:szCs w:val="20"/>
          <w:color w:val="auto"/>
        </w:rPr>
      </w:pPr>
      <w:r>
        <w:rPr>
          <w:rFonts w:ascii="Arial" w:cs="Arial" w:eastAsia="Arial" w:hAnsi="Arial"/>
          <w:sz w:val="20"/>
          <w:szCs w:val="20"/>
          <w:u w:val="single" w:color="auto"/>
          <w:color w:val="auto"/>
        </w:rPr>
        <w:t>Representations and Warranties</w:t>
      </w:r>
      <w:r>
        <w:rPr>
          <w:rFonts w:ascii="Arial" w:cs="Arial" w:eastAsia="Arial" w:hAnsi="Arial"/>
          <w:sz w:val="20"/>
          <w:szCs w:val="20"/>
          <w:color w:val="auto"/>
        </w:rPr>
        <w:t>.</w:t>
      </w:r>
    </w:p>
    <w:p>
      <w:pPr>
        <w:spacing w:after="0" w:line="18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Assignor</w:t>
      </w:r>
      <w:r>
        <w:rPr>
          <w:rFonts w:ascii="Arial" w:cs="Arial" w:eastAsia="Arial" w:hAnsi="Arial"/>
          <w:sz w:val="18"/>
          <w:szCs w:val="18"/>
          <w:color w:val="auto"/>
        </w:rPr>
        <w:t>. The Assignor (a) represents and warrants that (i) it is the legal and beneficial owner of the Assigned Interest, (ii) the Assigned Interest is free and clear of any lien, encumbrance or other adverse claim and (iii) it has full power and authority, and has taken all action necessary, to execute and deliver this Assignment and Assumption and to consummate the transactions contemplated hereby; and</w:t>
      </w:r>
    </w:p>
    <w:p>
      <w:pPr>
        <w:spacing w:after="0" w:line="1" w:lineRule="exact"/>
        <w:rPr>
          <w:sz w:val="20"/>
          <w:szCs w:val="20"/>
          <w:color w:val="auto"/>
        </w:rPr>
      </w:pPr>
    </w:p>
    <w:p>
      <w:pPr>
        <w:jc w:val="both"/>
        <w:ind w:firstLine="8"/>
        <w:spacing w:after="0"/>
        <w:tabs>
          <w:tab w:leader="none" w:pos="300" w:val="left"/>
        </w:tabs>
        <w:numPr>
          <w:ilvl w:val="0"/>
          <w:numId w:val="119"/>
        </w:numPr>
        <w:rPr>
          <w:rFonts w:ascii="Arial" w:cs="Arial" w:eastAsia="Arial" w:hAnsi="Arial"/>
          <w:sz w:val="20"/>
          <w:szCs w:val="20"/>
          <w:color w:val="auto"/>
        </w:rPr>
      </w:pPr>
      <w:r>
        <w:rPr>
          <w:rFonts w:ascii="Arial" w:cs="Arial" w:eastAsia="Arial" w:hAnsi="Arial"/>
          <w:sz w:val="20"/>
          <w:szCs w:val="20"/>
          <w:color w:val="auto"/>
        </w:rPr>
        <w:t>assumes no responsibility with respect to (i) any statements, warranties or representations made in or in connection with the Term Loan Agreement or any other Loan Document, (ii) the execution, legality, validity, enforceability, genuineness, sufficiency or value of the Loan Documents or any collateral thereunder, (iii) the financial condition of the Borrower, any of its Subsidiaries or Affiliates or any other Person obligated in respect of any Loan Document or (iv) the performance or observance by the Borrower, any of its Subsidiaries or Affiliates or any other Person of any of their respective obligations under any Loan Document.</w:t>
      </w:r>
    </w:p>
    <w:p>
      <w:pPr>
        <w:spacing w:after="0" w:line="17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Assignee</w:t>
      </w:r>
      <w:r>
        <w:rPr>
          <w:rFonts w:ascii="Arial" w:cs="Arial" w:eastAsia="Arial" w:hAnsi="Arial"/>
          <w:sz w:val="18"/>
          <w:szCs w:val="18"/>
          <w:color w:val="auto"/>
        </w:rPr>
        <w:t xml:space="preserve">. The Assignee (a) represents and warrants that (i) it has full power and authority, and has taken all action necessary, to execute and deliver this Assignment and Assumption and to consummate the transactions contemplated hereby and to become a Lender under the Term Loan Agreement, (ii) it satisfies the requirements specified in the Term Loan Agreement that are required to be satisfied by it in order to acquire the Assigned Interest and become a Lender, (iii) from and after the Effective Date, it shall be bound by the provisions of the Term Loan Agreement as a Lender thereunder and, to the extent of the Assigned Interest, shall have the obligations of a Lender thereunder, (iv) it is sophisticated with respect to decisions to acquire assets of the type represented by the Assigned Interest and either it, or the Person exercising discretion in making its decision to acquire the Assigned Interest, is experienced in acquiring assets of such type, (v) it has received a copy of the Term Loan Agreement, together with copies of the most recent financial statements delivered pursuant to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thereof, as applicable, and such other documents and information as it has deemed appropriate to make its own credit analysis and decision to enter into this Assignment and Assumption and to purchase the Assigned Interest on the basis of which it has made such analysis and decision independently and without reliance on the Administrative Agent, any arranger or any other Lender and their respective Related Parties, and (vi) if it is a Foreign Lender, attached to the Assignment and Assumption is any documentation required to be delivered by it pursuant to the terms of the Term Loan Agreement, duly completed and executed by the Assignee; and (b) agrees that (i) it will, independently and without reliance on the Administrative Agent, any arranger, the Assignor or any other Lender and their respective Related Parties,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w:t>
      </w:r>
    </w:p>
    <w:p>
      <w:pPr>
        <w:spacing w:after="0" w:line="148" w:lineRule="exact"/>
        <w:rPr>
          <w:sz w:val="20"/>
          <w:szCs w:val="20"/>
          <w:color w:val="auto"/>
        </w:rPr>
      </w:pPr>
    </w:p>
    <w:p>
      <w:pPr>
        <w:jc w:val="both"/>
        <w:ind w:firstLine="656"/>
        <w:spacing w:after="0" w:line="244" w:lineRule="auto"/>
        <w:tabs>
          <w:tab w:leader="none" w:pos="846" w:val="left"/>
        </w:tabs>
        <w:numPr>
          <w:ilvl w:val="0"/>
          <w:numId w:val="120"/>
        </w:numPr>
        <w:rPr>
          <w:rFonts w:ascii="Arial" w:cs="Arial" w:eastAsia="Arial" w:hAnsi="Arial"/>
          <w:sz w:val="20"/>
          <w:szCs w:val="20"/>
          <w:color w:val="auto"/>
        </w:rPr>
      </w:pPr>
      <w:r>
        <w:rPr>
          <w:rFonts w:ascii="Arial" w:cs="Arial" w:eastAsia="Arial" w:hAnsi="Arial"/>
          <w:sz w:val="20"/>
          <w:szCs w:val="20"/>
          <w:u w:val="single" w:color="auto"/>
          <w:color w:val="auto"/>
        </w:rPr>
        <w:t>Payments</w:t>
      </w:r>
      <w:r>
        <w:rPr>
          <w:rFonts w:ascii="Arial" w:cs="Arial" w:eastAsia="Arial" w:hAnsi="Arial"/>
          <w:sz w:val="20"/>
          <w:szCs w:val="20"/>
          <w:color w:val="auto"/>
        </w:rPr>
        <w:t>. From and after the Effective Date, the Administrative Agent shall make all payments in respect of the Assigned Interest (including payments of principal, interest, fees and other amounts) to the Assignor for amounts which have accrued to but excluding the Effective Date and to the Assignee for amounts which have accrued from and after the Effective Date. The Assignor and Assignee shall make all appropriate adjustments in payments by the Administrative Agent for periods prior to the Effective Date with respect to the making of this assignment directly between themselves.</w:t>
      </w:r>
    </w:p>
    <w:p>
      <w:pPr>
        <w:spacing w:after="0" w:line="167" w:lineRule="exact"/>
        <w:rPr>
          <w:rFonts w:ascii="Arial" w:cs="Arial" w:eastAsia="Arial" w:hAnsi="Arial"/>
          <w:sz w:val="20"/>
          <w:szCs w:val="20"/>
          <w:color w:val="auto"/>
        </w:rPr>
      </w:pPr>
    </w:p>
    <w:p>
      <w:pPr>
        <w:jc w:val="both"/>
        <w:ind w:firstLine="656"/>
        <w:spacing w:after="0" w:line="259" w:lineRule="auto"/>
        <w:tabs>
          <w:tab w:leader="none" w:pos="846" w:val="left"/>
        </w:tabs>
        <w:numPr>
          <w:ilvl w:val="0"/>
          <w:numId w:val="120"/>
        </w:numPr>
        <w:rPr>
          <w:rFonts w:ascii="Arial" w:cs="Arial" w:eastAsia="Arial" w:hAnsi="Arial"/>
          <w:sz w:val="19"/>
          <w:szCs w:val="19"/>
          <w:color w:val="auto"/>
        </w:rPr>
      </w:pPr>
      <w:r>
        <w:rPr>
          <w:rFonts w:ascii="Arial" w:cs="Arial" w:eastAsia="Arial" w:hAnsi="Arial"/>
          <w:sz w:val="19"/>
          <w:szCs w:val="19"/>
          <w:u w:val="single" w:color="auto"/>
          <w:color w:val="auto"/>
        </w:rPr>
        <w:t>General Provisions</w:t>
      </w:r>
      <w:r>
        <w:rPr>
          <w:rFonts w:ascii="Arial" w:cs="Arial" w:eastAsia="Arial" w:hAnsi="Arial"/>
          <w:sz w:val="19"/>
          <w:szCs w:val="19"/>
          <w:color w:val="auto"/>
        </w:rPr>
        <w:t>. This Assignment and Assumption shall be binding upon, and inure to the benefit of, the parties hereto and their respective successors and assigns. This Assignment and Assumption may be executed in any number of counterparts, which together shall constitute one instrument. Acceptance and adoption of the terms of this Assignment and Assumption by the Assignee and the Assignor by Electronic Signature or delivery of an executed counterpart of a signature page of this Assignment and Assumption by any Approved Electronic Platform shall be effective as delivery of a manually executed counterpart of this Assignment and Assumption. This Assignment and Assumption shall be governed by, and construed in accordance with, the law of the State of New York.</w:t>
      </w:r>
    </w:p>
    <w:p>
      <w:pPr>
        <w:sectPr>
          <w:pgSz w:w="11900" w:h="16838" w:orient="portrait"/>
          <w:cols w:equalWidth="0" w:num="1">
            <w:col w:w="11420"/>
          </w:cols>
          <w:pgMar w:left="240" w:top="337" w:right="239" w:bottom="1440" w:gutter="0" w:footer="0" w:header="0"/>
        </w:sectPr>
      </w:pPr>
    </w:p>
    <w:bookmarkStart w:id="118" w:name="page119"/>
    <w:bookmarkEnd w:id="118"/>
    <w:p>
      <w:pPr>
        <w:ind w:left="9520"/>
        <w:spacing w:after="0"/>
        <w:rPr>
          <w:sz w:val="20"/>
          <w:szCs w:val="20"/>
          <w:color w:val="auto"/>
        </w:rPr>
      </w:pPr>
      <w:r>
        <w:rPr>
          <w:rFonts w:ascii="Arial" w:cs="Arial" w:eastAsia="Arial" w:hAnsi="Arial"/>
          <w:sz w:val="16"/>
          <w:szCs w:val="16"/>
          <w:b w:val="1"/>
          <w:bCs w:val="1"/>
          <w:color w:val="auto"/>
        </w:rPr>
        <w:t>Exhibit 4</w:t>
      </w:r>
    </w:p>
    <w:p>
      <w:pPr>
        <w:sectPr>
          <w:pgSz w:w="11900" w:h="16838" w:orient="portrait"/>
          <w:cols w:equalWidth="0" w:num="1">
            <w:col w:w="10220"/>
          </w:cols>
          <w:pgMar w:left="1440" w:top="337" w:right="2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4</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EXHIBIT B</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FORM OF NOTE</w:t>
      </w:r>
    </w:p>
    <w:p>
      <w:pPr>
        <w:spacing w:after="0" w:line="200" w:lineRule="exact"/>
        <w:rPr>
          <w:sz w:val="20"/>
          <w:szCs w:val="20"/>
          <w:color w:val="auto"/>
        </w:rPr>
      </w:pPr>
    </w:p>
    <w:p>
      <w:pPr>
        <w:spacing w:after="0" w:line="238"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w:t>
      </w:r>
      <w:r>
        <w:rPr>
          <w:sz w:val="20"/>
          <w:szCs w:val="20"/>
          <w:color w:val="auto"/>
        </w:rPr>
        <w:tab/>
      </w:r>
      <w:r>
        <w:rPr>
          <w:rFonts w:ascii="Arial" w:cs="Arial" w:eastAsia="Arial" w:hAnsi="Arial"/>
          <w:sz w:val="16"/>
          <w:szCs w:val="16"/>
          <w:color w:val="auto"/>
        </w:rPr>
        <w:t>____________, 2019</w:t>
      </w:r>
    </w:p>
    <w:p>
      <w:pPr>
        <w:spacing w:after="0" w:line="189"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FOR VALUE RECEIVED, the undersigned, ALLETE, Inc., a Minnesota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hereby promises to pay to the order of [INSERT LENDER NAME] (the “</w:t>
      </w:r>
      <w:r>
        <w:rPr>
          <w:rFonts w:ascii="Arial" w:cs="Arial" w:eastAsia="Arial" w:hAnsi="Arial"/>
          <w:sz w:val="18"/>
          <w:szCs w:val="18"/>
          <w:u w:val="single" w:color="auto"/>
          <w:color w:val="auto"/>
        </w:rPr>
        <w:t>Lender</w:t>
      </w:r>
      <w:r>
        <w:rPr>
          <w:rFonts w:ascii="Arial" w:cs="Arial" w:eastAsia="Arial" w:hAnsi="Arial"/>
          <w:sz w:val="18"/>
          <w:szCs w:val="18"/>
          <w:color w:val="auto"/>
        </w:rPr>
        <w:t>”), on the Maturity Date (as defined in the Term Loan Agreement referred to below), the unpaid principal amount of the Loan made by the Lender to the Borrower pursuant to the Amended and Restated Term Loan Agreement dated as of August 14, 2019 among the Borrower, the Lenders party thereto and JPMorgan Chase Bank, N.A., as Administrative Agent (as amended, supplemented or otherwise modified from time to time, the “</w:t>
      </w:r>
      <w:r>
        <w:rPr>
          <w:rFonts w:ascii="Arial" w:cs="Arial" w:eastAsia="Arial" w:hAnsi="Arial"/>
          <w:sz w:val="18"/>
          <w:szCs w:val="18"/>
          <w:u w:val="single" w:color="auto"/>
          <w:color w:val="auto"/>
        </w:rPr>
        <w:t>Term Loan Agreement</w:t>
      </w:r>
      <w:r>
        <w:rPr>
          <w:rFonts w:ascii="Arial" w:cs="Arial" w:eastAsia="Arial" w:hAnsi="Arial"/>
          <w:sz w:val="18"/>
          <w:szCs w:val="18"/>
          <w:color w:val="auto"/>
        </w:rPr>
        <w:t>”), and to pay interest from the date hereof on the principal balance of the Loan from time to time outstanding at the rate or rates and at the times set forth in the Term Loan Agreement, in each case at the office of the Administrative Agent located at Ten South Dearborn Street, Chicago, Illinois, or at such other place as the Administrative Agent may specify from time to time, in lawful money of the United States in immediately available funds. Terms not otherwise defined herein but defined in the Term Loan Agreement are used herein with the same meanings.</w:t>
      </w:r>
    </w:p>
    <w:p>
      <w:pPr>
        <w:spacing w:after="0" w:line="144"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The Loan evidenced by this Note is prepayable in the amounts, and under the circumstances, and its maturity is subject to acceleration upon the terms, set forth in the Term Loan Agreement. This Note is subject to, and shall be construed in accordance with, the provisions of the Term Loan Agreement.</w:t>
      </w:r>
    </w:p>
    <w:p>
      <w:pPr>
        <w:spacing w:after="0" w:line="15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Except as specifically otherwise provided in the Term Loan Agreement, the Borrower hereby waives presentment, demand, notice of dishonor, protest, notice of protest and all other demands, protests and notices in connection with the execution, delivery, performance, collection and enforcement of this Note.</w:t>
      </w:r>
    </w:p>
    <w:p>
      <w:pPr>
        <w:spacing w:after="0" w:line="159"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 xml:space="preserve">Whenever in this Note either party hereto is referred to, such reference shall be deemed to include the successors and assigns of such party. The Borrower shall not have the right to assign its rights or obligations hereunder or any interest herein (and any such attempted assignment shall be void), except as expressly permitted by the Loan Documents. No failure or delay of the Lender in exercising any power or right hereunder shall operate as a waiver thereof, nor shall any single or partial exercise of any such right or power, or any abandonment or discontinuance of steps to enforce such a right or power, preclude any other or further exercise thereof or the exercise of any other right or power. Neither this Note nor any provision hereof may be waived, amended or modified, nor shall any departure therefrom be consented to, except pursuant to a written agreement entered into between the Borrower and the Lender with respect to which such waiver, amendment, modification or consent is to apply, subject to any consent required in accordance with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of the Term Loan Agreement.</w:t>
      </w:r>
    </w:p>
    <w:p>
      <w:pPr>
        <w:spacing w:after="0" w:line="142" w:lineRule="exact"/>
        <w:rPr>
          <w:sz w:val="20"/>
          <w:szCs w:val="20"/>
          <w:color w:val="auto"/>
        </w:rPr>
      </w:pPr>
    </w:p>
    <w:p>
      <w:pPr>
        <w:spacing w:after="0"/>
        <w:rPr>
          <w:sz w:val="20"/>
          <w:szCs w:val="20"/>
          <w:color w:val="auto"/>
        </w:rPr>
      </w:pPr>
      <w:r>
        <w:rPr>
          <w:rFonts w:ascii="Arial" w:cs="Arial" w:eastAsia="Arial" w:hAnsi="Arial"/>
          <w:sz w:val="19"/>
          <w:szCs w:val="19"/>
          <w:color w:val="auto"/>
        </w:rPr>
        <w:t>THIS NOTE SHALL BE GOVERNED BY, AND CONSTRUED IN ACCORDANCE WITH, THE LAWS OF THE STATE OF NEW YORK.</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All communications and notices hereunder shall be in writing and given as provided in Section 10.1 of the Term Loan Agreement.</w:t>
      </w:r>
    </w:p>
    <w:p>
      <w:pPr>
        <w:spacing w:after="0" w:line="189"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The Borrower, and by accepting this Note, the Lender hereby irrevocably and unconditionally submits, for itself and its property, to the nonexclusive jurisdiction of the Supreme Court of the State of New York sitting in the Borough of Manhattan and of the United States District Court of the Southern District of New York City, and any appellate court from any thereof, in any action or proceeding arising out of or relating to this Note or the other Loan Documents, or for recognition or enforcement of any judgment, and each of the Borrower and the Lender hereby irrevocably and unconditionally agrees that, to the extent permitted by applicable law, all claims in respect of any such action or proceeding may be heard and determined in such New York State court or, to the extent permitted by applicable law, in such Federal court. The Borrower, and by accepting this Note, the Lender, agrees that a final judgment in any such action or proceeding shall be conclusive and may be enforced in other jurisdictions by suit on the judgment or in any other manner provided by law. Nothing in this Note shall affect any right that the Lender may otherwise have to bring</w:t>
      </w:r>
    </w:p>
    <w:p>
      <w:pPr>
        <w:sectPr>
          <w:pgSz w:w="11900" w:h="16838" w:orient="portrait"/>
          <w:cols w:equalWidth="0" w:num="1">
            <w:col w:w="11420"/>
          </w:cols>
          <w:pgMar w:left="240" w:top="337" w:right="239" w:bottom="1440" w:gutter="0" w:footer="0" w:header="0"/>
        </w:sectPr>
      </w:pPr>
    </w:p>
    <w:bookmarkStart w:id="120" w:name="page121"/>
    <w:bookmarkEnd w:id="120"/>
    <w:p>
      <w:pPr>
        <w:ind w:left="10720"/>
        <w:spacing w:after="0"/>
        <w:rPr>
          <w:sz w:val="20"/>
          <w:szCs w:val="20"/>
          <w:color w:val="auto"/>
        </w:rPr>
      </w:pPr>
      <w:r>
        <w:rPr>
          <w:rFonts w:ascii="Arial" w:cs="Arial" w:eastAsia="Arial" w:hAnsi="Arial"/>
          <w:sz w:val="16"/>
          <w:szCs w:val="16"/>
          <w:b w:val="1"/>
          <w:bCs w:val="1"/>
          <w:color w:val="auto"/>
        </w:rPr>
        <w:t>Exhibit 4</w:t>
      </w:r>
    </w:p>
    <w:p>
      <w:pPr>
        <w:spacing w:after="0" w:line="27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any action or proceeding relating to this Note or the other Loan Documents against the Borrower, or any of its property, in the courts of any jurisdiction.</w:t>
      </w:r>
    </w:p>
    <w:p>
      <w:pPr>
        <w:spacing w:after="0" w:line="150"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Borrower, and by accepting this Note, the Lender, hereby irrevocably and unconditionally waives, to the fullest extent it may legally and effectively do so, any objection that it may now or hereafter have to the laying of venue of any suit, action or proceeding arising out of or relating to this Note or the other Loan Documents in any court referred to in the preceding paragraph hereof. The Borrower, and by accepting this Note, the Lender, hereby irrevocably waives, to the fullest extent permitted by applicable law, the defense of an inconvenient forum to the maintenance of such action or proceeding in any such court.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The Borrower, and by accepting this Note, the Lender, irrevocably consents to service of process in the manner provided for notices herein.</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Nothing herein will affect the right of the Lender to serve process in any other manner permitted by law.</w:t>
      </w:r>
    </w:p>
    <w:p>
      <w:pPr>
        <w:spacing w:after="0" w:line="167" w:lineRule="exact"/>
        <w:rPr>
          <w:sz w:val="20"/>
          <w:szCs w:val="20"/>
          <w:color w:val="auto"/>
        </w:rPr>
      </w:pPr>
    </w:p>
    <w:p>
      <w:pPr>
        <w:jc w:val="both"/>
        <w:spacing w:after="0" w:line="243" w:lineRule="auto"/>
        <w:rPr>
          <w:sz w:val="20"/>
          <w:szCs w:val="20"/>
          <w:color w:val="auto"/>
        </w:rPr>
      </w:pPr>
      <w:r>
        <w:rPr>
          <w:rFonts w:ascii="Arial" w:cs="Arial" w:eastAsia="Arial" w:hAnsi="Arial"/>
          <w:sz w:val="20"/>
          <w:szCs w:val="20"/>
          <w:b w:val="1"/>
          <w:bCs w:val="1"/>
          <w:color w:val="auto"/>
        </w:rPr>
        <w:t>THE BORROWER, AND BY ACCEPTING THIS NOTE, THE LENDER, EACH HEREBY WAIVES, TO THE FULLEST EXTENT PERMITTED BY APPLICABLE LAW, ANY RIGHT IT MAY HAVE TO A TRIAL BY JURY IN RESPECT OF ANY LEGAL PROCEEDING DIRECTLY OR INDIRECTLY ARISING OUT OF, UNDER OR RELATING TO THIS NOTE. THE BORROWER, AND BY ACCEPTING THIS NOTE, THE LENDER, (A) CERTIFIES THAT NO REPRESENTATIVE, AGENT OR ATTORNEY OF THE OTHER PARTY HAS REPRESENTED, EXPRESSLY OR OTHERWISE, THAT SUCH OTHER PARTY WOULD NOT, IN THE EVENT OF LITIGATION, SEEK TO ENFORCE THE FOREGOING WAIVER AND (B) ACKNOWLEDGES THAT IT AND SUCH OTHER PARTY HAS BEEN INDUCED TO ACCEPT THIS NOTE AND ENTER INTO THE LOAN DOCUMENTS TO WHICH IT IS A PARTY BY, AMONG OTHER THINGS, THE WAIVERS AND CERTIFICATIONS IN THIS PARAGRAPH.</w:t>
      </w:r>
    </w:p>
    <w:p>
      <w:pPr>
        <w:spacing w:after="0" w:line="169"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ALLETE,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w:t>
      </w:r>
    </w:p>
    <w:p>
      <w:pPr>
        <w:spacing w:after="0" w:line="200" w:lineRule="exact"/>
        <w:rPr>
          <w:sz w:val="20"/>
          <w:szCs w:val="20"/>
          <w:color w:val="auto"/>
        </w:rPr>
      </w:pPr>
    </w:p>
    <w:p>
      <w:pPr>
        <w:spacing w:after="0" w:line="23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w:t>
      </w:r>
    </w:p>
    <w:p>
      <w:pPr>
        <w:spacing w:after="0" w:line="200" w:lineRule="exact"/>
        <w:rPr>
          <w:sz w:val="20"/>
          <w:szCs w:val="20"/>
          <w:color w:val="auto"/>
        </w:rPr>
      </w:pPr>
    </w:p>
    <w:p>
      <w:pPr>
        <w:spacing w:after="0" w:line="23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Title:</w:t>
      </w:r>
    </w:p>
    <w:p>
      <w:pPr>
        <w:sectPr>
          <w:pgSz w:w="11900" w:h="16838" w:orient="portrait"/>
          <w:cols w:equalWidth="0" w:num="1">
            <w:col w:w="11420"/>
          </w:cols>
          <w:pgMar w:left="240" w:top="337" w:right="2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4</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EXHIBIT C</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FORM OF COMPLIANCE CERTIFICATE</w:t>
      </w:r>
    </w:p>
    <w:p>
      <w:pPr>
        <w:spacing w:after="0" w:line="22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 ______________, do hereby certify that I am the ______________ of ALLETE, Inc. (the “</w:t>
      </w:r>
      <w:r>
        <w:rPr>
          <w:rFonts w:ascii="Arial" w:cs="Arial" w:eastAsia="Arial" w:hAnsi="Arial"/>
          <w:sz w:val="18"/>
          <w:szCs w:val="18"/>
          <w:u w:val="single" w:color="auto"/>
          <w:color w:val="auto"/>
        </w:rPr>
        <w:t>Borrower</w:t>
      </w:r>
      <w:r>
        <w:rPr>
          <w:rFonts w:ascii="Arial" w:cs="Arial" w:eastAsia="Arial" w:hAnsi="Arial"/>
          <w:sz w:val="18"/>
          <w:szCs w:val="18"/>
          <w:color w:val="auto"/>
        </w:rPr>
        <w:t>”), and that, as such, I</w:t>
      </w:r>
    </w:p>
    <w:p>
      <w:pPr>
        <w:spacing w:after="0" w:line="39"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am duly authorized to execute and deliver this Compliance Certificate on the Borrower’s behalf pursuant to Section 6.1(c) of the Amended and Restated Term Loan Agreement dated as of August 14, 2019 among the Borrower, the Lenders party thereto and JPMorgan Chase Bank, N.A., as Administrative Agent (as amended, supplemented or otherwise modified from time to time, the “</w:t>
      </w:r>
      <w:r>
        <w:rPr>
          <w:rFonts w:ascii="Arial" w:cs="Arial" w:eastAsia="Arial" w:hAnsi="Arial"/>
          <w:sz w:val="18"/>
          <w:szCs w:val="18"/>
          <w:u w:val="single" w:color="auto"/>
          <w:color w:val="auto"/>
        </w:rPr>
        <w:t>Term Loan Agreement</w:t>
      </w:r>
      <w:r>
        <w:rPr>
          <w:rFonts w:ascii="Arial" w:cs="Arial" w:eastAsia="Arial" w:hAnsi="Arial"/>
          <w:sz w:val="18"/>
          <w:szCs w:val="18"/>
          <w:color w:val="auto"/>
        </w:rPr>
        <w:t>”). Capitalized terms used herein which are not defined herein shall have the meanings assigned to such terms in the Term Loan Agreement.</w:t>
      </w:r>
    </w:p>
    <w:p>
      <w:pPr>
        <w:spacing w:after="0" w:line="13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I hereby certify that:</w:t>
      </w:r>
    </w:p>
    <w:p>
      <w:pPr>
        <w:spacing w:after="0" w:line="189" w:lineRule="exact"/>
        <w:rPr>
          <w:sz w:val="20"/>
          <w:szCs w:val="20"/>
          <w:color w:val="auto"/>
        </w:rPr>
      </w:pPr>
    </w:p>
    <w:p>
      <w:pPr>
        <w:jc w:val="both"/>
        <w:ind w:firstLine="1305"/>
        <w:spacing w:after="0" w:line="246" w:lineRule="auto"/>
        <w:tabs>
          <w:tab w:leader="none" w:pos="1679" w:val="left"/>
        </w:tabs>
        <w:numPr>
          <w:ilvl w:val="0"/>
          <w:numId w:val="121"/>
        </w:numPr>
        <w:rPr>
          <w:rFonts w:ascii="Arial" w:cs="Arial" w:eastAsia="Arial" w:hAnsi="Arial"/>
          <w:sz w:val="20"/>
          <w:szCs w:val="20"/>
          <w:color w:val="auto"/>
        </w:rPr>
      </w:pPr>
      <w:r>
        <w:rPr>
          <w:rFonts w:ascii="Arial" w:cs="Arial" w:eastAsia="Arial" w:hAnsi="Arial"/>
          <w:sz w:val="20"/>
          <w:szCs w:val="20"/>
          <w:color w:val="auto"/>
        </w:rPr>
        <w:t>To the best of my knowledge, all financial statements delivered herewith have been prepared in accordance with GAAP. There have been no changes in GAAP pertinent to the Borrower or in the application thereof to Borrower and that affects the computation of any financial covenant set forth in Section 7.5 of the Term Loan Agreement, since the date of the audited financial statements referred to in Section 4.4(a) of the Term Loan Agreement, [, except as follows:</w:t>
      </w:r>
      <w:r>
        <w:rPr>
          <w:rFonts w:ascii="Arial" w:cs="Arial" w:eastAsia="Arial" w:hAnsi="Arial"/>
          <w:sz w:val="14"/>
          <w:szCs w:val="14"/>
          <w:color w:val="auto"/>
        </w:rPr>
        <w:t>15</w:t>
      </w:r>
      <w:r>
        <w:rPr>
          <w:rFonts w:ascii="Arial" w:cs="Arial" w:eastAsia="Arial" w:hAnsi="Arial"/>
          <w:sz w:val="20"/>
          <w:szCs w:val="20"/>
          <w:color w:val="auto"/>
        </w:rPr>
        <w:t>]</w:t>
      </w:r>
    </w:p>
    <w:p>
      <w:pPr>
        <w:spacing w:after="0" w:line="178" w:lineRule="exact"/>
        <w:rPr>
          <w:rFonts w:ascii="Arial" w:cs="Arial" w:eastAsia="Arial" w:hAnsi="Arial"/>
          <w:sz w:val="20"/>
          <w:szCs w:val="20"/>
          <w:color w:val="auto"/>
        </w:rPr>
      </w:pPr>
    </w:p>
    <w:p>
      <w:pPr>
        <w:ind w:firstLine="1305"/>
        <w:spacing w:after="0" w:line="260" w:lineRule="auto"/>
        <w:tabs>
          <w:tab w:leader="none" w:pos="1638" w:val="left"/>
        </w:tabs>
        <w:numPr>
          <w:ilvl w:val="0"/>
          <w:numId w:val="121"/>
        </w:numPr>
        <w:rPr>
          <w:rFonts w:ascii="Arial" w:cs="Arial" w:eastAsia="Arial" w:hAnsi="Arial"/>
          <w:sz w:val="20"/>
          <w:szCs w:val="20"/>
          <w:color w:val="auto"/>
        </w:rPr>
      </w:pPr>
      <w:r>
        <w:rPr>
          <w:rFonts w:ascii="Arial" w:cs="Arial" w:eastAsia="Arial" w:hAnsi="Arial"/>
          <w:sz w:val="20"/>
          <w:szCs w:val="20"/>
          <w:color w:val="auto"/>
        </w:rPr>
        <w:t xml:space="preserve">There existed no Default on the last day of the fiscal quarter ended _________, 20__, and there exists no Default as of the date hereof [, except as follows </w:t>
      </w:r>
      <w:r>
        <w:rPr>
          <w:rFonts w:ascii="Arial" w:cs="Arial" w:eastAsia="Arial" w:hAnsi="Arial"/>
          <w:sz w:val="14"/>
          <w:szCs w:val="14"/>
          <w:color w:val="auto"/>
        </w:rPr>
        <w:t>16</w:t>
      </w:r>
      <w:r>
        <w:rPr>
          <w:rFonts w:ascii="Arial" w:cs="Arial" w:eastAsia="Arial" w:hAnsi="Arial"/>
          <w:sz w:val="20"/>
          <w:szCs w:val="20"/>
          <w:color w:val="auto"/>
        </w:rPr>
        <w:t>]</w:t>
      </w:r>
    </w:p>
    <w:p>
      <w:pPr>
        <w:spacing w:after="0" w:line="163" w:lineRule="exact"/>
        <w:rPr>
          <w:rFonts w:ascii="Arial" w:cs="Arial" w:eastAsia="Arial" w:hAnsi="Arial"/>
          <w:sz w:val="20"/>
          <w:szCs w:val="20"/>
          <w:color w:val="auto"/>
        </w:rPr>
      </w:pPr>
    </w:p>
    <w:p>
      <w:pPr>
        <w:ind w:right="20" w:firstLine="1305"/>
        <w:spacing w:after="0" w:line="260" w:lineRule="auto"/>
        <w:tabs>
          <w:tab w:leader="none" w:pos="1665" w:val="left"/>
        </w:tabs>
        <w:numPr>
          <w:ilvl w:val="0"/>
          <w:numId w:val="121"/>
        </w:numPr>
        <w:rPr>
          <w:rFonts w:ascii="Arial" w:cs="Arial" w:eastAsia="Arial" w:hAnsi="Arial"/>
          <w:sz w:val="20"/>
          <w:szCs w:val="20"/>
          <w:color w:val="auto"/>
        </w:rPr>
      </w:pPr>
      <w:r>
        <w:rPr>
          <w:rFonts w:ascii="Arial" w:cs="Arial" w:eastAsia="Arial" w:hAnsi="Arial"/>
          <w:sz w:val="20"/>
          <w:szCs w:val="20"/>
          <w:color w:val="auto"/>
        </w:rPr>
        <w:t>Attached are true and correct calculations demonstrating compliance with Section 7.5 of the Term Loan Agreement as of the fiscal quarter ended _________, 20___.</w:t>
      </w:r>
    </w:p>
    <w:p>
      <w:pPr>
        <w:spacing w:after="0" w:line="15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IN WITNESS WHEREOF, I have executed this Compliance Certificate on this ___ day of ________________, 201_.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15 Specify each such change and the effect thereof on the financial statements accompanying this Compliance Certificate as set forth in Section 1.3 of the Term Loan Agreement.</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16 Specify all such violations, conditions and events, the nature and status thereof and any action taken or proposed to be taken with respect thereto.</w:t>
      </w:r>
    </w:p>
    <w:p>
      <w:pPr>
        <w:sectPr>
          <w:pgSz w:w="11900" w:h="16838" w:orient="portrait"/>
          <w:cols w:equalWidth="0" w:num="1">
            <w:col w:w="11420"/>
          </w:cols>
          <w:pgMar w:left="240" w:top="337" w:right="2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4</w:t>
      </w:r>
    </w:p>
    <w:p>
      <w:pPr>
        <w:spacing w:after="0" w:line="248" w:lineRule="exact"/>
        <w:rPr>
          <w:sz w:val="20"/>
          <w:szCs w:val="20"/>
          <w:color w:val="auto"/>
        </w:rPr>
      </w:pPr>
    </w:p>
    <w:p>
      <w:pPr>
        <w:jc w:val="center"/>
        <w:ind w:right="380"/>
        <w:spacing w:after="0"/>
        <w:rPr>
          <w:sz w:val="20"/>
          <w:szCs w:val="20"/>
          <w:color w:val="auto"/>
        </w:rPr>
      </w:pPr>
      <w:r>
        <w:rPr>
          <w:rFonts w:ascii="Arial" w:cs="Arial" w:eastAsia="Arial" w:hAnsi="Arial"/>
          <w:sz w:val="20"/>
          <w:szCs w:val="20"/>
          <w:b w:val="1"/>
          <w:bCs w:val="1"/>
          <w:color w:val="auto"/>
        </w:rPr>
        <w:t>Section 7.5</w:t>
      </w:r>
    </w:p>
    <w:p>
      <w:pPr>
        <w:spacing w:after="0" w:line="189" w:lineRule="exact"/>
        <w:rPr>
          <w:sz w:val="20"/>
          <w:szCs w:val="20"/>
          <w:color w:val="auto"/>
        </w:rPr>
      </w:pPr>
    </w:p>
    <w:p>
      <w:pPr>
        <w:jc w:val="center"/>
        <w:ind w:right="380"/>
        <w:spacing w:after="0"/>
        <w:rPr>
          <w:sz w:val="20"/>
          <w:szCs w:val="20"/>
          <w:color w:val="auto"/>
        </w:rPr>
      </w:pPr>
      <w:r>
        <w:rPr>
          <w:rFonts w:ascii="Arial" w:cs="Arial" w:eastAsia="Arial" w:hAnsi="Arial"/>
          <w:sz w:val="20"/>
          <w:szCs w:val="20"/>
          <w:b w:val="1"/>
          <w:bCs w:val="1"/>
          <w:u w:val="single" w:color="auto"/>
          <w:color w:val="auto"/>
        </w:rPr>
        <w:t>Ratio of Total Indebtedness to Total Capitalization*</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180" w:type="dxa"/>
            <w:vAlign w:val="bottom"/>
            <w:tcBorders>
              <w:top w:val="single" w:sz="8" w:color="auto"/>
              <w:bottom w:val="single" w:sz="8" w:color="auto"/>
            </w:tcBorders>
          </w:tcPr>
          <w:p>
            <w:pPr>
              <w:spacing w:after="0"/>
              <w:rPr>
                <w:sz w:val="3"/>
                <w:szCs w:val="3"/>
                <w:color w:val="auto"/>
              </w:rPr>
            </w:pPr>
          </w:p>
        </w:tc>
        <w:tc>
          <w:tcPr>
            <w:tcW w:w="5660" w:type="dxa"/>
            <w:vAlign w:val="bottom"/>
            <w:tcBorders>
              <w:top w:val="single" w:sz="8" w:color="auto"/>
              <w:bottom w:val="single" w:sz="8" w:color="auto"/>
            </w:tcBorders>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3700" w:type="dxa"/>
            <w:vAlign w:val="bottom"/>
            <w:tcBorders>
              <w:top w:val="single" w:sz="8" w:color="auto"/>
              <w:bottom w:val="single" w:sz="8" w:color="auto"/>
              <w:right w:val="single" w:sz="8" w:color="auto"/>
            </w:tcBorders>
          </w:tcPr>
          <w:p>
            <w:pPr>
              <w:spacing w:after="0"/>
              <w:rPr>
                <w:sz w:val="3"/>
                <w:szCs w:val="3"/>
                <w:color w:val="auto"/>
              </w:rPr>
            </w:pPr>
          </w:p>
        </w:tc>
      </w:tr>
      <w:tr>
        <w:trPr>
          <w:trHeight w:val="197"/>
        </w:trPr>
        <w:tc>
          <w:tcPr>
            <w:tcW w:w="40" w:type="dxa"/>
            <w:vAlign w:val="bottom"/>
            <w:tcBorders>
              <w:right w:val="single" w:sz="8" w:color="auto"/>
            </w:tcBorders>
            <w:shd w:val="clear" w:color="auto" w:fill="000000"/>
          </w:tcPr>
          <w:p>
            <w:pPr>
              <w:spacing w:after="0"/>
              <w:rPr>
                <w:sz w:val="17"/>
                <w:szCs w:val="17"/>
                <w:color w:val="auto"/>
              </w:rPr>
            </w:pPr>
          </w:p>
        </w:tc>
        <w:tc>
          <w:tcPr>
            <w:tcW w:w="1180" w:type="dxa"/>
            <w:vAlign w:val="bottom"/>
            <w:tcBorders>
              <w:right w:val="single" w:sz="8" w:color="auto"/>
            </w:tcBorders>
          </w:tcPr>
          <w:p>
            <w:pPr>
              <w:ind w:left="20"/>
              <w:spacing w:after="0" w:line="197" w:lineRule="exact"/>
              <w:rPr>
                <w:sz w:val="20"/>
                <w:szCs w:val="20"/>
                <w:color w:val="auto"/>
              </w:rPr>
            </w:pPr>
            <w:r>
              <w:rPr>
                <w:rFonts w:ascii="Arial" w:cs="Arial" w:eastAsia="Arial" w:hAnsi="Arial"/>
                <w:sz w:val="20"/>
                <w:szCs w:val="20"/>
                <w:color w:val="auto"/>
              </w:rPr>
              <w:t>Item 1.</w:t>
            </w:r>
          </w:p>
        </w:tc>
        <w:tc>
          <w:tcPr>
            <w:tcW w:w="5660" w:type="dxa"/>
            <w:vAlign w:val="bottom"/>
            <w:tcBorders>
              <w:right w:val="single" w:sz="8" w:color="auto"/>
            </w:tcBorders>
          </w:tcPr>
          <w:p>
            <w:pPr>
              <w:spacing w:after="0" w:line="197" w:lineRule="exact"/>
              <w:rPr>
                <w:sz w:val="20"/>
                <w:szCs w:val="20"/>
                <w:color w:val="auto"/>
              </w:rPr>
            </w:pPr>
            <w:r>
              <w:rPr>
                <w:rFonts w:ascii="Arial" w:cs="Arial" w:eastAsia="Arial" w:hAnsi="Arial"/>
                <w:sz w:val="20"/>
                <w:szCs w:val="20"/>
                <w:color w:val="auto"/>
              </w:rPr>
              <w:t>Sum of all Indebtedness</w:t>
            </w:r>
          </w:p>
        </w:tc>
        <w:tc>
          <w:tcPr>
            <w:tcW w:w="3800" w:type="dxa"/>
            <w:vAlign w:val="bottom"/>
            <w:tcBorders>
              <w:right w:val="single" w:sz="8" w:color="auto"/>
            </w:tcBorders>
            <w:gridSpan w:val="2"/>
          </w:tcPr>
          <w:p>
            <w:pPr>
              <w:spacing w:after="0" w:line="197" w:lineRule="exact"/>
              <w:rPr>
                <w:sz w:val="20"/>
                <w:szCs w:val="20"/>
                <w:color w:val="auto"/>
              </w:rPr>
            </w:pPr>
            <w:r>
              <w:rPr>
                <w:rFonts w:ascii="Arial" w:cs="Arial" w:eastAsia="Arial" w:hAnsi="Arial"/>
                <w:sz w:val="20"/>
                <w:szCs w:val="20"/>
                <w:color w:val="auto"/>
              </w:rPr>
              <w:t>$</w:t>
            </w:r>
          </w:p>
        </w:tc>
      </w:tr>
      <w:tr>
        <w:trPr>
          <w:trHeight w:val="48"/>
        </w:trPr>
        <w:tc>
          <w:tcPr>
            <w:tcW w:w="40" w:type="dxa"/>
            <w:vAlign w:val="bottom"/>
            <w:tcBorders>
              <w:top w:val="single" w:sz="8" w:color="auto"/>
              <w:bottom w:val="single" w:sz="8" w:color="auto"/>
              <w:right w:val="single" w:sz="8" w:color="auto"/>
            </w:tcBorders>
            <w:shd w:val="clear" w:color="auto" w:fill="000000"/>
          </w:tcPr>
          <w:p>
            <w:pPr>
              <w:spacing w:after="0"/>
              <w:rPr>
                <w:sz w:val="4"/>
                <w:szCs w:val="4"/>
                <w:color w:val="auto"/>
              </w:rPr>
            </w:pPr>
          </w:p>
        </w:tc>
        <w:tc>
          <w:tcPr>
            <w:tcW w:w="1180" w:type="dxa"/>
            <w:vAlign w:val="bottom"/>
            <w:tcBorders>
              <w:bottom w:val="single" w:sz="8" w:color="auto"/>
              <w:right w:val="single" w:sz="8" w:color="auto"/>
            </w:tcBorders>
          </w:tcPr>
          <w:p>
            <w:pPr>
              <w:spacing w:after="0"/>
              <w:rPr>
                <w:sz w:val="4"/>
                <w:szCs w:val="4"/>
                <w:color w:val="auto"/>
              </w:rPr>
            </w:pPr>
          </w:p>
        </w:tc>
        <w:tc>
          <w:tcPr>
            <w:tcW w:w="5660" w:type="dxa"/>
            <w:vAlign w:val="bottom"/>
            <w:tcBorders>
              <w:bottom w:val="single" w:sz="8" w:color="auto"/>
              <w:right w:val="single" w:sz="8" w:color="auto"/>
            </w:tcBorders>
          </w:tcPr>
          <w:p>
            <w:pPr>
              <w:spacing w:after="0"/>
              <w:rPr>
                <w:sz w:val="4"/>
                <w:szCs w:val="4"/>
                <w:color w:val="auto"/>
              </w:rPr>
            </w:pPr>
          </w:p>
        </w:tc>
        <w:tc>
          <w:tcPr>
            <w:tcW w:w="100" w:type="dxa"/>
            <w:vAlign w:val="bottom"/>
            <w:tcBorders>
              <w:top w:val="single" w:sz="8" w:color="auto"/>
              <w:bottom w:val="single" w:sz="8" w:color="auto"/>
            </w:tcBorders>
          </w:tcPr>
          <w:p>
            <w:pPr>
              <w:spacing w:after="0"/>
              <w:rPr>
                <w:sz w:val="4"/>
                <w:szCs w:val="4"/>
                <w:color w:val="auto"/>
              </w:rPr>
            </w:pPr>
          </w:p>
        </w:tc>
        <w:tc>
          <w:tcPr>
            <w:tcW w:w="3700" w:type="dxa"/>
            <w:vAlign w:val="bottom"/>
            <w:tcBorders>
              <w:bottom w:val="single" w:sz="8" w:color="auto"/>
              <w:right w:val="single" w:sz="8" w:color="auto"/>
            </w:tcBorders>
          </w:tcPr>
          <w:p>
            <w:pPr>
              <w:spacing w:after="0"/>
              <w:rPr>
                <w:sz w:val="4"/>
                <w:szCs w:val="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700" w:type="dxa"/>
            <w:vAlign w:val="bottom"/>
            <w:tcBorders>
              <w:bottom w:val="single" w:sz="8" w:color="auto"/>
              <w:right w:val="single" w:sz="8" w:color="auto"/>
            </w:tcBorders>
          </w:tcPr>
          <w:p>
            <w:pPr>
              <w:spacing w:after="0" w:line="20" w:lineRule="exact"/>
              <w:rPr>
                <w:sz w:val="1"/>
                <w:szCs w:val="1"/>
                <w:color w:val="auto"/>
              </w:rPr>
            </w:pPr>
          </w:p>
        </w:tc>
      </w:tr>
      <w:tr>
        <w:trPr>
          <w:trHeight w:val="220"/>
        </w:trPr>
        <w:tc>
          <w:tcPr>
            <w:tcW w:w="40" w:type="dxa"/>
            <w:vAlign w:val="bottom"/>
            <w:tcBorders>
              <w:right w:val="single" w:sz="8" w:color="auto"/>
            </w:tcBorders>
            <w:shd w:val="clear" w:color="auto" w:fill="000000"/>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c>
          <w:tcPr>
            <w:tcW w:w="5660" w:type="dxa"/>
            <w:vAlign w:val="bottom"/>
            <w:tcBorders>
              <w:right w:val="single" w:sz="8" w:color="auto"/>
            </w:tcBorders>
          </w:tcPr>
          <w:p>
            <w:pPr>
              <w:spacing w:after="0" w:line="220" w:lineRule="exact"/>
              <w:rPr>
                <w:sz w:val="20"/>
                <w:szCs w:val="20"/>
                <w:color w:val="auto"/>
              </w:rPr>
            </w:pPr>
            <w:r>
              <w:rPr>
                <w:rFonts w:ascii="Arial" w:cs="Arial" w:eastAsia="Arial" w:hAnsi="Arial"/>
                <w:sz w:val="20"/>
                <w:szCs w:val="20"/>
                <w:color w:val="auto"/>
                <w:w w:val="99"/>
              </w:rPr>
              <w:t>Unamortized premium and discount (as such term is used in the</w:t>
            </w:r>
          </w:p>
        </w:tc>
        <w:tc>
          <w:tcPr>
            <w:tcW w:w="100" w:type="dxa"/>
            <w:vAlign w:val="bottom"/>
          </w:tcPr>
          <w:p>
            <w:pPr>
              <w:spacing w:after="0"/>
              <w:rPr>
                <w:sz w:val="19"/>
                <w:szCs w:val="19"/>
                <w:color w:val="auto"/>
              </w:rPr>
            </w:pPr>
          </w:p>
        </w:tc>
        <w:tc>
          <w:tcPr>
            <w:tcW w:w="3700" w:type="dxa"/>
            <w:vAlign w:val="bottom"/>
            <w:tcBorders>
              <w:right w:val="single" w:sz="8" w:color="auto"/>
            </w:tcBorders>
          </w:tcPr>
          <w:p>
            <w:pPr>
              <w:spacing w:after="0"/>
              <w:rPr>
                <w:sz w:val="19"/>
                <w:szCs w:val="19"/>
                <w:color w:val="auto"/>
              </w:rPr>
            </w:pPr>
          </w:p>
        </w:tc>
      </w:tr>
      <w:tr>
        <w:trPr>
          <w:trHeight w:val="206"/>
        </w:trPr>
        <w:tc>
          <w:tcPr>
            <w:tcW w:w="40" w:type="dxa"/>
            <w:vAlign w:val="bottom"/>
            <w:tcBorders>
              <w:right w:val="single" w:sz="8" w:color="auto"/>
            </w:tcBorders>
            <w:shd w:val="clear" w:color="auto" w:fill="000000"/>
          </w:tcPr>
          <w:p>
            <w:pPr>
              <w:spacing w:after="0"/>
              <w:rPr>
                <w:sz w:val="17"/>
                <w:szCs w:val="17"/>
                <w:color w:val="auto"/>
              </w:rPr>
            </w:pPr>
          </w:p>
        </w:tc>
        <w:tc>
          <w:tcPr>
            <w:tcW w:w="1180" w:type="dxa"/>
            <w:vAlign w:val="bottom"/>
            <w:tcBorders>
              <w:right w:val="single" w:sz="8" w:color="auto"/>
            </w:tcBorders>
          </w:tcPr>
          <w:p>
            <w:pPr>
              <w:ind w:left="20"/>
              <w:spacing w:after="0" w:line="206" w:lineRule="exact"/>
              <w:rPr>
                <w:sz w:val="20"/>
                <w:szCs w:val="20"/>
                <w:color w:val="auto"/>
              </w:rPr>
            </w:pPr>
            <w:r>
              <w:rPr>
                <w:rFonts w:ascii="Arial" w:cs="Arial" w:eastAsia="Arial" w:hAnsi="Arial"/>
                <w:sz w:val="20"/>
                <w:szCs w:val="20"/>
                <w:color w:val="auto"/>
              </w:rPr>
              <w:t>Item 2.</w:t>
            </w:r>
          </w:p>
        </w:tc>
        <w:tc>
          <w:tcPr>
            <w:tcW w:w="5660" w:type="dxa"/>
            <w:vAlign w:val="bottom"/>
            <w:tcBorders>
              <w:right w:val="single" w:sz="8" w:color="auto"/>
            </w:tcBorders>
          </w:tcPr>
          <w:p>
            <w:pPr>
              <w:spacing w:after="0" w:line="206" w:lineRule="exact"/>
              <w:rPr>
                <w:sz w:val="20"/>
                <w:szCs w:val="20"/>
                <w:color w:val="auto"/>
              </w:rPr>
            </w:pPr>
            <w:r>
              <w:rPr>
                <w:rFonts w:ascii="Arial" w:cs="Arial" w:eastAsia="Arial" w:hAnsi="Arial"/>
                <w:sz w:val="20"/>
                <w:szCs w:val="20"/>
                <w:color w:val="auto"/>
              </w:rPr>
              <w:t>Borrower Financial Statements)</w:t>
            </w:r>
          </w:p>
        </w:tc>
        <w:tc>
          <w:tcPr>
            <w:tcW w:w="3800" w:type="dxa"/>
            <w:vAlign w:val="bottom"/>
            <w:tcBorders>
              <w:right w:val="single" w:sz="8" w:color="auto"/>
            </w:tcBorders>
            <w:gridSpan w:val="2"/>
          </w:tcPr>
          <w:p>
            <w:pPr>
              <w:spacing w:after="0" w:line="206" w:lineRule="exact"/>
              <w:rPr>
                <w:sz w:val="20"/>
                <w:szCs w:val="20"/>
                <w:color w:val="auto"/>
              </w:rPr>
            </w:pPr>
            <w:r>
              <w:rPr>
                <w:rFonts w:ascii="Arial" w:cs="Arial" w:eastAsia="Arial" w:hAnsi="Arial"/>
                <w:sz w:val="20"/>
                <w:szCs w:val="20"/>
                <w:color w:val="auto"/>
              </w:rPr>
              <w:t>$</w:t>
            </w:r>
          </w:p>
        </w:tc>
      </w:tr>
      <w:tr>
        <w:trPr>
          <w:trHeight w:val="48"/>
        </w:trPr>
        <w:tc>
          <w:tcPr>
            <w:tcW w:w="40" w:type="dxa"/>
            <w:vAlign w:val="bottom"/>
            <w:tcBorders>
              <w:top w:val="single" w:sz="8" w:color="auto"/>
              <w:bottom w:val="single" w:sz="8" w:color="auto"/>
              <w:right w:val="single" w:sz="8" w:color="auto"/>
            </w:tcBorders>
            <w:shd w:val="clear" w:color="auto" w:fill="000000"/>
          </w:tcPr>
          <w:p>
            <w:pPr>
              <w:spacing w:after="0"/>
              <w:rPr>
                <w:sz w:val="4"/>
                <w:szCs w:val="4"/>
                <w:color w:val="auto"/>
              </w:rPr>
            </w:pPr>
          </w:p>
        </w:tc>
        <w:tc>
          <w:tcPr>
            <w:tcW w:w="1180" w:type="dxa"/>
            <w:vAlign w:val="bottom"/>
            <w:tcBorders>
              <w:bottom w:val="single" w:sz="8" w:color="auto"/>
              <w:right w:val="single" w:sz="8" w:color="auto"/>
            </w:tcBorders>
          </w:tcPr>
          <w:p>
            <w:pPr>
              <w:spacing w:after="0"/>
              <w:rPr>
                <w:sz w:val="4"/>
                <w:szCs w:val="4"/>
                <w:color w:val="auto"/>
              </w:rPr>
            </w:pPr>
          </w:p>
        </w:tc>
        <w:tc>
          <w:tcPr>
            <w:tcW w:w="5660" w:type="dxa"/>
            <w:vAlign w:val="bottom"/>
            <w:tcBorders>
              <w:bottom w:val="single" w:sz="8" w:color="auto"/>
              <w:right w:val="single" w:sz="8" w:color="auto"/>
            </w:tcBorders>
          </w:tcPr>
          <w:p>
            <w:pPr>
              <w:spacing w:after="0"/>
              <w:rPr>
                <w:sz w:val="4"/>
                <w:szCs w:val="4"/>
                <w:color w:val="auto"/>
              </w:rPr>
            </w:pPr>
          </w:p>
        </w:tc>
        <w:tc>
          <w:tcPr>
            <w:tcW w:w="100" w:type="dxa"/>
            <w:vAlign w:val="bottom"/>
            <w:tcBorders>
              <w:top w:val="single" w:sz="8" w:color="auto"/>
              <w:bottom w:val="single" w:sz="8" w:color="auto"/>
            </w:tcBorders>
          </w:tcPr>
          <w:p>
            <w:pPr>
              <w:spacing w:after="0"/>
              <w:rPr>
                <w:sz w:val="4"/>
                <w:szCs w:val="4"/>
                <w:color w:val="auto"/>
              </w:rPr>
            </w:pPr>
          </w:p>
        </w:tc>
        <w:tc>
          <w:tcPr>
            <w:tcW w:w="3700" w:type="dxa"/>
            <w:vAlign w:val="bottom"/>
            <w:tcBorders>
              <w:bottom w:val="single" w:sz="8" w:color="auto"/>
              <w:right w:val="single" w:sz="8" w:color="auto"/>
            </w:tcBorders>
          </w:tcPr>
          <w:p>
            <w:pPr>
              <w:spacing w:after="0"/>
              <w:rPr>
                <w:sz w:val="4"/>
                <w:szCs w:val="4"/>
                <w:color w:val="auto"/>
              </w:rPr>
            </w:pPr>
          </w:p>
        </w:tc>
      </w:tr>
      <w:tr>
        <w:trPr>
          <w:trHeight w:val="210"/>
        </w:trPr>
        <w:tc>
          <w:tcPr>
            <w:tcW w:w="40" w:type="dxa"/>
            <w:vAlign w:val="bottom"/>
            <w:tcBorders>
              <w:right w:val="single" w:sz="8" w:color="auto"/>
            </w:tcBorders>
            <w:shd w:val="clear" w:color="auto" w:fill="000000"/>
          </w:tcPr>
          <w:p>
            <w:pPr>
              <w:spacing w:after="0"/>
              <w:rPr>
                <w:sz w:val="18"/>
                <w:szCs w:val="18"/>
                <w:color w:val="auto"/>
              </w:rPr>
            </w:pPr>
          </w:p>
        </w:tc>
        <w:tc>
          <w:tcPr>
            <w:tcW w:w="1180" w:type="dxa"/>
            <w:vAlign w:val="bottom"/>
            <w:tcBorders>
              <w:right w:val="single" w:sz="8" w:color="auto"/>
            </w:tcBorders>
          </w:tcPr>
          <w:p>
            <w:pPr>
              <w:ind w:left="20"/>
              <w:spacing w:after="0" w:line="209" w:lineRule="exact"/>
              <w:rPr>
                <w:sz w:val="20"/>
                <w:szCs w:val="20"/>
                <w:color w:val="auto"/>
              </w:rPr>
            </w:pPr>
            <w:r>
              <w:rPr>
                <w:rFonts w:ascii="Arial" w:cs="Arial" w:eastAsia="Arial" w:hAnsi="Arial"/>
                <w:sz w:val="20"/>
                <w:szCs w:val="20"/>
                <w:color w:val="auto"/>
              </w:rPr>
              <w:t>Item 3.</w:t>
            </w:r>
          </w:p>
        </w:tc>
        <w:tc>
          <w:tcPr>
            <w:tcW w:w="5660" w:type="dxa"/>
            <w:vAlign w:val="bottom"/>
            <w:tcBorders>
              <w:right w:val="single" w:sz="8" w:color="auto"/>
            </w:tcBorders>
          </w:tcPr>
          <w:p>
            <w:pPr>
              <w:spacing w:after="0" w:line="209" w:lineRule="exact"/>
              <w:rPr>
                <w:sz w:val="20"/>
                <w:szCs w:val="20"/>
                <w:color w:val="auto"/>
              </w:rPr>
            </w:pPr>
            <w:r>
              <w:rPr>
                <w:rFonts w:ascii="Arial" w:cs="Arial" w:eastAsia="Arial" w:hAnsi="Arial"/>
                <w:sz w:val="20"/>
                <w:szCs w:val="20"/>
                <w:color w:val="auto"/>
              </w:rPr>
              <w:t>Total Indebtedness (Item 1 minus Item 2)</w:t>
            </w:r>
          </w:p>
        </w:tc>
        <w:tc>
          <w:tcPr>
            <w:tcW w:w="3800" w:type="dxa"/>
            <w:vAlign w:val="bottom"/>
            <w:tcBorders>
              <w:right w:val="single" w:sz="8" w:color="auto"/>
            </w:tcBorders>
            <w:gridSpan w:val="2"/>
          </w:tcPr>
          <w:p>
            <w:pPr>
              <w:spacing w:after="0" w:line="209" w:lineRule="exact"/>
              <w:rPr>
                <w:sz w:val="20"/>
                <w:szCs w:val="20"/>
                <w:color w:val="auto"/>
              </w:rPr>
            </w:pPr>
            <w:r>
              <w:rPr>
                <w:rFonts w:ascii="Arial" w:cs="Arial" w:eastAsia="Arial" w:hAnsi="Arial"/>
                <w:sz w:val="20"/>
                <w:szCs w:val="20"/>
                <w:color w:val="auto"/>
              </w:rPr>
              <w:t>$</w:t>
            </w:r>
          </w:p>
        </w:tc>
      </w:tr>
      <w:tr>
        <w:trPr>
          <w:trHeight w:val="48"/>
        </w:trPr>
        <w:tc>
          <w:tcPr>
            <w:tcW w:w="40" w:type="dxa"/>
            <w:vAlign w:val="bottom"/>
            <w:tcBorders>
              <w:top w:val="single" w:sz="8" w:color="auto"/>
              <w:bottom w:val="single" w:sz="8" w:color="auto"/>
              <w:right w:val="single" w:sz="8" w:color="auto"/>
            </w:tcBorders>
            <w:shd w:val="clear" w:color="auto" w:fill="000000"/>
          </w:tcPr>
          <w:p>
            <w:pPr>
              <w:spacing w:after="0"/>
              <w:rPr>
                <w:sz w:val="4"/>
                <w:szCs w:val="4"/>
                <w:color w:val="auto"/>
              </w:rPr>
            </w:pPr>
          </w:p>
        </w:tc>
        <w:tc>
          <w:tcPr>
            <w:tcW w:w="1180" w:type="dxa"/>
            <w:vAlign w:val="bottom"/>
            <w:tcBorders>
              <w:bottom w:val="single" w:sz="8" w:color="auto"/>
              <w:right w:val="single" w:sz="8" w:color="auto"/>
            </w:tcBorders>
          </w:tcPr>
          <w:p>
            <w:pPr>
              <w:spacing w:after="0"/>
              <w:rPr>
                <w:sz w:val="4"/>
                <w:szCs w:val="4"/>
                <w:color w:val="auto"/>
              </w:rPr>
            </w:pPr>
          </w:p>
        </w:tc>
        <w:tc>
          <w:tcPr>
            <w:tcW w:w="5660" w:type="dxa"/>
            <w:vAlign w:val="bottom"/>
            <w:tcBorders>
              <w:bottom w:val="single" w:sz="8" w:color="auto"/>
              <w:right w:val="single" w:sz="8" w:color="auto"/>
            </w:tcBorders>
          </w:tcPr>
          <w:p>
            <w:pPr>
              <w:spacing w:after="0"/>
              <w:rPr>
                <w:sz w:val="4"/>
                <w:szCs w:val="4"/>
                <w:color w:val="auto"/>
              </w:rPr>
            </w:pPr>
          </w:p>
        </w:tc>
        <w:tc>
          <w:tcPr>
            <w:tcW w:w="100" w:type="dxa"/>
            <w:vAlign w:val="bottom"/>
            <w:tcBorders>
              <w:top w:val="single" w:sz="8" w:color="auto"/>
              <w:bottom w:val="single" w:sz="8" w:color="auto"/>
            </w:tcBorders>
          </w:tcPr>
          <w:p>
            <w:pPr>
              <w:spacing w:after="0"/>
              <w:rPr>
                <w:sz w:val="4"/>
                <w:szCs w:val="4"/>
                <w:color w:val="auto"/>
              </w:rPr>
            </w:pPr>
          </w:p>
        </w:tc>
        <w:tc>
          <w:tcPr>
            <w:tcW w:w="3700" w:type="dxa"/>
            <w:vAlign w:val="bottom"/>
            <w:tcBorders>
              <w:bottom w:val="single" w:sz="8" w:color="auto"/>
              <w:right w:val="single" w:sz="8" w:color="auto"/>
            </w:tcBorders>
          </w:tcPr>
          <w:p>
            <w:pPr>
              <w:spacing w:after="0"/>
              <w:rPr>
                <w:sz w:val="4"/>
                <w:szCs w:val="4"/>
                <w:color w:val="auto"/>
              </w:rPr>
            </w:pPr>
          </w:p>
        </w:tc>
      </w:tr>
      <w:tr>
        <w:trPr>
          <w:trHeight w:val="210"/>
        </w:trPr>
        <w:tc>
          <w:tcPr>
            <w:tcW w:w="40" w:type="dxa"/>
            <w:vAlign w:val="bottom"/>
            <w:tcBorders>
              <w:right w:val="single" w:sz="8" w:color="auto"/>
            </w:tcBorders>
            <w:shd w:val="clear" w:color="auto" w:fill="000000"/>
          </w:tcPr>
          <w:p>
            <w:pPr>
              <w:spacing w:after="0"/>
              <w:rPr>
                <w:sz w:val="18"/>
                <w:szCs w:val="18"/>
                <w:color w:val="auto"/>
              </w:rPr>
            </w:pPr>
          </w:p>
        </w:tc>
        <w:tc>
          <w:tcPr>
            <w:tcW w:w="1180" w:type="dxa"/>
            <w:vAlign w:val="bottom"/>
            <w:tcBorders>
              <w:right w:val="single" w:sz="8" w:color="auto"/>
            </w:tcBorders>
          </w:tcPr>
          <w:p>
            <w:pPr>
              <w:ind w:left="20"/>
              <w:spacing w:after="0" w:line="209" w:lineRule="exact"/>
              <w:rPr>
                <w:sz w:val="20"/>
                <w:szCs w:val="20"/>
                <w:color w:val="auto"/>
              </w:rPr>
            </w:pPr>
            <w:r>
              <w:rPr>
                <w:rFonts w:ascii="Arial" w:cs="Arial" w:eastAsia="Arial" w:hAnsi="Arial"/>
                <w:sz w:val="20"/>
                <w:szCs w:val="20"/>
                <w:color w:val="auto"/>
              </w:rPr>
              <w:t>Item 4.</w:t>
            </w:r>
          </w:p>
        </w:tc>
        <w:tc>
          <w:tcPr>
            <w:tcW w:w="5660" w:type="dxa"/>
            <w:vAlign w:val="bottom"/>
            <w:tcBorders>
              <w:right w:val="single" w:sz="8" w:color="auto"/>
            </w:tcBorders>
          </w:tcPr>
          <w:p>
            <w:pPr>
              <w:spacing w:after="0" w:line="209" w:lineRule="exact"/>
              <w:rPr>
                <w:sz w:val="20"/>
                <w:szCs w:val="20"/>
                <w:color w:val="auto"/>
              </w:rPr>
            </w:pPr>
            <w:r>
              <w:rPr>
                <w:rFonts w:ascii="Arial" w:cs="Arial" w:eastAsia="Arial" w:hAnsi="Arial"/>
                <w:sz w:val="20"/>
                <w:szCs w:val="20"/>
                <w:color w:val="auto"/>
              </w:rPr>
              <w:t>Preferred Equity Interests</w:t>
            </w:r>
          </w:p>
        </w:tc>
        <w:tc>
          <w:tcPr>
            <w:tcW w:w="3800" w:type="dxa"/>
            <w:vAlign w:val="bottom"/>
            <w:tcBorders>
              <w:right w:val="single" w:sz="8" w:color="auto"/>
            </w:tcBorders>
            <w:gridSpan w:val="2"/>
          </w:tcPr>
          <w:p>
            <w:pPr>
              <w:spacing w:after="0" w:line="209" w:lineRule="exact"/>
              <w:rPr>
                <w:sz w:val="20"/>
                <w:szCs w:val="20"/>
                <w:color w:val="auto"/>
              </w:rPr>
            </w:pPr>
            <w:r>
              <w:rPr>
                <w:rFonts w:ascii="Arial" w:cs="Arial" w:eastAsia="Arial" w:hAnsi="Arial"/>
                <w:sz w:val="20"/>
                <w:szCs w:val="20"/>
                <w:color w:val="auto"/>
              </w:rPr>
              <w:t>$</w:t>
            </w:r>
          </w:p>
        </w:tc>
      </w:tr>
      <w:tr>
        <w:trPr>
          <w:trHeight w:val="48"/>
        </w:trPr>
        <w:tc>
          <w:tcPr>
            <w:tcW w:w="40" w:type="dxa"/>
            <w:vAlign w:val="bottom"/>
            <w:tcBorders>
              <w:top w:val="single" w:sz="8" w:color="auto"/>
              <w:bottom w:val="single" w:sz="8" w:color="auto"/>
              <w:right w:val="single" w:sz="8" w:color="auto"/>
            </w:tcBorders>
            <w:shd w:val="clear" w:color="auto" w:fill="000000"/>
          </w:tcPr>
          <w:p>
            <w:pPr>
              <w:spacing w:after="0"/>
              <w:rPr>
                <w:sz w:val="4"/>
                <w:szCs w:val="4"/>
                <w:color w:val="auto"/>
              </w:rPr>
            </w:pPr>
          </w:p>
        </w:tc>
        <w:tc>
          <w:tcPr>
            <w:tcW w:w="1180" w:type="dxa"/>
            <w:vAlign w:val="bottom"/>
            <w:tcBorders>
              <w:bottom w:val="single" w:sz="8" w:color="auto"/>
              <w:right w:val="single" w:sz="8" w:color="auto"/>
            </w:tcBorders>
          </w:tcPr>
          <w:p>
            <w:pPr>
              <w:spacing w:after="0"/>
              <w:rPr>
                <w:sz w:val="4"/>
                <w:szCs w:val="4"/>
                <w:color w:val="auto"/>
              </w:rPr>
            </w:pPr>
          </w:p>
        </w:tc>
        <w:tc>
          <w:tcPr>
            <w:tcW w:w="5660" w:type="dxa"/>
            <w:vAlign w:val="bottom"/>
            <w:tcBorders>
              <w:bottom w:val="single" w:sz="8" w:color="auto"/>
              <w:right w:val="single" w:sz="8" w:color="auto"/>
            </w:tcBorders>
          </w:tcPr>
          <w:p>
            <w:pPr>
              <w:spacing w:after="0"/>
              <w:rPr>
                <w:sz w:val="4"/>
                <w:szCs w:val="4"/>
                <w:color w:val="auto"/>
              </w:rPr>
            </w:pPr>
          </w:p>
        </w:tc>
        <w:tc>
          <w:tcPr>
            <w:tcW w:w="100" w:type="dxa"/>
            <w:vAlign w:val="bottom"/>
            <w:tcBorders>
              <w:top w:val="single" w:sz="8" w:color="auto"/>
              <w:bottom w:val="single" w:sz="8" w:color="auto"/>
            </w:tcBorders>
          </w:tcPr>
          <w:p>
            <w:pPr>
              <w:spacing w:after="0"/>
              <w:rPr>
                <w:sz w:val="4"/>
                <w:szCs w:val="4"/>
                <w:color w:val="auto"/>
              </w:rPr>
            </w:pPr>
          </w:p>
        </w:tc>
        <w:tc>
          <w:tcPr>
            <w:tcW w:w="3700" w:type="dxa"/>
            <w:vAlign w:val="bottom"/>
            <w:tcBorders>
              <w:bottom w:val="single" w:sz="8" w:color="auto"/>
              <w:right w:val="single" w:sz="8" w:color="auto"/>
            </w:tcBorders>
          </w:tcPr>
          <w:p>
            <w:pPr>
              <w:spacing w:after="0"/>
              <w:rPr>
                <w:sz w:val="4"/>
                <w:szCs w:val="4"/>
                <w:color w:val="auto"/>
              </w:rPr>
            </w:pPr>
          </w:p>
        </w:tc>
      </w:tr>
      <w:tr>
        <w:trPr>
          <w:trHeight w:val="233"/>
        </w:trPr>
        <w:tc>
          <w:tcPr>
            <w:tcW w:w="40" w:type="dxa"/>
            <w:vAlign w:val="bottom"/>
            <w:tcBorders>
              <w:right w:val="single" w:sz="8" w:color="auto"/>
            </w:tcBorders>
            <w:shd w:val="clear" w:color="auto" w:fill="000000"/>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c>
          <w:tcPr>
            <w:tcW w:w="56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Common Equity Interests and any premium on Equity Interests</w:t>
            </w:r>
          </w:p>
        </w:tc>
        <w:tc>
          <w:tcPr>
            <w:tcW w:w="100" w:type="dxa"/>
            <w:vAlign w:val="bottom"/>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r>
      <w:tr>
        <w:trPr>
          <w:trHeight w:val="230"/>
        </w:trPr>
        <w:tc>
          <w:tcPr>
            <w:tcW w:w="40" w:type="dxa"/>
            <w:vAlign w:val="bottom"/>
            <w:tcBorders>
              <w:right w:val="single" w:sz="8" w:color="auto"/>
            </w:tcBorders>
            <w:shd w:val="clear" w:color="auto" w:fill="000000"/>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c>
          <w:tcPr>
            <w:tcW w:w="566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3"/>
              </w:rPr>
              <w:t>thereon (as such term is used in the Borrower Financial Statements)</w:t>
            </w:r>
          </w:p>
        </w:tc>
        <w:tc>
          <w:tcPr>
            <w:tcW w:w="100" w:type="dxa"/>
            <w:vAlign w:val="bottom"/>
          </w:tcPr>
          <w:p>
            <w:pPr>
              <w:spacing w:after="0"/>
              <w:rPr>
                <w:sz w:val="19"/>
                <w:szCs w:val="19"/>
                <w:color w:val="auto"/>
              </w:rPr>
            </w:pPr>
          </w:p>
        </w:tc>
        <w:tc>
          <w:tcPr>
            <w:tcW w:w="3700" w:type="dxa"/>
            <w:vAlign w:val="bottom"/>
            <w:tcBorders>
              <w:right w:val="single" w:sz="8" w:color="auto"/>
            </w:tcBorders>
          </w:tcPr>
          <w:p>
            <w:pPr>
              <w:spacing w:after="0"/>
              <w:rPr>
                <w:sz w:val="19"/>
                <w:szCs w:val="19"/>
                <w:color w:val="auto"/>
              </w:rPr>
            </w:pPr>
          </w:p>
        </w:tc>
      </w:tr>
      <w:tr>
        <w:trPr>
          <w:trHeight w:val="206"/>
        </w:trPr>
        <w:tc>
          <w:tcPr>
            <w:tcW w:w="40" w:type="dxa"/>
            <w:vAlign w:val="bottom"/>
            <w:tcBorders>
              <w:right w:val="single" w:sz="8" w:color="auto"/>
            </w:tcBorders>
            <w:shd w:val="clear" w:color="auto" w:fill="000000"/>
          </w:tcPr>
          <w:p>
            <w:pPr>
              <w:spacing w:after="0"/>
              <w:rPr>
                <w:sz w:val="17"/>
                <w:szCs w:val="17"/>
                <w:color w:val="auto"/>
              </w:rPr>
            </w:pPr>
          </w:p>
        </w:tc>
        <w:tc>
          <w:tcPr>
            <w:tcW w:w="1180" w:type="dxa"/>
            <w:vAlign w:val="bottom"/>
            <w:tcBorders>
              <w:right w:val="single" w:sz="8" w:color="auto"/>
            </w:tcBorders>
          </w:tcPr>
          <w:p>
            <w:pPr>
              <w:ind w:left="20"/>
              <w:spacing w:after="0" w:line="206" w:lineRule="exact"/>
              <w:rPr>
                <w:sz w:val="20"/>
                <w:szCs w:val="20"/>
                <w:color w:val="auto"/>
              </w:rPr>
            </w:pPr>
            <w:r>
              <w:rPr>
                <w:rFonts w:ascii="Arial" w:cs="Arial" w:eastAsia="Arial" w:hAnsi="Arial"/>
                <w:sz w:val="20"/>
                <w:szCs w:val="20"/>
                <w:color w:val="auto"/>
              </w:rPr>
              <w:t>Item 5.</w:t>
            </w:r>
          </w:p>
        </w:tc>
        <w:tc>
          <w:tcPr>
            <w:tcW w:w="5660" w:type="dxa"/>
            <w:vAlign w:val="bottom"/>
            <w:tcBorders>
              <w:right w:val="single" w:sz="8" w:color="auto"/>
            </w:tcBorders>
          </w:tcPr>
          <w:p>
            <w:pPr>
              <w:spacing w:after="0" w:line="206" w:lineRule="exact"/>
              <w:rPr>
                <w:sz w:val="20"/>
                <w:szCs w:val="20"/>
                <w:color w:val="auto"/>
              </w:rPr>
            </w:pPr>
            <w:r>
              <w:rPr>
                <w:rFonts w:ascii="Arial" w:cs="Arial" w:eastAsia="Arial" w:hAnsi="Arial"/>
                <w:sz w:val="20"/>
                <w:szCs w:val="20"/>
                <w:color w:val="auto"/>
              </w:rPr>
              <w:t>excluding accumulated other comprehensive income or loss</w:t>
            </w:r>
          </w:p>
        </w:tc>
        <w:tc>
          <w:tcPr>
            <w:tcW w:w="3800" w:type="dxa"/>
            <w:vAlign w:val="bottom"/>
            <w:tcBorders>
              <w:right w:val="single" w:sz="8" w:color="auto"/>
            </w:tcBorders>
            <w:gridSpan w:val="2"/>
          </w:tcPr>
          <w:p>
            <w:pPr>
              <w:spacing w:after="0" w:line="206" w:lineRule="exact"/>
              <w:rPr>
                <w:sz w:val="20"/>
                <w:szCs w:val="20"/>
                <w:color w:val="auto"/>
              </w:rPr>
            </w:pPr>
            <w:r>
              <w:rPr>
                <w:rFonts w:ascii="Arial" w:cs="Arial" w:eastAsia="Arial" w:hAnsi="Arial"/>
                <w:sz w:val="20"/>
                <w:szCs w:val="20"/>
                <w:color w:val="auto"/>
              </w:rPr>
              <w:t>$</w:t>
            </w:r>
          </w:p>
        </w:tc>
      </w:tr>
      <w:tr>
        <w:trPr>
          <w:trHeight w:val="48"/>
        </w:trPr>
        <w:tc>
          <w:tcPr>
            <w:tcW w:w="40" w:type="dxa"/>
            <w:vAlign w:val="bottom"/>
            <w:tcBorders>
              <w:top w:val="single" w:sz="8" w:color="auto"/>
              <w:bottom w:val="single" w:sz="8" w:color="auto"/>
              <w:right w:val="single" w:sz="8" w:color="auto"/>
            </w:tcBorders>
            <w:shd w:val="clear" w:color="auto" w:fill="000000"/>
          </w:tcPr>
          <w:p>
            <w:pPr>
              <w:spacing w:after="0"/>
              <w:rPr>
                <w:sz w:val="4"/>
                <w:szCs w:val="4"/>
                <w:color w:val="auto"/>
              </w:rPr>
            </w:pPr>
          </w:p>
        </w:tc>
        <w:tc>
          <w:tcPr>
            <w:tcW w:w="1180" w:type="dxa"/>
            <w:vAlign w:val="bottom"/>
            <w:tcBorders>
              <w:bottom w:val="single" w:sz="8" w:color="auto"/>
              <w:right w:val="single" w:sz="8" w:color="auto"/>
            </w:tcBorders>
          </w:tcPr>
          <w:p>
            <w:pPr>
              <w:spacing w:after="0"/>
              <w:rPr>
                <w:sz w:val="4"/>
                <w:szCs w:val="4"/>
                <w:color w:val="auto"/>
              </w:rPr>
            </w:pPr>
          </w:p>
        </w:tc>
        <w:tc>
          <w:tcPr>
            <w:tcW w:w="5660" w:type="dxa"/>
            <w:vAlign w:val="bottom"/>
            <w:tcBorders>
              <w:bottom w:val="single" w:sz="8" w:color="auto"/>
              <w:right w:val="single" w:sz="8" w:color="auto"/>
            </w:tcBorders>
          </w:tcPr>
          <w:p>
            <w:pPr>
              <w:spacing w:after="0"/>
              <w:rPr>
                <w:sz w:val="4"/>
                <w:szCs w:val="4"/>
                <w:color w:val="auto"/>
              </w:rPr>
            </w:pPr>
          </w:p>
        </w:tc>
        <w:tc>
          <w:tcPr>
            <w:tcW w:w="100" w:type="dxa"/>
            <w:vAlign w:val="bottom"/>
            <w:tcBorders>
              <w:top w:val="single" w:sz="8" w:color="auto"/>
              <w:bottom w:val="single" w:sz="8" w:color="auto"/>
            </w:tcBorders>
          </w:tcPr>
          <w:p>
            <w:pPr>
              <w:spacing w:after="0"/>
              <w:rPr>
                <w:sz w:val="4"/>
                <w:szCs w:val="4"/>
                <w:color w:val="auto"/>
              </w:rPr>
            </w:pPr>
          </w:p>
        </w:tc>
        <w:tc>
          <w:tcPr>
            <w:tcW w:w="3700" w:type="dxa"/>
            <w:vAlign w:val="bottom"/>
            <w:tcBorders>
              <w:bottom w:val="single" w:sz="8" w:color="auto"/>
              <w:right w:val="single" w:sz="8" w:color="auto"/>
            </w:tcBorders>
          </w:tcPr>
          <w:p>
            <w:pPr>
              <w:spacing w:after="0"/>
              <w:rPr>
                <w:sz w:val="4"/>
                <w:szCs w:val="4"/>
                <w:color w:val="auto"/>
              </w:rPr>
            </w:pPr>
          </w:p>
        </w:tc>
      </w:tr>
      <w:tr>
        <w:trPr>
          <w:trHeight w:val="210"/>
        </w:trPr>
        <w:tc>
          <w:tcPr>
            <w:tcW w:w="40" w:type="dxa"/>
            <w:vAlign w:val="bottom"/>
            <w:tcBorders>
              <w:right w:val="single" w:sz="8" w:color="auto"/>
            </w:tcBorders>
            <w:shd w:val="clear" w:color="auto" w:fill="000000"/>
          </w:tcPr>
          <w:p>
            <w:pPr>
              <w:spacing w:after="0"/>
              <w:rPr>
                <w:sz w:val="18"/>
                <w:szCs w:val="18"/>
                <w:color w:val="auto"/>
              </w:rPr>
            </w:pPr>
          </w:p>
        </w:tc>
        <w:tc>
          <w:tcPr>
            <w:tcW w:w="1180" w:type="dxa"/>
            <w:vAlign w:val="bottom"/>
            <w:tcBorders>
              <w:right w:val="single" w:sz="8" w:color="auto"/>
            </w:tcBorders>
          </w:tcPr>
          <w:p>
            <w:pPr>
              <w:ind w:left="20"/>
              <w:spacing w:after="0" w:line="209" w:lineRule="exact"/>
              <w:rPr>
                <w:sz w:val="20"/>
                <w:szCs w:val="20"/>
                <w:color w:val="auto"/>
              </w:rPr>
            </w:pPr>
            <w:r>
              <w:rPr>
                <w:rFonts w:ascii="Arial" w:cs="Arial" w:eastAsia="Arial" w:hAnsi="Arial"/>
                <w:sz w:val="20"/>
                <w:szCs w:val="20"/>
                <w:color w:val="auto"/>
              </w:rPr>
              <w:t>Item 6.</w:t>
            </w:r>
          </w:p>
        </w:tc>
        <w:tc>
          <w:tcPr>
            <w:tcW w:w="5660" w:type="dxa"/>
            <w:vAlign w:val="bottom"/>
            <w:tcBorders>
              <w:right w:val="single" w:sz="8" w:color="auto"/>
            </w:tcBorders>
          </w:tcPr>
          <w:p>
            <w:pPr>
              <w:spacing w:after="0" w:line="209" w:lineRule="exact"/>
              <w:rPr>
                <w:sz w:val="20"/>
                <w:szCs w:val="20"/>
                <w:color w:val="auto"/>
              </w:rPr>
            </w:pPr>
            <w:r>
              <w:rPr>
                <w:rFonts w:ascii="Arial" w:cs="Arial" w:eastAsia="Arial" w:hAnsi="Arial"/>
                <w:sz w:val="20"/>
                <w:szCs w:val="20"/>
                <w:color w:val="auto"/>
              </w:rPr>
              <w:t>Retained earnings</w:t>
            </w:r>
          </w:p>
        </w:tc>
        <w:tc>
          <w:tcPr>
            <w:tcW w:w="3800" w:type="dxa"/>
            <w:vAlign w:val="bottom"/>
            <w:tcBorders>
              <w:right w:val="single" w:sz="8" w:color="auto"/>
            </w:tcBorders>
            <w:gridSpan w:val="2"/>
          </w:tcPr>
          <w:p>
            <w:pPr>
              <w:spacing w:after="0" w:line="209" w:lineRule="exact"/>
              <w:rPr>
                <w:sz w:val="20"/>
                <w:szCs w:val="20"/>
                <w:color w:val="auto"/>
              </w:rPr>
            </w:pPr>
            <w:r>
              <w:rPr>
                <w:rFonts w:ascii="Arial" w:cs="Arial" w:eastAsia="Arial" w:hAnsi="Arial"/>
                <w:sz w:val="20"/>
                <w:szCs w:val="20"/>
                <w:color w:val="auto"/>
              </w:rPr>
              <w:t>$</w:t>
            </w:r>
          </w:p>
        </w:tc>
      </w:tr>
      <w:tr>
        <w:trPr>
          <w:trHeight w:val="48"/>
        </w:trPr>
        <w:tc>
          <w:tcPr>
            <w:tcW w:w="40" w:type="dxa"/>
            <w:vAlign w:val="bottom"/>
            <w:tcBorders>
              <w:top w:val="single" w:sz="8" w:color="auto"/>
              <w:bottom w:val="single" w:sz="8" w:color="auto"/>
              <w:right w:val="single" w:sz="8" w:color="auto"/>
            </w:tcBorders>
            <w:shd w:val="clear" w:color="auto" w:fill="000000"/>
          </w:tcPr>
          <w:p>
            <w:pPr>
              <w:spacing w:after="0"/>
              <w:rPr>
                <w:sz w:val="4"/>
                <w:szCs w:val="4"/>
                <w:color w:val="auto"/>
              </w:rPr>
            </w:pPr>
          </w:p>
        </w:tc>
        <w:tc>
          <w:tcPr>
            <w:tcW w:w="1180" w:type="dxa"/>
            <w:vAlign w:val="bottom"/>
            <w:tcBorders>
              <w:bottom w:val="single" w:sz="8" w:color="auto"/>
              <w:right w:val="single" w:sz="8" w:color="auto"/>
            </w:tcBorders>
          </w:tcPr>
          <w:p>
            <w:pPr>
              <w:spacing w:after="0"/>
              <w:rPr>
                <w:sz w:val="4"/>
                <w:szCs w:val="4"/>
                <w:color w:val="auto"/>
              </w:rPr>
            </w:pPr>
          </w:p>
        </w:tc>
        <w:tc>
          <w:tcPr>
            <w:tcW w:w="5660" w:type="dxa"/>
            <w:vAlign w:val="bottom"/>
            <w:tcBorders>
              <w:bottom w:val="single" w:sz="8" w:color="auto"/>
              <w:right w:val="single" w:sz="8" w:color="auto"/>
            </w:tcBorders>
          </w:tcPr>
          <w:p>
            <w:pPr>
              <w:spacing w:after="0"/>
              <w:rPr>
                <w:sz w:val="4"/>
                <w:szCs w:val="4"/>
                <w:color w:val="auto"/>
              </w:rPr>
            </w:pPr>
          </w:p>
        </w:tc>
        <w:tc>
          <w:tcPr>
            <w:tcW w:w="100" w:type="dxa"/>
            <w:vAlign w:val="bottom"/>
            <w:tcBorders>
              <w:top w:val="single" w:sz="8" w:color="auto"/>
              <w:bottom w:val="single" w:sz="8" w:color="auto"/>
            </w:tcBorders>
          </w:tcPr>
          <w:p>
            <w:pPr>
              <w:spacing w:after="0"/>
              <w:rPr>
                <w:sz w:val="4"/>
                <w:szCs w:val="4"/>
                <w:color w:val="auto"/>
              </w:rPr>
            </w:pPr>
          </w:p>
        </w:tc>
        <w:tc>
          <w:tcPr>
            <w:tcW w:w="3700" w:type="dxa"/>
            <w:vAlign w:val="bottom"/>
            <w:tcBorders>
              <w:bottom w:val="single" w:sz="8" w:color="auto"/>
              <w:right w:val="single" w:sz="8" w:color="auto"/>
            </w:tcBorders>
          </w:tcPr>
          <w:p>
            <w:pPr>
              <w:spacing w:after="0"/>
              <w:rPr>
                <w:sz w:val="4"/>
                <w:szCs w:val="4"/>
                <w:color w:val="auto"/>
              </w:rPr>
            </w:pPr>
          </w:p>
        </w:tc>
      </w:tr>
      <w:tr>
        <w:trPr>
          <w:trHeight w:val="210"/>
        </w:trPr>
        <w:tc>
          <w:tcPr>
            <w:tcW w:w="40" w:type="dxa"/>
            <w:vAlign w:val="bottom"/>
            <w:tcBorders>
              <w:right w:val="single" w:sz="8" w:color="auto"/>
            </w:tcBorders>
            <w:shd w:val="clear" w:color="auto" w:fill="000000"/>
          </w:tcPr>
          <w:p>
            <w:pPr>
              <w:spacing w:after="0"/>
              <w:rPr>
                <w:sz w:val="18"/>
                <w:szCs w:val="18"/>
                <w:color w:val="auto"/>
              </w:rPr>
            </w:pPr>
          </w:p>
        </w:tc>
        <w:tc>
          <w:tcPr>
            <w:tcW w:w="1180" w:type="dxa"/>
            <w:vAlign w:val="bottom"/>
            <w:tcBorders>
              <w:right w:val="single" w:sz="8" w:color="auto"/>
            </w:tcBorders>
          </w:tcPr>
          <w:p>
            <w:pPr>
              <w:ind w:left="20"/>
              <w:spacing w:after="0" w:line="209" w:lineRule="exact"/>
              <w:rPr>
                <w:sz w:val="20"/>
                <w:szCs w:val="20"/>
                <w:color w:val="auto"/>
              </w:rPr>
            </w:pPr>
            <w:r>
              <w:rPr>
                <w:rFonts w:ascii="Arial" w:cs="Arial" w:eastAsia="Arial" w:hAnsi="Arial"/>
                <w:sz w:val="20"/>
                <w:szCs w:val="20"/>
                <w:color w:val="auto"/>
              </w:rPr>
              <w:t>Item 7.</w:t>
            </w:r>
          </w:p>
        </w:tc>
        <w:tc>
          <w:tcPr>
            <w:tcW w:w="5660" w:type="dxa"/>
            <w:vAlign w:val="bottom"/>
            <w:tcBorders>
              <w:right w:val="single" w:sz="8" w:color="auto"/>
            </w:tcBorders>
          </w:tcPr>
          <w:p>
            <w:pPr>
              <w:spacing w:after="0" w:line="209" w:lineRule="exact"/>
              <w:rPr>
                <w:sz w:val="20"/>
                <w:szCs w:val="20"/>
                <w:color w:val="auto"/>
              </w:rPr>
            </w:pPr>
            <w:r>
              <w:rPr>
                <w:rFonts w:ascii="Arial" w:cs="Arial" w:eastAsia="Arial" w:hAnsi="Arial"/>
                <w:sz w:val="20"/>
                <w:szCs w:val="20"/>
                <w:color w:val="auto"/>
              </w:rPr>
              <w:t>Sum of Items 3, 4, 5 and 6</w:t>
            </w:r>
          </w:p>
        </w:tc>
        <w:tc>
          <w:tcPr>
            <w:tcW w:w="3800" w:type="dxa"/>
            <w:vAlign w:val="bottom"/>
            <w:tcBorders>
              <w:right w:val="single" w:sz="8" w:color="auto"/>
            </w:tcBorders>
            <w:gridSpan w:val="2"/>
          </w:tcPr>
          <w:p>
            <w:pPr>
              <w:spacing w:after="0" w:line="209" w:lineRule="exact"/>
              <w:rPr>
                <w:sz w:val="20"/>
                <w:szCs w:val="20"/>
                <w:color w:val="auto"/>
              </w:rPr>
            </w:pPr>
            <w:r>
              <w:rPr>
                <w:rFonts w:ascii="Arial" w:cs="Arial" w:eastAsia="Arial" w:hAnsi="Arial"/>
                <w:sz w:val="20"/>
                <w:szCs w:val="20"/>
                <w:color w:val="auto"/>
              </w:rPr>
              <w:t>$</w:t>
            </w:r>
          </w:p>
        </w:tc>
      </w:tr>
      <w:tr>
        <w:trPr>
          <w:trHeight w:val="48"/>
        </w:trPr>
        <w:tc>
          <w:tcPr>
            <w:tcW w:w="40" w:type="dxa"/>
            <w:vAlign w:val="bottom"/>
            <w:tcBorders>
              <w:top w:val="single" w:sz="8" w:color="auto"/>
              <w:bottom w:val="single" w:sz="8" w:color="auto"/>
              <w:right w:val="single" w:sz="8" w:color="auto"/>
            </w:tcBorders>
            <w:shd w:val="clear" w:color="auto" w:fill="000000"/>
          </w:tcPr>
          <w:p>
            <w:pPr>
              <w:spacing w:after="0"/>
              <w:rPr>
                <w:sz w:val="4"/>
                <w:szCs w:val="4"/>
                <w:color w:val="auto"/>
              </w:rPr>
            </w:pPr>
          </w:p>
        </w:tc>
        <w:tc>
          <w:tcPr>
            <w:tcW w:w="1180" w:type="dxa"/>
            <w:vAlign w:val="bottom"/>
            <w:tcBorders>
              <w:bottom w:val="single" w:sz="8" w:color="auto"/>
              <w:right w:val="single" w:sz="8" w:color="auto"/>
            </w:tcBorders>
          </w:tcPr>
          <w:p>
            <w:pPr>
              <w:spacing w:after="0"/>
              <w:rPr>
                <w:sz w:val="4"/>
                <w:szCs w:val="4"/>
                <w:color w:val="auto"/>
              </w:rPr>
            </w:pPr>
          </w:p>
        </w:tc>
        <w:tc>
          <w:tcPr>
            <w:tcW w:w="5660" w:type="dxa"/>
            <w:vAlign w:val="bottom"/>
            <w:tcBorders>
              <w:bottom w:val="single" w:sz="8" w:color="auto"/>
              <w:right w:val="single" w:sz="8" w:color="auto"/>
            </w:tcBorders>
          </w:tcPr>
          <w:p>
            <w:pPr>
              <w:spacing w:after="0"/>
              <w:rPr>
                <w:sz w:val="4"/>
                <w:szCs w:val="4"/>
                <w:color w:val="auto"/>
              </w:rPr>
            </w:pPr>
          </w:p>
        </w:tc>
        <w:tc>
          <w:tcPr>
            <w:tcW w:w="100" w:type="dxa"/>
            <w:vAlign w:val="bottom"/>
            <w:tcBorders>
              <w:top w:val="single" w:sz="8" w:color="auto"/>
              <w:bottom w:val="single" w:sz="8" w:color="auto"/>
            </w:tcBorders>
          </w:tcPr>
          <w:p>
            <w:pPr>
              <w:spacing w:after="0"/>
              <w:rPr>
                <w:sz w:val="4"/>
                <w:szCs w:val="4"/>
                <w:color w:val="auto"/>
              </w:rPr>
            </w:pPr>
          </w:p>
        </w:tc>
        <w:tc>
          <w:tcPr>
            <w:tcW w:w="3700" w:type="dxa"/>
            <w:vAlign w:val="bottom"/>
            <w:tcBorders>
              <w:bottom w:val="single" w:sz="8" w:color="auto"/>
              <w:right w:val="single" w:sz="8" w:color="auto"/>
            </w:tcBorders>
          </w:tcPr>
          <w:p>
            <w:pPr>
              <w:spacing w:after="0"/>
              <w:rPr>
                <w:sz w:val="4"/>
                <w:szCs w:val="4"/>
                <w:color w:val="auto"/>
              </w:rPr>
            </w:pPr>
          </w:p>
        </w:tc>
      </w:tr>
      <w:tr>
        <w:trPr>
          <w:trHeight w:val="233"/>
        </w:trPr>
        <w:tc>
          <w:tcPr>
            <w:tcW w:w="40" w:type="dxa"/>
            <w:vAlign w:val="bottom"/>
            <w:tcBorders>
              <w:right w:val="single" w:sz="8" w:color="auto"/>
            </w:tcBorders>
            <w:shd w:val="clear" w:color="auto" w:fill="000000"/>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c>
          <w:tcPr>
            <w:tcW w:w="56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Stock of the Borrower acquired by the Borrower and stock of a</w:t>
            </w:r>
          </w:p>
        </w:tc>
        <w:tc>
          <w:tcPr>
            <w:tcW w:w="100" w:type="dxa"/>
            <w:vAlign w:val="bottom"/>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r>
      <w:tr>
        <w:trPr>
          <w:trHeight w:val="206"/>
        </w:trPr>
        <w:tc>
          <w:tcPr>
            <w:tcW w:w="40" w:type="dxa"/>
            <w:vAlign w:val="bottom"/>
            <w:tcBorders>
              <w:right w:val="single" w:sz="8" w:color="auto"/>
            </w:tcBorders>
            <w:shd w:val="clear" w:color="auto" w:fill="000000"/>
          </w:tcPr>
          <w:p>
            <w:pPr>
              <w:spacing w:after="0"/>
              <w:rPr>
                <w:sz w:val="17"/>
                <w:szCs w:val="17"/>
                <w:color w:val="auto"/>
              </w:rPr>
            </w:pPr>
          </w:p>
        </w:tc>
        <w:tc>
          <w:tcPr>
            <w:tcW w:w="1180" w:type="dxa"/>
            <w:vAlign w:val="bottom"/>
            <w:tcBorders>
              <w:right w:val="single" w:sz="8" w:color="auto"/>
            </w:tcBorders>
          </w:tcPr>
          <w:p>
            <w:pPr>
              <w:ind w:left="20"/>
              <w:spacing w:after="0" w:line="206" w:lineRule="exact"/>
              <w:rPr>
                <w:sz w:val="20"/>
                <w:szCs w:val="20"/>
                <w:color w:val="auto"/>
              </w:rPr>
            </w:pPr>
            <w:r>
              <w:rPr>
                <w:rFonts w:ascii="Arial" w:cs="Arial" w:eastAsia="Arial" w:hAnsi="Arial"/>
                <w:sz w:val="20"/>
                <w:szCs w:val="20"/>
                <w:color w:val="auto"/>
              </w:rPr>
              <w:t>Item 8.</w:t>
            </w:r>
          </w:p>
        </w:tc>
        <w:tc>
          <w:tcPr>
            <w:tcW w:w="5660" w:type="dxa"/>
            <w:vAlign w:val="bottom"/>
            <w:tcBorders>
              <w:right w:val="single" w:sz="8" w:color="auto"/>
            </w:tcBorders>
          </w:tcPr>
          <w:p>
            <w:pPr>
              <w:spacing w:after="0" w:line="206" w:lineRule="exact"/>
              <w:rPr>
                <w:sz w:val="20"/>
                <w:szCs w:val="20"/>
                <w:color w:val="auto"/>
              </w:rPr>
            </w:pPr>
            <w:r>
              <w:rPr>
                <w:rFonts w:ascii="Arial" w:cs="Arial" w:eastAsia="Arial" w:hAnsi="Arial"/>
                <w:sz w:val="20"/>
                <w:szCs w:val="20"/>
                <w:color w:val="auto"/>
              </w:rPr>
              <w:t>Subsidiary acquired by such Subsidiary</w:t>
            </w:r>
          </w:p>
        </w:tc>
        <w:tc>
          <w:tcPr>
            <w:tcW w:w="3800" w:type="dxa"/>
            <w:vAlign w:val="bottom"/>
            <w:tcBorders>
              <w:right w:val="single" w:sz="8" w:color="auto"/>
            </w:tcBorders>
            <w:gridSpan w:val="2"/>
          </w:tcPr>
          <w:p>
            <w:pPr>
              <w:spacing w:after="0" w:line="206" w:lineRule="exact"/>
              <w:rPr>
                <w:sz w:val="20"/>
                <w:szCs w:val="20"/>
                <w:color w:val="auto"/>
              </w:rPr>
            </w:pPr>
            <w:r>
              <w:rPr>
                <w:rFonts w:ascii="Arial" w:cs="Arial" w:eastAsia="Arial" w:hAnsi="Arial"/>
                <w:sz w:val="20"/>
                <w:szCs w:val="20"/>
                <w:color w:val="auto"/>
              </w:rPr>
              <w:t>$</w:t>
            </w:r>
          </w:p>
        </w:tc>
      </w:tr>
      <w:tr>
        <w:trPr>
          <w:trHeight w:val="48"/>
        </w:trPr>
        <w:tc>
          <w:tcPr>
            <w:tcW w:w="40" w:type="dxa"/>
            <w:vAlign w:val="bottom"/>
            <w:tcBorders>
              <w:top w:val="single" w:sz="8" w:color="auto"/>
              <w:bottom w:val="single" w:sz="8" w:color="auto"/>
              <w:right w:val="single" w:sz="8" w:color="auto"/>
            </w:tcBorders>
            <w:shd w:val="clear" w:color="auto" w:fill="000000"/>
          </w:tcPr>
          <w:p>
            <w:pPr>
              <w:spacing w:after="0"/>
              <w:rPr>
                <w:sz w:val="4"/>
                <w:szCs w:val="4"/>
                <w:color w:val="auto"/>
              </w:rPr>
            </w:pPr>
          </w:p>
        </w:tc>
        <w:tc>
          <w:tcPr>
            <w:tcW w:w="1180" w:type="dxa"/>
            <w:vAlign w:val="bottom"/>
            <w:tcBorders>
              <w:bottom w:val="single" w:sz="8" w:color="auto"/>
              <w:right w:val="single" w:sz="8" w:color="auto"/>
            </w:tcBorders>
          </w:tcPr>
          <w:p>
            <w:pPr>
              <w:spacing w:after="0"/>
              <w:rPr>
                <w:sz w:val="4"/>
                <w:szCs w:val="4"/>
                <w:color w:val="auto"/>
              </w:rPr>
            </w:pPr>
          </w:p>
        </w:tc>
        <w:tc>
          <w:tcPr>
            <w:tcW w:w="5660" w:type="dxa"/>
            <w:vAlign w:val="bottom"/>
            <w:tcBorders>
              <w:bottom w:val="single" w:sz="8" w:color="auto"/>
              <w:right w:val="single" w:sz="8" w:color="auto"/>
            </w:tcBorders>
          </w:tcPr>
          <w:p>
            <w:pPr>
              <w:spacing w:after="0"/>
              <w:rPr>
                <w:sz w:val="4"/>
                <w:szCs w:val="4"/>
                <w:color w:val="auto"/>
              </w:rPr>
            </w:pPr>
          </w:p>
        </w:tc>
        <w:tc>
          <w:tcPr>
            <w:tcW w:w="100" w:type="dxa"/>
            <w:vAlign w:val="bottom"/>
            <w:tcBorders>
              <w:top w:val="single" w:sz="8" w:color="auto"/>
              <w:bottom w:val="single" w:sz="8" w:color="auto"/>
            </w:tcBorders>
          </w:tcPr>
          <w:p>
            <w:pPr>
              <w:spacing w:after="0"/>
              <w:rPr>
                <w:sz w:val="4"/>
                <w:szCs w:val="4"/>
                <w:color w:val="auto"/>
              </w:rPr>
            </w:pPr>
          </w:p>
        </w:tc>
        <w:tc>
          <w:tcPr>
            <w:tcW w:w="3700" w:type="dxa"/>
            <w:vAlign w:val="bottom"/>
            <w:tcBorders>
              <w:bottom w:val="single" w:sz="8" w:color="auto"/>
              <w:right w:val="single" w:sz="8" w:color="auto"/>
            </w:tcBorders>
          </w:tcPr>
          <w:p>
            <w:pPr>
              <w:spacing w:after="0"/>
              <w:rPr>
                <w:sz w:val="4"/>
                <w:szCs w:val="4"/>
                <w:color w:val="auto"/>
              </w:rPr>
            </w:pPr>
          </w:p>
        </w:tc>
      </w:tr>
      <w:tr>
        <w:trPr>
          <w:trHeight w:val="210"/>
        </w:trPr>
        <w:tc>
          <w:tcPr>
            <w:tcW w:w="40" w:type="dxa"/>
            <w:vAlign w:val="bottom"/>
            <w:tcBorders>
              <w:right w:val="single" w:sz="8" w:color="auto"/>
            </w:tcBorders>
            <w:shd w:val="clear" w:color="auto" w:fill="000000"/>
          </w:tcPr>
          <w:p>
            <w:pPr>
              <w:spacing w:after="0"/>
              <w:rPr>
                <w:sz w:val="18"/>
                <w:szCs w:val="18"/>
                <w:color w:val="auto"/>
              </w:rPr>
            </w:pPr>
          </w:p>
        </w:tc>
        <w:tc>
          <w:tcPr>
            <w:tcW w:w="1180" w:type="dxa"/>
            <w:vAlign w:val="bottom"/>
            <w:tcBorders>
              <w:right w:val="single" w:sz="8" w:color="auto"/>
            </w:tcBorders>
          </w:tcPr>
          <w:p>
            <w:pPr>
              <w:ind w:left="20"/>
              <w:spacing w:after="0" w:line="209" w:lineRule="exact"/>
              <w:rPr>
                <w:sz w:val="20"/>
                <w:szCs w:val="20"/>
                <w:color w:val="auto"/>
              </w:rPr>
            </w:pPr>
            <w:r>
              <w:rPr>
                <w:rFonts w:ascii="Arial" w:cs="Arial" w:eastAsia="Arial" w:hAnsi="Arial"/>
                <w:sz w:val="20"/>
                <w:szCs w:val="20"/>
                <w:color w:val="auto"/>
              </w:rPr>
              <w:t>Item 9.</w:t>
            </w:r>
          </w:p>
        </w:tc>
        <w:tc>
          <w:tcPr>
            <w:tcW w:w="5660" w:type="dxa"/>
            <w:vAlign w:val="bottom"/>
            <w:tcBorders>
              <w:right w:val="single" w:sz="8" w:color="auto"/>
            </w:tcBorders>
          </w:tcPr>
          <w:p>
            <w:pPr>
              <w:spacing w:after="0" w:line="209" w:lineRule="exact"/>
              <w:rPr>
                <w:sz w:val="20"/>
                <w:szCs w:val="20"/>
                <w:color w:val="auto"/>
              </w:rPr>
            </w:pPr>
            <w:r>
              <w:rPr>
                <w:rFonts w:ascii="Arial" w:cs="Arial" w:eastAsia="Arial" w:hAnsi="Arial"/>
                <w:sz w:val="20"/>
                <w:szCs w:val="20"/>
                <w:color w:val="auto"/>
              </w:rPr>
              <w:t>Total Capitalization (Item 7 minus Item 8)</w:t>
            </w:r>
          </w:p>
        </w:tc>
        <w:tc>
          <w:tcPr>
            <w:tcW w:w="3800" w:type="dxa"/>
            <w:vAlign w:val="bottom"/>
            <w:tcBorders>
              <w:right w:val="single" w:sz="8" w:color="auto"/>
            </w:tcBorders>
            <w:gridSpan w:val="2"/>
          </w:tcPr>
          <w:p>
            <w:pPr>
              <w:spacing w:after="0" w:line="209" w:lineRule="exact"/>
              <w:rPr>
                <w:sz w:val="20"/>
                <w:szCs w:val="20"/>
                <w:color w:val="auto"/>
              </w:rPr>
            </w:pPr>
            <w:r>
              <w:rPr>
                <w:rFonts w:ascii="Arial" w:cs="Arial" w:eastAsia="Arial" w:hAnsi="Arial"/>
                <w:sz w:val="20"/>
                <w:szCs w:val="20"/>
                <w:color w:val="auto"/>
              </w:rPr>
              <w:t>$</w:t>
            </w:r>
          </w:p>
        </w:tc>
      </w:tr>
      <w:tr>
        <w:trPr>
          <w:trHeight w:val="48"/>
        </w:trPr>
        <w:tc>
          <w:tcPr>
            <w:tcW w:w="40" w:type="dxa"/>
            <w:vAlign w:val="bottom"/>
            <w:tcBorders>
              <w:top w:val="single" w:sz="8" w:color="auto"/>
              <w:bottom w:val="single" w:sz="8" w:color="auto"/>
              <w:right w:val="single" w:sz="8" w:color="auto"/>
            </w:tcBorders>
            <w:shd w:val="clear" w:color="auto" w:fill="000000"/>
          </w:tcPr>
          <w:p>
            <w:pPr>
              <w:spacing w:after="0"/>
              <w:rPr>
                <w:sz w:val="4"/>
                <w:szCs w:val="4"/>
                <w:color w:val="auto"/>
              </w:rPr>
            </w:pPr>
          </w:p>
        </w:tc>
        <w:tc>
          <w:tcPr>
            <w:tcW w:w="1180" w:type="dxa"/>
            <w:vAlign w:val="bottom"/>
            <w:tcBorders>
              <w:bottom w:val="single" w:sz="8" w:color="auto"/>
              <w:right w:val="single" w:sz="8" w:color="auto"/>
            </w:tcBorders>
          </w:tcPr>
          <w:p>
            <w:pPr>
              <w:spacing w:after="0"/>
              <w:rPr>
                <w:sz w:val="4"/>
                <w:szCs w:val="4"/>
                <w:color w:val="auto"/>
              </w:rPr>
            </w:pPr>
          </w:p>
        </w:tc>
        <w:tc>
          <w:tcPr>
            <w:tcW w:w="5660" w:type="dxa"/>
            <w:vAlign w:val="bottom"/>
            <w:tcBorders>
              <w:bottom w:val="single" w:sz="8" w:color="auto"/>
              <w:right w:val="single" w:sz="8" w:color="auto"/>
            </w:tcBorders>
          </w:tcPr>
          <w:p>
            <w:pPr>
              <w:spacing w:after="0"/>
              <w:rPr>
                <w:sz w:val="4"/>
                <w:szCs w:val="4"/>
                <w:color w:val="auto"/>
              </w:rPr>
            </w:pPr>
          </w:p>
        </w:tc>
        <w:tc>
          <w:tcPr>
            <w:tcW w:w="100" w:type="dxa"/>
            <w:vAlign w:val="bottom"/>
            <w:tcBorders>
              <w:top w:val="single" w:sz="8" w:color="auto"/>
              <w:bottom w:val="single" w:sz="8" w:color="auto"/>
            </w:tcBorders>
          </w:tcPr>
          <w:p>
            <w:pPr>
              <w:spacing w:after="0"/>
              <w:rPr>
                <w:sz w:val="4"/>
                <w:szCs w:val="4"/>
                <w:color w:val="auto"/>
              </w:rPr>
            </w:pPr>
          </w:p>
        </w:tc>
        <w:tc>
          <w:tcPr>
            <w:tcW w:w="3700" w:type="dxa"/>
            <w:vAlign w:val="bottom"/>
            <w:tcBorders>
              <w:bottom w:val="single" w:sz="8" w:color="auto"/>
              <w:right w:val="single" w:sz="8" w:color="auto"/>
            </w:tcBorders>
          </w:tcPr>
          <w:p>
            <w:pPr>
              <w:spacing w:after="0"/>
              <w:rPr>
                <w:sz w:val="4"/>
                <w:szCs w:val="4"/>
                <w:color w:val="auto"/>
              </w:rPr>
            </w:pPr>
          </w:p>
        </w:tc>
      </w:tr>
      <w:tr>
        <w:trPr>
          <w:trHeight w:val="233"/>
        </w:trPr>
        <w:tc>
          <w:tcPr>
            <w:tcW w:w="40" w:type="dxa"/>
            <w:vAlign w:val="bottom"/>
            <w:tcBorders>
              <w:right w:val="single" w:sz="8" w:color="auto"/>
            </w:tcBorders>
            <w:shd w:val="clear" w:color="auto" w:fill="000000"/>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c>
          <w:tcPr>
            <w:tcW w:w="566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2"/>
              </w:rPr>
              <w:t>Ratio of Total Indebtedness to Total Capitalization (Item 3 divided by</w:t>
            </w:r>
          </w:p>
        </w:tc>
        <w:tc>
          <w:tcPr>
            <w:tcW w:w="100" w:type="dxa"/>
            <w:vAlign w:val="bottom"/>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11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Item 10.</w:t>
            </w:r>
          </w:p>
        </w:tc>
        <w:tc>
          <w:tcPr>
            <w:tcW w:w="56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Item 9)</w:t>
            </w:r>
          </w:p>
        </w:tc>
        <w:tc>
          <w:tcPr>
            <w:tcW w:w="380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_.__: 1.00</w:t>
            </w:r>
          </w:p>
        </w:tc>
      </w:tr>
      <w:tr>
        <w:trPr>
          <w:trHeight w:val="23"/>
        </w:trPr>
        <w:tc>
          <w:tcPr>
            <w:tcW w:w="40" w:type="dxa"/>
            <w:vAlign w:val="bottom"/>
            <w:tcBorders>
              <w:bottom w:val="single" w:sz="8" w:color="auto"/>
              <w:right w:val="single" w:sz="8" w:color="auto"/>
            </w:tcBorders>
            <w:shd w:val="clear" w:color="auto" w:fill="000000"/>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566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right w:val="single" w:sz="8" w:color="auto"/>
            </w:tcBorders>
            <w:shd w:val="clear" w:color="auto" w:fill="000000"/>
          </w:tcPr>
          <w:p>
            <w:pPr>
              <w:spacing w:after="0"/>
              <w:rPr>
                <w:sz w:val="22"/>
                <w:szCs w:val="22"/>
                <w:color w:val="auto"/>
              </w:rPr>
            </w:pPr>
          </w:p>
        </w:tc>
        <w:tc>
          <w:tcPr>
            <w:tcW w:w="1180" w:type="dxa"/>
            <w:vAlign w:val="bottom"/>
            <w:tcBorders>
              <w:right w:val="single" w:sz="8" w:color="auto"/>
            </w:tcBorders>
          </w:tcPr>
          <w:p>
            <w:pPr>
              <w:spacing w:after="0"/>
              <w:rPr>
                <w:sz w:val="22"/>
                <w:szCs w:val="22"/>
                <w:color w:val="auto"/>
              </w:rPr>
            </w:pPr>
          </w:p>
        </w:tc>
        <w:tc>
          <w:tcPr>
            <w:tcW w:w="56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Maximum permitted ratio</w:t>
            </w:r>
          </w:p>
        </w:tc>
        <w:tc>
          <w:tcPr>
            <w:tcW w:w="380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0.65:1.00</w:t>
            </w:r>
          </w:p>
        </w:tc>
      </w:tr>
      <w:tr>
        <w:trPr>
          <w:trHeight w:val="23"/>
        </w:trPr>
        <w:tc>
          <w:tcPr>
            <w:tcW w:w="40" w:type="dxa"/>
            <w:vAlign w:val="bottom"/>
            <w:tcBorders>
              <w:bottom w:val="single" w:sz="8" w:color="auto"/>
              <w:right w:val="single" w:sz="8" w:color="auto"/>
            </w:tcBorders>
            <w:shd w:val="clear" w:color="auto" w:fill="000000"/>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566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940"/>
        <w:spacing w:after="0"/>
        <w:rPr>
          <w:sz w:val="20"/>
          <w:szCs w:val="20"/>
          <w:color w:val="auto"/>
        </w:rPr>
      </w:pPr>
      <w:r>
        <w:rPr>
          <w:rFonts w:ascii="Arial" w:cs="Arial" w:eastAsia="Arial" w:hAnsi="Arial"/>
          <w:sz w:val="16"/>
          <w:szCs w:val="16"/>
          <w:color w:val="auto"/>
        </w:rPr>
        <w:t>*Each of the computations is based on the Borrower and its Subsidiaries determined on a consolidated basis in accordance with GAAP.</w:t>
      </w:r>
    </w:p>
    <w:p>
      <w:pPr>
        <w:sectPr>
          <w:pgSz w:w="11900" w:h="16838" w:orient="portrait"/>
          <w:cols w:equalWidth="0" w:num="1">
            <w:col w:w="11040"/>
          </w:cols>
          <w:pgMar w:left="620" w:top="337" w:right="2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4</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EXHIBIT D-1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 TAX COMPLIANCE CERTIFICATE</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Foreign Lenders That Are Not Partnerships For U.S. Federal Income Tax Purposes)</w:t>
      </w:r>
    </w:p>
    <w:p>
      <w:pPr>
        <w:spacing w:after="0" w:line="200"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Reference is hereby made to the Amended and Restated Term Loan Agreement dated as of August 14, 2019 (as amended, supplemented or otherwise modified from time to time, the “</w:t>
      </w:r>
      <w:r>
        <w:rPr>
          <w:rFonts w:ascii="Arial" w:cs="Arial" w:eastAsia="Arial" w:hAnsi="Arial"/>
          <w:sz w:val="20"/>
          <w:szCs w:val="20"/>
          <w:b w:val="1"/>
          <w:bCs w:val="1"/>
          <w:i w:val="1"/>
          <w:iCs w:val="1"/>
          <w:color w:val="auto"/>
        </w:rPr>
        <w:t>Term Loan Agreement</w:t>
      </w:r>
      <w:r>
        <w:rPr>
          <w:rFonts w:ascii="Arial" w:cs="Arial" w:eastAsia="Arial" w:hAnsi="Arial"/>
          <w:sz w:val="20"/>
          <w:szCs w:val="20"/>
          <w:color w:val="auto"/>
        </w:rPr>
        <w:t>”), among ALLETE, Inc., each lender from time to time party thereto and JPMorgan Chase Bank, N.A., as administrative agent.</w:t>
      </w:r>
    </w:p>
    <w:p>
      <w:pPr>
        <w:spacing w:after="0" w:line="7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color w:val="auto"/>
        </w:rPr>
        <w:t>Pursuant to the provisions of Section 3.5 of the Term Loan Agreement, the undersigned hereby certifies that (i) it is the sole record and beneficial owner of the Loan(s) (as well as any promissory note(s) evidencing such Loan(s)) in respect of which it is providing this certificate,</w:t>
      </w:r>
    </w:p>
    <w:p>
      <w:pPr>
        <w:spacing w:after="0" w:line="1" w:lineRule="exact"/>
        <w:rPr>
          <w:sz w:val="20"/>
          <w:szCs w:val="20"/>
          <w:color w:val="auto"/>
        </w:rPr>
      </w:pPr>
    </w:p>
    <w:p>
      <w:pPr>
        <w:jc w:val="both"/>
        <w:ind w:firstLine="8"/>
        <w:spacing w:after="0" w:line="241" w:lineRule="auto"/>
        <w:tabs>
          <w:tab w:leader="none" w:pos="300" w:val="left"/>
        </w:tabs>
        <w:numPr>
          <w:ilvl w:val="0"/>
          <w:numId w:val="122"/>
        </w:numPr>
        <w:rPr>
          <w:rFonts w:ascii="Arial" w:cs="Arial" w:eastAsia="Arial" w:hAnsi="Arial"/>
          <w:sz w:val="20"/>
          <w:szCs w:val="20"/>
          <w:color w:val="auto"/>
        </w:rPr>
      </w:pPr>
      <w:r>
        <w:rPr>
          <w:rFonts w:ascii="Arial" w:cs="Arial" w:eastAsia="Arial" w:hAnsi="Arial"/>
          <w:sz w:val="20"/>
          <w:szCs w:val="20"/>
          <w:color w:val="auto"/>
        </w:rPr>
        <w:t>it is not a bank within the meaning of Section 881(c)(3)(A) of the Code, (iii) it is not a ten percent shareholder of the Borrower within the meaning of Section 871(h)(3)(B) of the Code and (iv) it is not a controlled foreign corporation related to the Borrower as described in Section 881(c)(3)(C) of the Code.</w:t>
      </w:r>
    </w:p>
    <w:p>
      <w:pPr>
        <w:spacing w:after="0" w:line="88"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The undersigned has furnished the Administrative Agent and the Borrower with a certificate of its non-U.S. Person status on IRS Form W-8BEN or IRS Form W-8BEN-E. By executing this certificate, the undersigned agrees that (1) if the information provided on this certificate changes, the undersigned shall promptly so inform the Borrower and the Administrative Agent, and (2) the undersigned shall have at all times furnished the Borrower and the Administrative Agent with a properly completed and currently effective certificate in either the calendar year in which each payment is to be made to the undersigned, or in either of the two calendar years preceding such payments.</w:t>
      </w:r>
    </w:p>
    <w:p>
      <w:pPr>
        <w:spacing w:after="0" w:line="5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Unless otherwise defined herein, terms defined in the Term Loan Agreement and used herein shall have the meanings given to them in the Term Loan Agreement.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0"/>
        <w:spacing w:after="0"/>
        <w:rPr>
          <w:sz w:val="20"/>
          <w:szCs w:val="20"/>
          <w:color w:val="auto"/>
        </w:rPr>
      </w:pPr>
      <w:r>
        <w:rPr>
          <w:rFonts w:ascii="Arial" w:cs="Arial" w:eastAsia="Arial" w:hAnsi="Arial"/>
          <w:sz w:val="20"/>
          <w:szCs w:val="20"/>
          <w:color w:val="auto"/>
        </w:rPr>
        <w:t>[NAME OF LENDER]</w:t>
      </w:r>
    </w:p>
    <w:p>
      <w:pPr>
        <w:spacing w:after="0" w:line="54" w:lineRule="exact"/>
        <w:rPr>
          <w:sz w:val="20"/>
          <w:szCs w:val="20"/>
          <w:color w:val="auto"/>
        </w:rPr>
      </w:pPr>
    </w:p>
    <w:p>
      <w:pPr>
        <w:ind w:left="40"/>
        <w:spacing w:after="0"/>
        <w:rPr>
          <w:sz w:val="20"/>
          <w:szCs w:val="20"/>
          <w:color w:val="auto"/>
        </w:rPr>
      </w:pPr>
      <w:r>
        <w:rPr>
          <w:rFonts w:ascii="Arial" w:cs="Arial" w:eastAsia="Arial" w:hAnsi="Arial"/>
          <w:sz w:val="20"/>
          <w:szCs w:val="20"/>
          <w:u w:val="single" w:color="auto"/>
          <w:color w:val="auto"/>
        </w:rPr>
        <w:t>By:</w:t>
      </w:r>
    </w:p>
    <w:p>
      <w:pPr>
        <w:spacing w:after="0" w:line="54" w:lineRule="exact"/>
        <w:rPr>
          <w:sz w:val="20"/>
          <w:szCs w:val="20"/>
          <w:color w:val="auto"/>
        </w:rPr>
      </w:pPr>
    </w:p>
    <w:p>
      <w:pPr>
        <w:ind w:left="620"/>
        <w:spacing w:after="0"/>
        <w:rPr>
          <w:sz w:val="20"/>
          <w:szCs w:val="20"/>
          <w:color w:val="auto"/>
        </w:rPr>
      </w:pPr>
      <w:r>
        <w:rPr>
          <w:rFonts w:ascii="Arial" w:cs="Arial" w:eastAsia="Arial" w:hAnsi="Arial"/>
          <w:sz w:val="20"/>
          <w:szCs w:val="20"/>
          <w:color w:val="auto"/>
        </w:rPr>
        <w:t>Name:</w:t>
      </w:r>
    </w:p>
    <w:p>
      <w:pPr>
        <w:spacing w:after="0" w:line="54" w:lineRule="exact"/>
        <w:rPr>
          <w:sz w:val="20"/>
          <w:szCs w:val="20"/>
          <w:color w:val="auto"/>
        </w:rPr>
      </w:pPr>
    </w:p>
    <w:p>
      <w:pPr>
        <w:ind w:left="620"/>
        <w:spacing w:after="0"/>
        <w:rPr>
          <w:sz w:val="20"/>
          <w:szCs w:val="20"/>
          <w:color w:val="auto"/>
        </w:rPr>
      </w:pPr>
      <w:r>
        <w:rPr>
          <w:rFonts w:ascii="Arial" w:cs="Arial" w:eastAsia="Arial" w:hAnsi="Arial"/>
          <w:sz w:val="20"/>
          <w:szCs w:val="20"/>
          <w:color w:val="auto"/>
        </w:rPr>
        <w:t>Title: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Date: ________ __, 20[ ]</w:t>
      </w:r>
    </w:p>
    <w:p>
      <w:pPr>
        <w:sectPr>
          <w:pgSz w:w="11900" w:h="16838" w:orient="portrait"/>
          <w:cols w:equalWidth="0" w:num="1">
            <w:col w:w="11420"/>
          </w:cols>
          <w:pgMar w:left="240" w:top="337" w:right="2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4</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XHIBIT D-2</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 TAX COMPLIANCE CERTIFICATE</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Foreign Participants That Are Not Partnerships For U.S. Federal Income Tax Purposes)</w:t>
      </w:r>
    </w:p>
    <w:p>
      <w:pPr>
        <w:spacing w:after="0" w:line="200"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Reference is hereby made to the Amended and Restated Term Loan Agreement dated as of August 14, 2019 (as amended, supplemented or otherwise modified from time to time, the “</w:t>
      </w:r>
      <w:r>
        <w:rPr>
          <w:rFonts w:ascii="Arial" w:cs="Arial" w:eastAsia="Arial" w:hAnsi="Arial"/>
          <w:sz w:val="20"/>
          <w:szCs w:val="20"/>
          <w:b w:val="1"/>
          <w:bCs w:val="1"/>
          <w:i w:val="1"/>
          <w:iCs w:val="1"/>
          <w:color w:val="auto"/>
        </w:rPr>
        <w:t>Term Loan Agreement</w:t>
      </w:r>
      <w:r>
        <w:rPr>
          <w:rFonts w:ascii="Arial" w:cs="Arial" w:eastAsia="Arial" w:hAnsi="Arial"/>
          <w:sz w:val="20"/>
          <w:szCs w:val="20"/>
          <w:color w:val="auto"/>
        </w:rPr>
        <w:t>”), among ALLETE, Inc., each lender from time to time party thereto and JPMorgan Chase Bank, N.A., as administrative agent.</w:t>
      </w:r>
    </w:p>
    <w:p>
      <w:pPr>
        <w:spacing w:after="0" w:line="7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color w:val="auto"/>
        </w:rPr>
        <w:t>Pursuant to the provisions of Section 3.5 of the Term Loan Agreement, the undersigned hereby certifies that (i) it is the sole record and beneficial owner of the participation in respect of which it is providing this certificate, (ii) it is not a bank within the meaning of Section 881(c)</w:t>
      </w:r>
    </w:p>
    <w:p>
      <w:pPr>
        <w:spacing w:after="0" w:line="1"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(3)(A) of the Code, (iii) it is not a ten percent shareholder of the Borrower within the meaning of Section 871(h)(3)(B) of the Code, and (iv) it is not a controlled foreign corporation related to the Borrower as described in Section 881(c)(3)(C) of the Code.</w:t>
      </w:r>
    </w:p>
    <w:p>
      <w:pPr>
        <w:spacing w:after="0" w:line="84"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The undersigned has furnished its participating Lender with a certificate of its non-U.S. Person status on IRS Form W-8BEN or IRS Form W-8BEN-E. By executing this certificate, the undersigned agrees that (1) if the information provided on this certificate changes, the undersigned shall promptly so inform such Lender in writing,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8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Unless otherwise defined herein, terms defined in the Term Loan Agreement and used herein shall have the meanings given to them in the Term Loan Agreement.</w:t>
      </w:r>
    </w:p>
    <w:p>
      <w:pPr>
        <w:spacing w:after="0" w:line="200" w:lineRule="exact"/>
        <w:rPr>
          <w:sz w:val="20"/>
          <w:szCs w:val="20"/>
          <w:color w:val="auto"/>
        </w:rPr>
      </w:pPr>
    </w:p>
    <w:p>
      <w:pPr>
        <w:spacing w:after="0" w:line="247" w:lineRule="exact"/>
        <w:rPr>
          <w:sz w:val="20"/>
          <w:szCs w:val="20"/>
          <w:color w:val="auto"/>
        </w:rPr>
      </w:pPr>
    </w:p>
    <w:p>
      <w:pPr>
        <w:ind w:left="40"/>
        <w:spacing w:after="0"/>
        <w:rPr>
          <w:sz w:val="20"/>
          <w:szCs w:val="20"/>
          <w:color w:val="auto"/>
        </w:rPr>
      </w:pPr>
      <w:r>
        <w:rPr>
          <w:rFonts w:ascii="Arial" w:cs="Arial" w:eastAsia="Arial" w:hAnsi="Arial"/>
          <w:sz w:val="20"/>
          <w:szCs w:val="20"/>
          <w:color w:val="auto"/>
        </w:rPr>
        <w:t>[NAME OF PARTICIPANT]</w:t>
      </w:r>
    </w:p>
    <w:p>
      <w:pPr>
        <w:spacing w:after="0" w:line="54" w:lineRule="exact"/>
        <w:rPr>
          <w:sz w:val="20"/>
          <w:szCs w:val="20"/>
          <w:color w:val="auto"/>
        </w:rPr>
      </w:pPr>
    </w:p>
    <w:p>
      <w:pPr>
        <w:ind w:left="40"/>
        <w:spacing w:after="0"/>
        <w:rPr>
          <w:sz w:val="20"/>
          <w:szCs w:val="20"/>
          <w:color w:val="auto"/>
        </w:rPr>
      </w:pPr>
      <w:r>
        <w:rPr>
          <w:rFonts w:ascii="Arial" w:cs="Arial" w:eastAsia="Arial" w:hAnsi="Arial"/>
          <w:sz w:val="20"/>
          <w:szCs w:val="20"/>
          <w:u w:val="single" w:color="auto"/>
          <w:color w:val="auto"/>
        </w:rPr>
        <w:t>By:</w:t>
      </w:r>
    </w:p>
    <w:p>
      <w:pPr>
        <w:spacing w:after="0" w:line="54" w:lineRule="exact"/>
        <w:rPr>
          <w:sz w:val="20"/>
          <w:szCs w:val="20"/>
          <w:color w:val="auto"/>
        </w:rPr>
      </w:pPr>
    </w:p>
    <w:p>
      <w:pPr>
        <w:ind w:left="620"/>
        <w:spacing w:after="0"/>
        <w:rPr>
          <w:sz w:val="20"/>
          <w:szCs w:val="20"/>
          <w:color w:val="auto"/>
        </w:rPr>
      </w:pPr>
      <w:r>
        <w:rPr>
          <w:rFonts w:ascii="Arial" w:cs="Arial" w:eastAsia="Arial" w:hAnsi="Arial"/>
          <w:sz w:val="20"/>
          <w:szCs w:val="20"/>
          <w:color w:val="auto"/>
        </w:rPr>
        <w:t>Name:</w:t>
      </w:r>
    </w:p>
    <w:p>
      <w:pPr>
        <w:spacing w:after="0" w:line="54" w:lineRule="exact"/>
        <w:rPr>
          <w:sz w:val="20"/>
          <w:szCs w:val="20"/>
          <w:color w:val="auto"/>
        </w:rPr>
      </w:pPr>
    </w:p>
    <w:p>
      <w:pPr>
        <w:ind w:left="620"/>
        <w:spacing w:after="0"/>
        <w:rPr>
          <w:sz w:val="20"/>
          <w:szCs w:val="20"/>
          <w:color w:val="auto"/>
        </w:rPr>
      </w:pPr>
      <w:r>
        <w:rPr>
          <w:rFonts w:ascii="Arial" w:cs="Arial" w:eastAsia="Arial" w:hAnsi="Arial"/>
          <w:sz w:val="20"/>
          <w:szCs w:val="20"/>
          <w:color w:val="auto"/>
        </w:rPr>
        <w:t>Title: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Date: ________ __, 20[ ]</w:t>
      </w:r>
    </w:p>
    <w:p>
      <w:pPr>
        <w:sectPr>
          <w:pgSz w:w="11900" w:h="16838" w:orient="portrait"/>
          <w:cols w:equalWidth="0" w:num="1">
            <w:col w:w="11420"/>
          </w:cols>
          <w:pgMar w:left="240" w:top="337" w:right="2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4</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EXHIBIT D-3</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 TAX COMPLIANCE CERTIFICATE</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Foreign Participants That Are Partnerships For U.S. Federal Income Tax Purposes)</w:t>
      </w:r>
    </w:p>
    <w:p>
      <w:pPr>
        <w:spacing w:after="0" w:line="200"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Reference is hereby made to the Amended and Restated Term Loan Agreement dated as of August 14, 2019 (as amended, supplemented or otherwise modified from time to time, the “</w:t>
      </w:r>
      <w:r>
        <w:rPr>
          <w:rFonts w:ascii="Arial" w:cs="Arial" w:eastAsia="Arial" w:hAnsi="Arial"/>
          <w:sz w:val="20"/>
          <w:szCs w:val="20"/>
          <w:b w:val="1"/>
          <w:bCs w:val="1"/>
          <w:i w:val="1"/>
          <w:iCs w:val="1"/>
          <w:color w:val="auto"/>
        </w:rPr>
        <w:t>Term Loan Agreement</w:t>
      </w:r>
      <w:r>
        <w:rPr>
          <w:rFonts w:ascii="Arial" w:cs="Arial" w:eastAsia="Arial" w:hAnsi="Arial"/>
          <w:sz w:val="20"/>
          <w:szCs w:val="20"/>
          <w:color w:val="auto"/>
        </w:rPr>
        <w:t>”), among ALLETE, Inc., each lender from time to time party thereto and JPMorgan Chase Bank, N.A., as administrative agent.</w:t>
      </w:r>
    </w:p>
    <w:p>
      <w:pPr>
        <w:spacing w:after="0" w:line="7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Pursuant to the provisions of Section 3.5 of the Term Loan Agreement, the undersigned hereby certifies that (i) it is the sole record owner of the participation in respect of which it is providing this certificate, (ii) its direct or indirect partners/members are the sole beneficial owners of such participation, (iii) with respect such participation,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the Borrower within the meaning of Section 871(h)(3)(B) of the Code and (v) none of its direct or indirect partners/members is a controlled foreign corporation related to the Borrower as described in Section 881(c)(3)(C) of the Code.</w:t>
      </w:r>
    </w:p>
    <w:p>
      <w:pPr>
        <w:spacing w:after="0" w:line="7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The undersigned has furnished its participating Lender with IRS Form W-8IMY accompanied by one of the following forms from each of its partners/members that is claiming the portfolio interest exemption: (i) an IRS Form W-8BEN or IRS Form W-8BEN-E or (ii) an IRS Form W-8IMY accompanied by an IRS Form W-8BEN or IRS Form W-8BEN-E from each of such partner’s/member’s beneficial owners that is claiming the portfolio interest exemption. By executing this certificate, the undersigned agrees that (1) if the information provided on this certificate changes, the undersigned shall promptly so inform such Lender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7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Unless otherwise defined herein, terms defined in the Term Loan Agreement and used herein shall have the meanings given to them in the Term Loan Agreement.</w:t>
      </w:r>
    </w:p>
    <w:p>
      <w:pPr>
        <w:spacing w:after="0" w:line="200" w:lineRule="exact"/>
        <w:rPr>
          <w:sz w:val="20"/>
          <w:szCs w:val="20"/>
          <w:color w:val="auto"/>
        </w:rPr>
      </w:pPr>
    </w:p>
    <w:p>
      <w:pPr>
        <w:spacing w:after="0" w:line="247" w:lineRule="exact"/>
        <w:rPr>
          <w:sz w:val="20"/>
          <w:szCs w:val="20"/>
          <w:color w:val="auto"/>
        </w:rPr>
      </w:pPr>
    </w:p>
    <w:p>
      <w:pPr>
        <w:ind w:left="40"/>
        <w:spacing w:after="0"/>
        <w:rPr>
          <w:sz w:val="20"/>
          <w:szCs w:val="20"/>
          <w:color w:val="auto"/>
        </w:rPr>
      </w:pPr>
      <w:r>
        <w:rPr>
          <w:rFonts w:ascii="Arial" w:cs="Arial" w:eastAsia="Arial" w:hAnsi="Arial"/>
          <w:sz w:val="20"/>
          <w:szCs w:val="20"/>
          <w:color w:val="auto"/>
        </w:rPr>
        <w:t>[NAME OF PARTICIPANT]</w:t>
      </w:r>
    </w:p>
    <w:p>
      <w:pPr>
        <w:spacing w:after="0" w:line="54" w:lineRule="exact"/>
        <w:rPr>
          <w:sz w:val="20"/>
          <w:szCs w:val="20"/>
          <w:color w:val="auto"/>
        </w:rPr>
      </w:pPr>
    </w:p>
    <w:p>
      <w:pPr>
        <w:ind w:left="40"/>
        <w:spacing w:after="0"/>
        <w:rPr>
          <w:sz w:val="20"/>
          <w:szCs w:val="20"/>
          <w:color w:val="auto"/>
        </w:rPr>
      </w:pPr>
      <w:r>
        <w:rPr>
          <w:rFonts w:ascii="Arial" w:cs="Arial" w:eastAsia="Arial" w:hAnsi="Arial"/>
          <w:sz w:val="20"/>
          <w:szCs w:val="20"/>
          <w:color w:val="auto"/>
        </w:rPr>
        <w:t>By:</w:t>
      </w:r>
    </w:p>
    <w:p>
      <w:pPr>
        <w:spacing w:after="0" w:line="54" w:lineRule="exact"/>
        <w:rPr>
          <w:sz w:val="20"/>
          <w:szCs w:val="20"/>
          <w:color w:val="auto"/>
        </w:rPr>
      </w:pPr>
    </w:p>
    <w:p>
      <w:pPr>
        <w:ind w:left="620"/>
        <w:spacing w:after="0"/>
        <w:rPr>
          <w:sz w:val="20"/>
          <w:szCs w:val="20"/>
          <w:color w:val="auto"/>
        </w:rPr>
      </w:pPr>
      <w:r>
        <w:rPr>
          <w:rFonts w:ascii="Arial" w:cs="Arial" w:eastAsia="Arial" w:hAnsi="Arial"/>
          <w:sz w:val="20"/>
          <w:szCs w:val="20"/>
          <w:color w:val="auto"/>
        </w:rPr>
        <w:t>Name:</w:t>
      </w:r>
    </w:p>
    <w:p>
      <w:pPr>
        <w:spacing w:after="0" w:line="54" w:lineRule="exact"/>
        <w:rPr>
          <w:sz w:val="20"/>
          <w:szCs w:val="20"/>
          <w:color w:val="auto"/>
        </w:rPr>
      </w:pPr>
    </w:p>
    <w:p>
      <w:pPr>
        <w:ind w:left="620"/>
        <w:spacing w:after="0"/>
        <w:rPr>
          <w:sz w:val="20"/>
          <w:szCs w:val="20"/>
          <w:color w:val="auto"/>
        </w:rPr>
      </w:pPr>
      <w:r>
        <w:rPr>
          <w:rFonts w:ascii="Arial" w:cs="Arial" w:eastAsia="Arial" w:hAnsi="Arial"/>
          <w:sz w:val="20"/>
          <w:szCs w:val="20"/>
          <w:color w:val="auto"/>
        </w:rPr>
        <w:t>Title: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Date: ________ __, 20[ ]</w:t>
      </w:r>
    </w:p>
    <w:p>
      <w:pPr>
        <w:sectPr>
          <w:pgSz w:w="11900" w:h="16838" w:orient="portrait"/>
          <w:cols w:equalWidth="0" w:num="1">
            <w:col w:w="11420"/>
          </w:cols>
          <w:pgMar w:left="240" w:top="337" w:right="2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4</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EXHIBIT D-4</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 TAX COMPLIANCE CERTIFICATE</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Foreign Lenders That Are Partnerships For U.S. Federal Income Tax Purposes)</w:t>
      </w:r>
    </w:p>
    <w:p>
      <w:pPr>
        <w:spacing w:after="0" w:line="200"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Reference is hereby made to the Amended and Restated Term Loan Agreement dated as of August 14, 2019 (as amended, supplemented or otherwise modified from time to time, the “</w:t>
      </w:r>
      <w:r>
        <w:rPr>
          <w:rFonts w:ascii="Arial" w:cs="Arial" w:eastAsia="Arial" w:hAnsi="Arial"/>
          <w:sz w:val="20"/>
          <w:szCs w:val="20"/>
          <w:b w:val="1"/>
          <w:bCs w:val="1"/>
          <w:i w:val="1"/>
          <w:iCs w:val="1"/>
          <w:color w:val="auto"/>
        </w:rPr>
        <w:t>Term Loan Agreement</w:t>
      </w:r>
      <w:r>
        <w:rPr>
          <w:rFonts w:ascii="Arial" w:cs="Arial" w:eastAsia="Arial" w:hAnsi="Arial"/>
          <w:sz w:val="20"/>
          <w:szCs w:val="20"/>
          <w:color w:val="auto"/>
        </w:rPr>
        <w:t>”), among ALLETE, Inc., each lender from time to time party thereto and JPMorgan Chase Bank, N.A., as administrative agent.</w:t>
      </w:r>
    </w:p>
    <w:p>
      <w:pPr>
        <w:spacing w:after="0" w:line="7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Pursuant to the provisions of Section 3.5 of the Term Loan Agreement, the undersigned hereby certifies that (i) it is the sole record owner of the Loan(s) (as well as any promissory note(s) evidencing such Loan(s)) in respect of which it is providing this certificate, (ii) its direct or indirect partners/members are the sole beneficial owners of such Loan(s) (as well as any promissory note(s) evidencing such Loan(s)),</w:t>
      </w:r>
    </w:p>
    <w:p>
      <w:pPr>
        <w:spacing w:after="0" w:line="1" w:lineRule="exact"/>
        <w:rPr>
          <w:sz w:val="20"/>
          <w:szCs w:val="20"/>
          <w:color w:val="auto"/>
        </w:rPr>
      </w:pPr>
    </w:p>
    <w:p>
      <w:pPr>
        <w:jc w:val="both"/>
        <w:ind w:firstLine="8"/>
        <w:spacing w:after="0" w:line="274" w:lineRule="auto"/>
        <w:tabs>
          <w:tab w:leader="none" w:pos="347" w:val="left"/>
        </w:tabs>
        <w:numPr>
          <w:ilvl w:val="0"/>
          <w:numId w:val="123"/>
        </w:numPr>
        <w:rPr>
          <w:rFonts w:ascii="Arial" w:cs="Arial" w:eastAsia="Arial" w:hAnsi="Arial"/>
          <w:sz w:val="18"/>
          <w:szCs w:val="18"/>
          <w:color w:val="auto"/>
        </w:rPr>
      </w:pPr>
      <w:r>
        <w:rPr>
          <w:rFonts w:ascii="Arial" w:cs="Arial" w:eastAsia="Arial" w:hAnsi="Arial"/>
          <w:sz w:val="18"/>
          <w:szCs w:val="18"/>
          <w:color w:val="auto"/>
        </w:rPr>
        <w:t>with respect to the extension of credit pursuant to this Term Loan Agreement or any other Loan Document,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the Borrower within the meaning of Section 871(h)(3)(B) of the Code and (v) none of its direct or indirect partners/members is a controlled foreign corporation related to the Borrower as described in Section 881(c)(3)(C) of the Code.</w:t>
      </w:r>
    </w:p>
    <w:p>
      <w:pPr>
        <w:spacing w:after="0" w:line="58"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The undersigned has furnished the Administrative Agent and the Borrower with IRS Form W-8IMY accompanied by one of the following forms from each of its partners/members that is claiming the portfolio interest exemption: (i) an IRS Form W-8BEN or Form W-8BEN-E or (ii) an IRS Form W-8IMY accompanied by an IRS Form W-8BEN or IRS W-8BEN-E from each of such partner’s/member’s beneficial owners that is claiming the portfolio interest exemption. By executing this certificate, the undersigned agrees that (1) if the information provided on this certificate changes, the undersigned shall promptly so inform the Borrower and the Administrative Agent, and (2) the undersigned shall have at all times furnished the Borrower and the Administrative Agent with a properly completed and currently effective certificate in either the calendar year in which each payment is to be made to the undersigned, or in either of the two calendar years preceding such payments.</w:t>
      </w:r>
    </w:p>
    <w:p>
      <w:pPr>
        <w:spacing w:after="0" w:line="30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Unless otherwise defined herein, terms defined in the Term Loan Agreement and used herein shall have the meanings given to them in the Term Loan Agreement.</w:t>
      </w:r>
    </w:p>
    <w:p>
      <w:pPr>
        <w:spacing w:after="0" w:line="200" w:lineRule="exact"/>
        <w:rPr>
          <w:sz w:val="20"/>
          <w:szCs w:val="20"/>
          <w:color w:val="auto"/>
        </w:rPr>
      </w:pPr>
    </w:p>
    <w:p>
      <w:pPr>
        <w:spacing w:after="0" w:line="247" w:lineRule="exact"/>
        <w:rPr>
          <w:sz w:val="20"/>
          <w:szCs w:val="20"/>
          <w:color w:val="auto"/>
        </w:rPr>
      </w:pPr>
    </w:p>
    <w:p>
      <w:pPr>
        <w:ind w:left="40"/>
        <w:spacing w:after="0"/>
        <w:rPr>
          <w:sz w:val="20"/>
          <w:szCs w:val="20"/>
          <w:color w:val="auto"/>
        </w:rPr>
      </w:pPr>
      <w:r>
        <w:rPr>
          <w:rFonts w:ascii="Arial" w:cs="Arial" w:eastAsia="Arial" w:hAnsi="Arial"/>
          <w:sz w:val="20"/>
          <w:szCs w:val="20"/>
          <w:color w:val="auto"/>
        </w:rPr>
        <w:t>[NAME OF LENDER]</w:t>
      </w:r>
    </w:p>
    <w:p>
      <w:pPr>
        <w:spacing w:after="0" w:line="54" w:lineRule="exact"/>
        <w:rPr>
          <w:sz w:val="20"/>
          <w:szCs w:val="20"/>
          <w:color w:val="auto"/>
        </w:rPr>
      </w:pPr>
    </w:p>
    <w:p>
      <w:pPr>
        <w:ind w:left="40"/>
        <w:spacing w:after="0"/>
        <w:rPr>
          <w:sz w:val="20"/>
          <w:szCs w:val="20"/>
          <w:color w:val="auto"/>
        </w:rPr>
      </w:pPr>
      <w:r>
        <w:rPr>
          <w:rFonts w:ascii="Arial" w:cs="Arial" w:eastAsia="Arial" w:hAnsi="Arial"/>
          <w:sz w:val="20"/>
          <w:szCs w:val="20"/>
          <w:color w:val="auto"/>
        </w:rPr>
        <w:t>By:</w:t>
      </w:r>
    </w:p>
    <w:p>
      <w:pPr>
        <w:spacing w:after="0" w:line="54" w:lineRule="exact"/>
        <w:rPr>
          <w:sz w:val="20"/>
          <w:szCs w:val="20"/>
          <w:color w:val="auto"/>
        </w:rPr>
      </w:pPr>
    </w:p>
    <w:p>
      <w:pPr>
        <w:ind w:left="620"/>
        <w:spacing w:after="0"/>
        <w:rPr>
          <w:sz w:val="20"/>
          <w:szCs w:val="20"/>
          <w:color w:val="auto"/>
        </w:rPr>
      </w:pPr>
      <w:r>
        <w:rPr>
          <w:rFonts w:ascii="Arial" w:cs="Arial" w:eastAsia="Arial" w:hAnsi="Arial"/>
          <w:sz w:val="20"/>
          <w:szCs w:val="20"/>
          <w:color w:val="auto"/>
        </w:rPr>
        <w:t>Name:</w:t>
      </w:r>
    </w:p>
    <w:p>
      <w:pPr>
        <w:spacing w:after="0" w:line="54" w:lineRule="exact"/>
        <w:rPr>
          <w:sz w:val="20"/>
          <w:szCs w:val="20"/>
          <w:color w:val="auto"/>
        </w:rPr>
      </w:pPr>
    </w:p>
    <w:p>
      <w:pPr>
        <w:ind w:left="620"/>
        <w:spacing w:after="0"/>
        <w:rPr>
          <w:sz w:val="20"/>
          <w:szCs w:val="20"/>
          <w:color w:val="auto"/>
        </w:rPr>
      </w:pPr>
      <w:r>
        <w:rPr>
          <w:rFonts w:ascii="Arial" w:cs="Arial" w:eastAsia="Arial" w:hAnsi="Arial"/>
          <w:sz w:val="20"/>
          <w:szCs w:val="20"/>
          <w:color w:val="auto"/>
        </w:rPr>
        <w:t>Title: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Date: ________ __, 20[ ]</w:t>
      </w:r>
    </w:p>
    <w:p>
      <w:pPr>
        <w:sectPr>
          <w:pgSz w:w="11900" w:h="16838" w:orient="portrait"/>
          <w:cols w:equalWidth="0" w:num="1">
            <w:col w:w="11420"/>
          </w:cols>
          <w:pgMar w:left="240" w:top="337" w:right="2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31(a)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 by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Alan R. Hodnik, of ALLETE, Inc. (ALLETE), certify that:</w:t>
      </w:r>
    </w:p>
    <w:p>
      <w:pPr>
        <w:spacing w:after="0" w:line="225" w:lineRule="exact"/>
        <w:rPr>
          <w:sz w:val="20"/>
          <w:szCs w:val="20"/>
          <w:color w:val="auto"/>
        </w:rPr>
      </w:pPr>
    </w:p>
    <w:p>
      <w:pPr>
        <w:ind w:left="660" w:hanging="328"/>
        <w:spacing w:after="0"/>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September 30, 2019, of ALLETE;</w:t>
      </w:r>
    </w:p>
    <w:p>
      <w:pPr>
        <w:spacing w:after="0" w:line="11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1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12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tabs>
          <w:tab w:leader="none" w:pos="4580" w:val="left"/>
        </w:tabs>
        <w:rPr>
          <w:sz w:val="20"/>
          <w:szCs w:val="20"/>
          <w:color w:val="auto"/>
        </w:rPr>
      </w:pPr>
      <w:r>
        <w:rPr>
          <w:rFonts w:ascii="Arial" w:cs="Arial" w:eastAsia="Arial" w:hAnsi="Arial"/>
          <w:sz w:val="18"/>
          <w:szCs w:val="18"/>
          <w:color w:val="auto"/>
        </w:rPr>
        <w:t>Date: November 6, 2019</w:t>
      </w:r>
      <w:r>
        <w:rPr>
          <w:sz w:val="20"/>
          <w:szCs w:val="20"/>
          <w:color w:val="auto"/>
        </w:rPr>
        <w:tab/>
      </w:r>
      <w:r>
        <w:rPr>
          <w:rFonts w:ascii="Arial" w:cs="Arial" w:eastAsia="Arial" w:hAnsi="Arial"/>
          <w:sz w:val="16"/>
          <w:szCs w:val="16"/>
          <w:color w:val="auto"/>
        </w:rPr>
        <w:t>/s/ Alan R. Hodnik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31750</wp:posOffset>
            </wp:positionV>
            <wp:extent cx="43478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57"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Alan R. Hodnik</w:t>
      </w:r>
    </w:p>
    <w:p>
      <w:pPr>
        <w:spacing w:after="0" w:line="63"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121" w:right="2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31(b)</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 by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Robert J. Adams, of ALLETE, Inc. (ALLETE), certify that:</w:t>
      </w:r>
    </w:p>
    <w:p>
      <w:pPr>
        <w:spacing w:after="0" w:line="225" w:lineRule="exact"/>
        <w:rPr>
          <w:sz w:val="20"/>
          <w:szCs w:val="20"/>
          <w:color w:val="auto"/>
        </w:rPr>
      </w:pPr>
    </w:p>
    <w:p>
      <w:pPr>
        <w:ind w:left="660" w:hanging="328"/>
        <w:spacing w:after="0"/>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September 30, 2019, of ALLETE;</w:t>
      </w:r>
    </w:p>
    <w:p>
      <w:pPr>
        <w:spacing w:after="0" w:line="11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1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12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tabs>
          <w:tab w:leader="none" w:pos="4140" w:val="left"/>
        </w:tabs>
        <w:rPr>
          <w:sz w:val="20"/>
          <w:szCs w:val="20"/>
          <w:color w:val="auto"/>
        </w:rPr>
      </w:pPr>
      <w:r>
        <w:rPr>
          <w:rFonts w:ascii="Arial" w:cs="Arial" w:eastAsia="Arial" w:hAnsi="Arial"/>
          <w:sz w:val="18"/>
          <w:szCs w:val="18"/>
          <w:color w:val="auto"/>
        </w:rPr>
        <w:t>Date: November 6, 2019</w:t>
      </w:r>
      <w:r>
        <w:rPr>
          <w:sz w:val="20"/>
          <w:szCs w:val="20"/>
          <w:color w:val="auto"/>
        </w:rPr>
        <w:tab/>
      </w:r>
      <w:r>
        <w:rPr>
          <w:rFonts w:ascii="Arial" w:cs="Arial" w:eastAsia="Arial" w:hAnsi="Arial"/>
          <w:sz w:val="16"/>
          <w:szCs w:val="16"/>
          <w:color w:val="auto"/>
        </w:rPr>
        <w:t>/s/ Robert J. 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31750</wp:posOffset>
            </wp:positionV>
            <wp:extent cx="46310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57"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Robert J. Adams</w:t>
      </w:r>
    </w:p>
    <w:p>
      <w:pPr>
        <w:spacing w:after="0" w:line="63"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420"/>
          </w:cols>
          <w:pgMar w:left="240" w:top="121" w:right="2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 of Periodic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the Chief Executive Officer and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Section 906 of the Sarbanes-Oxley Act of 2002, 18 U.S.C. Section 1350, each of the undersigned officers of ALLETE, Inc. (ALLETE), does hereby certify that:</w:t>
      </w:r>
    </w:p>
    <w:p>
      <w:pPr>
        <w:spacing w:after="0" w:line="170" w:lineRule="exact"/>
        <w:rPr>
          <w:sz w:val="20"/>
          <w:szCs w:val="20"/>
          <w:color w:val="auto"/>
        </w:rPr>
      </w:pPr>
    </w:p>
    <w:p>
      <w:pPr>
        <w:ind w:left="660" w:hanging="328"/>
        <w:spacing w:after="0" w:line="258" w:lineRule="auto"/>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Quarterly Report on Form 10-Q of ALLETE for the period ended September 30, 2019, (Report) fully complies with the requirements of Section 13(a) of the Securities Exchange Act of 1934 (15 U.S.C. 78m);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ALLETE.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November 6, 2019</w:t>
      </w:r>
    </w:p>
    <w:p>
      <w:pPr>
        <w:spacing w:after="0" w:line="6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/s/ Alan R. Hodnik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31750</wp:posOffset>
            </wp:positionV>
            <wp:extent cx="38334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57"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Alan R. Hodnik</w:t>
      </w:r>
    </w:p>
    <w:p>
      <w:pPr>
        <w:spacing w:after="0" w:line="6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Chairman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November 6, 2019</w:t>
      </w:r>
    </w:p>
    <w:p>
      <w:pPr>
        <w:spacing w:after="0" w:line="6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/s/ Robert J. 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31750</wp:posOffset>
            </wp:positionV>
            <wp:extent cx="38334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57"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Robert J. Adams</w:t>
      </w:r>
    </w:p>
    <w:p>
      <w:pPr>
        <w:spacing w:after="0" w:line="6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certification shall not be deemed “filed” for purposes of Section 18 of the Securities Exchange Act of 1934 or otherwise subject to liability pursuant to that section. Such certification shall not be deemed to be incorporated by reference into any filing under the Securities Act of 1933 or the Securities Exchange Act of 1934, except to the extent that ALLETE specifically incorporates it by reference.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ALLETE and will be retained by ALLETE and furnished to the Securities and Exchange Commission or its staff upon request.</w:t>
      </w:r>
    </w:p>
    <w:p>
      <w:pPr>
        <w:sectPr>
          <w:pgSz w:w="11900" w:h="16838" w:orient="portrait"/>
          <w:cols w:equalWidth="0" w:num="1">
            <w:col w:w="11420"/>
          </w:cols>
          <w:pgMar w:left="240" w:top="121" w:right="239" w:bottom="1440" w:gutter="0" w:footer="0" w:header="0"/>
        </w:sectPr>
      </w:pPr>
    </w:p>
    <w:bookmarkStart w:id="130" w:name="page131"/>
    <w:bookmarkEnd w:id="130"/>
    <w:tbl>
      <w:tblPr>
        <w:tblLayout w:type="fixed"/>
        <w:tblInd w:w="9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ind w:left="80"/>
              <w:spacing w:after="0"/>
              <w:rPr>
                <w:sz w:val="20"/>
                <w:szCs w:val="20"/>
                <w:color w:val="auto"/>
              </w:rPr>
            </w:pPr>
            <w:r>
              <w:rPr>
                <w:rFonts w:ascii="Arial" w:cs="Arial" w:eastAsia="Arial" w:hAnsi="Arial"/>
                <w:sz w:val="18"/>
                <w:szCs w:val="18"/>
                <w:b w:val="1"/>
                <w:bCs w:val="1"/>
                <w:color w:val="auto"/>
                <w:w w:val="91"/>
              </w:rPr>
              <w:t>Exhibit 95</w:t>
            </w:r>
          </w:p>
        </w:tc>
      </w:tr>
      <w:tr>
        <w:trPr>
          <w:trHeight w:val="432"/>
        </w:trPr>
        <w:tc>
          <w:tcPr>
            <w:tcW w:w="1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500" w:type="dxa"/>
            <w:vAlign w:val="bottom"/>
            <w:gridSpan w:val="3"/>
          </w:tcPr>
          <w:p>
            <w:pPr>
              <w:ind w:left="200"/>
              <w:spacing w:after="0"/>
              <w:rPr>
                <w:sz w:val="20"/>
                <w:szCs w:val="20"/>
                <w:color w:val="auto"/>
              </w:rPr>
            </w:pPr>
            <w:r>
              <w:rPr>
                <w:rFonts w:ascii="Arial" w:cs="Arial" w:eastAsia="Arial" w:hAnsi="Arial"/>
                <w:sz w:val="18"/>
                <w:szCs w:val="18"/>
                <w:b w:val="1"/>
                <w:bCs w:val="1"/>
                <w:color w:val="auto"/>
              </w:rPr>
              <w:t>Mine Safety Disclosure</w:t>
            </w: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51"/>
        </w:trPr>
        <w:tc>
          <w:tcPr>
            <w:tcW w:w="13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150"/>
        </w:trPr>
        <w:tc>
          <w:tcPr>
            <w:tcW w:w="1380" w:type="dxa"/>
            <w:vAlign w:val="bottom"/>
            <w:tcBorders>
              <w:left w:val="single" w:sz="8" w:color="auto"/>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color w:val="auto"/>
                <w:w w:val="92"/>
              </w:rPr>
              <w:t>Received</w:t>
            </w:r>
          </w:p>
        </w:tc>
        <w:tc>
          <w:tcPr>
            <w:tcW w:w="90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color w:val="auto"/>
                <w:w w:val="92"/>
              </w:rPr>
              <w:t>Received</w:t>
            </w:r>
          </w:p>
        </w:tc>
        <w:tc>
          <w:tcPr>
            <w:tcW w:w="80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r>
      <w:tr>
        <w:trPr>
          <w:trHeight w:val="149"/>
        </w:trPr>
        <w:tc>
          <w:tcPr>
            <w:tcW w:w="1380" w:type="dxa"/>
            <w:vAlign w:val="bottom"/>
            <w:tcBorders>
              <w:left w:val="single" w:sz="8" w:color="auto"/>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9"/>
              </w:rPr>
              <w:t>Total</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Notice of</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Notice of</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Legal</w:t>
            </w:r>
          </w:p>
        </w:tc>
        <w:tc>
          <w:tcPr>
            <w:tcW w:w="8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r>
      <w:tr>
        <w:trPr>
          <w:trHeight w:val="149"/>
        </w:trPr>
        <w:tc>
          <w:tcPr>
            <w:tcW w:w="1380" w:type="dxa"/>
            <w:vAlign w:val="bottom"/>
            <w:tcBorders>
              <w:left w:val="single" w:sz="8" w:color="auto"/>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92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Number of</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Pattern of</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Potential to</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Actions</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Legal</w:t>
            </w:r>
          </w:p>
        </w:tc>
        <w:tc>
          <w:tcPr>
            <w:tcW w:w="900" w:type="dxa"/>
            <w:vAlign w:val="bottom"/>
            <w:tcBorders>
              <w:right w:val="single" w:sz="8" w:color="auto"/>
            </w:tcBorders>
          </w:tcPr>
          <w:p>
            <w:pPr>
              <w:spacing w:after="0"/>
              <w:rPr>
                <w:sz w:val="12"/>
                <w:szCs w:val="12"/>
                <w:color w:val="auto"/>
              </w:rPr>
            </w:pPr>
          </w:p>
        </w:tc>
      </w:tr>
      <w:tr>
        <w:trPr>
          <w:trHeight w:val="149"/>
        </w:trPr>
        <w:tc>
          <w:tcPr>
            <w:tcW w:w="1380" w:type="dxa"/>
            <w:vAlign w:val="bottom"/>
            <w:tcBorders>
              <w:left w:val="single" w:sz="8" w:color="auto"/>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104(d)</w:t>
            </w:r>
          </w:p>
        </w:tc>
        <w:tc>
          <w:tcPr>
            <w:tcW w:w="92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Total Dollar</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Mining</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Violation</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0"/>
              </w:rPr>
              <w:t>Have Pattern</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8"/>
              </w:rPr>
              <w:t>Pending as</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Actions</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Legal Actions</w:t>
            </w:r>
          </w:p>
        </w:tc>
      </w:tr>
      <w:tr>
        <w:trPr>
          <w:trHeight w:val="149"/>
        </w:trPr>
        <w:tc>
          <w:tcPr>
            <w:tcW w:w="1380" w:type="dxa"/>
            <w:vAlign w:val="bottom"/>
            <w:tcBorders>
              <w:left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Mine or Operating</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Section 104</w:t>
            </w: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Citations</w:t>
            </w: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9"/>
              </w:rPr>
              <w:t>Section</w:t>
            </w:r>
          </w:p>
        </w:tc>
        <w:tc>
          <w:tcPr>
            <w:tcW w:w="6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10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8"/>
              </w:rPr>
              <w:t>Value of MSHA</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Related</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Under Section</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Under Section</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of Last Day</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Initiated</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Resolved</w:t>
            </w:r>
          </w:p>
        </w:tc>
      </w:tr>
      <w:tr>
        <w:trPr>
          <w:trHeight w:val="149"/>
        </w:trPr>
        <w:tc>
          <w:tcPr>
            <w:tcW w:w="1380" w:type="dxa"/>
            <w:vAlign w:val="bottom"/>
            <w:tcBorders>
              <w:left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Name/MSHA</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S&amp;S</w:t>
            </w: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8"/>
              </w:rPr>
              <w:t>104(b)</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and Orders</w:t>
            </w: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110(b)(2)</w:t>
            </w:r>
          </w:p>
        </w:tc>
        <w:tc>
          <w:tcPr>
            <w:tcW w:w="6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107(a)</w:t>
            </w:r>
          </w:p>
        </w:tc>
        <w:tc>
          <w:tcPr>
            <w:tcW w:w="10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8"/>
              </w:rPr>
              <w:t>Assessments</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Fatalities</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104(e)</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104(e)</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of Period</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During</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During Period</w:t>
            </w:r>
          </w:p>
        </w:tc>
      </w:tr>
      <w:tr>
        <w:trPr>
          <w:trHeight w:val="188"/>
        </w:trPr>
        <w:tc>
          <w:tcPr>
            <w:tcW w:w="13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Identification Number</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Citations (#)</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Orders (#)</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Violations (#)</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Orders (#)</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Proposed ($)</w:t>
            </w:r>
          </w:p>
        </w:tc>
        <w:tc>
          <w:tcPr>
            <w:tcW w:w="800" w:type="dxa"/>
            <w:vAlign w:val="bottom"/>
            <w:tcBorders>
              <w:bottom w:val="single" w:sz="8" w:color="auto"/>
              <w:right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(yes/no)</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(yes/no)</w:t>
            </w:r>
          </w:p>
        </w:tc>
        <w:tc>
          <w:tcPr>
            <w:tcW w:w="800" w:type="dxa"/>
            <w:vAlign w:val="bottom"/>
            <w:tcBorders>
              <w:bottom w:val="single" w:sz="8" w:color="auto"/>
              <w:right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Period (#)</w:t>
            </w:r>
          </w:p>
        </w:tc>
        <w:tc>
          <w:tcPr>
            <w:tcW w:w="900" w:type="dxa"/>
            <w:vAlign w:val="bottom"/>
            <w:tcBorders>
              <w:bottom w:val="single" w:sz="8" w:color="auto"/>
              <w:right w:val="single" w:sz="8" w:color="auto"/>
            </w:tcBorders>
          </w:tcPr>
          <w:p>
            <w:pPr>
              <w:jc w:val="right"/>
              <w:ind w:right="305"/>
              <w:spacing w:after="0"/>
              <w:rPr>
                <w:sz w:val="20"/>
                <w:szCs w:val="20"/>
                <w:color w:val="auto"/>
              </w:rPr>
            </w:pPr>
            <w:r>
              <w:rPr>
                <w:rFonts w:ascii="Arial" w:cs="Arial" w:eastAsia="Arial" w:hAnsi="Arial"/>
                <w:sz w:val="14"/>
                <w:szCs w:val="14"/>
                <w:color w:val="auto"/>
              </w:rPr>
              <w:t>(#)</w:t>
            </w:r>
          </w:p>
        </w:tc>
      </w:tr>
      <w:tr>
        <w:trPr>
          <w:trHeight w:val="156"/>
        </w:trPr>
        <w:tc>
          <w:tcPr>
            <w:tcW w:w="1380" w:type="dxa"/>
            <w:vAlign w:val="bottom"/>
            <w:tcBorders>
              <w:left w:val="single" w:sz="8" w:color="auto"/>
              <w:right w:val="single" w:sz="8" w:color="auto"/>
            </w:tcBorders>
          </w:tcPr>
          <w:p>
            <w:pPr>
              <w:jc w:val="center"/>
              <w:spacing w:after="0" w:line="157" w:lineRule="exact"/>
              <w:rPr>
                <w:sz w:val="20"/>
                <w:szCs w:val="20"/>
                <w:color w:val="auto"/>
              </w:rPr>
            </w:pPr>
            <w:r>
              <w:rPr>
                <w:rFonts w:ascii="Arial" w:cs="Arial" w:eastAsia="Arial" w:hAnsi="Arial"/>
                <w:sz w:val="14"/>
                <w:szCs w:val="14"/>
                <w:color w:val="auto"/>
                <w:w w:val="95"/>
              </w:rPr>
              <w:t>Center Mine /</w:t>
            </w:r>
          </w:p>
        </w:tc>
        <w:tc>
          <w:tcPr>
            <w:tcW w:w="80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r>
      <w:tr>
        <w:trPr>
          <w:trHeight w:val="188"/>
        </w:trPr>
        <w:tc>
          <w:tcPr>
            <w:tcW w:w="13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3200218</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No</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No</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r>
    </w:tbl>
    <w:p>
      <w:pPr>
        <w:spacing w:after="0" w:line="283"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For the quarter and nine months ended September 30, 2019, BNI Energy, owner of Center Mine, received five citations under Section 104(a) of the Mine Safety Act, one of which was a significant and substantial (S&amp;S) citation. For the quarter and nine months ended September 30, 2019, BNI Energy paid $1,190 in penalties for citations closed during the period. For the quarter and nine months ended September 30, 2019, there were no citations, orders, violations or notices under Sections 104(b), 104(d), 107(a), 104(e) or 110(b)(2) of the Mine Safety Act and there were no fatalities.</w:t>
      </w:r>
    </w:p>
    <w:p>
      <w:pPr>
        <w:sectPr>
          <w:pgSz w:w="11900" w:h="16838" w:orient="portrait"/>
          <w:cols w:equalWidth="0" w:num="1">
            <w:col w:w="11440"/>
          </w:cols>
          <w:pgMar w:left="240" w:top="702" w:right="219" w:bottom="1440" w:gutter="0" w:footer="0" w:header="0"/>
        </w:sectPr>
      </w:pPr>
    </w:p>
    <w:bookmarkStart w:id="131" w:name="page132"/>
    <w:bookmarkEnd w:id="1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174625</wp:posOffset>
            </wp:positionH>
            <wp:positionV relativeFrom="page">
              <wp:posOffset>955040</wp:posOffset>
            </wp:positionV>
            <wp:extent cx="1372235" cy="6261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372235"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40"/>
        <w:spacing w:after="0"/>
        <w:rPr>
          <w:sz w:val="20"/>
          <w:szCs w:val="20"/>
          <w:color w:val="auto"/>
        </w:rPr>
      </w:pPr>
      <w:r>
        <w:rPr>
          <w:rFonts w:ascii="Arial" w:cs="Arial" w:eastAsia="Arial" w:hAnsi="Arial"/>
          <w:sz w:val="81"/>
          <w:szCs w:val="81"/>
          <w:b w:val="1"/>
          <w:bCs w:val="1"/>
          <w:i w:val="1"/>
          <w:iCs w:val="1"/>
          <w:color w:val="auto"/>
        </w:rPr>
        <w:t>NEWS</w:t>
      </w:r>
    </w:p>
    <w:p>
      <w:pPr>
        <w:spacing w:after="0" w:line="20" w:lineRule="exact"/>
        <w:rPr>
          <w:sz w:val="20"/>
          <w:szCs w:val="20"/>
          <w:color w:val="auto"/>
        </w:rPr>
      </w:pPr>
      <w:r>
        <w:rPr>
          <w:sz w:val="20"/>
          <w:szCs w:val="20"/>
          <w:color w:val="auto"/>
        </w:rPr>
        <w:br w:type="column"/>
      </w:r>
    </w:p>
    <w:p>
      <w:pPr>
        <w:jc w:val="right"/>
        <w:ind w:right="20"/>
        <w:spacing w:after="0"/>
        <w:rPr>
          <w:sz w:val="20"/>
          <w:szCs w:val="20"/>
          <w:color w:val="auto"/>
        </w:rPr>
      </w:pPr>
      <w:r>
        <w:rPr>
          <w:rFonts w:ascii="Arial" w:cs="Arial" w:eastAsia="Arial" w:hAnsi="Arial"/>
          <w:sz w:val="18"/>
          <w:szCs w:val="18"/>
          <w:color w:val="auto"/>
        </w:rPr>
        <w:t>Exhibit 99</w:t>
      </w:r>
    </w:p>
    <w:p>
      <w:pPr>
        <w:spacing w:after="0" w:line="63"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color w:val="auto"/>
        </w:rPr>
        <w:t>For Release:</w:t>
      </w:r>
      <w:r>
        <w:rPr>
          <w:sz w:val="20"/>
          <w:szCs w:val="20"/>
          <w:color w:val="auto"/>
        </w:rPr>
        <w:tab/>
      </w:r>
      <w:r>
        <w:rPr>
          <w:rFonts w:ascii="Arial" w:cs="Arial" w:eastAsia="Arial" w:hAnsi="Arial"/>
          <w:sz w:val="16"/>
          <w:szCs w:val="16"/>
          <w:color w:val="auto"/>
        </w:rPr>
        <w:t>November 6, 2019</w:t>
      </w:r>
    </w:p>
    <w:p>
      <w:pPr>
        <w:spacing w:after="0" w:line="347"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color w:val="auto"/>
        </w:rPr>
        <w:t>Investor Contact:</w:t>
      </w:r>
      <w:r>
        <w:rPr>
          <w:sz w:val="20"/>
          <w:szCs w:val="20"/>
          <w:color w:val="auto"/>
        </w:rPr>
        <w:tab/>
      </w:r>
      <w:r>
        <w:rPr>
          <w:rFonts w:ascii="Arial" w:cs="Arial" w:eastAsia="Arial" w:hAnsi="Arial"/>
          <w:sz w:val="16"/>
          <w:szCs w:val="16"/>
          <w:color w:val="auto"/>
        </w:rPr>
        <w:t>Vince Meyer</w:t>
      </w:r>
    </w:p>
    <w:p>
      <w:pPr>
        <w:spacing w:after="0" w:line="63"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218-723-3952</w:t>
      </w:r>
    </w:p>
    <w:p>
      <w:pPr>
        <w:spacing w:after="0" w:line="90"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vmeyer@allete.com</w:t>
      </w:r>
    </w:p>
    <w:p>
      <w:pPr>
        <w:spacing w:after="0" w:line="848" w:lineRule="exact"/>
        <w:rPr>
          <w:sz w:val="20"/>
          <w:szCs w:val="20"/>
          <w:color w:val="auto"/>
        </w:rPr>
      </w:pPr>
    </w:p>
    <w:p>
      <w:pPr>
        <w:sectPr>
          <w:pgSz w:w="11900" w:h="16838" w:orient="portrait"/>
          <w:cols w:equalWidth="0" w:num="2">
            <w:col w:w="6520" w:space="720"/>
            <w:col w:w="4180"/>
          </w:cols>
          <w:pgMar w:left="240" w:top="1165" w:right="239" w:bottom="1440" w:gutter="0" w:footer="0" w:header="0"/>
        </w:sect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ALLETE, Inc. reports third quarter 2019 earnings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DULUTH, Minn. - ALLETE, Inc. (NYSE: ALE) today reported third quarter 2019 earnings of 60 cents per share on net income of $31.2 million. Last year’s results were 59 cents per share on net income of $30.7 million, which included 3 cents per share and $1.7 million in earnings from U.S. Water Services sold in the first quarter of this year.</w:t>
      </w:r>
    </w:p>
    <w:p>
      <w:pPr>
        <w:spacing w:after="0" w:line="14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"Results for the quarter are as expected and we are pleased with our progress on strategic initiatives to date, as we approach the end of a successful 2019,” said ALLETE Chairman and CEO Al Hodnik.</w:t>
      </w:r>
    </w:p>
    <w:p>
      <w:pPr>
        <w:spacing w:after="0" w:line="13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“Construction activities in support of generating and delivering carbon-free energy are well underway,” said ALLETE President Bethany Owen. “ALLETE Clean Energy is in the final phase of construction on almost 200 megawatts of new wind generation with the South Peak and Glen Ullin facilities; and Minnesota Power will be finalizing construction activities on the Great Northern Transmission Line expected to be in service in 2020. We anticipate a very robust start to the new year as we advance further on clean energy investments for the future."</w:t>
      </w:r>
    </w:p>
    <w:p>
      <w:pPr>
        <w:spacing w:after="0" w:line="14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ALLETE’s Regulated Operations segment, which includes Minnesota Power, Superior Water, Light and Power (SWL&amp;P) and the Company’s investment in the American Transmission Co. (ATC), recorded net income of $32.4 million, compared to $29.8 million in the third quarter of 2018. Earnings reflect higher net income at Minnesota Power primarily due to higher transmission revenue, increased cost recovery rider revenue, and lower operating and maintenance expense. These increases were partially offset by lower kilowatt-hour sales and associated margins from retail and municipal customers. Net income at SWL&amp;P increased over last year due to higher rates implemented the first of this year, and ALLETE’s earnings in ATC were higher than in 2018 primarily due to additional equity investments.</w:t>
      </w:r>
    </w:p>
    <w:p>
      <w:pPr>
        <w:spacing w:after="0" w:line="19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On November 1, 2019, Minnesota Power filed a retail rate increase request with the Minnesota Public Utilities Commission seeking an interim rate increase of approximately $48 million in additional revenue, with a final rate increase request of approximately $66 million.</w:t>
      </w:r>
    </w:p>
    <w:p>
      <w:pPr>
        <w:spacing w:after="0" w:line="17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ALLETE’s Energy Infrastructure and Related Services business, ALLETE Clean Energy, recorded a third quarter 2019 net loss of $1.2 million. Earnings at ALLETE Clean Energy decreased $2.2 million from 2018, primarily due to lower revenue resulting from decreased non-cash amortization related to the expiration of power sales agreements, partially offset by additional production tax credits generated in 2019.</w:t>
      </w:r>
    </w:p>
    <w:p>
      <w:pPr>
        <w:spacing w:after="0" w:line="18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Corporate and Other, which includes BNI Energy and ALLETE Properties, earnings increased $1.8 million from 2018. The increase is primarily attributable to the timing of income taxes recorded during the quarter.</w:t>
      </w:r>
    </w:p>
    <w:p>
      <w:pPr>
        <w:spacing w:after="0" w:line="170"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“Consistent with the annual earnings guidance discussed in the second quarter, we expect to be in the lower half of our original 2019 guidance range,” said ALLETE Senior Vice President and Chief Financial Officer Bob Adams. “Beyond 2019, we anticipate earnings growth over the next several years, primarily driven by our expanding clean energy investments at both regulated and non-regulated operations. We look forward to sharing more details on additional investment in renewables and supporting transmission and distribution assets early next year, further extending our long-term growth trajectory.”</w:t>
      </w:r>
    </w:p>
    <w:p>
      <w:pPr>
        <w:sectPr>
          <w:pgSz w:w="11900" w:h="16838" w:orient="portrait"/>
          <w:cols w:equalWidth="0" w:num="1">
            <w:col w:w="11420"/>
          </w:cols>
          <w:pgMar w:left="240" w:top="1165" w:right="239" w:bottom="1440" w:gutter="0" w:footer="0" w:header="0"/>
          <w:type w:val="continuous"/>
        </w:sectPr>
      </w:pPr>
    </w:p>
    <w:bookmarkStart w:id="132" w:name="page133"/>
    <w:bookmarkEnd w:id="132"/>
    <w:p>
      <w:pPr>
        <w:ind w:right="120"/>
        <w:spacing w:after="0" w:line="286" w:lineRule="auto"/>
        <w:rPr>
          <w:sz w:val="20"/>
          <w:szCs w:val="20"/>
          <w:color w:val="auto"/>
        </w:rPr>
      </w:pPr>
      <w:r>
        <w:rPr>
          <w:rFonts w:ascii="Arial" w:cs="Arial" w:eastAsia="Arial" w:hAnsi="Arial"/>
          <w:sz w:val="17"/>
          <w:szCs w:val="17"/>
          <w:color w:val="auto"/>
        </w:rPr>
        <w:t xml:space="preserve">ALLETE will host a conference call and webcast at 10 a.m. Eastern Time this morning to discuss details of its financial performance. Interested parties may listen live by calling (877) 303-5852, passcode 4575028, or by accessing the webcast at www.allete.com. A replay of the call will be available through November 10, 2019 by calling (855) 859-2056, pass code 4575028. The webcast will be accessible for one year at </w:t>
      </w:r>
      <w:r>
        <w:rPr>
          <w:rFonts w:ascii="Arial" w:cs="Arial" w:eastAsia="Arial" w:hAnsi="Arial"/>
          <w:sz w:val="17"/>
          <w:szCs w:val="17"/>
          <w:u w:val="single" w:color="auto"/>
          <w:color w:val="0000FF"/>
        </w:rPr>
        <w:t>www.allete.com</w:t>
      </w:r>
      <w:r>
        <w:rPr>
          <w:rFonts w:ascii="Arial" w:cs="Arial" w:eastAsia="Arial" w:hAnsi="Arial"/>
          <w:sz w:val="17"/>
          <w:szCs w:val="17"/>
          <w:color w:val="auto"/>
        </w:rPr>
        <w:t>.</w:t>
      </w:r>
    </w:p>
    <w:p>
      <w:pPr>
        <w:spacing w:after="0" w:line="166"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 xml:space="preserve">ALLETE is an energy company headquartered in Duluth, Minn. In addition to its electric utilities, Minnesota Power and Superior Water, Light and Power of Wisconsin, ALLETE owns ALLETE Clean Energy, based in Duluth, BNI Energy in Bismarck, N.D., and has an eight percent equity interest in the American Transmission Co. More information about ALLETE is available at </w:t>
      </w:r>
      <w:r>
        <w:rPr>
          <w:rFonts w:ascii="Arial" w:cs="Arial" w:eastAsia="Arial" w:hAnsi="Arial"/>
          <w:sz w:val="18"/>
          <w:szCs w:val="18"/>
          <w:u w:val="single" w:color="auto"/>
          <w:color w:val="0000FF"/>
        </w:rPr>
        <w:t>www.allete.com</w:t>
      </w:r>
      <w:r>
        <w:rPr>
          <w:rFonts w:ascii="Arial" w:cs="Arial" w:eastAsia="Arial" w:hAnsi="Arial"/>
          <w:sz w:val="18"/>
          <w:szCs w:val="18"/>
          <w:color w:val="auto"/>
        </w:rPr>
        <w:t xml:space="preserve">. </w:t>
      </w:r>
      <w:r>
        <w:rPr>
          <w:rFonts w:ascii="Arial" w:cs="Arial" w:eastAsia="Arial" w:hAnsi="Arial"/>
          <w:sz w:val="18"/>
          <w:szCs w:val="18"/>
          <w:i w:val="1"/>
          <w:iCs w:val="1"/>
          <w:color w:val="auto"/>
        </w:rPr>
        <w:t>ALE-CORP</w:t>
      </w:r>
    </w:p>
    <w:p>
      <w:pPr>
        <w:spacing w:after="0" w:line="181" w:lineRule="exact"/>
        <w:rPr>
          <w:sz w:val="20"/>
          <w:szCs w:val="20"/>
          <w:color w:val="auto"/>
        </w:rPr>
      </w:pPr>
    </w:p>
    <w:p>
      <w:pPr>
        <w:spacing w:after="0" w:line="312" w:lineRule="auto"/>
        <w:rPr>
          <w:sz w:val="20"/>
          <w:szCs w:val="20"/>
          <w:color w:val="auto"/>
        </w:rPr>
      </w:pPr>
      <w:r>
        <w:rPr>
          <w:rFonts w:ascii="Arial" w:cs="Arial" w:eastAsia="Arial" w:hAnsi="Arial"/>
          <w:sz w:val="16"/>
          <w:szCs w:val="16"/>
          <w:i w:val="1"/>
          <w:iCs w:val="1"/>
          <w:color w:val="auto"/>
        </w:rPr>
        <w:t>The statements contained in this release and statements that ALLETE may make orally in connection with this release that are not historical facts, are forward-looking statements. Actual results may differ materially from those projected in the forward-looking statements. These forward-looking statements involve risks and uncertainties and investors are directed to the risks discussed in documents filed by ALLETE with the Securities and Exchange Commission.</w:t>
      </w:r>
    </w:p>
    <w:p>
      <w:pPr>
        <w:spacing w:after="0" w:line="10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ALLETE's press releases and other communications may include certain non-Generally Accepted Accounting Principles (GAAP) financial measures. A "non-GAAP financial measure" is defined as a numerical measure of a company's financial performance, financial position or cash flows that excludes (or includes) amounts that are included in (or excluded from) the most directly comparable measure calculated and presented in accordance with GAAP in the company's financial statements.</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Non-GAAP financial measures utilized by the Company include presentations of earnings (loss) per share. ALLETE's management believes that these non-GAAP financial measures provide useful information to investors by removing the effect of variances in GAAP reported results of operations that are not indicative of changes in the fundamental earnings power of the Company's operations. Management believes that the presentation of the non-GAAP financial measures is appropriate and enables investors and analysts to more accurately compare the company's ongoing financial performance over the periods presented.</w:t>
      </w:r>
    </w:p>
    <w:p>
      <w:pPr>
        <w:sectPr>
          <w:pgSz w:w="11900" w:h="16838" w:orient="portrait"/>
          <w:cols w:equalWidth="0" w:num="1">
            <w:col w:w="11380"/>
          </w:cols>
          <w:pgMar w:left="240" w:top="1003" w:right="279" w:bottom="1440" w:gutter="0" w:footer="0" w:header="0"/>
        </w:sectPr>
      </w:pPr>
    </w:p>
    <w:bookmarkStart w:id="133" w:name="page134"/>
    <w:bookmarkEnd w:id="133"/>
    <w:p>
      <w:pPr>
        <w:jc w:val="center"/>
        <w:spacing w:after="0"/>
        <w:rPr>
          <w:sz w:val="20"/>
          <w:szCs w:val="20"/>
          <w:color w:val="auto"/>
        </w:rPr>
      </w:pPr>
      <w:r>
        <w:rPr>
          <w:rFonts w:ascii="Arial" w:cs="Arial" w:eastAsia="Arial" w:hAnsi="Arial"/>
          <w:sz w:val="18"/>
          <w:szCs w:val="18"/>
          <w:b w:val="1"/>
          <w:bCs w:val="1"/>
          <w:color w:val="auto"/>
        </w:rPr>
        <w:t>ALLETE,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Millions Except Per Share Amounts - 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p>
        </w:tc>
        <w:tc>
          <w:tcPr>
            <w:tcW w:w="3840" w:type="dxa"/>
            <w:vAlign w:val="bottom"/>
            <w:gridSpan w:val="2"/>
          </w:tcPr>
          <w:p>
            <w:pPr>
              <w:jc w:val="right"/>
              <w:ind w:right="510"/>
              <w:spacing w:after="0"/>
              <w:rPr>
                <w:sz w:val="20"/>
                <w:szCs w:val="20"/>
                <w:color w:val="auto"/>
              </w:rPr>
            </w:pPr>
            <w:r>
              <w:rPr>
                <w:rFonts w:ascii="Arial" w:cs="Arial" w:eastAsia="Arial" w:hAnsi="Arial"/>
                <w:sz w:val="18"/>
                <w:szCs w:val="18"/>
                <w:b w:val="1"/>
                <w:bCs w:val="1"/>
                <w:color w:val="auto"/>
              </w:rPr>
              <w:t>Quarter Ended</w:t>
            </w:r>
          </w:p>
        </w:tc>
        <w:tc>
          <w:tcPr>
            <w:tcW w:w="208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Nine Months Ended</w:t>
            </w:r>
          </w:p>
        </w:tc>
      </w:tr>
      <w:tr>
        <w:trPr>
          <w:trHeight w:val="270"/>
        </w:trPr>
        <w:tc>
          <w:tcPr>
            <w:tcW w:w="5500" w:type="dxa"/>
            <w:vAlign w:val="bottom"/>
          </w:tcPr>
          <w:p>
            <w:pPr>
              <w:spacing w:after="0"/>
              <w:rPr>
                <w:sz w:val="23"/>
                <w:szCs w:val="23"/>
                <w:color w:val="auto"/>
              </w:rPr>
            </w:pPr>
          </w:p>
        </w:tc>
        <w:tc>
          <w:tcPr>
            <w:tcW w:w="3840" w:type="dxa"/>
            <w:vAlign w:val="bottom"/>
            <w:gridSpan w:val="2"/>
          </w:tcPr>
          <w:p>
            <w:pPr>
              <w:jc w:val="right"/>
              <w:ind w:right="550"/>
              <w:spacing w:after="0"/>
              <w:rPr>
                <w:sz w:val="20"/>
                <w:szCs w:val="20"/>
                <w:color w:val="auto"/>
              </w:rPr>
            </w:pPr>
            <w:r>
              <w:rPr>
                <w:rFonts w:ascii="Arial" w:cs="Arial" w:eastAsia="Arial" w:hAnsi="Arial"/>
                <w:sz w:val="18"/>
                <w:szCs w:val="18"/>
                <w:b w:val="1"/>
                <w:bCs w:val="1"/>
                <w:color w:val="auto"/>
              </w:rPr>
              <w:t>September 30,</w:t>
            </w:r>
          </w:p>
        </w:tc>
        <w:tc>
          <w:tcPr>
            <w:tcW w:w="2080" w:type="dxa"/>
            <w:vAlign w:val="bottom"/>
            <w:gridSpan w:val="2"/>
          </w:tcPr>
          <w:p>
            <w:pPr>
              <w:jc w:val="right"/>
              <w:ind w:right="470"/>
              <w:spacing w:after="0"/>
              <w:rPr>
                <w:sz w:val="20"/>
                <w:szCs w:val="20"/>
                <w:color w:val="auto"/>
              </w:rPr>
            </w:pPr>
            <w:r>
              <w:rPr>
                <w:rFonts w:ascii="Arial" w:cs="Arial" w:eastAsia="Arial" w:hAnsi="Arial"/>
                <w:sz w:val="18"/>
                <w:szCs w:val="18"/>
                <w:b w:val="1"/>
                <w:bCs w:val="1"/>
                <w:color w:val="auto"/>
              </w:rPr>
              <w:t>September 30,</w:t>
            </w:r>
          </w:p>
        </w:tc>
      </w:tr>
      <w:tr>
        <w:trPr>
          <w:trHeight w:val="270"/>
        </w:trPr>
        <w:tc>
          <w:tcPr>
            <w:tcW w:w="5500" w:type="dxa"/>
            <w:vAlign w:val="bottom"/>
          </w:tcPr>
          <w:p>
            <w:pPr>
              <w:spacing w:after="0"/>
              <w:rPr>
                <w:sz w:val="23"/>
                <w:szCs w:val="23"/>
                <w:color w:val="auto"/>
              </w:rPr>
            </w:pPr>
          </w:p>
        </w:tc>
        <w:tc>
          <w:tcPr>
            <w:tcW w:w="278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r>
      <w:tr>
        <w:trPr>
          <w:trHeight w:val="27"/>
        </w:trPr>
        <w:tc>
          <w:tcPr>
            <w:tcW w:w="550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b w:val="1"/>
                <w:bCs w:val="1"/>
                <w:color w:val="auto"/>
              </w:rPr>
              <w:t>Operating Revenue</w:t>
            </w:r>
          </w:p>
        </w:tc>
        <w:tc>
          <w:tcPr>
            <w:tcW w:w="27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Contracts with Customers – Utility</w:t>
            </w:r>
          </w:p>
        </w:tc>
        <w:tc>
          <w:tcPr>
            <w:tcW w:w="27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$254.1</w:t>
            </w:r>
          </w:p>
        </w:tc>
        <w:tc>
          <w:tcPr>
            <w:tcW w:w="10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$261.3</w:t>
            </w:r>
          </w:p>
        </w:tc>
        <w:tc>
          <w:tcPr>
            <w:tcW w:w="11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$786.1</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$789.3</w:t>
            </w: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Contracts with Customers – Non-utility</w:t>
            </w:r>
          </w:p>
        </w:tc>
        <w:tc>
          <w:tcPr>
            <w:tcW w:w="2780" w:type="dxa"/>
            <w:vAlign w:val="bottom"/>
          </w:tcPr>
          <w:p>
            <w:pPr>
              <w:jc w:val="right"/>
              <w:ind w:right="170"/>
              <w:spacing w:after="0"/>
              <w:rPr>
                <w:sz w:val="20"/>
                <w:szCs w:val="20"/>
                <w:color w:val="auto"/>
              </w:rPr>
            </w:pPr>
            <w:r>
              <w:rPr>
                <w:rFonts w:ascii="Arial" w:cs="Arial" w:eastAsia="Arial" w:hAnsi="Arial"/>
                <w:sz w:val="18"/>
                <w:szCs w:val="18"/>
                <w:color w:val="auto"/>
              </w:rPr>
              <w:t>31.3</w:t>
            </w:r>
          </w:p>
        </w:tc>
        <w:tc>
          <w:tcPr>
            <w:tcW w:w="1060" w:type="dxa"/>
            <w:vAlign w:val="bottom"/>
          </w:tcPr>
          <w:p>
            <w:pPr>
              <w:jc w:val="right"/>
              <w:ind w:right="170"/>
              <w:spacing w:after="0"/>
              <w:rPr>
                <w:sz w:val="20"/>
                <w:szCs w:val="20"/>
                <w:color w:val="auto"/>
              </w:rPr>
            </w:pPr>
            <w:r>
              <w:rPr>
                <w:rFonts w:ascii="Arial" w:cs="Arial" w:eastAsia="Arial" w:hAnsi="Arial"/>
                <w:sz w:val="18"/>
                <w:szCs w:val="18"/>
                <w:color w:val="auto"/>
              </w:rPr>
              <w:t>80.7</w:t>
            </w: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141.1</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243.1</w:t>
            </w:r>
          </w:p>
        </w:tc>
      </w:tr>
      <w:tr>
        <w:trPr>
          <w:trHeight w:val="27"/>
        </w:trPr>
        <w:tc>
          <w:tcPr>
            <w:tcW w:w="55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5"/>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 Non-utility</w:t>
            </w:r>
          </w:p>
        </w:tc>
        <w:tc>
          <w:tcPr>
            <w:tcW w:w="27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2.9</w:t>
            </w:r>
          </w:p>
        </w:tc>
        <w:tc>
          <w:tcPr>
            <w:tcW w:w="10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6.0</w:t>
            </w:r>
          </w:p>
        </w:tc>
        <w:tc>
          <w:tcPr>
            <w:tcW w:w="11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8.7</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w:t>
            </w:r>
          </w:p>
        </w:tc>
      </w:tr>
      <w:tr>
        <w:trPr>
          <w:trHeight w:val="237"/>
        </w:trPr>
        <w:tc>
          <w:tcPr>
            <w:tcW w:w="550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Operating Revenue</w:t>
            </w:r>
          </w:p>
        </w:tc>
        <w:tc>
          <w:tcPr>
            <w:tcW w:w="27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288.3</w:t>
            </w:r>
          </w:p>
        </w:tc>
        <w:tc>
          <w:tcPr>
            <w:tcW w:w="10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348.0</w:t>
            </w:r>
          </w:p>
        </w:tc>
        <w:tc>
          <w:tcPr>
            <w:tcW w:w="11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935.9</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1,050.3</w:t>
            </w:r>
          </w:p>
        </w:tc>
      </w:tr>
      <w:tr>
        <w:trPr>
          <w:trHeight w:val="27"/>
        </w:trPr>
        <w:tc>
          <w:tcPr>
            <w:tcW w:w="550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7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Fuel, Purchased Power and Gas – Utility</w:t>
            </w:r>
          </w:p>
        </w:tc>
        <w:tc>
          <w:tcPr>
            <w:tcW w:w="2780" w:type="dxa"/>
            <w:vAlign w:val="bottom"/>
          </w:tcPr>
          <w:p>
            <w:pPr>
              <w:jc w:val="right"/>
              <w:ind w:right="170"/>
              <w:spacing w:after="0"/>
              <w:rPr>
                <w:sz w:val="20"/>
                <w:szCs w:val="20"/>
                <w:color w:val="auto"/>
              </w:rPr>
            </w:pPr>
            <w:r>
              <w:rPr>
                <w:rFonts w:ascii="Arial" w:cs="Arial" w:eastAsia="Arial" w:hAnsi="Arial"/>
                <w:sz w:val="18"/>
                <w:szCs w:val="18"/>
                <w:color w:val="auto"/>
              </w:rPr>
              <w:t>98.2</w:t>
            </w:r>
          </w:p>
        </w:tc>
        <w:tc>
          <w:tcPr>
            <w:tcW w:w="1060" w:type="dxa"/>
            <w:vAlign w:val="bottom"/>
          </w:tcPr>
          <w:p>
            <w:pPr>
              <w:jc w:val="right"/>
              <w:ind w:right="170"/>
              <w:spacing w:after="0"/>
              <w:rPr>
                <w:sz w:val="20"/>
                <w:szCs w:val="20"/>
                <w:color w:val="auto"/>
              </w:rPr>
            </w:pPr>
            <w:r>
              <w:rPr>
                <w:rFonts w:ascii="Arial" w:cs="Arial" w:eastAsia="Arial" w:hAnsi="Arial"/>
                <w:sz w:val="18"/>
                <w:szCs w:val="18"/>
                <w:color w:val="auto"/>
              </w:rPr>
              <w:t>103.2</w:t>
            </w: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295.9</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300.6</w:t>
            </w:r>
          </w:p>
        </w:tc>
      </w:tr>
      <w:tr>
        <w:trPr>
          <w:trHeight w:val="27"/>
        </w:trPr>
        <w:tc>
          <w:tcPr>
            <w:tcW w:w="55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Transmission Services – Utility</w:t>
            </w:r>
          </w:p>
        </w:tc>
        <w:tc>
          <w:tcPr>
            <w:tcW w:w="27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18.3</w:t>
            </w:r>
          </w:p>
        </w:tc>
        <w:tc>
          <w:tcPr>
            <w:tcW w:w="10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17.9</w:t>
            </w:r>
          </w:p>
        </w:tc>
        <w:tc>
          <w:tcPr>
            <w:tcW w:w="11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55.8</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53.1</w:t>
            </w: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Cost of Sales – Non-utility</w:t>
            </w:r>
          </w:p>
        </w:tc>
        <w:tc>
          <w:tcPr>
            <w:tcW w:w="2780" w:type="dxa"/>
            <w:vAlign w:val="bottom"/>
          </w:tcPr>
          <w:p>
            <w:pPr>
              <w:jc w:val="right"/>
              <w:ind w:right="170"/>
              <w:spacing w:after="0"/>
              <w:rPr>
                <w:sz w:val="20"/>
                <w:szCs w:val="20"/>
                <w:color w:val="auto"/>
              </w:rPr>
            </w:pPr>
            <w:r>
              <w:rPr>
                <w:rFonts w:ascii="Arial" w:cs="Arial" w:eastAsia="Arial" w:hAnsi="Arial"/>
                <w:sz w:val="18"/>
                <w:szCs w:val="18"/>
                <w:color w:val="auto"/>
              </w:rPr>
              <w:t>14.7</w:t>
            </w:r>
          </w:p>
        </w:tc>
        <w:tc>
          <w:tcPr>
            <w:tcW w:w="1060" w:type="dxa"/>
            <w:vAlign w:val="bottom"/>
          </w:tcPr>
          <w:p>
            <w:pPr>
              <w:jc w:val="right"/>
              <w:ind w:right="170"/>
              <w:spacing w:after="0"/>
              <w:rPr>
                <w:sz w:val="20"/>
                <w:szCs w:val="20"/>
                <w:color w:val="auto"/>
              </w:rPr>
            </w:pPr>
            <w:r>
              <w:rPr>
                <w:rFonts w:ascii="Arial" w:cs="Arial" w:eastAsia="Arial" w:hAnsi="Arial"/>
                <w:sz w:val="18"/>
                <w:szCs w:val="18"/>
                <w:color w:val="auto"/>
              </w:rPr>
              <w:t>38.7</w:t>
            </w: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61.8</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108.6</w:t>
            </w:r>
          </w:p>
        </w:tc>
      </w:tr>
      <w:tr>
        <w:trPr>
          <w:trHeight w:val="27"/>
        </w:trPr>
        <w:tc>
          <w:tcPr>
            <w:tcW w:w="55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and Maintenance</w:t>
            </w:r>
          </w:p>
        </w:tc>
        <w:tc>
          <w:tcPr>
            <w:tcW w:w="27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58.1</w:t>
            </w:r>
          </w:p>
        </w:tc>
        <w:tc>
          <w:tcPr>
            <w:tcW w:w="10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80.3</w:t>
            </w:r>
          </w:p>
        </w:tc>
        <w:tc>
          <w:tcPr>
            <w:tcW w:w="11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201.0</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253.6</w:t>
            </w: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2780" w:type="dxa"/>
            <w:vAlign w:val="bottom"/>
          </w:tcPr>
          <w:p>
            <w:pPr>
              <w:jc w:val="right"/>
              <w:ind w:right="170"/>
              <w:spacing w:after="0"/>
              <w:rPr>
                <w:sz w:val="20"/>
                <w:szCs w:val="20"/>
                <w:color w:val="auto"/>
              </w:rPr>
            </w:pPr>
            <w:r>
              <w:rPr>
                <w:rFonts w:ascii="Arial" w:cs="Arial" w:eastAsia="Arial" w:hAnsi="Arial"/>
                <w:sz w:val="18"/>
                <w:szCs w:val="18"/>
                <w:color w:val="auto"/>
              </w:rPr>
              <w:t>49.5</w:t>
            </w:r>
          </w:p>
        </w:tc>
        <w:tc>
          <w:tcPr>
            <w:tcW w:w="1060" w:type="dxa"/>
            <w:vAlign w:val="bottom"/>
          </w:tcPr>
          <w:p>
            <w:pPr>
              <w:jc w:val="right"/>
              <w:ind w:right="170"/>
              <w:spacing w:after="0"/>
              <w:rPr>
                <w:sz w:val="20"/>
                <w:szCs w:val="20"/>
                <w:color w:val="auto"/>
              </w:rPr>
            </w:pPr>
            <w:r>
              <w:rPr>
                <w:rFonts w:ascii="Arial" w:cs="Arial" w:eastAsia="Arial" w:hAnsi="Arial"/>
                <w:sz w:val="18"/>
                <w:szCs w:val="18"/>
                <w:color w:val="auto"/>
              </w:rPr>
              <w:t>51.5</w:t>
            </w: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151.6</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153.4</w:t>
            </w:r>
          </w:p>
        </w:tc>
      </w:tr>
      <w:tr>
        <w:trPr>
          <w:trHeight w:val="27"/>
        </w:trPr>
        <w:tc>
          <w:tcPr>
            <w:tcW w:w="55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5"/>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Taxes Other than Income Taxes</w:t>
            </w:r>
          </w:p>
        </w:tc>
        <w:tc>
          <w:tcPr>
            <w:tcW w:w="27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12.5</w:t>
            </w:r>
          </w:p>
        </w:tc>
        <w:tc>
          <w:tcPr>
            <w:tcW w:w="10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13.1</w:t>
            </w:r>
          </w:p>
        </w:tc>
        <w:tc>
          <w:tcPr>
            <w:tcW w:w="11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39.8</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43.8</w:t>
            </w:r>
          </w:p>
        </w:tc>
      </w:tr>
      <w:tr>
        <w:trPr>
          <w:trHeight w:val="237"/>
        </w:trPr>
        <w:tc>
          <w:tcPr>
            <w:tcW w:w="550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Operating Expenses</w:t>
            </w:r>
          </w:p>
        </w:tc>
        <w:tc>
          <w:tcPr>
            <w:tcW w:w="27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251.3</w:t>
            </w:r>
          </w:p>
        </w:tc>
        <w:tc>
          <w:tcPr>
            <w:tcW w:w="10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304.7</w:t>
            </w:r>
          </w:p>
        </w:tc>
        <w:tc>
          <w:tcPr>
            <w:tcW w:w="11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805.9</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913.1</w:t>
            </w:r>
          </w:p>
        </w:tc>
      </w:tr>
      <w:tr>
        <w:trPr>
          <w:trHeight w:val="27"/>
        </w:trPr>
        <w:tc>
          <w:tcPr>
            <w:tcW w:w="550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27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37.0</w:t>
            </w:r>
          </w:p>
        </w:tc>
        <w:tc>
          <w:tcPr>
            <w:tcW w:w="10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43.3</w:t>
            </w:r>
          </w:p>
        </w:tc>
        <w:tc>
          <w:tcPr>
            <w:tcW w:w="11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130.0</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137.2</w:t>
            </w:r>
          </w:p>
        </w:tc>
      </w:tr>
      <w:tr>
        <w:trPr>
          <w:trHeight w:val="237"/>
        </w:trPr>
        <w:tc>
          <w:tcPr>
            <w:tcW w:w="55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7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27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(16.1)</w:t>
            </w: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(17.6)</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(48.9)</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w:t>
            </w: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Equity Earnings</w:t>
            </w:r>
          </w:p>
        </w:tc>
        <w:tc>
          <w:tcPr>
            <w:tcW w:w="2780" w:type="dxa"/>
            <w:vAlign w:val="bottom"/>
          </w:tcPr>
          <w:p>
            <w:pPr>
              <w:jc w:val="right"/>
              <w:ind w:right="170"/>
              <w:spacing w:after="0"/>
              <w:rPr>
                <w:sz w:val="20"/>
                <w:szCs w:val="20"/>
                <w:color w:val="auto"/>
              </w:rPr>
            </w:pPr>
            <w:r>
              <w:rPr>
                <w:rFonts w:ascii="Arial" w:cs="Arial" w:eastAsia="Arial" w:hAnsi="Arial"/>
                <w:sz w:val="18"/>
                <w:szCs w:val="18"/>
                <w:color w:val="auto"/>
              </w:rPr>
              <w:t>4.9</w:t>
            </w:r>
          </w:p>
        </w:tc>
        <w:tc>
          <w:tcPr>
            <w:tcW w:w="1060" w:type="dxa"/>
            <w:vAlign w:val="bottom"/>
          </w:tcPr>
          <w:p>
            <w:pPr>
              <w:jc w:val="right"/>
              <w:ind w:right="170"/>
              <w:spacing w:after="0"/>
              <w:rPr>
                <w:sz w:val="20"/>
                <w:szCs w:val="20"/>
                <w:color w:val="auto"/>
              </w:rPr>
            </w:pPr>
            <w:r>
              <w:rPr>
                <w:rFonts w:ascii="Arial" w:cs="Arial" w:eastAsia="Arial" w:hAnsi="Arial"/>
                <w:sz w:val="18"/>
                <w:szCs w:val="18"/>
                <w:color w:val="auto"/>
              </w:rPr>
              <w:t>4.0</w:t>
            </w: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15.3</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13.0</w:t>
            </w:r>
          </w:p>
        </w:tc>
      </w:tr>
      <w:tr>
        <w:trPr>
          <w:trHeight w:val="27"/>
        </w:trPr>
        <w:tc>
          <w:tcPr>
            <w:tcW w:w="55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on Sale of U.S. Water Services</w:t>
            </w:r>
          </w:p>
        </w:tc>
        <w:tc>
          <w:tcPr>
            <w:tcW w:w="27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20.6</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Other</w:t>
            </w:r>
          </w:p>
        </w:tc>
        <w:tc>
          <w:tcPr>
            <w:tcW w:w="2780" w:type="dxa"/>
            <w:vAlign w:val="bottom"/>
          </w:tcPr>
          <w:p>
            <w:pPr>
              <w:jc w:val="right"/>
              <w:ind w:right="170"/>
              <w:spacing w:after="0"/>
              <w:rPr>
                <w:sz w:val="20"/>
                <w:szCs w:val="20"/>
                <w:color w:val="auto"/>
              </w:rPr>
            </w:pPr>
            <w:r>
              <w:rPr>
                <w:rFonts w:ascii="Arial" w:cs="Arial" w:eastAsia="Arial" w:hAnsi="Arial"/>
                <w:sz w:val="18"/>
                <w:szCs w:val="18"/>
                <w:color w:val="auto"/>
              </w:rPr>
              <w:t>3.0</w:t>
            </w:r>
          </w:p>
        </w:tc>
        <w:tc>
          <w:tcPr>
            <w:tcW w:w="1060" w:type="dxa"/>
            <w:vAlign w:val="bottom"/>
          </w:tcPr>
          <w:p>
            <w:pPr>
              <w:jc w:val="right"/>
              <w:ind w:right="170"/>
              <w:spacing w:after="0"/>
              <w:rPr>
                <w:sz w:val="20"/>
                <w:szCs w:val="20"/>
                <w:color w:val="auto"/>
              </w:rPr>
            </w:pPr>
            <w:r>
              <w:rPr>
                <w:rFonts w:ascii="Arial" w:cs="Arial" w:eastAsia="Arial" w:hAnsi="Arial"/>
                <w:sz w:val="18"/>
                <w:szCs w:val="18"/>
                <w:color w:val="auto"/>
              </w:rPr>
              <w:t>1.4</w:t>
            </w: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14.6</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5.7</w:t>
            </w:r>
          </w:p>
        </w:tc>
      </w:tr>
      <w:tr>
        <w:trPr>
          <w:trHeight w:val="27"/>
        </w:trPr>
        <w:tc>
          <w:tcPr>
            <w:tcW w:w="550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55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Other Income (Expense)</w:t>
            </w:r>
          </w:p>
        </w:tc>
        <w:tc>
          <w:tcPr>
            <w:tcW w:w="27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(8.2)</w:t>
            </w: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(12.2)</w:t>
            </w:r>
          </w:p>
        </w:tc>
        <w:tc>
          <w:tcPr>
            <w:tcW w:w="11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1.6</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w:t>
            </w:r>
          </w:p>
        </w:tc>
      </w:tr>
      <w:tr>
        <w:trPr>
          <w:trHeight w:val="237"/>
        </w:trPr>
        <w:tc>
          <w:tcPr>
            <w:tcW w:w="55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7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28.8</w:t>
            </w:r>
          </w:p>
        </w:tc>
        <w:tc>
          <w:tcPr>
            <w:tcW w:w="10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31.1</w:t>
            </w:r>
          </w:p>
        </w:tc>
        <w:tc>
          <w:tcPr>
            <w:tcW w:w="11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131.6</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104.3</w:t>
            </w:r>
          </w:p>
        </w:tc>
      </w:tr>
      <w:tr>
        <w:trPr>
          <w:trHeight w:val="27"/>
        </w:trPr>
        <w:tc>
          <w:tcPr>
            <w:tcW w:w="55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5"/>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Tax Expense (Benefit)</w:t>
            </w:r>
          </w:p>
        </w:tc>
        <w:tc>
          <w:tcPr>
            <w:tcW w:w="27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(2.4)</w:t>
            </w:r>
          </w:p>
        </w:tc>
        <w:tc>
          <w:tcPr>
            <w:tcW w:w="10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0.4</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(4.3)</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37"/>
        </w:trPr>
        <w:tc>
          <w:tcPr>
            <w:tcW w:w="55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Income</w:t>
            </w:r>
          </w:p>
        </w:tc>
        <w:tc>
          <w:tcPr>
            <w:tcW w:w="27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$31.2</w:t>
            </w:r>
          </w:p>
        </w:tc>
        <w:tc>
          <w:tcPr>
            <w:tcW w:w="10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$30.7</w:t>
            </w:r>
          </w:p>
        </w:tc>
        <w:tc>
          <w:tcPr>
            <w:tcW w:w="11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$135.9</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$113.0</w:t>
            </w:r>
          </w:p>
        </w:tc>
      </w:tr>
      <w:tr>
        <w:trPr>
          <w:trHeight w:val="27"/>
        </w:trPr>
        <w:tc>
          <w:tcPr>
            <w:tcW w:w="550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Shares of Common Stock</w:t>
            </w:r>
          </w:p>
        </w:tc>
        <w:tc>
          <w:tcPr>
            <w:tcW w:w="27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Basic</w:t>
            </w:r>
          </w:p>
        </w:tc>
        <w:tc>
          <w:tcPr>
            <w:tcW w:w="2780" w:type="dxa"/>
            <w:vAlign w:val="bottom"/>
          </w:tcPr>
          <w:p>
            <w:pPr>
              <w:jc w:val="right"/>
              <w:ind w:right="170"/>
              <w:spacing w:after="0"/>
              <w:rPr>
                <w:sz w:val="20"/>
                <w:szCs w:val="20"/>
                <w:color w:val="auto"/>
              </w:rPr>
            </w:pPr>
            <w:r>
              <w:rPr>
                <w:rFonts w:ascii="Arial" w:cs="Arial" w:eastAsia="Arial" w:hAnsi="Arial"/>
                <w:sz w:val="18"/>
                <w:szCs w:val="18"/>
                <w:color w:val="auto"/>
              </w:rPr>
              <w:t>51.7</w:t>
            </w:r>
          </w:p>
        </w:tc>
        <w:tc>
          <w:tcPr>
            <w:tcW w:w="1060" w:type="dxa"/>
            <w:vAlign w:val="bottom"/>
          </w:tcPr>
          <w:p>
            <w:pPr>
              <w:jc w:val="right"/>
              <w:ind w:right="170"/>
              <w:spacing w:after="0"/>
              <w:rPr>
                <w:sz w:val="20"/>
                <w:szCs w:val="20"/>
                <w:color w:val="auto"/>
              </w:rPr>
            </w:pPr>
            <w:r>
              <w:rPr>
                <w:rFonts w:ascii="Arial" w:cs="Arial" w:eastAsia="Arial" w:hAnsi="Arial"/>
                <w:sz w:val="18"/>
                <w:szCs w:val="18"/>
                <w:color w:val="auto"/>
              </w:rPr>
              <w:t>51.4</w:t>
            </w: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51.6</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51.3</w:t>
            </w:r>
          </w:p>
        </w:tc>
      </w:tr>
      <w:tr>
        <w:trPr>
          <w:trHeight w:val="27"/>
        </w:trPr>
        <w:tc>
          <w:tcPr>
            <w:tcW w:w="55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5"/>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7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51.8</w:t>
            </w:r>
          </w:p>
        </w:tc>
        <w:tc>
          <w:tcPr>
            <w:tcW w:w="10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51.6</w:t>
            </w:r>
          </w:p>
        </w:tc>
        <w:tc>
          <w:tcPr>
            <w:tcW w:w="11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51.7</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51.5</w:t>
            </w:r>
          </w:p>
        </w:tc>
      </w:tr>
      <w:tr>
        <w:trPr>
          <w:trHeight w:val="237"/>
        </w:trPr>
        <w:tc>
          <w:tcPr>
            <w:tcW w:w="55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Basic Earnings Per Share of Common Stock</w:t>
            </w:r>
          </w:p>
        </w:tc>
        <w:tc>
          <w:tcPr>
            <w:tcW w:w="27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$0.60</w:t>
            </w:r>
          </w:p>
        </w:tc>
        <w:tc>
          <w:tcPr>
            <w:tcW w:w="10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$0.59</w:t>
            </w:r>
          </w:p>
        </w:tc>
        <w:tc>
          <w:tcPr>
            <w:tcW w:w="11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$2.63</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$2.20</w:t>
            </w:r>
          </w:p>
        </w:tc>
      </w:tr>
      <w:tr>
        <w:trPr>
          <w:trHeight w:val="27"/>
        </w:trPr>
        <w:tc>
          <w:tcPr>
            <w:tcW w:w="55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Earnings Per Share of Common Stock</w:t>
            </w:r>
          </w:p>
        </w:tc>
        <w:tc>
          <w:tcPr>
            <w:tcW w:w="27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$0.60</w:t>
            </w:r>
          </w:p>
        </w:tc>
        <w:tc>
          <w:tcPr>
            <w:tcW w:w="10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$0.59</w:t>
            </w:r>
          </w:p>
        </w:tc>
        <w:tc>
          <w:tcPr>
            <w:tcW w:w="11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$2.63</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b w:val="1"/>
                <w:bCs w:val="1"/>
                <w:color w:val="auto"/>
              </w:rPr>
              <w:t>Dividends Per Share of Common Stock</w:t>
            </w:r>
          </w:p>
        </w:tc>
        <w:tc>
          <w:tcPr>
            <w:tcW w:w="2780" w:type="dxa"/>
            <w:vAlign w:val="bottom"/>
          </w:tcPr>
          <w:p>
            <w:pPr>
              <w:jc w:val="right"/>
              <w:ind w:right="170"/>
              <w:spacing w:after="0"/>
              <w:rPr>
                <w:sz w:val="20"/>
                <w:szCs w:val="20"/>
                <w:color w:val="auto"/>
              </w:rPr>
            </w:pPr>
            <w:r>
              <w:rPr>
                <w:rFonts w:ascii="Arial" w:cs="Arial" w:eastAsia="Arial" w:hAnsi="Arial"/>
                <w:sz w:val="18"/>
                <w:szCs w:val="18"/>
                <w:color w:val="auto"/>
              </w:rPr>
              <w:t>$0.5875</w:t>
            </w:r>
          </w:p>
        </w:tc>
        <w:tc>
          <w:tcPr>
            <w:tcW w:w="1060" w:type="dxa"/>
            <w:vAlign w:val="bottom"/>
          </w:tcPr>
          <w:p>
            <w:pPr>
              <w:jc w:val="right"/>
              <w:ind w:right="170"/>
              <w:spacing w:after="0"/>
              <w:rPr>
                <w:sz w:val="20"/>
                <w:szCs w:val="20"/>
                <w:color w:val="auto"/>
              </w:rPr>
            </w:pPr>
            <w:r>
              <w:rPr>
                <w:rFonts w:ascii="Arial" w:cs="Arial" w:eastAsia="Arial" w:hAnsi="Arial"/>
                <w:sz w:val="18"/>
                <w:szCs w:val="18"/>
                <w:color w:val="auto"/>
              </w:rPr>
              <w:t>$0.56</w:t>
            </w: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$1.7625</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$1.68</w:t>
            </w:r>
          </w:p>
        </w:tc>
      </w:tr>
      <w:tr>
        <w:trPr>
          <w:trHeight w:val="27"/>
        </w:trPr>
        <w:tc>
          <w:tcPr>
            <w:tcW w:w="550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jc w:val="center"/>
        <w:spacing w:after="0"/>
        <w:rPr>
          <w:sz w:val="20"/>
          <w:szCs w:val="20"/>
          <w:color w:val="auto"/>
        </w:rPr>
      </w:pPr>
      <w:r>
        <w:rPr>
          <w:rFonts w:ascii="Arial" w:cs="Arial" w:eastAsia="Arial" w:hAnsi="Arial"/>
          <w:sz w:val="18"/>
          <w:szCs w:val="18"/>
          <w:color w:val="auto"/>
        </w:rPr>
        <w:t>Millions - Unaudited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80" w:type="dxa"/>
            <w:vAlign w:val="bottom"/>
          </w:tcPr>
          <w:p>
            <w:pPr>
              <w:spacing w:after="0"/>
              <w:rPr>
                <w:sz w:val="20"/>
                <w:szCs w:val="20"/>
                <w:color w:val="auto"/>
              </w:rPr>
            </w:pPr>
          </w:p>
        </w:tc>
        <w:tc>
          <w:tcPr>
            <w:tcW w:w="1340" w:type="dxa"/>
            <w:vAlign w:val="bottom"/>
          </w:tcPr>
          <w:p>
            <w:pPr>
              <w:jc w:val="right"/>
              <w:ind w:right="90"/>
              <w:spacing w:after="0"/>
              <w:rPr>
                <w:sz w:val="20"/>
                <w:szCs w:val="20"/>
                <w:color w:val="auto"/>
              </w:rPr>
            </w:pPr>
            <w:r>
              <w:rPr>
                <w:rFonts w:ascii="Arial" w:cs="Arial" w:eastAsia="Arial" w:hAnsi="Arial"/>
                <w:sz w:val="18"/>
                <w:szCs w:val="18"/>
                <w:b w:val="1"/>
                <w:bCs w:val="1"/>
                <w:color w:val="auto"/>
              </w:rPr>
              <w:t>Sept. 30,</w:t>
            </w:r>
          </w:p>
        </w:tc>
        <w:tc>
          <w:tcPr>
            <w:tcW w:w="92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Dec. 31,</w:t>
            </w:r>
          </w:p>
        </w:tc>
        <w:tc>
          <w:tcPr>
            <w:tcW w:w="4000" w:type="dxa"/>
            <w:vAlign w:val="bottom"/>
          </w:tcPr>
          <w:p>
            <w:pPr>
              <w:spacing w:after="0"/>
              <w:rPr>
                <w:sz w:val="20"/>
                <w:szCs w:val="20"/>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b w:val="1"/>
                <w:bCs w:val="1"/>
                <w:color w:val="auto"/>
              </w:rPr>
              <w:t>Sept. 30,</w:t>
            </w:r>
          </w:p>
        </w:tc>
        <w:tc>
          <w:tcPr>
            <w:tcW w:w="84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Dec. 31,</w:t>
            </w:r>
          </w:p>
        </w:tc>
        <w:tc>
          <w:tcPr>
            <w:tcW w:w="0" w:type="dxa"/>
            <w:vAlign w:val="bottom"/>
          </w:tcPr>
          <w:p>
            <w:pPr>
              <w:spacing w:after="0"/>
              <w:rPr>
                <w:sz w:val="1"/>
                <w:szCs w:val="1"/>
                <w:color w:val="auto"/>
              </w:rPr>
            </w:pPr>
          </w:p>
        </w:tc>
      </w:tr>
      <w:tr>
        <w:trPr>
          <w:trHeight w:val="270"/>
        </w:trPr>
        <w:tc>
          <w:tcPr>
            <w:tcW w:w="3180" w:type="dxa"/>
            <w:vAlign w:val="bottom"/>
          </w:tcPr>
          <w:p>
            <w:pPr>
              <w:spacing w:after="0"/>
              <w:rPr>
                <w:sz w:val="23"/>
                <w:szCs w:val="23"/>
                <w:color w:val="auto"/>
              </w:rPr>
            </w:pPr>
          </w:p>
        </w:tc>
        <w:tc>
          <w:tcPr>
            <w:tcW w:w="13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9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4000" w:type="dxa"/>
            <w:vAlign w:val="bottom"/>
          </w:tcPr>
          <w:p>
            <w:pPr>
              <w:spacing w:after="0"/>
              <w:rPr>
                <w:sz w:val="23"/>
                <w:szCs w:val="23"/>
                <w:color w:val="auto"/>
              </w:rPr>
            </w:pPr>
          </w:p>
        </w:tc>
        <w:tc>
          <w:tcPr>
            <w:tcW w:w="11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840" w:type="dxa"/>
            <w:vAlign w:val="bottom"/>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3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8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1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00" w:type="dxa"/>
            <w:vAlign w:val="bottom"/>
          </w:tcPr>
          <w:p>
            <w:pPr>
              <w:ind w:left="100"/>
              <w:spacing w:after="0"/>
              <w:rPr>
                <w:sz w:val="20"/>
                <w:szCs w:val="20"/>
                <w:color w:val="auto"/>
              </w:rPr>
            </w:pPr>
            <w:r>
              <w:rPr>
                <w:rFonts w:ascii="Arial" w:cs="Arial" w:eastAsia="Arial" w:hAnsi="Arial"/>
                <w:sz w:val="18"/>
                <w:szCs w:val="18"/>
                <w:b w:val="1"/>
                <w:bCs w:val="1"/>
                <w:color w:val="auto"/>
              </w:rPr>
              <w:t>Liabilities and Shareholders’ Equity</w:t>
            </w:r>
          </w:p>
        </w:tc>
        <w:tc>
          <w:tcPr>
            <w:tcW w:w="1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40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Current Liabilities</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$483.3</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$405.1</w:t>
            </w:r>
          </w:p>
        </w:tc>
        <w:tc>
          <w:tcPr>
            <w:tcW w:w="0" w:type="dxa"/>
            <w:vAlign w:val="bottom"/>
          </w:tcPr>
          <w:p>
            <w:pPr>
              <w:spacing w:after="0"/>
              <w:rPr>
                <w:sz w:val="1"/>
                <w:szCs w:val="1"/>
                <w:color w:val="auto"/>
              </w:rPr>
            </w:pP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1340" w:type="dxa"/>
            <w:vAlign w:val="bottom"/>
          </w:tcPr>
          <w:p>
            <w:pPr>
              <w:jc w:val="right"/>
              <w:spacing w:after="0"/>
              <w:rPr>
                <w:sz w:val="20"/>
                <w:szCs w:val="20"/>
                <w:color w:val="auto"/>
              </w:rPr>
            </w:pPr>
            <w:r>
              <w:rPr>
                <w:rFonts w:ascii="Arial" w:cs="Arial" w:eastAsia="Arial" w:hAnsi="Arial"/>
                <w:sz w:val="18"/>
                <w:szCs w:val="18"/>
                <w:color w:val="auto"/>
              </w:rPr>
              <w:t>195.8</w:t>
            </w:r>
          </w:p>
        </w:tc>
        <w:tc>
          <w:tcPr>
            <w:tcW w:w="920" w:type="dxa"/>
            <w:vAlign w:val="bottom"/>
          </w:tcPr>
          <w:p>
            <w:pPr>
              <w:jc w:val="right"/>
              <w:spacing w:after="0"/>
              <w:rPr>
                <w:sz w:val="20"/>
                <w:szCs w:val="20"/>
                <w:color w:val="auto"/>
              </w:rPr>
            </w:pPr>
            <w:r>
              <w:rPr>
                <w:rFonts w:ascii="Arial" w:cs="Arial" w:eastAsia="Arial" w:hAnsi="Arial"/>
                <w:sz w:val="18"/>
                <w:szCs w:val="18"/>
                <w:color w:val="auto"/>
              </w:rPr>
              <w:t>265.2</w:t>
            </w:r>
          </w:p>
        </w:tc>
        <w:tc>
          <w:tcPr>
            <w:tcW w:w="4000" w:type="dxa"/>
            <w:vAlign w:val="bottom"/>
          </w:tcPr>
          <w:p>
            <w:pPr>
              <w:ind w:left="100"/>
              <w:spacing w:after="0"/>
              <w:rPr>
                <w:sz w:val="20"/>
                <w:szCs w:val="20"/>
                <w:color w:val="auto"/>
              </w:rPr>
            </w:pPr>
            <w:r>
              <w:rPr>
                <w:rFonts w:ascii="Arial" w:cs="Arial" w:eastAsia="Arial" w:hAnsi="Arial"/>
                <w:sz w:val="18"/>
                <w:szCs w:val="18"/>
                <w:color w:val="auto"/>
              </w:rPr>
              <w:t>Long-Term Debt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1,404.9</w:t>
            </w:r>
          </w:p>
        </w:tc>
        <w:tc>
          <w:tcPr>
            <w:tcW w:w="840" w:type="dxa"/>
            <w:vAlign w:val="bottom"/>
          </w:tcPr>
          <w:p>
            <w:pPr>
              <w:jc w:val="right"/>
              <w:spacing w:after="0"/>
              <w:rPr>
                <w:sz w:val="20"/>
                <w:szCs w:val="20"/>
                <w:color w:val="auto"/>
              </w:rPr>
            </w:pPr>
            <w:r>
              <w:rPr>
                <w:rFonts w:ascii="Arial" w:cs="Arial" w:eastAsia="Arial" w:hAnsi="Arial"/>
                <w:sz w:val="18"/>
                <w:szCs w:val="18"/>
                <w:color w:val="auto"/>
              </w:rPr>
              <w:t>1,428.5</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 Net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4,210.7</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3,904.4</w:t>
            </w:r>
          </w:p>
        </w:tc>
        <w:tc>
          <w:tcPr>
            <w:tcW w:w="40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Deferred Income Taxes</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213.9</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223.6</w:t>
            </w:r>
          </w:p>
        </w:tc>
        <w:tc>
          <w:tcPr>
            <w:tcW w:w="0" w:type="dxa"/>
            <w:vAlign w:val="bottom"/>
          </w:tcPr>
          <w:p>
            <w:pPr>
              <w:spacing w:after="0"/>
              <w:rPr>
                <w:sz w:val="1"/>
                <w:szCs w:val="1"/>
                <w:color w:val="auto"/>
              </w:rPr>
            </w:pP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Regulatory Assets</w:t>
            </w:r>
          </w:p>
        </w:tc>
        <w:tc>
          <w:tcPr>
            <w:tcW w:w="1340" w:type="dxa"/>
            <w:vAlign w:val="bottom"/>
          </w:tcPr>
          <w:p>
            <w:pPr>
              <w:jc w:val="right"/>
              <w:spacing w:after="0"/>
              <w:rPr>
                <w:sz w:val="20"/>
                <w:szCs w:val="20"/>
                <w:color w:val="auto"/>
              </w:rPr>
            </w:pPr>
            <w:r>
              <w:rPr>
                <w:rFonts w:ascii="Arial" w:cs="Arial" w:eastAsia="Arial" w:hAnsi="Arial"/>
                <w:sz w:val="18"/>
                <w:szCs w:val="18"/>
                <w:color w:val="auto"/>
              </w:rPr>
              <w:t>393.1</w:t>
            </w:r>
          </w:p>
        </w:tc>
        <w:tc>
          <w:tcPr>
            <w:tcW w:w="920" w:type="dxa"/>
            <w:vAlign w:val="bottom"/>
          </w:tcPr>
          <w:p>
            <w:pPr>
              <w:jc w:val="right"/>
              <w:spacing w:after="0"/>
              <w:rPr>
                <w:sz w:val="20"/>
                <w:szCs w:val="20"/>
                <w:color w:val="auto"/>
              </w:rPr>
            </w:pPr>
            <w:r>
              <w:rPr>
                <w:rFonts w:ascii="Arial" w:cs="Arial" w:eastAsia="Arial" w:hAnsi="Arial"/>
                <w:sz w:val="18"/>
                <w:szCs w:val="18"/>
                <w:color w:val="auto"/>
              </w:rPr>
              <w:t>389.5</w:t>
            </w:r>
          </w:p>
        </w:tc>
        <w:tc>
          <w:tcPr>
            <w:tcW w:w="4000" w:type="dxa"/>
            <w:vAlign w:val="bottom"/>
          </w:tcPr>
          <w:p>
            <w:pPr>
              <w:ind w:left="100"/>
              <w:spacing w:after="0"/>
              <w:rPr>
                <w:sz w:val="20"/>
                <w:szCs w:val="20"/>
                <w:color w:val="auto"/>
              </w:rPr>
            </w:pPr>
            <w:r>
              <w:rPr>
                <w:rFonts w:ascii="Arial" w:cs="Arial" w:eastAsia="Arial" w:hAnsi="Arial"/>
                <w:sz w:val="18"/>
                <w:szCs w:val="18"/>
                <w:color w:val="auto"/>
              </w:rPr>
              <w:t>Regulatory Liabilities</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510.4</w:t>
            </w:r>
          </w:p>
        </w:tc>
        <w:tc>
          <w:tcPr>
            <w:tcW w:w="840" w:type="dxa"/>
            <w:vAlign w:val="bottom"/>
          </w:tcPr>
          <w:p>
            <w:pPr>
              <w:jc w:val="right"/>
              <w:spacing w:after="0"/>
              <w:rPr>
                <w:sz w:val="20"/>
                <w:szCs w:val="20"/>
                <w:color w:val="auto"/>
              </w:rPr>
            </w:pPr>
            <w:r>
              <w:rPr>
                <w:rFonts w:ascii="Arial" w:cs="Arial" w:eastAsia="Arial" w:hAnsi="Arial"/>
                <w:sz w:val="18"/>
                <w:szCs w:val="18"/>
                <w:color w:val="auto"/>
              </w:rPr>
              <w:t>512.1</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8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Equity Investments</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183.3</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161.1</w:t>
            </w:r>
          </w:p>
        </w:tc>
        <w:tc>
          <w:tcPr>
            <w:tcW w:w="40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6"/>
              </w:rPr>
              <w:t>Defined Benefit Pension and Other Postretirement</w:t>
            </w:r>
          </w:p>
        </w:tc>
        <w:tc>
          <w:tcPr>
            <w:tcW w:w="11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162.4</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177.3</w:t>
            </w:r>
          </w:p>
        </w:tc>
        <w:tc>
          <w:tcPr>
            <w:tcW w:w="0" w:type="dxa"/>
            <w:vAlign w:val="bottom"/>
          </w:tcPr>
          <w:p>
            <w:pPr>
              <w:spacing w:after="0"/>
              <w:rPr>
                <w:sz w:val="1"/>
                <w:szCs w:val="1"/>
                <w:color w:val="auto"/>
              </w:rPr>
            </w:pPr>
          </w:p>
        </w:tc>
      </w:tr>
      <w:tr>
        <w:trPr>
          <w:trHeight w:val="237"/>
        </w:trPr>
        <w:tc>
          <w:tcPr>
            <w:tcW w:w="3180" w:type="dxa"/>
            <w:vAlign w:val="bottom"/>
            <w:tcBorders>
              <w:bottom w:val="single" w:sz="8" w:color="CCEEFF"/>
            </w:tcBorders>
            <w:vMerge w:val="continue"/>
            <w:shd w:val="clear" w:color="auto" w:fill="CCEEFF"/>
          </w:tcPr>
          <w:p>
            <w:pPr>
              <w:spacing w:after="0"/>
              <w:rPr>
                <w:sz w:val="20"/>
                <w:szCs w:val="20"/>
                <w:color w:val="auto"/>
              </w:rPr>
            </w:pPr>
          </w:p>
        </w:tc>
        <w:tc>
          <w:tcPr>
            <w:tcW w:w="1340" w:type="dxa"/>
            <w:vAlign w:val="bottom"/>
            <w:tcBorders>
              <w:bottom w:val="single" w:sz="8" w:color="CCEEFF"/>
            </w:tcBorders>
            <w:vMerge w:val="continue"/>
            <w:shd w:val="clear" w:color="auto" w:fill="CCEEFF"/>
          </w:tcPr>
          <w:p>
            <w:pPr>
              <w:spacing w:after="0"/>
              <w:rPr>
                <w:sz w:val="20"/>
                <w:szCs w:val="20"/>
                <w:color w:val="auto"/>
              </w:rPr>
            </w:pPr>
          </w:p>
        </w:tc>
        <w:tc>
          <w:tcPr>
            <w:tcW w:w="920" w:type="dxa"/>
            <w:vAlign w:val="bottom"/>
            <w:tcBorders>
              <w:bottom w:val="single" w:sz="8" w:color="CCEEFF"/>
            </w:tcBorders>
            <w:vMerge w:val="continue"/>
            <w:shd w:val="clear" w:color="auto" w:fill="CCEEFF"/>
          </w:tcPr>
          <w:p>
            <w:pPr>
              <w:spacing w:after="0"/>
              <w:rPr>
                <w:sz w:val="20"/>
                <w:szCs w:val="20"/>
                <w:color w:val="auto"/>
              </w:rPr>
            </w:pPr>
          </w:p>
        </w:tc>
        <w:tc>
          <w:tcPr>
            <w:tcW w:w="40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Benefit Plans</w:t>
            </w:r>
          </w:p>
        </w:tc>
        <w:tc>
          <w:tcPr>
            <w:tcW w:w="1140" w:type="dxa"/>
            <w:vAlign w:val="bottom"/>
            <w:tcBorders>
              <w:bottom w:val="single" w:sz="8" w:color="CCEEFF"/>
            </w:tcBorders>
            <w:vMerge w:val="continue"/>
            <w:shd w:val="clear" w:color="auto" w:fill="CCEEFF"/>
          </w:tcPr>
          <w:p>
            <w:pPr>
              <w:spacing w:after="0"/>
              <w:rPr>
                <w:sz w:val="20"/>
                <w:szCs w:val="20"/>
                <w:color w:val="auto"/>
              </w:rPr>
            </w:pPr>
          </w:p>
        </w:tc>
        <w:tc>
          <w:tcPr>
            <w:tcW w:w="840" w:type="dxa"/>
            <w:vAlign w:val="bottom"/>
            <w:tcBorders>
              <w:bottom w:val="single" w:sz="8" w:color="CCEEFF"/>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Goodwill and Intangibles – Net</w:t>
            </w:r>
          </w:p>
        </w:tc>
        <w:tc>
          <w:tcPr>
            <w:tcW w:w="1340" w:type="dxa"/>
            <w:vAlign w:val="bottom"/>
          </w:tcPr>
          <w:p>
            <w:pPr>
              <w:jc w:val="right"/>
              <w:spacing w:after="0"/>
              <w:rPr>
                <w:sz w:val="20"/>
                <w:szCs w:val="20"/>
                <w:color w:val="auto"/>
              </w:rPr>
            </w:pPr>
            <w:r>
              <w:rPr>
                <w:rFonts w:ascii="Arial" w:cs="Arial" w:eastAsia="Arial" w:hAnsi="Arial"/>
                <w:sz w:val="18"/>
                <w:szCs w:val="18"/>
                <w:color w:val="auto"/>
              </w:rPr>
              <w:t>1.0</w:t>
            </w:r>
          </w:p>
        </w:tc>
        <w:tc>
          <w:tcPr>
            <w:tcW w:w="920" w:type="dxa"/>
            <w:vAlign w:val="bottom"/>
          </w:tcPr>
          <w:p>
            <w:pPr>
              <w:jc w:val="right"/>
              <w:spacing w:after="0"/>
              <w:rPr>
                <w:sz w:val="20"/>
                <w:szCs w:val="20"/>
                <w:color w:val="auto"/>
              </w:rPr>
            </w:pPr>
            <w:r>
              <w:rPr>
                <w:rFonts w:ascii="Arial" w:cs="Arial" w:eastAsia="Arial" w:hAnsi="Arial"/>
                <w:sz w:val="18"/>
                <w:szCs w:val="18"/>
                <w:color w:val="auto"/>
              </w:rPr>
              <w:t>223.3</w:t>
            </w:r>
          </w:p>
        </w:tc>
        <w:tc>
          <w:tcPr>
            <w:tcW w:w="4000" w:type="dxa"/>
            <w:vAlign w:val="bottom"/>
          </w:tcPr>
          <w:p>
            <w:pPr>
              <w:ind w:left="100"/>
              <w:spacing w:after="0"/>
              <w:rPr>
                <w:sz w:val="20"/>
                <w:szCs w:val="20"/>
                <w:color w:val="auto"/>
              </w:rPr>
            </w:pPr>
            <w:r>
              <w:rPr>
                <w:rFonts w:ascii="Arial" w:cs="Arial" w:eastAsia="Arial" w:hAnsi="Arial"/>
                <w:sz w:val="18"/>
                <w:szCs w:val="18"/>
                <w:color w:val="auto"/>
              </w:rPr>
              <w:t>Other Non-Current Liabilities</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293.1</w:t>
            </w:r>
          </w:p>
        </w:tc>
        <w:tc>
          <w:tcPr>
            <w:tcW w:w="840" w:type="dxa"/>
            <w:vAlign w:val="bottom"/>
          </w:tcPr>
          <w:p>
            <w:pPr>
              <w:jc w:val="right"/>
              <w:spacing w:after="0"/>
              <w:rPr>
                <w:sz w:val="20"/>
                <w:szCs w:val="20"/>
                <w:color w:val="auto"/>
              </w:rPr>
            </w:pPr>
            <w:r>
              <w:rPr>
                <w:rFonts w:ascii="Arial" w:cs="Arial" w:eastAsia="Arial" w:hAnsi="Arial"/>
                <w:sz w:val="18"/>
                <w:szCs w:val="18"/>
                <w:color w:val="auto"/>
              </w:rPr>
              <w:t>262.6</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191.6</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152.4</w:t>
            </w:r>
          </w:p>
        </w:tc>
        <w:tc>
          <w:tcPr>
            <w:tcW w:w="40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Shareholders’ Equity</w:t>
            </w:r>
          </w:p>
        </w:tc>
        <w:tc>
          <w:tcPr>
            <w:tcW w:w="1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2,207.8</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2,155.8</w:t>
            </w:r>
          </w:p>
        </w:tc>
        <w:tc>
          <w:tcPr>
            <w:tcW w:w="0" w:type="dxa"/>
            <w:vAlign w:val="bottom"/>
          </w:tcPr>
          <w:p>
            <w:pPr>
              <w:spacing w:after="0"/>
              <w:rPr>
                <w:sz w:val="1"/>
                <w:szCs w:val="1"/>
                <w:color w:val="auto"/>
              </w:rPr>
            </w:pPr>
          </w:p>
        </w:tc>
      </w:tr>
      <w:tr>
        <w:trPr>
          <w:trHeight w:val="237"/>
        </w:trPr>
        <w:tc>
          <w:tcPr>
            <w:tcW w:w="31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Assets</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$5,275.8</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$5,165.0</w:t>
            </w:r>
          </w:p>
        </w:tc>
        <w:tc>
          <w:tcPr>
            <w:tcW w:w="4000" w:type="dxa"/>
            <w:vAlign w:val="bottom"/>
            <w:tcBorders>
              <w:top w:val="single" w:sz="8" w:color="auto"/>
            </w:tcBorders>
          </w:tcPr>
          <w:p>
            <w:pPr>
              <w:ind w:left="100"/>
              <w:spacing w:after="0"/>
              <w:rPr>
                <w:sz w:val="20"/>
                <w:szCs w:val="20"/>
                <w:color w:val="auto"/>
              </w:rPr>
            </w:pPr>
            <w:r>
              <w:rPr>
                <w:rFonts w:ascii="Arial" w:cs="Arial" w:eastAsia="Arial" w:hAnsi="Arial"/>
                <w:sz w:val="18"/>
                <w:szCs w:val="18"/>
                <w:b w:val="1"/>
                <w:bCs w:val="1"/>
                <w:color w:val="auto"/>
              </w:rPr>
              <w:t>Total Liabilities and Shareholders’ Equity</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$5,275.8</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$5,165.0</w:t>
            </w:r>
          </w:p>
        </w:tc>
        <w:tc>
          <w:tcPr>
            <w:tcW w:w="0" w:type="dxa"/>
            <w:vAlign w:val="bottom"/>
          </w:tcPr>
          <w:p>
            <w:pPr>
              <w:spacing w:after="0"/>
              <w:rPr>
                <w:sz w:val="1"/>
                <w:szCs w:val="1"/>
                <w:color w:val="auto"/>
              </w:rPr>
            </w:pPr>
          </w:p>
        </w:tc>
      </w:tr>
      <w:tr>
        <w:trPr>
          <w:trHeight w:val="27"/>
        </w:trPr>
        <w:tc>
          <w:tcPr>
            <w:tcW w:w="3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99" w:right="239" w:bottom="1440" w:gutter="0" w:footer="0" w:header="0"/>
        </w:sectPr>
      </w:pPr>
    </w:p>
    <w:bookmarkStart w:id="134" w:name="page135"/>
    <w:bookmarkEnd w:id="1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20" w:type="dxa"/>
            <w:vAlign w:val="bottom"/>
          </w:tcPr>
          <w:p>
            <w:pPr>
              <w:spacing w:after="0"/>
              <w:rPr>
                <w:sz w:val="20"/>
                <w:szCs w:val="20"/>
                <w:color w:val="auto"/>
              </w:rPr>
            </w:pPr>
          </w:p>
        </w:tc>
        <w:tc>
          <w:tcPr>
            <w:tcW w:w="2400" w:type="dxa"/>
            <w:vAlign w:val="bottom"/>
          </w:tcPr>
          <w:p>
            <w:pPr>
              <w:jc w:val="right"/>
              <w:spacing w:after="0"/>
              <w:rPr>
                <w:sz w:val="20"/>
                <w:szCs w:val="20"/>
                <w:color w:val="auto"/>
              </w:rPr>
            </w:pPr>
            <w:r>
              <w:rPr>
                <w:rFonts w:ascii="Arial" w:cs="Arial" w:eastAsia="Arial" w:hAnsi="Arial"/>
                <w:sz w:val="18"/>
                <w:szCs w:val="18"/>
                <w:b w:val="1"/>
                <w:bCs w:val="1"/>
                <w:color w:val="auto"/>
              </w:rPr>
              <w:t>Quarter Ended</w:t>
            </w:r>
          </w:p>
        </w:tc>
        <w:tc>
          <w:tcPr>
            <w:tcW w:w="1400" w:type="dxa"/>
            <w:vAlign w:val="bottom"/>
          </w:tcPr>
          <w:p>
            <w:pPr>
              <w:spacing w:after="0"/>
              <w:rPr>
                <w:sz w:val="20"/>
                <w:szCs w:val="20"/>
                <w:color w:val="auto"/>
              </w:rPr>
            </w:pPr>
          </w:p>
        </w:tc>
        <w:tc>
          <w:tcPr>
            <w:tcW w:w="3100" w:type="dxa"/>
            <w:vAlign w:val="bottom"/>
            <w:gridSpan w:val="2"/>
          </w:tcPr>
          <w:p>
            <w:pPr>
              <w:jc w:val="right"/>
              <w:ind w:right="850"/>
              <w:spacing w:after="0"/>
              <w:rPr>
                <w:sz w:val="20"/>
                <w:szCs w:val="20"/>
                <w:color w:val="auto"/>
              </w:rPr>
            </w:pPr>
            <w:r>
              <w:rPr>
                <w:rFonts w:ascii="Arial" w:cs="Arial" w:eastAsia="Arial" w:hAnsi="Arial"/>
                <w:sz w:val="18"/>
                <w:szCs w:val="18"/>
                <w:b w:val="1"/>
                <w:bCs w:val="1"/>
                <w:color w:val="auto"/>
              </w:rPr>
              <w:t>Nine Months Ended</w:t>
            </w:r>
          </w:p>
        </w:tc>
      </w:tr>
      <w:tr>
        <w:trPr>
          <w:trHeight w:val="270"/>
        </w:trPr>
        <w:tc>
          <w:tcPr>
            <w:tcW w:w="4520" w:type="dxa"/>
            <w:vAlign w:val="bottom"/>
          </w:tcPr>
          <w:p>
            <w:pPr>
              <w:ind w:left="40"/>
              <w:spacing w:after="0"/>
              <w:rPr>
                <w:sz w:val="20"/>
                <w:szCs w:val="20"/>
                <w:color w:val="auto"/>
              </w:rPr>
            </w:pPr>
            <w:r>
              <w:rPr>
                <w:rFonts w:ascii="Arial" w:cs="Arial" w:eastAsia="Arial" w:hAnsi="Arial"/>
                <w:sz w:val="18"/>
                <w:szCs w:val="18"/>
                <w:b w:val="1"/>
                <w:bCs w:val="1"/>
                <w:color w:val="auto"/>
              </w:rPr>
              <w:t>ALLETE, Inc.</w:t>
            </w:r>
          </w:p>
        </w:tc>
        <w:tc>
          <w:tcPr>
            <w:tcW w:w="2400" w:type="dxa"/>
            <w:vAlign w:val="bottom"/>
          </w:tcPr>
          <w:p>
            <w:pPr>
              <w:jc w:val="right"/>
              <w:spacing w:after="0"/>
              <w:rPr>
                <w:sz w:val="20"/>
                <w:szCs w:val="20"/>
                <w:color w:val="auto"/>
              </w:rPr>
            </w:pPr>
            <w:r>
              <w:rPr>
                <w:rFonts w:ascii="Arial" w:cs="Arial" w:eastAsia="Arial" w:hAnsi="Arial"/>
                <w:sz w:val="18"/>
                <w:szCs w:val="18"/>
                <w:b w:val="1"/>
                <w:bCs w:val="1"/>
                <w:color w:val="auto"/>
              </w:rPr>
              <w:t>September 30,</w:t>
            </w:r>
          </w:p>
        </w:tc>
        <w:tc>
          <w:tcPr>
            <w:tcW w:w="140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Arial" w:cs="Arial" w:eastAsia="Arial" w:hAnsi="Arial"/>
                <w:sz w:val="18"/>
                <w:szCs w:val="18"/>
                <w:b w:val="1"/>
                <w:bCs w:val="1"/>
                <w:color w:val="auto"/>
              </w:rPr>
              <w:t>September 30,</w:t>
            </w:r>
          </w:p>
        </w:tc>
        <w:tc>
          <w:tcPr>
            <w:tcW w:w="1100" w:type="dxa"/>
            <w:vAlign w:val="bottom"/>
          </w:tcPr>
          <w:p>
            <w:pPr>
              <w:spacing w:after="0"/>
              <w:rPr>
                <w:sz w:val="23"/>
                <w:szCs w:val="23"/>
                <w:color w:val="auto"/>
              </w:rPr>
            </w:pPr>
          </w:p>
        </w:tc>
      </w:tr>
      <w:tr>
        <w:trPr>
          <w:trHeight w:val="270"/>
        </w:trPr>
        <w:tc>
          <w:tcPr>
            <w:tcW w:w="4520" w:type="dxa"/>
            <w:vAlign w:val="bottom"/>
          </w:tcPr>
          <w:p>
            <w:pPr>
              <w:ind w:left="40"/>
              <w:spacing w:after="0"/>
              <w:rPr>
                <w:sz w:val="20"/>
                <w:szCs w:val="20"/>
                <w:color w:val="auto"/>
              </w:rPr>
            </w:pPr>
            <w:r>
              <w:rPr>
                <w:rFonts w:ascii="Arial" w:cs="Arial" w:eastAsia="Arial" w:hAnsi="Arial"/>
                <w:sz w:val="18"/>
                <w:szCs w:val="18"/>
                <w:b w:val="1"/>
                <w:bCs w:val="1"/>
                <w:color w:val="auto"/>
              </w:rPr>
              <w:t>Income (Loss)</w:t>
            </w:r>
          </w:p>
        </w:tc>
        <w:tc>
          <w:tcPr>
            <w:tcW w:w="2400" w:type="dxa"/>
            <w:vAlign w:val="bottom"/>
          </w:tcPr>
          <w:p>
            <w:pPr>
              <w:jc w:val="right"/>
              <w:ind w:right="1230"/>
              <w:spacing w:after="0"/>
              <w:rPr>
                <w:sz w:val="20"/>
                <w:szCs w:val="20"/>
                <w:color w:val="auto"/>
              </w:rPr>
            </w:pPr>
            <w:r>
              <w:rPr>
                <w:rFonts w:ascii="Arial" w:cs="Arial" w:eastAsia="Arial" w:hAnsi="Arial"/>
                <w:sz w:val="18"/>
                <w:szCs w:val="18"/>
                <w:b w:val="1"/>
                <w:bCs w:val="1"/>
                <w:color w:val="auto"/>
              </w:rPr>
              <w:t>2019</w:t>
            </w:r>
          </w:p>
        </w:tc>
        <w:tc>
          <w:tcPr>
            <w:tcW w:w="1400" w:type="dxa"/>
            <w:vAlign w:val="bottom"/>
          </w:tcPr>
          <w:p>
            <w:pPr>
              <w:jc w:val="right"/>
              <w:ind w:right="910"/>
              <w:spacing w:after="0"/>
              <w:rPr>
                <w:sz w:val="20"/>
                <w:szCs w:val="20"/>
                <w:color w:val="auto"/>
              </w:rPr>
            </w:pPr>
            <w:r>
              <w:rPr>
                <w:rFonts w:ascii="Arial" w:cs="Arial" w:eastAsia="Arial" w:hAnsi="Arial"/>
                <w:sz w:val="18"/>
                <w:szCs w:val="18"/>
                <w:b w:val="1"/>
                <w:bCs w:val="1"/>
                <w:color w:val="auto"/>
                <w:w w:val="94"/>
              </w:rPr>
              <w:t>2018</w:t>
            </w:r>
          </w:p>
        </w:tc>
        <w:tc>
          <w:tcPr>
            <w:tcW w:w="2000" w:type="dxa"/>
            <w:vAlign w:val="bottom"/>
          </w:tcPr>
          <w:p>
            <w:pPr>
              <w:jc w:val="right"/>
              <w:ind w:right="1210"/>
              <w:spacing w:after="0"/>
              <w:rPr>
                <w:sz w:val="20"/>
                <w:szCs w:val="20"/>
                <w:color w:val="auto"/>
              </w:rPr>
            </w:pPr>
            <w:r>
              <w:rPr>
                <w:rFonts w:ascii="Arial" w:cs="Arial" w:eastAsia="Arial" w:hAnsi="Arial"/>
                <w:sz w:val="18"/>
                <w:szCs w:val="18"/>
                <w:b w:val="1"/>
                <w:bCs w:val="1"/>
                <w:color w:val="auto"/>
              </w:rPr>
              <w:t>2019</w:t>
            </w:r>
          </w:p>
        </w:tc>
        <w:tc>
          <w:tcPr>
            <w:tcW w:w="1100" w:type="dxa"/>
            <w:vAlign w:val="bottom"/>
          </w:tcPr>
          <w:p>
            <w:pPr>
              <w:jc w:val="right"/>
              <w:ind w:right="590"/>
              <w:spacing w:after="0"/>
              <w:rPr>
                <w:sz w:val="20"/>
                <w:szCs w:val="20"/>
                <w:color w:val="auto"/>
              </w:rPr>
            </w:pPr>
            <w:r>
              <w:rPr>
                <w:rFonts w:ascii="Arial" w:cs="Arial" w:eastAsia="Arial" w:hAnsi="Arial"/>
                <w:sz w:val="18"/>
                <w:szCs w:val="18"/>
                <w:b w:val="1"/>
                <w:bCs w:val="1"/>
                <w:color w:val="auto"/>
                <w:w w:val="99"/>
              </w:rPr>
              <w:t>2018</w:t>
            </w:r>
          </w:p>
        </w:tc>
      </w:tr>
      <w:tr>
        <w:trPr>
          <w:trHeight w:val="27"/>
        </w:trPr>
        <w:tc>
          <w:tcPr>
            <w:tcW w:w="452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4520" w:type="dxa"/>
            <w:vAlign w:val="bottom"/>
          </w:tcPr>
          <w:p>
            <w:pPr>
              <w:ind w:left="40"/>
              <w:spacing w:after="0"/>
              <w:rPr>
                <w:sz w:val="20"/>
                <w:szCs w:val="20"/>
                <w:color w:val="auto"/>
              </w:rPr>
            </w:pPr>
            <w:r>
              <w:rPr>
                <w:rFonts w:ascii="Arial" w:cs="Arial" w:eastAsia="Arial" w:hAnsi="Arial"/>
                <w:sz w:val="18"/>
                <w:szCs w:val="18"/>
                <w:color w:val="auto"/>
              </w:rPr>
              <w:t>Millions</w:t>
            </w:r>
          </w:p>
        </w:tc>
        <w:tc>
          <w:tcPr>
            <w:tcW w:w="24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
        </w:trPr>
        <w:tc>
          <w:tcPr>
            <w:tcW w:w="45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Regulated Operations</w:t>
            </w:r>
          </w:p>
        </w:tc>
        <w:tc>
          <w:tcPr>
            <w:tcW w:w="240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rPr>
              <w:t>$32.4</w:t>
            </w:r>
          </w:p>
        </w:tc>
        <w:tc>
          <w:tcPr>
            <w:tcW w:w="140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$29.8</w:t>
            </w:r>
          </w:p>
        </w:tc>
        <w:tc>
          <w:tcPr>
            <w:tcW w:w="2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rPr>
              <w:t>$114.2</w:t>
            </w:r>
          </w:p>
        </w:tc>
        <w:tc>
          <w:tcPr>
            <w:tcW w:w="11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$99.7</w:t>
            </w:r>
          </w:p>
        </w:tc>
      </w:tr>
      <w:tr>
        <w:trPr>
          <w:trHeight w:val="216"/>
        </w:trPr>
        <w:tc>
          <w:tcPr>
            <w:tcW w:w="45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50"/>
        </w:trPr>
        <w:tc>
          <w:tcPr>
            <w:tcW w:w="4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Energy Infrastructure and Related Services</w:t>
            </w:r>
          </w:p>
        </w:tc>
        <w:tc>
          <w:tcPr>
            <w:tcW w:w="24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4520" w:type="dxa"/>
            <w:vAlign w:val="bottom"/>
          </w:tcPr>
          <w:p>
            <w:pPr>
              <w:ind w:left="380"/>
              <w:spacing w:after="0"/>
              <w:rPr>
                <w:sz w:val="20"/>
                <w:szCs w:val="20"/>
                <w:color w:val="auto"/>
              </w:rPr>
            </w:pPr>
            <w:r>
              <w:rPr>
                <w:rFonts w:ascii="Arial" w:cs="Arial" w:eastAsia="Arial" w:hAnsi="Arial"/>
                <w:sz w:val="18"/>
                <w:szCs w:val="18"/>
                <w:color w:val="auto"/>
              </w:rPr>
              <w:t>ALLETE Clean Energy</w:t>
            </w:r>
          </w:p>
        </w:tc>
        <w:tc>
          <w:tcPr>
            <w:tcW w:w="2400" w:type="dxa"/>
            <w:vAlign w:val="bottom"/>
          </w:tcPr>
          <w:p>
            <w:pPr>
              <w:jc w:val="right"/>
              <w:ind w:right="830"/>
              <w:spacing w:after="0"/>
              <w:rPr>
                <w:sz w:val="20"/>
                <w:szCs w:val="20"/>
                <w:color w:val="auto"/>
              </w:rPr>
            </w:pPr>
            <w:r>
              <w:rPr>
                <w:rFonts w:ascii="Arial" w:cs="Arial" w:eastAsia="Arial" w:hAnsi="Arial"/>
                <w:sz w:val="18"/>
                <w:szCs w:val="18"/>
                <w:color w:val="auto"/>
              </w:rPr>
              <w:t>(1.2)</w:t>
            </w:r>
          </w:p>
        </w:tc>
        <w:tc>
          <w:tcPr>
            <w:tcW w:w="1400" w:type="dxa"/>
            <w:vAlign w:val="bottom"/>
          </w:tcPr>
          <w:p>
            <w:pPr>
              <w:jc w:val="right"/>
              <w:ind w:right="570"/>
              <w:spacing w:after="0"/>
              <w:rPr>
                <w:sz w:val="20"/>
                <w:szCs w:val="20"/>
                <w:color w:val="auto"/>
              </w:rPr>
            </w:pPr>
            <w:r>
              <w:rPr>
                <w:rFonts w:ascii="Arial" w:cs="Arial" w:eastAsia="Arial" w:hAnsi="Arial"/>
                <w:sz w:val="18"/>
                <w:szCs w:val="18"/>
                <w:color w:val="auto"/>
              </w:rPr>
              <w:t>1.0</w:t>
            </w:r>
          </w:p>
        </w:tc>
        <w:tc>
          <w:tcPr>
            <w:tcW w:w="2000" w:type="dxa"/>
            <w:vAlign w:val="bottom"/>
          </w:tcPr>
          <w:p>
            <w:pPr>
              <w:jc w:val="right"/>
              <w:ind w:right="870"/>
              <w:spacing w:after="0"/>
              <w:rPr>
                <w:sz w:val="20"/>
                <w:szCs w:val="20"/>
                <w:color w:val="auto"/>
              </w:rPr>
            </w:pPr>
            <w:r>
              <w:rPr>
                <w:rFonts w:ascii="Arial" w:cs="Arial" w:eastAsia="Arial" w:hAnsi="Arial"/>
                <w:sz w:val="18"/>
                <w:szCs w:val="18"/>
                <w:color w:val="auto"/>
              </w:rPr>
              <w:t>6.5</w:t>
            </w:r>
          </w:p>
        </w:tc>
        <w:tc>
          <w:tcPr>
            <w:tcW w:w="1100" w:type="dxa"/>
            <w:vAlign w:val="bottom"/>
          </w:tcPr>
          <w:p>
            <w:pPr>
              <w:jc w:val="right"/>
              <w:ind w:right="250"/>
              <w:spacing w:after="0"/>
              <w:rPr>
                <w:sz w:val="20"/>
                <w:szCs w:val="20"/>
                <w:color w:val="auto"/>
              </w:rPr>
            </w:pPr>
            <w:r>
              <w:rPr>
                <w:rFonts w:ascii="Arial" w:cs="Arial" w:eastAsia="Arial" w:hAnsi="Arial"/>
                <w:sz w:val="18"/>
                <w:szCs w:val="18"/>
                <w:color w:val="auto"/>
              </w:rPr>
              <w:t>15.9</w:t>
            </w:r>
          </w:p>
        </w:tc>
      </w:tr>
      <w:tr>
        <w:trPr>
          <w:trHeight w:val="27"/>
        </w:trPr>
        <w:tc>
          <w:tcPr>
            <w:tcW w:w="45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Water Services</w:t>
            </w:r>
          </w:p>
        </w:tc>
        <w:tc>
          <w:tcPr>
            <w:tcW w:w="24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1.7</w:t>
            </w:r>
          </w:p>
        </w:tc>
        <w:tc>
          <w:tcPr>
            <w:tcW w:w="200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rPr>
              <w:t>(1.1)</w:t>
            </w:r>
          </w:p>
        </w:tc>
        <w:tc>
          <w:tcPr>
            <w:tcW w:w="11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0.5</w:t>
            </w:r>
          </w:p>
        </w:tc>
      </w:tr>
      <w:tr>
        <w:trPr>
          <w:trHeight w:val="216"/>
        </w:trPr>
        <w:tc>
          <w:tcPr>
            <w:tcW w:w="45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75"/>
        </w:trPr>
        <w:tc>
          <w:tcPr>
            <w:tcW w:w="4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 and Other</w:t>
            </w:r>
          </w:p>
        </w:tc>
        <w:tc>
          <w:tcPr>
            <w:tcW w:w="24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(1.8)</w:t>
            </w:r>
          </w:p>
        </w:tc>
        <w:tc>
          <w:tcPr>
            <w:tcW w:w="200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rPr>
              <w:t>16.3</w:t>
            </w:r>
          </w:p>
        </w:tc>
        <w:tc>
          <w:tcPr>
            <w:tcW w:w="11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(3.1)</w:t>
            </w:r>
          </w:p>
        </w:tc>
      </w:tr>
      <w:tr>
        <w:trPr>
          <w:trHeight w:val="237"/>
        </w:trPr>
        <w:tc>
          <w:tcPr>
            <w:tcW w:w="452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Net Income</w:t>
            </w:r>
          </w:p>
        </w:tc>
        <w:tc>
          <w:tcPr>
            <w:tcW w:w="2400" w:type="dxa"/>
            <w:vAlign w:val="bottom"/>
            <w:tcBorders>
              <w:top w:val="single" w:sz="8" w:color="auto"/>
            </w:tcBorders>
          </w:tcPr>
          <w:p>
            <w:pPr>
              <w:jc w:val="right"/>
              <w:ind w:right="830"/>
              <w:spacing w:after="0"/>
              <w:rPr>
                <w:sz w:val="20"/>
                <w:szCs w:val="20"/>
                <w:color w:val="auto"/>
              </w:rPr>
            </w:pPr>
            <w:r>
              <w:rPr>
                <w:rFonts w:ascii="Arial" w:cs="Arial" w:eastAsia="Arial" w:hAnsi="Arial"/>
                <w:sz w:val="18"/>
                <w:szCs w:val="18"/>
                <w:color w:val="auto"/>
              </w:rPr>
              <w:t>$31.2</w:t>
            </w:r>
          </w:p>
        </w:tc>
        <w:tc>
          <w:tcPr>
            <w:tcW w:w="140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color w:val="auto"/>
              </w:rPr>
              <w:t>$30.7</w:t>
            </w:r>
          </w:p>
        </w:tc>
        <w:tc>
          <w:tcPr>
            <w:tcW w:w="2000" w:type="dxa"/>
            <w:vAlign w:val="bottom"/>
            <w:tcBorders>
              <w:top w:val="single" w:sz="8" w:color="auto"/>
            </w:tcBorders>
          </w:tcPr>
          <w:p>
            <w:pPr>
              <w:jc w:val="right"/>
              <w:ind w:right="790"/>
              <w:spacing w:after="0"/>
              <w:rPr>
                <w:sz w:val="20"/>
                <w:szCs w:val="20"/>
                <w:color w:val="auto"/>
              </w:rPr>
            </w:pPr>
            <w:r>
              <w:rPr>
                <w:rFonts w:ascii="Arial" w:cs="Arial" w:eastAsia="Arial" w:hAnsi="Arial"/>
                <w:sz w:val="18"/>
                <w:szCs w:val="18"/>
                <w:color w:val="auto"/>
              </w:rPr>
              <w:t>$135.9</w:t>
            </w:r>
          </w:p>
        </w:tc>
        <w:tc>
          <w:tcPr>
            <w:tcW w:w="11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$113.0</w:t>
            </w:r>
          </w:p>
        </w:tc>
      </w:tr>
      <w:tr>
        <w:trPr>
          <w:trHeight w:val="27"/>
        </w:trPr>
        <w:tc>
          <w:tcPr>
            <w:tcW w:w="452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Earnings Per Share</w:t>
            </w:r>
          </w:p>
        </w:tc>
        <w:tc>
          <w:tcPr>
            <w:tcW w:w="240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rPr>
              <w:t>$0.60</w:t>
            </w:r>
          </w:p>
        </w:tc>
        <w:tc>
          <w:tcPr>
            <w:tcW w:w="140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$0.59</w:t>
            </w:r>
          </w:p>
        </w:tc>
        <w:tc>
          <w:tcPr>
            <w:tcW w:w="2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rPr>
              <w:t>$2.63</w:t>
            </w:r>
          </w:p>
        </w:tc>
        <w:tc>
          <w:tcPr>
            <w:tcW w:w="11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$2.19</w:t>
            </w:r>
          </w:p>
        </w:tc>
      </w:tr>
      <w:tr>
        <w:trPr>
          <w:trHeight w:val="588"/>
        </w:trPr>
        <w:tc>
          <w:tcPr>
            <w:tcW w:w="45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Statistical Data</w:t>
            </w:r>
          </w:p>
        </w:tc>
        <w:tc>
          <w:tcPr>
            <w:tcW w:w="240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20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r>
      <w:tr>
        <w:trPr>
          <w:trHeight w:val="27"/>
        </w:trPr>
        <w:tc>
          <w:tcPr>
            <w:tcW w:w="452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4520" w:type="dxa"/>
            <w:vAlign w:val="bottom"/>
          </w:tcPr>
          <w:p>
            <w:pPr>
              <w:ind w:left="40"/>
              <w:spacing w:after="0"/>
              <w:rPr>
                <w:sz w:val="20"/>
                <w:szCs w:val="20"/>
                <w:color w:val="auto"/>
              </w:rPr>
            </w:pPr>
            <w:r>
              <w:rPr>
                <w:rFonts w:ascii="Arial" w:cs="Arial" w:eastAsia="Arial" w:hAnsi="Arial"/>
                <w:sz w:val="18"/>
                <w:szCs w:val="18"/>
                <w:color w:val="auto"/>
              </w:rPr>
              <w:t>Corporate</w:t>
            </w:r>
          </w:p>
        </w:tc>
        <w:tc>
          <w:tcPr>
            <w:tcW w:w="24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
        </w:trPr>
        <w:tc>
          <w:tcPr>
            <w:tcW w:w="45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Stock</w:t>
            </w:r>
          </w:p>
        </w:tc>
        <w:tc>
          <w:tcPr>
            <w:tcW w:w="24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4520" w:type="dxa"/>
            <w:vAlign w:val="bottom"/>
          </w:tcPr>
          <w:p>
            <w:pPr>
              <w:ind w:left="600"/>
              <w:spacing w:after="0"/>
              <w:rPr>
                <w:sz w:val="20"/>
                <w:szCs w:val="20"/>
                <w:color w:val="auto"/>
              </w:rPr>
            </w:pPr>
            <w:r>
              <w:rPr>
                <w:rFonts w:ascii="Arial" w:cs="Arial" w:eastAsia="Arial" w:hAnsi="Arial"/>
                <w:sz w:val="18"/>
                <w:szCs w:val="18"/>
                <w:color w:val="auto"/>
              </w:rPr>
              <w:t>High</w:t>
            </w:r>
          </w:p>
        </w:tc>
        <w:tc>
          <w:tcPr>
            <w:tcW w:w="2400" w:type="dxa"/>
            <w:vAlign w:val="bottom"/>
          </w:tcPr>
          <w:p>
            <w:pPr>
              <w:jc w:val="right"/>
              <w:ind w:right="470"/>
              <w:spacing w:after="0"/>
              <w:rPr>
                <w:sz w:val="20"/>
                <w:szCs w:val="20"/>
                <w:color w:val="auto"/>
              </w:rPr>
            </w:pPr>
            <w:r>
              <w:rPr>
                <w:rFonts w:ascii="Arial" w:cs="Arial" w:eastAsia="Arial" w:hAnsi="Arial"/>
                <w:sz w:val="18"/>
                <w:szCs w:val="18"/>
                <w:color w:val="auto"/>
              </w:rPr>
              <w:t>$88.60</w:t>
            </w:r>
          </w:p>
        </w:tc>
        <w:tc>
          <w:tcPr>
            <w:tcW w:w="1400" w:type="dxa"/>
            <w:vAlign w:val="bottom"/>
          </w:tcPr>
          <w:p>
            <w:pPr>
              <w:jc w:val="right"/>
              <w:ind w:right="270"/>
              <w:spacing w:after="0"/>
              <w:rPr>
                <w:sz w:val="20"/>
                <w:szCs w:val="20"/>
                <w:color w:val="auto"/>
              </w:rPr>
            </w:pPr>
            <w:r>
              <w:rPr>
                <w:rFonts w:ascii="Arial" w:cs="Arial" w:eastAsia="Arial" w:hAnsi="Arial"/>
                <w:sz w:val="18"/>
                <w:szCs w:val="18"/>
                <w:color w:val="auto"/>
              </w:rPr>
              <w:t>$80.78</w:t>
            </w:r>
          </w:p>
        </w:tc>
        <w:tc>
          <w:tcPr>
            <w:tcW w:w="2000" w:type="dxa"/>
            <w:vAlign w:val="bottom"/>
          </w:tcPr>
          <w:p>
            <w:pPr>
              <w:jc w:val="right"/>
              <w:ind w:right="670"/>
              <w:spacing w:after="0"/>
              <w:rPr>
                <w:sz w:val="20"/>
                <w:szCs w:val="20"/>
                <w:color w:val="auto"/>
              </w:rPr>
            </w:pPr>
            <w:r>
              <w:rPr>
                <w:rFonts w:ascii="Arial" w:cs="Arial" w:eastAsia="Arial" w:hAnsi="Arial"/>
                <w:sz w:val="18"/>
                <w:szCs w:val="18"/>
                <w:color w:val="auto"/>
              </w:rPr>
              <w:t>$88.60</w:t>
            </w:r>
          </w:p>
        </w:tc>
        <w:tc>
          <w:tcPr>
            <w:tcW w:w="1100" w:type="dxa"/>
            <w:vAlign w:val="bottom"/>
          </w:tcPr>
          <w:p>
            <w:pPr>
              <w:jc w:val="right"/>
              <w:ind w:right="170"/>
              <w:spacing w:after="0"/>
              <w:rPr>
                <w:sz w:val="20"/>
                <w:szCs w:val="20"/>
                <w:color w:val="auto"/>
              </w:rPr>
            </w:pPr>
            <w:r>
              <w:rPr>
                <w:rFonts w:ascii="Arial" w:cs="Arial" w:eastAsia="Arial" w:hAnsi="Arial"/>
                <w:sz w:val="18"/>
                <w:szCs w:val="18"/>
                <w:color w:val="auto"/>
              </w:rPr>
              <w:t>$80.78</w:t>
            </w:r>
          </w:p>
        </w:tc>
      </w:tr>
      <w:tr>
        <w:trPr>
          <w:trHeight w:val="27"/>
        </w:trPr>
        <w:tc>
          <w:tcPr>
            <w:tcW w:w="45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5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Low</w:t>
            </w:r>
          </w:p>
        </w:tc>
        <w:tc>
          <w:tcPr>
            <w:tcW w:w="240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$82.38</w:t>
            </w:r>
          </w:p>
        </w:tc>
        <w:tc>
          <w:tcPr>
            <w:tcW w:w="14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$73.39</w:t>
            </w:r>
          </w:p>
        </w:tc>
        <w:tc>
          <w:tcPr>
            <w:tcW w:w="200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rPr>
              <w:t>$72.50</w:t>
            </w:r>
          </w:p>
        </w:tc>
        <w:tc>
          <w:tcPr>
            <w:tcW w:w="11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$66.64</w:t>
            </w:r>
          </w:p>
        </w:tc>
      </w:tr>
      <w:tr>
        <w:trPr>
          <w:trHeight w:val="243"/>
        </w:trPr>
        <w:tc>
          <w:tcPr>
            <w:tcW w:w="4520" w:type="dxa"/>
            <w:vAlign w:val="bottom"/>
          </w:tcPr>
          <w:p>
            <w:pPr>
              <w:ind w:left="600"/>
              <w:spacing w:after="0"/>
              <w:rPr>
                <w:sz w:val="20"/>
                <w:szCs w:val="20"/>
                <w:color w:val="auto"/>
              </w:rPr>
            </w:pPr>
            <w:r>
              <w:rPr>
                <w:rFonts w:ascii="Arial" w:cs="Arial" w:eastAsia="Arial" w:hAnsi="Arial"/>
                <w:sz w:val="18"/>
                <w:szCs w:val="18"/>
                <w:color w:val="auto"/>
              </w:rPr>
              <w:t>Close</w:t>
            </w:r>
          </w:p>
        </w:tc>
        <w:tc>
          <w:tcPr>
            <w:tcW w:w="2400" w:type="dxa"/>
            <w:vAlign w:val="bottom"/>
          </w:tcPr>
          <w:p>
            <w:pPr>
              <w:jc w:val="right"/>
              <w:ind w:right="470"/>
              <w:spacing w:after="0"/>
              <w:rPr>
                <w:sz w:val="20"/>
                <w:szCs w:val="20"/>
                <w:color w:val="auto"/>
              </w:rPr>
            </w:pPr>
            <w:r>
              <w:rPr>
                <w:rFonts w:ascii="Arial" w:cs="Arial" w:eastAsia="Arial" w:hAnsi="Arial"/>
                <w:sz w:val="18"/>
                <w:szCs w:val="18"/>
                <w:color w:val="auto"/>
              </w:rPr>
              <w:t>$87.41</w:t>
            </w:r>
          </w:p>
        </w:tc>
        <w:tc>
          <w:tcPr>
            <w:tcW w:w="1400" w:type="dxa"/>
            <w:vAlign w:val="bottom"/>
          </w:tcPr>
          <w:p>
            <w:pPr>
              <w:jc w:val="right"/>
              <w:ind w:right="270"/>
              <w:spacing w:after="0"/>
              <w:rPr>
                <w:sz w:val="20"/>
                <w:szCs w:val="20"/>
                <w:color w:val="auto"/>
              </w:rPr>
            </w:pPr>
            <w:r>
              <w:rPr>
                <w:rFonts w:ascii="Arial" w:cs="Arial" w:eastAsia="Arial" w:hAnsi="Arial"/>
                <w:sz w:val="18"/>
                <w:szCs w:val="18"/>
                <w:color w:val="auto"/>
              </w:rPr>
              <w:t>$75.01</w:t>
            </w:r>
          </w:p>
        </w:tc>
        <w:tc>
          <w:tcPr>
            <w:tcW w:w="2000" w:type="dxa"/>
            <w:vAlign w:val="bottom"/>
          </w:tcPr>
          <w:p>
            <w:pPr>
              <w:jc w:val="right"/>
              <w:ind w:right="670"/>
              <w:spacing w:after="0"/>
              <w:rPr>
                <w:sz w:val="20"/>
                <w:szCs w:val="20"/>
                <w:color w:val="auto"/>
              </w:rPr>
            </w:pPr>
            <w:r>
              <w:rPr>
                <w:rFonts w:ascii="Arial" w:cs="Arial" w:eastAsia="Arial" w:hAnsi="Arial"/>
                <w:sz w:val="18"/>
                <w:szCs w:val="18"/>
                <w:color w:val="auto"/>
              </w:rPr>
              <w:t>$87.41</w:t>
            </w:r>
          </w:p>
        </w:tc>
        <w:tc>
          <w:tcPr>
            <w:tcW w:w="1100" w:type="dxa"/>
            <w:vAlign w:val="bottom"/>
          </w:tcPr>
          <w:p>
            <w:pPr>
              <w:jc w:val="right"/>
              <w:ind w:right="170"/>
              <w:spacing w:after="0"/>
              <w:rPr>
                <w:sz w:val="20"/>
                <w:szCs w:val="20"/>
                <w:color w:val="auto"/>
              </w:rPr>
            </w:pPr>
            <w:r>
              <w:rPr>
                <w:rFonts w:ascii="Arial" w:cs="Arial" w:eastAsia="Arial" w:hAnsi="Arial"/>
                <w:sz w:val="18"/>
                <w:szCs w:val="18"/>
                <w:color w:val="auto"/>
              </w:rPr>
              <w:t>$75.01</w:t>
            </w:r>
          </w:p>
        </w:tc>
      </w:tr>
      <w:tr>
        <w:trPr>
          <w:trHeight w:val="27"/>
        </w:trPr>
        <w:tc>
          <w:tcPr>
            <w:tcW w:w="45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4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Book Value</w:t>
            </w:r>
          </w:p>
        </w:tc>
        <w:tc>
          <w:tcPr>
            <w:tcW w:w="240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$42.73</w:t>
            </w:r>
          </w:p>
        </w:tc>
        <w:tc>
          <w:tcPr>
            <w:tcW w:w="14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$41.15</w:t>
            </w:r>
          </w:p>
        </w:tc>
        <w:tc>
          <w:tcPr>
            <w:tcW w:w="200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rPr>
              <w:t>$42.73</w:t>
            </w:r>
          </w:p>
        </w:tc>
        <w:tc>
          <w:tcPr>
            <w:tcW w:w="11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$41.15</w:t>
            </w:r>
          </w:p>
        </w:tc>
      </w:tr>
      <w:tr>
        <w:trPr>
          <w:trHeight w:val="588"/>
        </w:trPr>
        <w:tc>
          <w:tcPr>
            <w:tcW w:w="45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Kilowatt-hours Sold</w:t>
            </w:r>
          </w:p>
        </w:tc>
        <w:tc>
          <w:tcPr>
            <w:tcW w:w="240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20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r>
      <w:tr>
        <w:trPr>
          <w:trHeight w:val="27"/>
        </w:trPr>
        <w:tc>
          <w:tcPr>
            <w:tcW w:w="452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4520" w:type="dxa"/>
            <w:vAlign w:val="bottom"/>
          </w:tcPr>
          <w:p>
            <w:pPr>
              <w:ind w:left="40"/>
              <w:spacing w:after="0"/>
              <w:rPr>
                <w:sz w:val="20"/>
                <w:szCs w:val="20"/>
                <w:color w:val="auto"/>
              </w:rPr>
            </w:pPr>
            <w:r>
              <w:rPr>
                <w:rFonts w:ascii="Arial" w:cs="Arial" w:eastAsia="Arial" w:hAnsi="Arial"/>
                <w:sz w:val="18"/>
                <w:szCs w:val="18"/>
                <w:color w:val="auto"/>
              </w:rPr>
              <w:t>Millions</w:t>
            </w:r>
          </w:p>
        </w:tc>
        <w:tc>
          <w:tcPr>
            <w:tcW w:w="24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
        </w:trPr>
        <w:tc>
          <w:tcPr>
            <w:tcW w:w="45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Regulated Utility</w:t>
            </w:r>
          </w:p>
        </w:tc>
        <w:tc>
          <w:tcPr>
            <w:tcW w:w="24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4520" w:type="dxa"/>
            <w:vAlign w:val="bottom"/>
          </w:tcPr>
          <w:p>
            <w:pPr>
              <w:ind w:left="600"/>
              <w:spacing w:after="0"/>
              <w:rPr>
                <w:sz w:val="20"/>
                <w:szCs w:val="20"/>
                <w:color w:val="auto"/>
              </w:rPr>
            </w:pPr>
            <w:r>
              <w:rPr>
                <w:rFonts w:ascii="Arial" w:cs="Arial" w:eastAsia="Arial" w:hAnsi="Arial"/>
                <w:sz w:val="18"/>
                <w:szCs w:val="18"/>
                <w:color w:val="auto"/>
              </w:rPr>
              <w:t>Retail and Municipal</w:t>
            </w:r>
          </w:p>
        </w:tc>
        <w:tc>
          <w:tcPr>
            <w:tcW w:w="24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45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52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Residential</w:t>
            </w:r>
          </w:p>
        </w:tc>
        <w:tc>
          <w:tcPr>
            <w:tcW w:w="240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248</w:t>
            </w:r>
          </w:p>
        </w:tc>
        <w:tc>
          <w:tcPr>
            <w:tcW w:w="14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251</w:t>
            </w:r>
          </w:p>
        </w:tc>
        <w:tc>
          <w:tcPr>
            <w:tcW w:w="200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rPr>
              <w:t>829</w:t>
            </w:r>
          </w:p>
        </w:tc>
        <w:tc>
          <w:tcPr>
            <w:tcW w:w="11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836</w:t>
            </w:r>
          </w:p>
        </w:tc>
      </w:tr>
      <w:tr>
        <w:trPr>
          <w:trHeight w:val="243"/>
        </w:trPr>
        <w:tc>
          <w:tcPr>
            <w:tcW w:w="4520" w:type="dxa"/>
            <w:vAlign w:val="bottom"/>
          </w:tcPr>
          <w:p>
            <w:pPr>
              <w:ind w:left="1040"/>
              <w:spacing w:after="0"/>
              <w:rPr>
                <w:sz w:val="20"/>
                <w:szCs w:val="20"/>
                <w:color w:val="auto"/>
              </w:rPr>
            </w:pPr>
            <w:r>
              <w:rPr>
                <w:rFonts w:ascii="Arial" w:cs="Arial" w:eastAsia="Arial" w:hAnsi="Arial"/>
                <w:sz w:val="18"/>
                <w:szCs w:val="18"/>
                <w:color w:val="auto"/>
              </w:rPr>
              <w:t>Commercial</w:t>
            </w:r>
          </w:p>
        </w:tc>
        <w:tc>
          <w:tcPr>
            <w:tcW w:w="2400" w:type="dxa"/>
            <w:vAlign w:val="bottom"/>
          </w:tcPr>
          <w:p>
            <w:pPr>
              <w:jc w:val="right"/>
              <w:ind w:right="470"/>
              <w:spacing w:after="0"/>
              <w:rPr>
                <w:sz w:val="20"/>
                <w:szCs w:val="20"/>
                <w:color w:val="auto"/>
              </w:rPr>
            </w:pPr>
            <w:r>
              <w:rPr>
                <w:rFonts w:ascii="Arial" w:cs="Arial" w:eastAsia="Arial" w:hAnsi="Arial"/>
                <w:sz w:val="18"/>
                <w:szCs w:val="18"/>
                <w:color w:val="auto"/>
              </w:rPr>
              <w:t>361</w:t>
            </w:r>
          </w:p>
        </w:tc>
        <w:tc>
          <w:tcPr>
            <w:tcW w:w="1400" w:type="dxa"/>
            <w:vAlign w:val="bottom"/>
          </w:tcPr>
          <w:p>
            <w:pPr>
              <w:jc w:val="right"/>
              <w:ind w:right="270"/>
              <w:spacing w:after="0"/>
              <w:rPr>
                <w:sz w:val="20"/>
                <w:szCs w:val="20"/>
                <w:color w:val="auto"/>
              </w:rPr>
            </w:pPr>
            <w:r>
              <w:rPr>
                <w:rFonts w:ascii="Arial" w:cs="Arial" w:eastAsia="Arial" w:hAnsi="Arial"/>
                <w:sz w:val="18"/>
                <w:szCs w:val="18"/>
                <w:color w:val="auto"/>
              </w:rPr>
              <w:t>369</w:t>
            </w:r>
          </w:p>
        </w:tc>
        <w:tc>
          <w:tcPr>
            <w:tcW w:w="2000" w:type="dxa"/>
            <w:vAlign w:val="bottom"/>
          </w:tcPr>
          <w:p>
            <w:pPr>
              <w:jc w:val="right"/>
              <w:ind w:right="670"/>
              <w:spacing w:after="0"/>
              <w:rPr>
                <w:sz w:val="20"/>
                <w:szCs w:val="20"/>
                <w:color w:val="auto"/>
              </w:rPr>
            </w:pPr>
            <w:r>
              <w:rPr>
                <w:rFonts w:ascii="Arial" w:cs="Arial" w:eastAsia="Arial" w:hAnsi="Arial"/>
                <w:sz w:val="18"/>
                <w:szCs w:val="18"/>
                <w:color w:val="auto"/>
              </w:rPr>
              <w:t>1,043</w:t>
            </w:r>
          </w:p>
        </w:tc>
        <w:tc>
          <w:tcPr>
            <w:tcW w:w="1100" w:type="dxa"/>
            <w:vAlign w:val="bottom"/>
          </w:tcPr>
          <w:p>
            <w:pPr>
              <w:jc w:val="right"/>
              <w:ind w:right="170"/>
              <w:spacing w:after="0"/>
              <w:rPr>
                <w:sz w:val="20"/>
                <w:szCs w:val="20"/>
                <w:color w:val="auto"/>
              </w:rPr>
            </w:pPr>
            <w:r>
              <w:rPr>
                <w:rFonts w:ascii="Arial" w:cs="Arial" w:eastAsia="Arial" w:hAnsi="Arial"/>
                <w:sz w:val="18"/>
                <w:szCs w:val="18"/>
                <w:color w:val="auto"/>
              </w:rPr>
              <w:t>1,075</w:t>
            </w:r>
          </w:p>
        </w:tc>
      </w:tr>
      <w:tr>
        <w:trPr>
          <w:trHeight w:val="27"/>
        </w:trPr>
        <w:tc>
          <w:tcPr>
            <w:tcW w:w="45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52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Industrial</w:t>
            </w:r>
          </w:p>
        </w:tc>
        <w:tc>
          <w:tcPr>
            <w:tcW w:w="240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1,802</w:t>
            </w:r>
          </w:p>
        </w:tc>
        <w:tc>
          <w:tcPr>
            <w:tcW w:w="14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1,794</w:t>
            </w:r>
          </w:p>
        </w:tc>
        <w:tc>
          <w:tcPr>
            <w:tcW w:w="200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rPr>
              <w:t>5,389</w:t>
            </w:r>
          </w:p>
        </w:tc>
        <w:tc>
          <w:tcPr>
            <w:tcW w:w="11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5,418</w:t>
            </w:r>
          </w:p>
        </w:tc>
      </w:tr>
      <w:tr>
        <w:trPr>
          <w:trHeight w:val="243"/>
        </w:trPr>
        <w:tc>
          <w:tcPr>
            <w:tcW w:w="4520" w:type="dxa"/>
            <w:vAlign w:val="bottom"/>
          </w:tcPr>
          <w:p>
            <w:pPr>
              <w:ind w:left="1040"/>
              <w:spacing w:after="0"/>
              <w:rPr>
                <w:sz w:val="20"/>
                <w:szCs w:val="20"/>
                <w:color w:val="auto"/>
              </w:rPr>
            </w:pPr>
            <w:r>
              <w:rPr>
                <w:rFonts w:ascii="Arial" w:cs="Arial" w:eastAsia="Arial" w:hAnsi="Arial"/>
                <w:sz w:val="18"/>
                <w:szCs w:val="18"/>
                <w:color w:val="auto"/>
              </w:rPr>
              <w:t>Municipal</w:t>
            </w:r>
          </w:p>
        </w:tc>
        <w:tc>
          <w:tcPr>
            <w:tcW w:w="2400" w:type="dxa"/>
            <w:vAlign w:val="bottom"/>
          </w:tcPr>
          <w:p>
            <w:pPr>
              <w:jc w:val="right"/>
              <w:ind w:right="470"/>
              <w:spacing w:after="0"/>
              <w:rPr>
                <w:sz w:val="20"/>
                <w:szCs w:val="20"/>
                <w:color w:val="auto"/>
              </w:rPr>
            </w:pPr>
            <w:r>
              <w:rPr>
                <w:rFonts w:ascii="Arial" w:cs="Arial" w:eastAsia="Arial" w:hAnsi="Arial"/>
                <w:sz w:val="18"/>
                <w:szCs w:val="18"/>
                <w:color w:val="auto"/>
              </w:rPr>
              <w:t>146</w:t>
            </w:r>
          </w:p>
        </w:tc>
        <w:tc>
          <w:tcPr>
            <w:tcW w:w="1400" w:type="dxa"/>
            <w:vAlign w:val="bottom"/>
          </w:tcPr>
          <w:p>
            <w:pPr>
              <w:jc w:val="right"/>
              <w:ind w:right="270"/>
              <w:spacing w:after="0"/>
              <w:rPr>
                <w:sz w:val="20"/>
                <w:szCs w:val="20"/>
                <w:color w:val="auto"/>
              </w:rPr>
            </w:pPr>
            <w:r>
              <w:rPr>
                <w:rFonts w:ascii="Arial" w:cs="Arial" w:eastAsia="Arial" w:hAnsi="Arial"/>
                <w:sz w:val="18"/>
                <w:szCs w:val="18"/>
                <w:color w:val="auto"/>
              </w:rPr>
              <w:t>196</w:t>
            </w:r>
          </w:p>
        </w:tc>
        <w:tc>
          <w:tcPr>
            <w:tcW w:w="2000" w:type="dxa"/>
            <w:vAlign w:val="bottom"/>
          </w:tcPr>
          <w:p>
            <w:pPr>
              <w:jc w:val="right"/>
              <w:ind w:right="670"/>
              <w:spacing w:after="0"/>
              <w:rPr>
                <w:sz w:val="20"/>
                <w:szCs w:val="20"/>
                <w:color w:val="auto"/>
              </w:rPr>
            </w:pPr>
            <w:r>
              <w:rPr>
                <w:rFonts w:ascii="Arial" w:cs="Arial" w:eastAsia="Arial" w:hAnsi="Arial"/>
                <w:sz w:val="18"/>
                <w:szCs w:val="18"/>
                <w:color w:val="auto"/>
              </w:rPr>
              <w:t>519</w:t>
            </w:r>
          </w:p>
        </w:tc>
        <w:tc>
          <w:tcPr>
            <w:tcW w:w="1100" w:type="dxa"/>
            <w:vAlign w:val="bottom"/>
          </w:tcPr>
          <w:p>
            <w:pPr>
              <w:jc w:val="right"/>
              <w:ind w:right="170"/>
              <w:spacing w:after="0"/>
              <w:rPr>
                <w:sz w:val="20"/>
                <w:szCs w:val="20"/>
                <w:color w:val="auto"/>
              </w:rPr>
            </w:pPr>
            <w:r>
              <w:rPr>
                <w:rFonts w:ascii="Arial" w:cs="Arial" w:eastAsia="Arial" w:hAnsi="Arial"/>
                <w:sz w:val="18"/>
                <w:szCs w:val="18"/>
                <w:color w:val="auto"/>
              </w:rPr>
              <w:t>603</w:t>
            </w:r>
          </w:p>
        </w:tc>
      </w:tr>
      <w:tr>
        <w:trPr>
          <w:trHeight w:val="27"/>
        </w:trPr>
        <w:tc>
          <w:tcPr>
            <w:tcW w:w="452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45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Retail and Municipal</w:t>
            </w:r>
          </w:p>
        </w:tc>
        <w:tc>
          <w:tcPr>
            <w:tcW w:w="240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2,557</w:t>
            </w:r>
          </w:p>
        </w:tc>
        <w:tc>
          <w:tcPr>
            <w:tcW w:w="14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2,610</w:t>
            </w:r>
          </w:p>
        </w:tc>
        <w:tc>
          <w:tcPr>
            <w:tcW w:w="200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rPr>
              <w:t>7,780</w:t>
            </w:r>
          </w:p>
        </w:tc>
        <w:tc>
          <w:tcPr>
            <w:tcW w:w="11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7,932</w:t>
            </w:r>
          </w:p>
        </w:tc>
      </w:tr>
      <w:tr>
        <w:trPr>
          <w:trHeight w:val="243"/>
        </w:trPr>
        <w:tc>
          <w:tcPr>
            <w:tcW w:w="4520" w:type="dxa"/>
            <w:vAlign w:val="bottom"/>
          </w:tcPr>
          <w:p>
            <w:pPr>
              <w:ind w:left="600"/>
              <w:spacing w:after="0"/>
              <w:rPr>
                <w:sz w:val="20"/>
                <w:szCs w:val="20"/>
                <w:color w:val="auto"/>
              </w:rPr>
            </w:pPr>
            <w:r>
              <w:rPr>
                <w:rFonts w:ascii="Arial" w:cs="Arial" w:eastAsia="Arial" w:hAnsi="Arial"/>
                <w:sz w:val="18"/>
                <w:szCs w:val="18"/>
                <w:color w:val="auto"/>
              </w:rPr>
              <w:t>Other Power Suppliers</w:t>
            </w:r>
          </w:p>
        </w:tc>
        <w:tc>
          <w:tcPr>
            <w:tcW w:w="2400" w:type="dxa"/>
            <w:vAlign w:val="bottom"/>
          </w:tcPr>
          <w:p>
            <w:pPr>
              <w:jc w:val="right"/>
              <w:ind w:right="470"/>
              <w:spacing w:after="0"/>
              <w:rPr>
                <w:sz w:val="20"/>
                <w:szCs w:val="20"/>
                <w:color w:val="auto"/>
              </w:rPr>
            </w:pPr>
            <w:r>
              <w:rPr>
                <w:rFonts w:ascii="Arial" w:cs="Arial" w:eastAsia="Arial" w:hAnsi="Arial"/>
                <w:sz w:val="18"/>
                <w:szCs w:val="18"/>
                <w:color w:val="auto"/>
              </w:rPr>
              <w:t>758</w:t>
            </w:r>
          </w:p>
        </w:tc>
        <w:tc>
          <w:tcPr>
            <w:tcW w:w="1400" w:type="dxa"/>
            <w:vAlign w:val="bottom"/>
          </w:tcPr>
          <w:p>
            <w:pPr>
              <w:jc w:val="right"/>
              <w:ind w:right="270"/>
              <w:spacing w:after="0"/>
              <w:rPr>
                <w:sz w:val="20"/>
                <w:szCs w:val="20"/>
                <w:color w:val="auto"/>
              </w:rPr>
            </w:pPr>
            <w:r>
              <w:rPr>
                <w:rFonts w:ascii="Arial" w:cs="Arial" w:eastAsia="Arial" w:hAnsi="Arial"/>
                <w:sz w:val="18"/>
                <w:szCs w:val="18"/>
                <w:color w:val="auto"/>
              </w:rPr>
              <w:t>968</w:t>
            </w:r>
          </w:p>
        </w:tc>
        <w:tc>
          <w:tcPr>
            <w:tcW w:w="2000" w:type="dxa"/>
            <w:vAlign w:val="bottom"/>
          </w:tcPr>
          <w:p>
            <w:pPr>
              <w:jc w:val="right"/>
              <w:ind w:right="670"/>
              <w:spacing w:after="0"/>
              <w:rPr>
                <w:sz w:val="20"/>
                <w:szCs w:val="20"/>
                <w:color w:val="auto"/>
              </w:rPr>
            </w:pPr>
            <w:r>
              <w:rPr>
                <w:rFonts w:ascii="Arial" w:cs="Arial" w:eastAsia="Arial" w:hAnsi="Arial"/>
                <w:sz w:val="18"/>
                <w:szCs w:val="18"/>
                <w:color w:val="auto"/>
              </w:rPr>
              <w:t>2,294</w:t>
            </w:r>
          </w:p>
        </w:tc>
        <w:tc>
          <w:tcPr>
            <w:tcW w:w="1100" w:type="dxa"/>
            <w:vAlign w:val="bottom"/>
          </w:tcPr>
          <w:p>
            <w:pPr>
              <w:jc w:val="right"/>
              <w:ind w:right="170"/>
              <w:spacing w:after="0"/>
              <w:rPr>
                <w:sz w:val="20"/>
                <w:szCs w:val="20"/>
                <w:color w:val="auto"/>
              </w:rPr>
            </w:pPr>
            <w:r>
              <w:rPr>
                <w:rFonts w:ascii="Arial" w:cs="Arial" w:eastAsia="Arial" w:hAnsi="Arial"/>
                <w:sz w:val="18"/>
                <w:szCs w:val="18"/>
                <w:color w:val="auto"/>
              </w:rPr>
              <w:t>2,976</w:t>
            </w:r>
          </w:p>
        </w:tc>
      </w:tr>
      <w:tr>
        <w:trPr>
          <w:trHeight w:val="27"/>
        </w:trPr>
        <w:tc>
          <w:tcPr>
            <w:tcW w:w="452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4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Regulated Utility Kilowatt-hours Sold</w:t>
            </w:r>
          </w:p>
        </w:tc>
        <w:tc>
          <w:tcPr>
            <w:tcW w:w="240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3,315</w:t>
            </w:r>
          </w:p>
        </w:tc>
        <w:tc>
          <w:tcPr>
            <w:tcW w:w="14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3,578</w:t>
            </w:r>
          </w:p>
        </w:tc>
        <w:tc>
          <w:tcPr>
            <w:tcW w:w="200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rPr>
              <w:t>10,074</w:t>
            </w:r>
          </w:p>
        </w:tc>
        <w:tc>
          <w:tcPr>
            <w:tcW w:w="11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10,908</w:t>
            </w:r>
          </w:p>
        </w:tc>
      </w:tr>
      <w:tr>
        <w:trPr>
          <w:trHeight w:val="588"/>
        </w:trPr>
        <w:tc>
          <w:tcPr>
            <w:tcW w:w="45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Regulated Utility Revenue</w:t>
            </w:r>
          </w:p>
        </w:tc>
        <w:tc>
          <w:tcPr>
            <w:tcW w:w="240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20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r>
      <w:tr>
        <w:trPr>
          <w:trHeight w:val="27"/>
        </w:trPr>
        <w:tc>
          <w:tcPr>
            <w:tcW w:w="452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4520" w:type="dxa"/>
            <w:vAlign w:val="bottom"/>
          </w:tcPr>
          <w:p>
            <w:pPr>
              <w:ind w:left="40"/>
              <w:spacing w:after="0"/>
              <w:rPr>
                <w:sz w:val="20"/>
                <w:szCs w:val="20"/>
                <w:color w:val="auto"/>
              </w:rPr>
            </w:pPr>
            <w:r>
              <w:rPr>
                <w:rFonts w:ascii="Arial" w:cs="Arial" w:eastAsia="Arial" w:hAnsi="Arial"/>
                <w:sz w:val="18"/>
                <w:szCs w:val="18"/>
                <w:color w:val="auto"/>
              </w:rPr>
              <w:t>Millions</w:t>
            </w:r>
          </w:p>
        </w:tc>
        <w:tc>
          <w:tcPr>
            <w:tcW w:w="24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
        </w:trPr>
        <w:tc>
          <w:tcPr>
            <w:tcW w:w="45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Regulated Utility Revenue</w:t>
            </w:r>
          </w:p>
        </w:tc>
        <w:tc>
          <w:tcPr>
            <w:tcW w:w="24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4520" w:type="dxa"/>
            <w:vAlign w:val="bottom"/>
          </w:tcPr>
          <w:p>
            <w:pPr>
              <w:ind w:left="600"/>
              <w:spacing w:after="0"/>
              <w:rPr>
                <w:sz w:val="20"/>
                <w:szCs w:val="20"/>
                <w:color w:val="auto"/>
              </w:rPr>
            </w:pPr>
            <w:r>
              <w:rPr>
                <w:rFonts w:ascii="Arial" w:cs="Arial" w:eastAsia="Arial" w:hAnsi="Arial"/>
                <w:sz w:val="18"/>
                <w:szCs w:val="18"/>
                <w:color w:val="auto"/>
              </w:rPr>
              <w:t>Retail and Municipal Electric Revenue</w:t>
            </w:r>
          </w:p>
        </w:tc>
        <w:tc>
          <w:tcPr>
            <w:tcW w:w="24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45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52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Residential</w:t>
            </w:r>
          </w:p>
        </w:tc>
        <w:tc>
          <w:tcPr>
            <w:tcW w:w="240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$27.6</w:t>
            </w:r>
          </w:p>
        </w:tc>
        <w:tc>
          <w:tcPr>
            <w:tcW w:w="14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$29.0</w:t>
            </w:r>
          </w:p>
        </w:tc>
        <w:tc>
          <w:tcPr>
            <w:tcW w:w="200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rPr>
              <w:t>$94.0</w:t>
            </w:r>
          </w:p>
        </w:tc>
        <w:tc>
          <w:tcPr>
            <w:tcW w:w="11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$92.5</w:t>
            </w:r>
          </w:p>
        </w:tc>
      </w:tr>
      <w:tr>
        <w:trPr>
          <w:trHeight w:val="243"/>
        </w:trPr>
        <w:tc>
          <w:tcPr>
            <w:tcW w:w="4520" w:type="dxa"/>
            <w:vAlign w:val="bottom"/>
          </w:tcPr>
          <w:p>
            <w:pPr>
              <w:ind w:left="1040"/>
              <w:spacing w:after="0"/>
              <w:rPr>
                <w:sz w:val="20"/>
                <w:szCs w:val="20"/>
                <w:color w:val="auto"/>
              </w:rPr>
            </w:pPr>
            <w:r>
              <w:rPr>
                <w:rFonts w:ascii="Arial" w:cs="Arial" w:eastAsia="Arial" w:hAnsi="Arial"/>
                <w:sz w:val="18"/>
                <w:szCs w:val="18"/>
                <w:color w:val="auto"/>
              </w:rPr>
              <w:t>Commercial</w:t>
            </w:r>
          </w:p>
        </w:tc>
        <w:tc>
          <w:tcPr>
            <w:tcW w:w="2400" w:type="dxa"/>
            <w:vAlign w:val="bottom"/>
          </w:tcPr>
          <w:p>
            <w:pPr>
              <w:jc w:val="right"/>
              <w:ind w:right="470"/>
              <w:spacing w:after="0"/>
              <w:rPr>
                <w:sz w:val="20"/>
                <w:szCs w:val="20"/>
                <w:color w:val="auto"/>
              </w:rPr>
            </w:pPr>
            <w:r>
              <w:rPr>
                <w:rFonts w:ascii="Arial" w:cs="Arial" w:eastAsia="Arial" w:hAnsi="Arial"/>
                <w:sz w:val="18"/>
                <w:szCs w:val="18"/>
                <w:color w:val="auto"/>
              </w:rPr>
              <w:t>36.0</w:t>
            </w:r>
          </w:p>
        </w:tc>
        <w:tc>
          <w:tcPr>
            <w:tcW w:w="1400" w:type="dxa"/>
            <w:vAlign w:val="bottom"/>
          </w:tcPr>
          <w:p>
            <w:pPr>
              <w:jc w:val="right"/>
              <w:ind w:right="270"/>
              <w:spacing w:after="0"/>
              <w:rPr>
                <w:sz w:val="20"/>
                <w:szCs w:val="20"/>
                <w:color w:val="auto"/>
              </w:rPr>
            </w:pPr>
            <w:r>
              <w:rPr>
                <w:rFonts w:ascii="Arial" w:cs="Arial" w:eastAsia="Arial" w:hAnsi="Arial"/>
                <w:sz w:val="18"/>
                <w:szCs w:val="18"/>
                <w:color w:val="auto"/>
              </w:rPr>
              <w:t>37.2</w:t>
            </w:r>
          </w:p>
        </w:tc>
        <w:tc>
          <w:tcPr>
            <w:tcW w:w="2000" w:type="dxa"/>
            <w:vAlign w:val="bottom"/>
          </w:tcPr>
          <w:p>
            <w:pPr>
              <w:jc w:val="right"/>
              <w:ind w:right="670"/>
              <w:spacing w:after="0"/>
              <w:rPr>
                <w:sz w:val="20"/>
                <w:szCs w:val="20"/>
                <w:color w:val="auto"/>
              </w:rPr>
            </w:pPr>
            <w:r>
              <w:rPr>
                <w:rFonts w:ascii="Arial" w:cs="Arial" w:eastAsia="Arial" w:hAnsi="Arial"/>
                <w:sz w:val="18"/>
                <w:szCs w:val="18"/>
                <w:color w:val="auto"/>
              </w:rPr>
              <w:t>106.1</w:t>
            </w:r>
          </w:p>
        </w:tc>
        <w:tc>
          <w:tcPr>
            <w:tcW w:w="1100" w:type="dxa"/>
            <w:vAlign w:val="bottom"/>
          </w:tcPr>
          <w:p>
            <w:pPr>
              <w:jc w:val="right"/>
              <w:ind w:right="170"/>
              <w:spacing w:after="0"/>
              <w:rPr>
                <w:sz w:val="20"/>
                <w:szCs w:val="20"/>
                <w:color w:val="auto"/>
              </w:rPr>
            </w:pPr>
            <w:r>
              <w:rPr>
                <w:rFonts w:ascii="Arial" w:cs="Arial" w:eastAsia="Arial" w:hAnsi="Arial"/>
                <w:sz w:val="18"/>
                <w:szCs w:val="18"/>
                <w:color w:val="auto"/>
              </w:rPr>
              <w:t>106.4</w:t>
            </w:r>
          </w:p>
        </w:tc>
      </w:tr>
      <w:tr>
        <w:trPr>
          <w:trHeight w:val="27"/>
        </w:trPr>
        <w:tc>
          <w:tcPr>
            <w:tcW w:w="45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52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Industrial</w:t>
            </w:r>
          </w:p>
        </w:tc>
        <w:tc>
          <w:tcPr>
            <w:tcW w:w="240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115.4</w:t>
            </w:r>
          </w:p>
        </w:tc>
        <w:tc>
          <w:tcPr>
            <w:tcW w:w="14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116.9</w:t>
            </w:r>
          </w:p>
        </w:tc>
        <w:tc>
          <w:tcPr>
            <w:tcW w:w="200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rPr>
              <w:t>356.0</w:t>
            </w:r>
          </w:p>
        </w:tc>
        <w:tc>
          <w:tcPr>
            <w:tcW w:w="11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344.9</w:t>
            </w:r>
          </w:p>
        </w:tc>
      </w:tr>
      <w:tr>
        <w:trPr>
          <w:trHeight w:val="243"/>
        </w:trPr>
        <w:tc>
          <w:tcPr>
            <w:tcW w:w="4520" w:type="dxa"/>
            <w:vAlign w:val="bottom"/>
          </w:tcPr>
          <w:p>
            <w:pPr>
              <w:ind w:left="1040"/>
              <w:spacing w:after="0"/>
              <w:rPr>
                <w:sz w:val="20"/>
                <w:szCs w:val="20"/>
                <w:color w:val="auto"/>
              </w:rPr>
            </w:pPr>
            <w:r>
              <w:rPr>
                <w:rFonts w:ascii="Arial" w:cs="Arial" w:eastAsia="Arial" w:hAnsi="Arial"/>
                <w:sz w:val="18"/>
                <w:szCs w:val="18"/>
                <w:color w:val="auto"/>
              </w:rPr>
              <w:t>Municipal</w:t>
            </w:r>
          </w:p>
        </w:tc>
        <w:tc>
          <w:tcPr>
            <w:tcW w:w="2400" w:type="dxa"/>
            <w:vAlign w:val="bottom"/>
          </w:tcPr>
          <w:p>
            <w:pPr>
              <w:jc w:val="right"/>
              <w:ind w:right="470"/>
              <w:spacing w:after="0"/>
              <w:rPr>
                <w:sz w:val="20"/>
                <w:szCs w:val="20"/>
                <w:color w:val="auto"/>
              </w:rPr>
            </w:pPr>
            <w:r>
              <w:rPr>
                <w:rFonts w:ascii="Arial" w:cs="Arial" w:eastAsia="Arial" w:hAnsi="Arial"/>
                <w:sz w:val="18"/>
                <w:szCs w:val="18"/>
                <w:color w:val="auto"/>
              </w:rPr>
              <w:t>11.8</w:t>
            </w:r>
          </w:p>
        </w:tc>
        <w:tc>
          <w:tcPr>
            <w:tcW w:w="1400" w:type="dxa"/>
            <w:vAlign w:val="bottom"/>
          </w:tcPr>
          <w:p>
            <w:pPr>
              <w:jc w:val="right"/>
              <w:ind w:right="270"/>
              <w:spacing w:after="0"/>
              <w:rPr>
                <w:sz w:val="20"/>
                <w:szCs w:val="20"/>
                <w:color w:val="auto"/>
              </w:rPr>
            </w:pPr>
            <w:r>
              <w:rPr>
                <w:rFonts w:ascii="Arial" w:cs="Arial" w:eastAsia="Arial" w:hAnsi="Arial"/>
                <w:sz w:val="18"/>
                <w:szCs w:val="18"/>
                <w:color w:val="auto"/>
              </w:rPr>
              <w:t>14.2</w:t>
            </w:r>
          </w:p>
        </w:tc>
        <w:tc>
          <w:tcPr>
            <w:tcW w:w="2000" w:type="dxa"/>
            <w:vAlign w:val="bottom"/>
          </w:tcPr>
          <w:p>
            <w:pPr>
              <w:jc w:val="right"/>
              <w:ind w:right="670"/>
              <w:spacing w:after="0"/>
              <w:rPr>
                <w:sz w:val="20"/>
                <w:szCs w:val="20"/>
                <w:color w:val="auto"/>
              </w:rPr>
            </w:pPr>
            <w:r>
              <w:rPr>
                <w:rFonts w:ascii="Arial" w:cs="Arial" w:eastAsia="Arial" w:hAnsi="Arial"/>
                <w:sz w:val="18"/>
                <w:szCs w:val="18"/>
                <w:color w:val="auto"/>
              </w:rPr>
              <w:t>39.4</w:t>
            </w:r>
          </w:p>
        </w:tc>
        <w:tc>
          <w:tcPr>
            <w:tcW w:w="1100" w:type="dxa"/>
            <w:vAlign w:val="bottom"/>
          </w:tcPr>
          <w:p>
            <w:pPr>
              <w:jc w:val="right"/>
              <w:ind w:right="170"/>
              <w:spacing w:after="0"/>
              <w:rPr>
                <w:sz w:val="20"/>
                <w:szCs w:val="20"/>
                <w:color w:val="auto"/>
              </w:rPr>
            </w:pPr>
            <w:r>
              <w:rPr>
                <w:rFonts w:ascii="Arial" w:cs="Arial" w:eastAsia="Arial" w:hAnsi="Arial"/>
                <w:sz w:val="18"/>
                <w:szCs w:val="18"/>
                <w:color w:val="auto"/>
              </w:rPr>
              <w:t>41.9</w:t>
            </w:r>
          </w:p>
        </w:tc>
      </w:tr>
      <w:tr>
        <w:trPr>
          <w:trHeight w:val="27"/>
        </w:trPr>
        <w:tc>
          <w:tcPr>
            <w:tcW w:w="452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45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Retail and Municipal Electric Revenue</w:t>
            </w:r>
          </w:p>
        </w:tc>
        <w:tc>
          <w:tcPr>
            <w:tcW w:w="240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190.8</w:t>
            </w:r>
          </w:p>
        </w:tc>
        <w:tc>
          <w:tcPr>
            <w:tcW w:w="14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197.3</w:t>
            </w:r>
          </w:p>
        </w:tc>
        <w:tc>
          <w:tcPr>
            <w:tcW w:w="200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rPr>
              <w:t>595.5</w:t>
            </w:r>
          </w:p>
        </w:tc>
        <w:tc>
          <w:tcPr>
            <w:tcW w:w="11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585.7</w:t>
            </w:r>
          </w:p>
        </w:tc>
      </w:tr>
      <w:tr>
        <w:trPr>
          <w:trHeight w:val="243"/>
        </w:trPr>
        <w:tc>
          <w:tcPr>
            <w:tcW w:w="4520" w:type="dxa"/>
            <w:vAlign w:val="bottom"/>
          </w:tcPr>
          <w:p>
            <w:pPr>
              <w:ind w:left="600"/>
              <w:spacing w:after="0"/>
              <w:rPr>
                <w:sz w:val="20"/>
                <w:szCs w:val="20"/>
                <w:color w:val="auto"/>
              </w:rPr>
            </w:pPr>
            <w:r>
              <w:rPr>
                <w:rFonts w:ascii="Arial" w:cs="Arial" w:eastAsia="Arial" w:hAnsi="Arial"/>
                <w:sz w:val="18"/>
                <w:szCs w:val="18"/>
                <w:color w:val="auto"/>
              </w:rPr>
              <w:t>Other Power Suppliers</w:t>
            </w:r>
          </w:p>
        </w:tc>
        <w:tc>
          <w:tcPr>
            <w:tcW w:w="2400" w:type="dxa"/>
            <w:vAlign w:val="bottom"/>
          </w:tcPr>
          <w:p>
            <w:pPr>
              <w:jc w:val="right"/>
              <w:ind w:right="470"/>
              <w:spacing w:after="0"/>
              <w:rPr>
                <w:sz w:val="20"/>
                <w:szCs w:val="20"/>
                <w:color w:val="auto"/>
              </w:rPr>
            </w:pPr>
            <w:r>
              <w:rPr>
                <w:rFonts w:ascii="Arial" w:cs="Arial" w:eastAsia="Arial" w:hAnsi="Arial"/>
                <w:sz w:val="18"/>
                <w:szCs w:val="18"/>
                <w:color w:val="auto"/>
              </w:rPr>
              <w:t>37.3</w:t>
            </w:r>
          </w:p>
        </w:tc>
        <w:tc>
          <w:tcPr>
            <w:tcW w:w="1400" w:type="dxa"/>
            <w:vAlign w:val="bottom"/>
          </w:tcPr>
          <w:p>
            <w:pPr>
              <w:jc w:val="right"/>
              <w:ind w:right="270"/>
              <w:spacing w:after="0"/>
              <w:rPr>
                <w:sz w:val="20"/>
                <w:szCs w:val="20"/>
                <w:color w:val="auto"/>
              </w:rPr>
            </w:pPr>
            <w:r>
              <w:rPr>
                <w:rFonts w:ascii="Arial" w:cs="Arial" w:eastAsia="Arial" w:hAnsi="Arial"/>
                <w:sz w:val="18"/>
                <w:szCs w:val="18"/>
                <w:color w:val="auto"/>
              </w:rPr>
              <w:t>40.9</w:t>
            </w:r>
          </w:p>
        </w:tc>
        <w:tc>
          <w:tcPr>
            <w:tcW w:w="2000" w:type="dxa"/>
            <w:vAlign w:val="bottom"/>
          </w:tcPr>
          <w:p>
            <w:pPr>
              <w:jc w:val="right"/>
              <w:ind w:right="670"/>
              <w:spacing w:after="0"/>
              <w:rPr>
                <w:sz w:val="20"/>
                <w:szCs w:val="20"/>
                <w:color w:val="auto"/>
              </w:rPr>
            </w:pPr>
            <w:r>
              <w:rPr>
                <w:rFonts w:ascii="Arial" w:cs="Arial" w:eastAsia="Arial" w:hAnsi="Arial"/>
                <w:sz w:val="18"/>
                <w:szCs w:val="18"/>
                <w:color w:val="auto"/>
              </w:rPr>
              <w:t>111.9</w:t>
            </w:r>
          </w:p>
        </w:tc>
        <w:tc>
          <w:tcPr>
            <w:tcW w:w="1100" w:type="dxa"/>
            <w:vAlign w:val="bottom"/>
          </w:tcPr>
          <w:p>
            <w:pPr>
              <w:jc w:val="right"/>
              <w:ind w:right="170"/>
              <w:spacing w:after="0"/>
              <w:rPr>
                <w:sz w:val="20"/>
                <w:szCs w:val="20"/>
                <w:color w:val="auto"/>
              </w:rPr>
            </w:pPr>
            <w:r>
              <w:rPr>
                <w:rFonts w:ascii="Arial" w:cs="Arial" w:eastAsia="Arial" w:hAnsi="Arial"/>
                <w:sz w:val="18"/>
                <w:szCs w:val="18"/>
                <w:color w:val="auto"/>
              </w:rPr>
              <w:t>127.3</w:t>
            </w:r>
          </w:p>
        </w:tc>
      </w:tr>
      <w:tr>
        <w:trPr>
          <w:trHeight w:val="27"/>
        </w:trPr>
        <w:tc>
          <w:tcPr>
            <w:tcW w:w="45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45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Other (Includes Water and Gas Revenue)</w:t>
            </w:r>
          </w:p>
        </w:tc>
        <w:tc>
          <w:tcPr>
            <w:tcW w:w="240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26.0</w:t>
            </w:r>
          </w:p>
        </w:tc>
        <w:tc>
          <w:tcPr>
            <w:tcW w:w="14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23.1</w:t>
            </w:r>
          </w:p>
        </w:tc>
        <w:tc>
          <w:tcPr>
            <w:tcW w:w="200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rPr>
              <w:t>78.7</w:t>
            </w:r>
          </w:p>
        </w:tc>
        <w:tc>
          <w:tcPr>
            <w:tcW w:w="11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76.3</w:t>
            </w:r>
          </w:p>
        </w:tc>
      </w:tr>
      <w:tr>
        <w:trPr>
          <w:trHeight w:val="237"/>
        </w:trPr>
        <w:tc>
          <w:tcPr>
            <w:tcW w:w="452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Regulated Utility Revenue</w:t>
            </w:r>
          </w:p>
        </w:tc>
        <w:tc>
          <w:tcPr>
            <w:tcW w:w="240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rPr>
              <w:t>$254.1</w:t>
            </w:r>
          </w:p>
        </w:tc>
        <w:tc>
          <w:tcPr>
            <w:tcW w:w="140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$261.3</w:t>
            </w:r>
          </w:p>
        </w:tc>
        <w:tc>
          <w:tcPr>
            <w:tcW w:w="2000" w:type="dxa"/>
            <w:vAlign w:val="bottom"/>
            <w:tcBorders>
              <w:top w:val="single" w:sz="8" w:color="auto"/>
            </w:tcBorders>
          </w:tcPr>
          <w:p>
            <w:pPr>
              <w:jc w:val="right"/>
              <w:ind w:right="670"/>
              <w:spacing w:after="0"/>
              <w:rPr>
                <w:sz w:val="20"/>
                <w:szCs w:val="20"/>
                <w:color w:val="auto"/>
              </w:rPr>
            </w:pPr>
            <w:r>
              <w:rPr>
                <w:rFonts w:ascii="Arial" w:cs="Arial" w:eastAsia="Arial" w:hAnsi="Arial"/>
                <w:sz w:val="18"/>
                <w:szCs w:val="18"/>
                <w:color w:val="auto"/>
              </w:rPr>
              <w:t>$786.1</w:t>
            </w:r>
          </w:p>
        </w:tc>
        <w:tc>
          <w:tcPr>
            <w:tcW w:w="11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$789.3</w:t>
            </w:r>
          </w:p>
        </w:tc>
      </w:tr>
      <w:tr>
        <w:trPr>
          <w:trHeight w:val="27"/>
        </w:trPr>
        <w:tc>
          <w:tcPr>
            <w:tcW w:w="452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192" w:lineRule="exact"/>
        <w:rPr>
          <w:sz w:val="20"/>
          <w:szCs w:val="20"/>
          <w:color w:val="auto"/>
        </w:rPr>
      </w:pPr>
    </w:p>
    <w:p>
      <w:pPr>
        <w:ind w:right="320"/>
        <w:spacing w:after="0" w:line="351" w:lineRule="auto"/>
        <w:rPr>
          <w:sz w:val="20"/>
          <w:szCs w:val="20"/>
          <w:color w:val="auto"/>
        </w:rPr>
      </w:pPr>
      <w:r>
        <w:rPr>
          <w:rFonts w:ascii="Arial" w:cs="Arial" w:eastAsia="Arial" w:hAnsi="Arial"/>
          <w:sz w:val="15"/>
          <w:szCs w:val="15"/>
          <w:b w:val="1"/>
          <w:bCs w:val="1"/>
          <w:color w:val="auto"/>
        </w:rPr>
        <w:t>This exhibit has been furnished and shall not be deemed “filed” for purposes of Section 18 of the Securities Exchange Act of 1934, nor shall it be deemed incorporated by reference in any filing under the Securities Act of 1933, except as shall be expressly set forth by specific reference in such filing.</w:t>
      </w:r>
    </w:p>
    <w:sectPr>
      <w:pgSz w:w="11900" w:h="16838" w:orient="portrait"/>
      <w:cols w:equalWidth="0" w:num="1">
        <w:col w:w="11420"/>
      </w:cols>
      <w:pgMar w:left="240" w:top="122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9BE4F1"/>
    <w:multiLevelType w:val="hybridMultilevel"/>
    <w:lvl w:ilvl="0">
      <w:lvlJc w:val="left"/>
      <w:lvlText w:val="☒"/>
      <w:numFmt w:val="bullet"/>
      <w:start w:val="1"/>
    </w:lvl>
  </w:abstractNum>
  <w:abstractNum w:abstractNumId="1">
    <w:nsid w:val="310C50B3"/>
    <w:multiLevelType w:val="hybridMultilevel"/>
    <w:lvl w:ilvl="0">
      <w:lvlJc w:val="left"/>
      <w:lvlText w:val="☐"/>
      <w:numFmt w:val="bullet"/>
      <w:start w:val="1"/>
    </w:lvl>
  </w:abstractNum>
  <w:abstractNum w:abstractNumId="2">
    <w:nsid w:val="5FF87E05"/>
    <w:multiLevelType w:val="hybridMultilevel"/>
    <w:lvl w:ilvl="0">
      <w:lvlJc w:val="left"/>
      <w:lvlText w:val="•"/>
      <w:numFmt w:val="bullet"/>
      <w:start w:val="1"/>
    </w:lvl>
  </w:abstractNum>
  <w:abstractNum w:abstractNumId="3">
    <w:nsid w:val="2F305DEF"/>
    <w:multiLevelType w:val="hybridMultilevel"/>
    <w:lvl w:ilvl="0">
      <w:lvlJc w:val="left"/>
      <w:lvlText w:val="(%1)"/>
      <w:numFmt w:val="lowerLetter"/>
      <w:start w:val="1"/>
    </w:lvl>
  </w:abstractNum>
  <w:abstractNum w:abstractNumId="4">
    <w:nsid w:val="25A70BF7"/>
    <w:multiLevelType w:val="hybridMultilevel"/>
    <w:lvl w:ilvl="0">
      <w:lvlJc w:val="left"/>
      <w:lvlText w:val="(%1)"/>
      <w:numFmt w:val="lowerLetter"/>
      <w:start w:val="1"/>
    </w:lvl>
  </w:abstractNum>
  <w:abstractNum w:abstractNumId="5">
    <w:nsid w:val="1DBABF00"/>
    <w:multiLevelType w:val="hybridMultilevel"/>
    <w:lvl w:ilvl="0">
      <w:lvlJc w:val="left"/>
      <w:lvlText w:val="(%1)"/>
      <w:numFmt w:val="lowerLetter"/>
      <w:start w:val="1"/>
    </w:lvl>
  </w:abstractNum>
  <w:abstractNum w:abstractNumId="6">
    <w:nsid w:val="4AD084E9"/>
    <w:multiLevelType w:val="hybridMultilevel"/>
    <w:lvl w:ilvl="0">
      <w:lvlJc w:val="left"/>
      <w:lvlText w:val="(%1)"/>
      <w:numFmt w:val="lowerLetter"/>
      <w:start w:val="1"/>
    </w:lvl>
  </w:abstractNum>
  <w:abstractNum w:abstractNumId="7">
    <w:nsid w:val="1F48EAA1"/>
    <w:multiLevelType w:val="hybridMultilevel"/>
    <w:lvl w:ilvl="0">
      <w:lvlJc w:val="left"/>
      <w:lvlText w:val="(%1)"/>
      <w:numFmt w:val="lowerLetter"/>
      <w:start w:val="1"/>
    </w:lvl>
  </w:abstractNum>
  <w:abstractNum w:abstractNumId="8">
    <w:nsid w:val="1381823A"/>
    <w:multiLevelType w:val="hybridMultilevel"/>
    <w:lvl w:ilvl="0">
      <w:lvlJc w:val="left"/>
      <w:lvlText w:val="(%1)"/>
      <w:numFmt w:val="lowerLetter"/>
      <w:start w:val="1"/>
    </w:lvl>
  </w:abstractNum>
  <w:abstractNum w:abstractNumId="9">
    <w:nsid w:val="5DB70AE5"/>
    <w:multiLevelType w:val="hybridMultilevel"/>
    <w:lvl w:ilvl="0">
      <w:lvlJc w:val="left"/>
      <w:lvlText w:val="(%1)"/>
      <w:numFmt w:val="lowerLetter"/>
      <w:start w:val="1"/>
    </w:lvl>
  </w:abstractNum>
  <w:abstractNum w:abstractNumId="10">
    <w:nsid w:val="100F8FCA"/>
    <w:multiLevelType w:val="hybridMultilevel"/>
    <w:lvl w:ilvl="0">
      <w:lvlJc w:val="left"/>
      <w:lvlText w:val="•"/>
      <w:numFmt w:val="bullet"/>
      <w:start w:val="1"/>
    </w:lvl>
  </w:abstractNum>
  <w:abstractNum w:abstractNumId="11">
    <w:nsid w:val="6590700B"/>
    <w:multiLevelType w:val="hybridMultilevel"/>
    <w:lvl w:ilvl="0">
      <w:lvlJc w:val="left"/>
      <w:lvlText w:val="(%1)"/>
      <w:numFmt w:val="lowerLetter"/>
      <w:start w:val="1"/>
    </w:lvl>
  </w:abstractNum>
  <w:abstractNum w:abstractNumId="12">
    <w:nsid w:val="15014ACB"/>
    <w:multiLevelType w:val="hybridMultilevel"/>
    <w:lvl w:ilvl="0">
      <w:lvlJc w:val="left"/>
      <w:lvlText w:val="(%1)"/>
      <w:numFmt w:val="lowerLetter"/>
      <w:start w:val="1"/>
    </w:lvl>
  </w:abstractNum>
  <w:abstractNum w:abstractNumId="13">
    <w:nsid w:val="5F5E7FD0"/>
    <w:multiLevelType w:val="hybridMultilevel"/>
    <w:lvl w:ilvl="0">
      <w:lvlJc w:val="left"/>
      <w:lvlText w:val="4"/>
      <w:numFmt w:val="bullet"/>
      <w:start w:val="1"/>
    </w:lvl>
  </w:abstractNum>
  <w:abstractNum w:abstractNumId="14">
    <w:nsid w:val="98A3148"/>
    <w:multiLevelType w:val="hybridMultilevel"/>
    <w:lvl w:ilvl="0">
      <w:lvlJc w:val="left"/>
      <w:lvlText w:val="%1"/>
      <w:numFmt w:val="decimal"/>
      <w:start w:val="32"/>
    </w:lvl>
  </w:abstractNum>
  <w:abstractNum w:abstractNumId="15">
    <w:nsid w:val="799D0247"/>
    <w:multiLevelType w:val="hybridMultilevel"/>
    <w:lvl w:ilvl="0">
      <w:lvlJc w:val="left"/>
      <w:lvlText w:val="%1"/>
      <w:numFmt w:val="decimal"/>
      <w:start w:val="99"/>
    </w:lvl>
  </w:abstractNum>
  <w:abstractNum w:abstractNumId="16">
    <w:nsid w:val="6B94764"/>
    <w:multiLevelType w:val="hybridMultilevel"/>
    <w:lvl w:ilvl="0">
      <w:lvlJc w:val="left"/>
      <w:lvlText w:val="(%1)"/>
      <w:numFmt w:val="lowerLetter"/>
      <w:start w:val="2"/>
    </w:lvl>
  </w:abstractNum>
  <w:abstractNum w:abstractNumId="17">
    <w:nsid w:val="42C296BD"/>
    <w:multiLevelType w:val="hybridMultilevel"/>
    <w:lvl w:ilvl="0">
      <w:lvlJc w:val="left"/>
      <w:lvlText w:val="(%1)"/>
      <w:numFmt w:val="lowerRoman"/>
      <w:start w:val="1"/>
    </w:lvl>
  </w:abstractNum>
  <w:abstractNum w:abstractNumId="18">
    <w:nsid w:val="168E121F"/>
    <w:multiLevelType w:val="hybridMultilevel"/>
    <w:lvl w:ilvl="0">
      <w:lvlJc w:val="left"/>
      <w:lvlText w:val="(%1)"/>
      <w:numFmt w:val="decimal"/>
      <w:start w:val="3"/>
    </w:lvl>
  </w:abstractNum>
  <w:abstractNum w:abstractNumId="19">
    <w:nsid w:val="1EBA5D23"/>
    <w:multiLevelType w:val="hybridMultilevel"/>
    <w:lvl w:ilvl="0">
      <w:lvlJc w:val="left"/>
      <w:lvlText w:val="(%1)"/>
      <w:numFmt w:val="lowerLetter"/>
      <w:start w:val="2"/>
    </w:lvl>
  </w:abstractNum>
  <w:abstractNum w:abstractNumId="20">
    <w:nsid w:val="661E3F1E"/>
    <w:multiLevelType w:val="hybridMultilevel"/>
    <w:lvl w:ilvl="0">
      <w:lvlJc w:val="left"/>
      <w:lvlText w:val="(%1)"/>
      <w:numFmt w:val="lowerLetter"/>
      <w:start w:val="2"/>
    </w:lvl>
  </w:abstractNum>
  <w:abstractNum w:abstractNumId="21">
    <w:nsid w:val="5DC79EA8"/>
    <w:multiLevelType w:val="hybridMultilevel"/>
    <w:lvl w:ilvl="0">
      <w:lvlJc w:val="left"/>
      <w:lvlText w:val="(%1)"/>
      <w:numFmt w:val="lowerLetter"/>
      <w:start w:val="2"/>
    </w:lvl>
  </w:abstractNum>
  <w:abstractNum w:abstractNumId="22">
    <w:nsid w:val="540A471C"/>
    <w:multiLevelType w:val="hybridMultilevel"/>
    <w:lvl w:ilvl="0">
      <w:lvlJc w:val="left"/>
      <w:lvlText w:val="(%1)"/>
      <w:numFmt w:val="lowerLetter"/>
      <w:start w:val="1"/>
    </w:lvl>
  </w:abstractNum>
  <w:abstractNum w:abstractNumId="23">
    <w:nsid w:val="7BD3EE7B"/>
    <w:multiLevelType w:val="hybridMultilevel"/>
    <w:lvl w:ilvl="0">
      <w:lvlJc w:val="left"/>
      <w:lvlText w:val="(%1)"/>
      <w:numFmt w:val="lowerLetter"/>
      <w:start w:val="7"/>
    </w:lvl>
  </w:abstractNum>
  <w:abstractNum w:abstractNumId="24">
    <w:nsid w:val="51D9C564"/>
    <w:multiLevelType w:val="hybridMultilevel"/>
    <w:lvl w:ilvl="0">
      <w:lvlJc w:val="left"/>
      <w:lvlText w:val="(%1)"/>
      <w:numFmt w:val="lowerLetter"/>
      <w:start w:val="19"/>
    </w:lvl>
  </w:abstractNum>
  <w:abstractNum w:abstractNumId="25">
    <w:nsid w:val="613EFDC5"/>
    <w:multiLevelType w:val="hybridMultilevel"/>
    <w:lvl w:ilvl="0">
      <w:lvlJc w:val="left"/>
      <w:lvlText w:val="(%1)"/>
      <w:numFmt w:val="lowerRoman"/>
      <w:start w:val="2"/>
    </w:lvl>
  </w:abstractNum>
  <w:abstractNum w:abstractNumId="26">
    <w:nsid w:val="BF72B14"/>
    <w:multiLevelType w:val="hybridMultilevel"/>
    <w:lvl w:ilvl="0">
      <w:lvlJc w:val="left"/>
      <w:lvlText w:val="(%1)"/>
      <w:numFmt w:val="lowerLetter"/>
      <w:start w:val="2"/>
    </w:lvl>
  </w:abstractNum>
  <w:abstractNum w:abstractNumId="27">
    <w:nsid w:val="11447B73"/>
    <w:multiLevelType w:val="hybridMultilevel"/>
    <w:lvl w:ilvl="0">
      <w:lvlJc w:val="left"/>
      <w:lvlText w:val="%1."/>
      <w:numFmt w:val="lowerLetter"/>
      <w:start w:val="1"/>
    </w:lvl>
  </w:abstractNum>
  <w:abstractNum w:abstractNumId="28">
    <w:nsid w:val="42963E5A"/>
    <w:multiLevelType w:val="hybridMultilevel"/>
    <w:lvl w:ilvl="0">
      <w:lvlJc w:val="left"/>
      <w:lvlText w:val="(%1)"/>
      <w:numFmt w:val="lowerLetter"/>
      <w:start w:val="1"/>
    </w:lvl>
  </w:abstractNum>
  <w:abstractNum w:abstractNumId="29">
    <w:nsid w:val="A0382C5"/>
    <w:multiLevelType w:val="hybridMultilevel"/>
    <w:lvl w:ilvl="0">
      <w:lvlJc w:val="left"/>
      <w:lvlText w:val="%1."/>
      <w:numFmt w:val="lowerLetter"/>
      <w:start w:val="1"/>
    </w:lvl>
  </w:abstractNum>
  <w:abstractNum w:abstractNumId="30">
    <w:nsid w:val="8F2B15E"/>
    <w:multiLevelType w:val="hybridMultilevel"/>
    <w:lvl w:ilvl="0">
      <w:lvlJc w:val="left"/>
      <w:lvlText w:val="%1."/>
      <w:numFmt w:val="lowerLetter"/>
      <w:start w:val="1"/>
    </w:lvl>
  </w:abstractNum>
  <w:abstractNum w:abstractNumId="31">
    <w:nsid w:val="1A32234B"/>
    <w:multiLevelType w:val="hybridMultilevel"/>
    <w:lvl w:ilvl="0">
      <w:lvlJc w:val="left"/>
      <w:lvlText w:val="%1."/>
      <w:numFmt w:val="lowerLetter"/>
      <w:start w:val="5"/>
    </w:lvl>
  </w:abstractNum>
  <w:abstractNum w:abstractNumId="32">
    <w:nsid w:val="3B0FD379"/>
    <w:multiLevelType w:val="hybridMultilevel"/>
    <w:lvl w:ilvl="0">
      <w:lvlJc w:val="left"/>
      <w:lvlText w:val="%1."/>
      <w:numFmt w:val="lowerLetter"/>
      <w:start w:val="1"/>
    </w:lvl>
  </w:abstractNum>
  <w:abstractNum w:abstractNumId="33">
    <w:nsid w:val="68EB2F63"/>
    <w:multiLevelType w:val="hybridMultilevel"/>
    <w:lvl w:ilvl="0">
      <w:lvlJc w:val="left"/>
      <w:lvlText w:val="%1."/>
      <w:numFmt w:val="lowerLetter"/>
      <w:start w:val="1"/>
    </w:lvl>
  </w:abstractNum>
  <w:abstractNum w:abstractNumId="34">
    <w:nsid w:val="4962813B"/>
    <w:multiLevelType w:val="hybridMultilevel"/>
    <w:lvl w:ilvl="0">
      <w:lvlJc w:val="left"/>
      <w:lvlText w:val="%1"/>
      <w:numFmt w:val="lowerRoman"/>
      <w:start w:val="1"/>
    </w:lvl>
    <w:lvl w:ilvl="1">
      <w:lvlJc w:val="left"/>
      <w:lvlText w:val="%2."/>
      <w:numFmt w:val="lowerLetter"/>
      <w:start w:val="3"/>
    </w:lvl>
  </w:abstractNum>
  <w:abstractNum w:abstractNumId="35">
    <w:nsid w:val="60B6DF70"/>
    <w:multiLevelType w:val="hybridMultilevel"/>
    <w:lvl w:ilvl="0">
      <w:lvlJc w:val="left"/>
      <w:lvlText w:val="(%1)"/>
      <w:numFmt w:val="lowerRoman"/>
      <w:start w:val="1"/>
    </w:lvl>
    <w:lvl w:ilvl="1">
      <w:lvlJc w:val="left"/>
      <w:lvlText w:val="%2."/>
      <w:numFmt w:val="lowerLetter"/>
      <w:start w:val="4"/>
    </w:lvl>
  </w:abstractNum>
  <w:abstractNum w:abstractNumId="36">
    <w:nsid w:val="6A5EE64"/>
    <w:multiLevelType w:val="hybridMultilevel"/>
    <w:lvl w:ilvl="0">
      <w:lvlJc w:val="left"/>
      <w:lvlText w:val="(%1)"/>
      <w:numFmt w:val="lowerLetter"/>
      <w:start w:val="1"/>
    </w:lvl>
  </w:abstractNum>
  <w:abstractNum w:abstractNumId="37">
    <w:nsid w:val="14330624"/>
    <w:multiLevelType w:val="hybridMultilevel"/>
    <w:lvl w:ilvl="0">
      <w:lvlJc w:val="left"/>
      <w:lvlText w:val="(%1)"/>
      <w:numFmt w:val="lowerLetter"/>
      <w:start w:val="2"/>
    </w:lvl>
  </w:abstractNum>
  <w:abstractNum w:abstractNumId="38">
    <w:nsid w:val="7FFFCA11"/>
    <w:multiLevelType w:val="hybridMultilevel"/>
    <w:lvl w:ilvl="0">
      <w:lvlJc w:val="left"/>
      <w:lvlText w:val="%1."/>
      <w:numFmt w:val="lowerLetter"/>
      <w:start w:val="1"/>
    </w:lvl>
    <w:lvl w:ilvl="1">
      <w:lvlJc w:val="left"/>
      <w:lvlText w:val="%2."/>
      <w:numFmt w:val="lowerRoman"/>
      <w:start w:val="1"/>
    </w:lvl>
  </w:abstractNum>
  <w:abstractNum w:abstractNumId="39">
    <w:nsid w:val="1A27709E"/>
    <w:multiLevelType w:val="hybridMultilevel"/>
    <w:lvl w:ilvl="0">
      <w:lvlJc w:val="left"/>
      <w:lvlText w:val="%1."/>
      <w:numFmt w:val="lowerLetter"/>
      <w:start w:val="2"/>
    </w:lvl>
  </w:abstractNum>
  <w:abstractNum w:abstractNumId="40">
    <w:nsid w:val="71EA1109"/>
    <w:multiLevelType w:val="hybridMultilevel"/>
    <w:lvl w:ilvl="0">
      <w:lvlJc w:val="left"/>
      <w:lvlText w:val="%1."/>
      <w:numFmt w:val="lowerLetter"/>
      <w:start w:val="1"/>
    </w:lvl>
    <w:lvl w:ilvl="1">
      <w:lvlJc w:val="left"/>
      <w:lvlText w:val="%2."/>
      <w:numFmt w:val="lowerRoman"/>
      <w:start w:val="1"/>
    </w:lvl>
  </w:abstractNum>
  <w:abstractNum w:abstractNumId="41">
    <w:nsid w:val="100F59DC"/>
    <w:multiLevelType w:val="hybridMultilevel"/>
    <w:lvl w:ilvl="0">
      <w:lvlJc w:val="left"/>
      <w:lvlText w:val="%1."/>
      <w:numFmt w:val="lowerLetter"/>
      <w:start w:val="2"/>
    </w:lvl>
  </w:abstractNum>
  <w:abstractNum w:abstractNumId="42">
    <w:nsid w:val="7FB7E0AA"/>
    <w:multiLevelType w:val="hybridMultilevel"/>
    <w:lvl w:ilvl="0">
      <w:lvlJc w:val="left"/>
      <w:lvlText w:val="%1."/>
      <w:numFmt w:val="lowerLetter"/>
      <w:start w:val="3"/>
    </w:lvl>
  </w:abstractNum>
  <w:abstractNum w:abstractNumId="43">
    <w:nsid w:val="6EB5BD4"/>
    <w:multiLevelType w:val="hybridMultilevel"/>
    <w:lvl w:ilvl="0">
      <w:lvlJc w:val="left"/>
      <w:lvlText w:val="%1."/>
      <w:numFmt w:val="lowerLetter"/>
      <w:start w:val="1"/>
    </w:lvl>
  </w:abstractNum>
  <w:abstractNum w:abstractNumId="44">
    <w:nsid w:val="6F6DD9AC"/>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45">
    <w:nsid w:val="94211F2"/>
    <w:multiLevelType w:val="hybridMultilevel"/>
    <w:lvl w:ilvl="0">
      <w:lvlJc w:val="left"/>
      <w:lvlText w:val="(%1)"/>
      <w:numFmt w:val="lowerRoman"/>
      <w:start w:val="3"/>
    </w:lvl>
    <w:lvl w:ilvl="1">
      <w:lvlJc w:val="left"/>
      <w:lvlText w:val="%2."/>
      <w:numFmt w:val="lowerLetter"/>
      <w:start w:val="6"/>
    </w:lvl>
    <w:lvl w:ilvl="2">
      <w:lvlJc w:val="left"/>
      <w:lvlText w:val="%3."/>
      <w:numFmt w:val="lowerRoman"/>
      <w:start w:val="1"/>
    </w:lvl>
  </w:abstractNum>
  <w:abstractNum w:abstractNumId="46">
    <w:nsid w:val="885E1B"/>
    <w:multiLevelType w:val="hybridMultilevel"/>
    <w:lvl w:ilvl="0">
      <w:lvlJc w:val="left"/>
      <w:lvlText w:val="%1."/>
      <w:numFmt w:val="upperLetter"/>
      <w:start w:val="1"/>
    </w:lvl>
  </w:abstractNum>
  <w:abstractNum w:abstractNumId="47">
    <w:nsid w:val="76272110"/>
    <w:multiLevelType w:val="hybridMultilevel"/>
    <w:lvl w:ilvl="0">
      <w:lvlJc w:val="left"/>
      <w:lvlText w:val="%1."/>
      <w:numFmt w:val="decimal"/>
      <w:start w:val="1"/>
    </w:lvl>
  </w:abstractNum>
  <w:abstractNum w:abstractNumId="48">
    <w:nsid w:val="4C04A8AF"/>
    <w:multiLevelType w:val="hybridMultilevel"/>
    <w:lvl w:ilvl="0">
      <w:lvlJc w:val="left"/>
      <w:lvlText w:val="%1."/>
      <w:numFmt w:val="upperLetter"/>
      <w:start w:val="3"/>
    </w:lvl>
  </w:abstractNum>
  <w:abstractNum w:abstractNumId="49">
    <w:nsid w:val="1716703B"/>
    <w:multiLevelType w:val="hybridMultilevel"/>
    <w:lvl w:ilvl="0">
      <w:lvlJc w:val="left"/>
      <w:lvlText w:val="%1."/>
      <w:numFmt w:val="upperLetter"/>
      <w:start w:val="4"/>
    </w:lvl>
  </w:abstractNum>
  <w:abstractNum w:abstractNumId="50">
    <w:nsid w:val="14E17E33"/>
    <w:multiLevelType w:val="hybridMultilevel"/>
    <w:lvl w:ilvl="0">
      <w:lvlJc w:val="left"/>
      <w:lvlText w:val="%1."/>
      <w:numFmt w:val="lowerLetter"/>
      <w:start w:val="7"/>
    </w:lvl>
  </w:abstractNum>
  <w:abstractNum w:abstractNumId="51">
    <w:nsid w:val="3222E7CD"/>
    <w:multiLevelType w:val="hybridMultilevel"/>
    <w:lvl w:ilvl="0">
      <w:lvlJc w:val="left"/>
      <w:lvlText w:val="%1."/>
      <w:numFmt w:val="lowerLetter"/>
      <w:start w:val="1"/>
    </w:lvl>
  </w:abstractNum>
  <w:abstractNum w:abstractNumId="52">
    <w:nsid w:val="74DE0EE3"/>
    <w:multiLevelType w:val="hybridMultilevel"/>
    <w:lvl w:ilvl="0">
      <w:lvlJc w:val="left"/>
      <w:lvlText w:val="%1."/>
      <w:numFmt w:val="lowerLetter"/>
      <w:start w:val="2"/>
    </w:lvl>
  </w:abstractNum>
  <w:abstractNum w:abstractNumId="53">
    <w:nsid w:val="68EBC550"/>
    <w:multiLevelType w:val="hybridMultilevel"/>
    <w:lvl w:ilvl="0">
      <w:lvlJc w:val="left"/>
      <w:lvlText w:val="%1."/>
      <w:numFmt w:val="lowerLetter"/>
      <w:start w:val="1"/>
    </w:lvl>
  </w:abstractNum>
  <w:abstractNum w:abstractNumId="54">
    <w:nsid w:val="2DF6D648"/>
    <w:multiLevelType w:val="hybridMultilevel"/>
    <w:lvl w:ilvl="0">
      <w:lvlJc w:val="left"/>
      <w:lvlText w:val="(%1)"/>
      <w:numFmt w:val="lowerRoman"/>
      <w:start w:val="1"/>
    </w:lvl>
  </w:abstractNum>
  <w:abstractNum w:abstractNumId="55">
    <w:nsid w:val="46B7D447"/>
    <w:multiLevelType w:val="hybridMultilevel"/>
    <w:lvl w:ilvl="0">
      <w:lvlJc w:val="left"/>
      <w:lvlText w:val="%1"/>
      <w:numFmt w:val="lowerRoman"/>
      <w:start w:val="1"/>
    </w:lvl>
    <w:lvl w:ilvl="1">
      <w:lvlJc w:val="left"/>
      <w:lvlText w:val="%2."/>
      <w:numFmt w:val="lowerLetter"/>
      <w:start w:val="2"/>
    </w:lvl>
  </w:abstractNum>
  <w:abstractNum w:abstractNumId="56">
    <w:nsid w:val="4A2AC315"/>
    <w:multiLevelType w:val="hybridMultilevel"/>
    <w:lvl w:ilvl="0">
      <w:lvlJc w:val="left"/>
      <w:lvlText w:val="(%1)"/>
      <w:numFmt w:val="lowerRoman"/>
      <w:start w:val="2"/>
    </w:lvl>
    <w:lvl w:ilvl="1">
      <w:lvlJc w:val="left"/>
      <w:lvlText w:val="%2"/>
      <w:numFmt w:val="lowerLetter"/>
      <w:start w:val="1"/>
    </w:lvl>
  </w:abstractNum>
  <w:abstractNum w:abstractNumId="57">
    <w:nsid w:val="39EE015C"/>
    <w:multiLevelType w:val="hybridMultilevel"/>
    <w:lvl w:ilvl="0">
      <w:lvlJc w:val="left"/>
      <w:lvlText w:val="%1."/>
      <w:numFmt w:val="lowerLetter"/>
      <w:start w:val="1"/>
    </w:lvl>
    <w:lvl w:ilvl="1">
      <w:lvlJc w:val="left"/>
      <w:lvlText w:val="%2."/>
      <w:numFmt w:val="lowerLetter"/>
      <w:start w:val="2"/>
    </w:lvl>
  </w:abstractNum>
  <w:abstractNum w:abstractNumId="58">
    <w:nsid w:val="57FC4FBB"/>
    <w:multiLevelType w:val="hybridMultilevel"/>
    <w:lvl w:ilvl="0">
      <w:lvlJc w:val="left"/>
      <w:lvlText w:val="%1."/>
      <w:numFmt w:val="lowerLetter"/>
      <w:start w:val="1"/>
    </w:lvl>
  </w:abstractNum>
  <w:abstractNum w:abstractNumId="59">
    <w:nsid w:val="CC1016F"/>
    <w:multiLevelType w:val="hybridMultilevel"/>
    <w:lvl w:ilvl="0">
      <w:lvlJc w:val="left"/>
      <w:lvlText w:val="%1."/>
      <w:numFmt w:val="lowerLetter"/>
      <w:start w:val="1"/>
    </w:lvl>
  </w:abstractNum>
  <w:abstractNum w:abstractNumId="60">
    <w:nsid w:val="43F18422"/>
    <w:multiLevelType w:val="hybridMultilevel"/>
    <w:lvl w:ilvl="0">
      <w:lvlJc w:val="left"/>
      <w:lvlText w:val="%1."/>
      <w:numFmt w:val="lowerLetter"/>
      <w:start w:val="2"/>
    </w:lvl>
  </w:abstractNum>
  <w:abstractNum w:abstractNumId="61">
    <w:nsid w:val="60EF0119"/>
    <w:multiLevelType w:val="hybridMultilevel"/>
    <w:lvl w:ilvl="0">
      <w:lvlJc w:val="left"/>
      <w:lvlText w:val="(%1)"/>
      <w:numFmt w:val="lowerRoman"/>
      <w:start w:val="1"/>
    </w:lvl>
  </w:abstractNum>
  <w:abstractNum w:abstractNumId="62">
    <w:nsid w:val="26F324BA"/>
    <w:multiLevelType w:val="hybridMultilevel"/>
    <w:lvl w:ilvl="0">
      <w:lvlJc w:val="left"/>
      <w:lvlText w:val="%1"/>
      <w:numFmt w:val="lowerLetter"/>
      <w:start w:val="1"/>
    </w:lvl>
    <w:lvl w:ilvl="1">
      <w:lvlJc w:val="left"/>
      <w:lvlText w:val="(%2)"/>
      <w:numFmt w:val="lowerLetter"/>
      <w:start w:val="1"/>
    </w:lvl>
  </w:abstractNum>
  <w:abstractNum w:abstractNumId="63">
    <w:nsid w:val="7F01579B"/>
    <w:multiLevelType w:val="hybridMultilevel"/>
    <w:lvl w:ilvl="0">
      <w:lvlJc w:val="left"/>
      <w:lvlText w:val="(%1)"/>
      <w:numFmt w:val="lowerLetter"/>
      <w:start w:val="2"/>
    </w:lvl>
    <w:lvl w:ilvl="1">
      <w:lvlJc w:val="left"/>
      <w:lvlText w:val="%2"/>
      <w:numFmt w:val="lowerLetter"/>
      <w:start w:val="1"/>
    </w:lvl>
  </w:abstractNum>
  <w:abstractNum w:abstractNumId="64">
    <w:nsid w:val="49DA307D"/>
    <w:multiLevelType w:val="hybridMultilevel"/>
    <w:lvl w:ilvl="0">
      <w:lvlJc w:val="left"/>
      <w:lvlText w:val="(%1)"/>
      <w:numFmt w:val="lowerLetter"/>
      <w:start w:val="7"/>
    </w:lvl>
  </w:abstractNum>
  <w:abstractNum w:abstractNumId="65">
    <w:nsid w:val="7055A5F5"/>
    <w:multiLevelType w:val="hybridMultilevel"/>
    <w:lvl w:ilvl="0">
      <w:lvlJc w:val="left"/>
      <w:lvlText w:val="(%1)"/>
      <w:numFmt w:val="lowerLetter"/>
      <w:start w:val="1"/>
    </w:lvl>
  </w:abstractNum>
  <w:abstractNum w:abstractNumId="66">
    <w:nsid w:val="5FB8370B"/>
    <w:multiLevelType w:val="hybridMultilevel"/>
    <w:lvl w:ilvl="0">
      <w:lvlJc w:val="left"/>
      <w:lvlText w:val="(%1)"/>
      <w:numFmt w:val="lowerLetter"/>
      <w:start w:val="2"/>
    </w:lvl>
  </w:abstractNum>
  <w:abstractNum w:abstractNumId="67">
    <w:nsid w:val="50801EE1"/>
    <w:multiLevelType w:val="hybridMultilevel"/>
    <w:lvl w:ilvl="0">
      <w:lvlJc w:val="left"/>
      <w:lvlText w:val="%1"/>
      <w:numFmt w:val="lowerRoman"/>
      <w:start w:val="1"/>
    </w:lvl>
    <w:lvl w:ilvl="1">
      <w:lvlJc w:val="left"/>
      <w:lvlText w:val="%2."/>
      <w:numFmt w:val="lowerLetter"/>
      <w:start w:val="1"/>
    </w:lvl>
  </w:abstractNum>
  <w:abstractNum w:abstractNumId="68">
    <w:nsid w:val="488AC1A"/>
    <w:multiLevelType w:val="hybridMultilevel"/>
    <w:lvl w:ilvl="0">
      <w:lvlJc w:val="left"/>
      <w:lvlText w:val="(%1)"/>
      <w:numFmt w:val="lowerRoman"/>
      <w:start w:val="2"/>
    </w:lvl>
    <w:lvl w:ilvl="1">
      <w:lvlJc w:val="left"/>
      <w:lvlText w:val="%2."/>
      <w:numFmt w:val="lowerLetter"/>
      <w:start w:val="4"/>
    </w:lvl>
  </w:abstractNum>
  <w:abstractNum w:abstractNumId="69">
    <w:nsid w:val="5FB8011C"/>
    <w:multiLevelType w:val="hybridMultilevel"/>
    <w:lvl w:ilvl="0">
      <w:lvlJc w:val="left"/>
      <w:lvlText w:val="(%1)"/>
      <w:numFmt w:val="lowerLetter"/>
      <w:start w:val="2"/>
    </w:lvl>
  </w:abstractNum>
  <w:abstractNum w:abstractNumId="70">
    <w:nsid w:val="6AA78F7F"/>
    <w:multiLevelType w:val="hybridMultilevel"/>
    <w:lvl w:ilvl="0">
      <w:lvlJc w:val="left"/>
      <w:lvlText w:val="(%1)"/>
      <w:numFmt w:val="lowerLetter"/>
      <w:start w:val="5"/>
    </w:lvl>
  </w:abstractNum>
  <w:abstractNum w:abstractNumId="71">
    <w:nsid w:val="7672BD23"/>
    <w:multiLevelType w:val="hybridMultilevel"/>
    <w:lvl w:ilvl="0">
      <w:lvlJc w:val="left"/>
      <w:lvlText w:val="%1."/>
      <w:numFmt w:val="lowerLetter"/>
      <w:start w:val="1"/>
    </w:lvl>
  </w:abstractNum>
  <w:abstractNum w:abstractNumId="72">
    <w:nsid w:val="6FC75AF8"/>
    <w:multiLevelType w:val="hybridMultilevel"/>
    <w:lvl w:ilvl="0">
      <w:lvlJc w:val="left"/>
      <w:lvlText w:val="%1."/>
      <w:numFmt w:val="lowerLetter"/>
      <w:start w:val="3"/>
    </w:lvl>
  </w:abstractNum>
  <w:abstractNum w:abstractNumId="73">
    <w:nsid w:val="6A5F7029"/>
    <w:multiLevelType w:val="hybridMultilevel"/>
    <w:lvl w:ilvl="0">
      <w:lvlJc w:val="left"/>
      <w:lvlText w:val="(%1)"/>
      <w:numFmt w:val="decimal"/>
      <w:start w:val="1"/>
    </w:lvl>
  </w:abstractNum>
  <w:abstractNum w:abstractNumId="74">
    <w:nsid w:val="7D5E18F8"/>
    <w:multiLevelType w:val="hybridMultilevel"/>
    <w:lvl w:ilvl="0">
      <w:lvlJc w:val="left"/>
      <w:lvlText w:val="(%1)"/>
      <w:numFmt w:val="lowerLetter"/>
      <w:start w:val="1"/>
    </w:lvl>
  </w:abstractNum>
  <w:abstractNum w:abstractNumId="75">
    <w:nsid w:val="5F3534A4"/>
    <w:multiLevelType w:val="hybridMultilevel"/>
    <w:lvl w:ilvl="0">
      <w:lvlJc w:val="left"/>
      <w:lvlText w:val="%1"/>
      <w:numFmt w:val="lowerRoman"/>
      <w:start w:val="1"/>
    </w:lvl>
    <w:lvl w:ilvl="1">
      <w:lvlJc w:val="left"/>
      <w:lvlText w:val="(%2)"/>
      <w:numFmt w:val="lowerLetter"/>
      <w:start w:val="13"/>
    </w:lvl>
  </w:abstractNum>
  <w:abstractNum w:abstractNumId="76">
    <w:nsid w:val="73A1821B"/>
    <w:multiLevelType w:val="hybridMultilevel"/>
    <w:lvl w:ilvl="0">
      <w:lvlJc w:val="left"/>
      <w:lvlText w:val="(%1)"/>
      <w:numFmt w:val="lowerRoman"/>
      <w:start w:val="4"/>
    </w:lvl>
    <w:lvl w:ilvl="1">
      <w:lvlJc w:val="left"/>
      <w:lvlText w:val="(%2)"/>
      <w:numFmt w:val="lowerLetter"/>
      <w:start w:val="21"/>
    </w:lvl>
  </w:abstractNum>
  <w:abstractNum w:abstractNumId="77">
    <w:nsid w:val="7DE67713"/>
    <w:multiLevelType w:val="hybridMultilevel"/>
    <w:lvl w:ilvl="0">
      <w:lvlJc w:val="left"/>
      <w:lvlText w:val="(%1)"/>
      <w:numFmt w:val="lowerRoman"/>
      <w:start w:val="9"/>
    </w:lvl>
    <w:lvl w:ilvl="1">
      <w:lvlJc w:val="left"/>
      <w:lvlText w:val="(%2)"/>
      <w:numFmt w:val="lowerLetter"/>
      <w:start w:val="22"/>
    </w:lvl>
  </w:abstractNum>
  <w:abstractNum w:abstractNumId="78">
    <w:nsid w:val="555C55B5"/>
    <w:multiLevelType w:val="hybridMultilevel"/>
    <w:lvl w:ilvl="0">
      <w:lvlJc w:val="left"/>
      <w:lvlText w:val="(%1)"/>
      <w:numFmt w:val="lowerRoman"/>
      <w:start w:val="3"/>
    </w:lvl>
    <w:lvl w:ilvl="1">
      <w:lvlJc w:val="left"/>
      <w:lvlText w:val="(%2)"/>
      <w:numFmt w:val="lowerLetter"/>
      <w:start w:val="23"/>
    </w:lvl>
  </w:abstractNum>
  <w:abstractNum w:abstractNumId="79">
    <w:nsid w:val="3FA62ACA"/>
    <w:multiLevelType w:val="hybridMultilevel"/>
    <w:lvl w:ilvl="0">
      <w:lvlJc w:val="left"/>
      <w:lvlText w:val="(%1)"/>
      <w:numFmt w:val="lowerLetter"/>
      <w:start w:val="27"/>
    </w:lvl>
  </w:abstractNum>
  <w:abstractNum w:abstractNumId="80">
    <w:nsid w:val="14FCE74E"/>
    <w:multiLevelType w:val="hybridMultilevel"/>
    <w:lvl w:ilvl="0">
      <w:lvlJc w:val="left"/>
      <w:lvlText w:val="%1."/>
      <w:numFmt w:val="lowerLetter"/>
      <w:start w:val="1"/>
    </w:lvl>
    <w:lvl w:ilvl="1">
      <w:lvlJc w:val="left"/>
      <w:lvlText w:val="%2."/>
      <w:numFmt w:val="lowerLetter"/>
      <w:start w:val="9"/>
    </w:lvl>
  </w:abstractNum>
  <w:abstractNum w:abstractNumId="81">
    <w:nsid w:val="6A3DD3E8"/>
    <w:multiLevelType w:val="hybridMultilevel"/>
    <w:lvl w:ilvl="0">
      <w:lvlJc w:val="left"/>
      <w:lvlText w:val="%1"/>
      <w:numFmt w:val="lowerLetter"/>
      <w:start w:val="1"/>
    </w:lvl>
    <w:lvl w:ilvl="1">
      <w:lvlJc w:val="left"/>
      <w:lvlText w:val="%2."/>
      <w:numFmt w:val="lowerLetter"/>
      <w:start w:val="35"/>
    </w:lvl>
  </w:abstractNum>
  <w:abstractNum w:abstractNumId="82">
    <w:nsid w:val="71C91298"/>
    <w:multiLevelType w:val="hybridMultilevel"/>
    <w:lvl w:ilvl="0">
      <w:lvlJc w:val="left"/>
      <w:lvlText w:val="%1."/>
      <w:numFmt w:val="lowerLetter"/>
      <w:start w:val="5"/>
    </w:lvl>
    <w:lvl w:ilvl="1">
      <w:lvlJc w:val="left"/>
      <w:lvlText w:val="%2."/>
      <w:numFmt w:val="lowerLetter"/>
      <w:start w:val="9"/>
    </w:lvl>
  </w:abstractNum>
  <w:abstractNum w:abstractNumId="83">
    <w:nsid w:val="9DAF632"/>
    <w:multiLevelType w:val="hybridMultilevel"/>
    <w:lvl w:ilvl="0">
      <w:lvlJc w:val="left"/>
      <w:lvlText w:val="%1."/>
      <w:numFmt w:val="lowerRoman"/>
      <w:start w:val="2"/>
    </w:lvl>
  </w:abstractNum>
  <w:abstractNum w:abstractNumId="84">
    <w:nsid w:val="53299938"/>
    <w:multiLevelType w:val="hybridMultilevel"/>
    <w:lvl w:ilvl="0">
      <w:lvlJc w:val="left"/>
      <w:lvlText w:val="%1."/>
      <w:numFmt w:val="lowerLetter"/>
      <w:start w:val="8"/>
    </w:lvl>
  </w:abstractNum>
  <w:abstractNum w:abstractNumId="85">
    <w:nsid w:val="1FBFE8E0"/>
    <w:multiLevelType w:val="hybridMultilevel"/>
    <w:lvl w:ilvl="0">
      <w:lvlJc w:val="left"/>
      <w:lvlText w:val="%1."/>
      <w:numFmt w:val="lowerLetter"/>
      <w:start w:val="1"/>
    </w:lvl>
  </w:abstractNum>
  <w:abstractNum w:abstractNumId="86">
    <w:nsid w:val="5092CA79"/>
    <w:multiLevelType w:val="hybridMultilevel"/>
    <w:lvl w:ilvl="0">
      <w:lvlJc w:val="left"/>
      <w:lvlText w:val="%1."/>
      <w:numFmt w:val="lowerLetter"/>
      <w:start w:val="1"/>
    </w:lvl>
  </w:abstractNum>
  <w:abstractNum w:abstractNumId="87">
    <w:nsid w:val="1D545C4D"/>
    <w:multiLevelType w:val="hybridMultilevel"/>
    <w:lvl w:ilvl="0">
      <w:lvlJc w:val="left"/>
      <w:lvlText w:val="%1."/>
      <w:numFmt w:val="lowerLetter"/>
      <w:start w:val="3"/>
    </w:lvl>
  </w:abstractNum>
  <w:abstractNum w:abstractNumId="88">
    <w:nsid w:val="59ADEA3D"/>
    <w:multiLevelType w:val="hybridMultilevel"/>
    <w:lvl w:ilvl="0">
      <w:lvlJc w:val="left"/>
      <w:lvlText w:val="%1."/>
      <w:numFmt w:val="lowerLetter"/>
      <w:start w:val="4"/>
    </w:lvl>
  </w:abstractNum>
  <w:abstractNum w:abstractNumId="89">
    <w:nsid w:val="288F1A34"/>
    <w:multiLevelType w:val="hybridMultilevel"/>
    <w:lvl w:ilvl="0">
      <w:lvlJc w:val="left"/>
      <w:lvlText w:val="%1."/>
      <w:numFmt w:val="lowerLetter"/>
      <w:start w:val="1"/>
    </w:lvl>
  </w:abstractNum>
  <w:abstractNum w:abstractNumId="90">
    <w:nsid w:val="2A155DBC"/>
    <w:multiLevelType w:val="hybridMultilevel"/>
    <w:lvl w:ilvl="0">
      <w:lvlJc w:val="left"/>
      <w:lvlText w:val="%1."/>
      <w:numFmt w:val="lowerLetter"/>
      <w:start w:val="1"/>
    </w:lvl>
  </w:abstractNum>
  <w:abstractNum w:abstractNumId="91">
    <w:nsid w:val="1D9F6E5F"/>
    <w:multiLevelType w:val="hybridMultilevel"/>
    <w:lvl w:ilvl="0">
      <w:lvlJc w:val="left"/>
      <w:lvlText w:val="%1."/>
      <w:numFmt w:val="lowerLetter"/>
      <w:start w:val="2"/>
    </w:lvl>
  </w:abstractNum>
  <w:abstractNum w:abstractNumId="92">
    <w:nsid w:val="97E1B4E"/>
    <w:multiLevelType w:val="hybridMultilevel"/>
    <w:lvl w:ilvl="0">
      <w:lvlJc w:val="left"/>
      <w:lvlText w:val="%1."/>
      <w:numFmt w:val="lowerLetter"/>
      <w:start w:val="1"/>
    </w:lvl>
    <w:lvl w:ilvl="1">
      <w:lvlJc w:val="left"/>
      <w:lvlText w:val="%2."/>
      <w:numFmt w:val="lowerRoman"/>
      <w:start w:val="1"/>
    </w:lvl>
  </w:abstractNum>
  <w:abstractNum w:abstractNumId="93">
    <w:nsid w:val="51088277"/>
    <w:multiLevelType w:val="hybridMultilevel"/>
    <w:lvl w:ilvl="0">
      <w:lvlJc w:val="left"/>
      <w:lvlText w:val="%1"/>
      <w:numFmt w:val="lowerLetter"/>
      <w:start w:val="1"/>
    </w:lvl>
    <w:lvl w:ilvl="1">
      <w:lvlJc w:val="left"/>
      <w:lvlText w:val="%2."/>
      <w:numFmt w:val="lowerLetter"/>
      <w:start w:val="1"/>
    </w:lvl>
  </w:abstractNum>
  <w:abstractNum w:abstractNumId="94">
    <w:nsid w:val="1CA0C5FA"/>
    <w:multiLevelType w:val="hybridMultilevel"/>
    <w:lvl w:ilvl="0">
      <w:lvlJc w:val="left"/>
      <w:lvlText w:val="%1."/>
      <w:numFmt w:val="lowerLetter"/>
      <w:start w:val="2"/>
    </w:lvl>
    <w:lvl w:ilvl="1">
      <w:lvlJc w:val="left"/>
      <w:lvlText w:val="%2."/>
      <w:numFmt w:val="lowerLetter"/>
      <w:start w:val="9"/>
    </w:lvl>
  </w:abstractNum>
  <w:abstractNum w:abstractNumId="95">
    <w:nsid w:val="53584BCB"/>
    <w:multiLevelType w:val="hybridMultilevel"/>
    <w:lvl w:ilvl="0">
      <w:lvlJc w:val="left"/>
      <w:lvlText w:val="%1"/>
      <w:numFmt w:val="lowerLetter"/>
      <w:start w:val="1"/>
    </w:lvl>
    <w:lvl w:ilvl="1">
      <w:lvlJc w:val="left"/>
      <w:lvlText w:val="%2."/>
      <w:numFmt w:val="lowerLetter"/>
      <w:start w:val="35"/>
    </w:lvl>
  </w:abstractNum>
  <w:abstractNum w:abstractNumId="96">
    <w:nsid w:val="415E286C"/>
    <w:multiLevelType w:val="hybridMultilevel"/>
    <w:lvl w:ilvl="0">
      <w:lvlJc w:val="left"/>
      <w:lvlText w:val="%1."/>
      <w:numFmt w:val="lowerLetter"/>
      <w:start w:val="4"/>
    </w:lvl>
    <w:lvl w:ilvl="1">
      <w:lvlJc w:val="left"/>
      <w:lvlText w:val="%2"/>
      <w:numFmt w:val="lowerLetter"/>
      <w:start w:val="1"/>
    </w:lvl>
  </w:abstractNum>
  <w:abstractNum w:abstractNumId="97">
    <w:nsid w:val="7C58FD05"/>
    <w:multiLevelType w:val="hybridMultilevel"/>
    <w:lvl w:ilvl="0">
      <w:lvlJc w:val="left"/>
      <w:lvlText w:val="%1."/>
      <w:numFmt w:val="lowerLetter"/>
      <w:start w:val="5"/>
    </w:lvl>
  </w:abstractNum>
  <w:abstractNum w:abstractNumId="98">
    <w:nsid w:val="23D86AAC"/>
    <w:multiLevelType w:val="hybridMultilevel"/>
    <w:lvl w:ilvl="0">
      <w:lvlJc w:val="left"/>
      <w:lvlText w:val="%1."/>
      <w:numFmt w:val="lowerLetter"/>
      <w:start w:val="6"/>
    </w:lvl>
  </w:abstractNum>
  <w:abstractNum w:abstractNumId="99">
    <w:nsid w:val="45E6D486"/>
    <w:multiLevelType w:val="hybridMultilevel"/>
    <w:lvl w:ilvl="0">
      <w:lvlJc w:val="left"/>
      <w:lvlText w:val="%1."/>
      <w:numFmt w:val="lowerLetter"/>
      <w:start w:val="1"/>
    </w:lvl>
  </w:abstractNum>
  <w:abstractNum w:abstractNumId="100">
    <w:nsid w:val="5C10FE21"/>
    <w:multiLevelType w:val="hybridMultilevel"/>
    <w:lvl w:ilvl="0">
      <w:lvlJc w:val="left"/>
      <w:lvlText w:val="%1"/>
      <w:numFmt w:val="lowerRoman"/>
      <w:start w:val="1"/>
    </w:lvl>
    <w:lvl w:ilvl="1">
      <w:lvlJc w:val="left"/>
      <w:lvlText w:val="%2."/>
      <w:numFmt w:val="lowerLetter"/>
      <w:start w:val="1"/>
    </w:lvl>
  </w:abstractNum>
  <w:abstractNum w:abstractNumId="101">
    <w:nsid w:val="E7FFA2B"/>
    <w:multiLevelType w:val="hybridMultilevel"/>
    <w:lvl w:ilvl="0">
      <w:lvlJc w:val="left"/>
      <w:lvlText w:val="(%1)"/>
      <w:numFmt w:val="lowerRoman"/>
      <w:start w:val="3"/>
    </w:lvl>
    <w:lvl w:ilvl="1">
      <w:lvlJc w:val="left"/>
      <w:lvlText w:val="%2."/>
      <w:numFmt w:val="lowerLetter"/>
      <w:start w:val="3"/>
    </w:lvl>
  </w:abstractNum>
  <w:abstractNum w:abstractNumId="102">
    <w:nsid w:val="3C5991AA"/>
    <w:multiLevelType w:val="hybridMultilevel"/>
    <w:lvl w:ilvl="0">
      <w:lvlJc w:val="left"/>
      <w:lvlText w:val="%1."/>
      <w:numFmt w:val="lowerLetter"/>
      <w:start w:val="5"/>
    </w:lvl>
  </w:abstractNum>
  <w:abstractNum w:abstractNumId="103">
    <w:nsid w:val="4BD8591A"/>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104">
    <w:nsid w:val="78DF6A55"/>
    <w:multiLevelType w:val="hybridMultilevel"/>
    <w:lvl w:ilvl="0">
      <w:lvlJc w:val="left"/>
      <w:lvlText w:val="%1."/>
      <w:numFmt w:val="lowerRoman"/>
      <w:start w:val="4"/>
    </w:lvl>
  </w:abstractNum>
  <w:abstractNum w:abstractNumId="105">
    <w:nsid w:val="39B7AAA2"/>
    <w:multiLevelType w:val="hybridMultilevel"/>
    <w:lvl w:ilvl="0">
      <w:lvlJc w:val="left"/>
      <w:lvlText w:val="%1."/>
      <w:numFmt w:val="lowerLetter"/>
      <w:start w:val="3"/>
    </w:lvl>
    <w:lvl w:ilvl="1">
      <w:lvlJc w:val="left"/>
      <w:lvlText w:val="%2."/>
      <w:numFmt w:val="lowerRoman"/>
      <w:start w:val="1"/>
    </w:lvl>
  </w:abstractNum>
  <w:abstractNum w:abstractNumId="106">
    <w:nsid w:val="2B0D8DBE"/>
    <w:multiLevelType w:val="hybridMultilevel"/>
    <w:lvl w:ilvl="0">
      <w:lvlJc w:val="left"/>
      <w:lvlText w:val="%1."/>
      <w:numFmt w:val="lowerLetter"/>
      <w:start w:val="4"/>
    </w:lvl>
  </w:abstractNum>
  <w:abstractNum w:abstractNumId="107">
    <w:nsid w:val="6C80EC70"/>
    <w:multiLevelType w:val="hybridMultilevel"/>
    <w:lvl w:ilvl="0">
      <w:lvlJc w:val="left"/>
      <w:lvlText w:val="(%1)"/>
      <w:numFmt w:val="lowerLetter"/>
      <w:start w:val="25"/>
    </w:lvl>
  </w:abstractNum>
  <w:abstractNum w:abstractNumId="108">
    <w:nsid w:val="379E21B5"/>
    <w:multiLevelType w:val="hybridMultilevel"/>
    <w:lvl w:ilvl="0">
      <w:lvlJc w:val="left"/>
      <w:lvlText w:val="%1."/>
      <w:numFmt w:val="lowerLetter"/>
      <w:start w:val="5"/>
    </w:lvl>
  </w:abstractNum>
  <w:abstractNum w:abstractNumId="109">
    <w:nsid w:val="69E373"/>
    <w:multiLevelType w:val="hybridMultilevel"/>
    <w:lvl w:ilvl="0">
      <w:lvlJc w:val="left"/>
      <w:lvlText w:val="%1."/>
      <w:numFmt w:val="lowerLetter"/>
      <w:start w:val="6"/>
    </w:lvl>
  </w:abstractNum>
  <w:abstractNum w:abstractNumId="110">
    <w:nsid w:val="2C27173B"/>
    <w:multiLevelType w:val="hybridMultilevel"/>
    <w:lvl w:ilvl="0">
      <w:lvlJc w:val="left"/>
      <w:lvlText w:val="%1."/>
      <w:numFmt w:val="lowerLetter"/>
      <w:start w:val="1"/>
    </w:lvl>
  </w:abstractNum>
  <w:abstractNum w:abstractNumId="111">
    <w:nsid w:val="4C9B0904"/>
    <w:multiLevelType w:val="hybridMultilevel"/>
    <w:lvl w:ilvl="0">
      <w:lvlJc w:val="left"/>
      <w:lvlText w:val="(%1)"/>
      <w:numFmt w:val="upperLetter"/>
      <w:start w:val="1"/>
    </w:lvl>
  </w:abstractNum>
  <w:abstractNum w:abstractNumId="112">
    <w:nsid w:val="6AA7B75C"/>
    <w:multiLevelType w:val="hybridMultilevel"/>
    <w:lvl w:ilvl="0">
      <w:lvlJc w:val="left"/>
      <w:lvlText w:val="%1"/>
      <w:numFmt w:val="lowerLetter"/>
      <w:start w:val="1"/>
    </w:lvl>
    <w:lvl w:ilvl="1">
      <w:lvlJc w:val="left"/>
      <w:lvlText w:val="%2."/>
      <w:numFmt w:val="lowerLetter"/>
      <w:start w:val="1"/>
    </w:lvl>
  </w:abstractNum>
  <w:abstractNum w:abstractNumId="113">
    <w:nsid w:val="1DF029D3"/>
    <w:multiLevelType w:val="hybridMultilevel"/>
    <w:lvl w:ilvl="0">
      <w:lvlJc w:val="left"/>
      <w:lvlText w:val="%1"/>
      <w:numFmt w:val="lowerLetter"/>
      <w:start w:val="1"/>
    </w:lvl>
    <w:lvl w:ilvl="1">
      <w:lvlJc w:val="left"/>
      <w:lvlText w:val="%2."/>
      <w:numFmt w:val="lowerLetter"/>
      <w:start w:val="9"/>
    </w:lvl>
  </w:abstractNum>
  <w:abstractNum w:abstractNumId="114">
    <w:nsid w:val="5675FF36"/>
    <w:multiLevelType w:val="hybridMultilevel"/>
    <w:lvl w:ilvl="0">
      <w:lvlJc w:val="left"/>
      <w:lvlText w:val="%1."/>
      <w:numFmt w:val="lowerRoman"/>
      <w:start w:val="2"/>
    </w:lvl>
  </w:abstractNum>
  <w:abstractNum w:abstractNumId="115">
    <w:nsid w:val="3DD15094"/>
    <w:multiLevelType w:val="hybridMultilevel"/>
    <w:lvl w:ilvl="0">
      <w:lvlJc w:val="left"/>
      <w:lvlText w:val="%1."/>
      <w:numFmt w:val="decimal"/>
      <w:start w:val="1"/>
    </w:lvl>
  </w:abstractNum>
  <w:abstractNum w:abstractNumId="116">
    <w:nsid w:val="3DB012B3"/>
    <w:multiLevelType w:val="hybridMultilevel"/>
    <w:lvl w:ilvl="0">
      <w:lvlJc w:val="left"/>
      <w:lvlText w:val="%1."/>
      <w:numFmt w:val="decimal"/>
      <w:start w:val="7"/>
    </w:lvl>
  </w:abstractNum>
  <w:abstractNum w:abstractNumId="117">
    <w:nsid w:val="2708C9AF"/>
    <w:multiLevelType w:val="hybridMultilevel"/>
    <w:lvl w:ilvl="0">
      <w:lvlJc w:val="left"/>
      <w:lvlText w:val="%1."/>
      <w:numFmt w:val="decimal"/>
      <w:start w:val="1"/>
    </w:lvl>
  </w:abstractNum>
  <w:abstractNum w:abstractNumId="118">
    <w:nsid w:val="5B25ACE2"/>
    <w:multiLevelType w:val="hybridMultilevel"/>
    <w:lvl w:ilvl="0">
      <w:lvlJc w:val="left"/>
      <w:lvlText w:val="(%1)"/>
      <w:numFmt w:val="lowerLetter"/>
      <w:start w:val="2"/>
    </w:lvl>
  </w:abstractNum>
  <w:abstractNum w:abstractNumId="119">
    <w:nsid w:val="175DFCF0"/>
    <w:multiLevelType w:val="hybridMultilevel"/>
    <w:lvl w:ilvl="0">
      <w:lvlJc w:val="left"/>
      <w:lvlText w:val="%1."/>
      <w:numFmt w:val="decimal"/>
      <w:start w:val="2"/>
    </w:lvl>
  </w:abstractNum>
  <w:abstractNum w:abstractNumId="120">
    <w:nsid w:val="4F97E3E4"/>
    <w:multiLevelType w:val="hybridMultilevel"/>
    <w:lvl w:ilvl="0">
      <w:lvlJc w:val="left"/>
      <w:lvlText w:val="%1."/>
      <w:numFmt w:val="decimal"/>
      <w:start w:val="1"/>
    </w:lvl>
  </w:abstractNum>
  <w:abstractNum w:abstractNumId="121">
    <w:nsid w:val="53B0A9E"/>
    <w:multiLevelType w:val="hybridMultilevel"/>
    <w:lvl w:ilvl="0">
      <w:lvlJc w:val="left"/>
      <w:lvlText w:val="(%1)"/>
      <w:numFmt w:val="lowerRoman"/>
      <w:start w:val="2"/>
    </w:lvl>
  </w:abstractNum>
  <w:abstractNum w:abstractNumId="122">
    <w:nsid w:val="34FD6B4F"/>
    <w:multiLevelType w:val="hybridMultilevel"/>
    <w:lvl w:ilvl="0">
      <w:lvlJc w:val="left"/>
      <w:lvlText w:val="(%1)"/>
      <w:numFmt w:val="lowerRoman"/>
      <w:start w:val="3"/>
    </w:lvl>
  </w:abstractNum>
  <w:abstractNum w:abstractNumId="123">
    <w:nsid w:val="5915FF32"/>
    <w:multiLevelType w:val="hybridMultilevel"/>
    <w:lvl w:ilvl="0">
      <w:lvlJc w:val="left"/>
      <w:lvlText w:val="%1."/>
      <w:numFmt w:val="decimal"/>
      <w:start w:val="1"/>
    </w:lvl>
    <w:lvl w:ilvl="1">
      <w:lvlJc w:val="left"/>
      <w:lvlText w:val="%2."/>
      <w:numFmt w:val="lowerLetter"/>
      <w:start w:val="1"/>
    </w:lvl>
  </w:abstractNum>
  <w:abstractNum w:abstractNumId="124">
    <w:nsid w:val="56438D15"/>
    <w:multiLevelType w:val="hybridMultilevel"/>
    <w:lvl w:ilvl="0">
      <w:lvlJc w:val="left"/>
      <w:lvlText w:val="%1."/>
      <w:numFmt w:val="decimal"/>
      <w:start w:val="1"/>
    </w:lvl>
    <w:lvl w:ilvl="1">
      <w:lvlJc w:val="left"/>
      <w:lvlText w:val="%2."/>
      <w:numFmt w:val="lowerLetter"/>
      <w:start w:val="1"/>
    </w:lvl>
  </w:abstractNum>
  <w:abstractNum w:abstractNumId="125">
    <w:nsid w:val="519E314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2019-12-28T02:28:52Z</dcterms:created>
  <dcterms:modified xsi:type="dcterms:W3CDTF">2019-12-28T02:28:52Z</dcterms:modified>
</cp:coreProperties>
</file>