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2013</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229"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229"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39,921,805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2013</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March 31, 2013 and December 31, 2012</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Ended March 31, 2013 and 2012</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44">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240"/>
              <w:spacing w:after="0"/>
              <w:rPr>
                <w:sz w:val="20"/>
                <w:szCs w:val="20"/>
                <w:color w:val="auto"/>
              </w:rPr>
            </w:pPr>
            <w:r>
              <w:rPr>
                <w:rFonts w:ascii="Arial" w:cs="Arial" w:eastAsia="Arial" w:hAnsi="Arial"/>
                <w:sz w:val="14"/>
                <w:szCs w:val="14"/>
                <w:color w:val="auto"/>
              </w:rPr>
              <w:t>ALLETE First Quarter 2013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ArcelorMittal</w:t>
            </w:r>
          </w:p>
        </w:tc>
        <w:tc>
          <w:tcPr>
            <w:tcW w:w="8760" w:type="dxa"/>
            <w:vAlign w:val="bottom"/>
            <w:gridSpan w:val="2"/>
          </w:tcPr>
          <w:p>
            <w:pPr>
              <w:spacing w:after="0"/>
              <w:rPr>
                <w:sz w:val="20"/>
                <w:szCs w:val="20"/>
                <w:color w:val="auto"/>
              </w:rPr>
            </w:pPr>
            <w:r>
              <w:rPr>
                <w:rFonts w:ascii="Arial" w:cs="Arial" w:eastAsia="Arial" w:hAnsi="Arial"/>
                <w:sz w:val="18"/>
                <w:szCs w:val="18"/>
                <w:color w:val="auto"/>
              </w:rPr>
              <w:t>ArcelorMittal USA,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Hibbard</w:t>
            </w:r>
          </w:p>
        </w:tc>
        <w:tc>
          <w:tcPr>
            <w:tcW w:w="8760" w:type="dxa"/>
            <w:vAlign w:val="bottom"/>
            <w:gridSpan w:val="2"/>
          </w:tcPr>
          <w:p>
            <w:pPr>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Medicare Part D</w:t>
            </w:r>
          </w:p>
        </w:tc>
        <w:tc>
          <w:tcPr>
            <w:tcW w:w="8760" w:type="dxa"/>
            <w:vAlign w:val="bottom"/>
            <w:gridSpan w:val="2"/>
          </w:tcPr>
          <w:p>
            <w:pPr>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Nugget Delaware,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40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80"/>
              <w:spacing w:after="0"/>
              <w:rPr>
                <w:sz w:val="20"/>
                <w:szCs w:val="20"/>
                <w:color w:val="auto"/>
              </w:rPr>
            </w:pPr>
            <w:r>
              <w:rPr>
                <w:rFonts w:ascii="Arial" w:cs="Arial" w:eastAsia="Arial" w:hAnsi="Arial"/>
                <w:sz w:val="14"/>
                <w:szCs w:val="14"/>
                <w:color w:val="auto"/>
              </w:rPr>
              <w:t>ALLETE First Quarter 2013 Form 10-Q</w:t>
            </w:r>
          </w:p>
        </w:tc>
      </w:tr>
    </w:tbl>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340" w:type="dxa"/>
            <w:vAlign w:val="bottom"/>
          </w:tcPr>
          <w:p>
            <w:pPr>
              <w:jc w:val="center"/>
              <w:ind w:right="2999"/>
              <w:spacing w:after="0"/>
              <w:rPr>
                <w:sz w:val="20"/>
                <w:szCs w:val="20"/>
                <w:color w:val="auto"/>
              </w:rPr>
            </w:pPr>
            <w:r>
              <w:rPr>
                <w:rFonts w:ascii="Arial" w:cs="Arial" w:eastAsia="Arial" w:hAnsi="Arial"/>
                <w:sz w:val="18"/>
                <w:szCs w:val="18"/>
                <w:b w:val="1"/>
                <w:bCs w:val="1"/>
                <w:color w:val="auto"/>
                <w:w w:val="91"/>
              </w:rPr>
              <w:t>Definitions (Continued)</w:t>
            </w:r>
          </w:p>
        </w:tc>
      </w:tr>
      <w:tr>
        <w:trPr>
          <w:trHeight w:val="446"/>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gridSpan w:val="2"/>
          </w:tcPr>
          <w:p>
            <w:pPr>
              <w:spacing w:after="0"/>
              <w:rPr>
                <w:sz w:val="20"/>
                <w:szCs w:val="20"/>
                <w:color w:val="auto"/>
              </w:rPr>
            </w:pPr>
            <w:r>
              <w:rPr>
                <w:rFonts w:ascii="Arial" w:cs="Arial" w:eastAsia="Arial" w:hAnsi="Arial"/>
                <w:sz w:val="18"/>
                <w:szCs w:val="18"/>
                <w:color w:val="auto"/>
              </w:rPr>
              <w:t>PolyMet Mining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76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WDNR</w:t>
            </w:r>
          </w:p>
        </w:tc>
        <w:tc>
          <w:tcPr>
            <w:tcW w:w="8760" w:type="dxa"/>
            <w:vAlign w:val="bottom"/>
            <w:gridSpan w:val="2"/>
          </w:tcPr>
          <w:p>
            <w:pPr>
              <w:spacing w:after="0"/>
              <w:rPr>
                <w:sz w:val="20"/>
                <w:szCs w:val="20"/>
                <w:color w:val="auto"/>
              </w:rPr>
            </w:pPr>
            <w:r>
              <w:rPr>
                <w:rFonts w:ascii="Arial" w:cs="Arial" w:eastAsia="Arial" w:hAnsi="Arial"/>
                <w:sz w:val="18"/>
                <w:szCs w:val="18"/>
                <w:color w:val="auto"/>
              </w:rPr>
              <w:t>Wisconsin Department of Natural Resources</w:t>
            </w:r>
          </w:p>
        </w:tc>
      </w:tr>
      <w:tr>
        <w:trPr>
          <w:trHeight w:val="647"/>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center"/>
              <w:ind w:right="2979"/>
              <w:spacing w:after="0"/>
              <w:rPr>
                <w:sz w:val="20"/>
                <w:szCs w:val="20"/>
                <w:color w:val="auto"/>
              </w:rPr>
            </w:pPr>
            <w:r>
              <w:rPr>
                <w:rFonts w:ascii="Arial" w:cs="Arial" w:eastAsia="Arial" w:hAnsi="Arial"/>
                <w:sz w:val="14"/>
                <w:szCs w:val="14"/>
                <w:color w:val="auto"/>
                <w:w w:val="96"/>
              </w:rPr>
              <w:t>ALLETE First Quarter 2013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or legislative actions, including those of the United States Congress, state legislatures, the FERC, the MPUC, the PSCW, the NDPSC, the EPA and various state, local and county regulators, and city administrators, that impact our allowed rates of return, capital structure, ability to secure financing, industry and rate structure, acquisition and disposal of assets and facilities, operation and construction of plant facilities, recovery of purchased power, capital investments and other expenses, including present or prospective wholesale and retail competition and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27 of our 2012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$1.0)</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86.2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89.0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28.1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255.9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2,366.7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2,347.6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336.6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109.0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107.3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138.6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44.5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$3,251.3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$3,253.4</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36.2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41.2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202.6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975.1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430.9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423.8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216.3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228.2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2,010.8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2,052.4</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14)</w:t>
            </w:r>
          </w:p>
        </w:tc>
        <w:tc>
          <w:tcPr>
            <w:tcW w:w="15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39.9 and 39.4 Shares Outstanding</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808.7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784.7</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(19.2)</w:t>
            </w:r>
          </w:p>
        </w:tc>
        <w:tc>
          <w:tcPr>
            <w:tcW w:w="15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472.6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459.6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1,240.5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1,201.0</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$3,251.3</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$3,253.4</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25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880" w:type="dxa"/>
            <w:vAlign w:val="bottom"/>
          </w:tcPr>
          <w:p>
            <w:pPr>
              <w:spacing w:after="0"/>
              <w:rPr>
                <w:sz w:val="23"/>
                <w:szCs w:val="23"/>
                <w:color w:val="auto"/>
              </w:rPr>
            </w:pPr>
          </w:p>
        </w:tc>
        <w:tc>
          <w:tcPr>
            <w:tcW w:w="25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880" w:type="dxa"/>
            <w:vAlign w:val="bottom"/>
          </w:tcPr>
          <w:p>
            <w:pPr>
              <w:spacing w:after="0"/>
              <w:rPr>
                <w:sz w:val="23"/>
                <w:szCs w:val="23"/>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8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$263.8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r>
      <w:tr>
        <w:trPr>
          <w:trHeight w:val="237"/>
        </w:trPr>
        <w:tc>
          <w:tcPr>
            <w:tcW w:w="8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43"/>
        </w:trPr>
        <w:tc>
          <w:tcPr>
            <w:tcW w:w="888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104.7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37"/>
        </w:trPr>
        <w:tc>
          <w:tcPr>
            <w:tcW w:w="88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219.4</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37"/>
        </w:trPr>
        <w:tc>
          <w:tcPr>
            <w:tcW w:w="8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88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88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1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8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88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39.0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8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$0.83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$0.66</w:t>
            </w:r>
          </w:p>
        </w:tc>
      </w:tr>
      <w:tr>
        <w:trPr>
          <w:trHeight w:val="27"/>
        </w:trPr>
        <w:tc>
          <w:tcPr>
            <w:tcW w:w="8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$0.475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64"/>
        </w:trPr>
        <w:tc>
          <w:tcPr>
            <w:tcW w:w="888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9360" w:type="dxa"/>
            <w:vAlign w:val="bottom"/>
          </w:tcPr>
          <w:p>
            <w:pPr>
              <w:spacing w:after="0"/>
              <w:rPr>
                <w:sz w:val="23"/>
                <w:szCs w:val="23"/>
                <w:color w:val="auto"/>
              </w:rPr>
            </w:pPr>
          </w:p>
        </w:tc>
        <w:tc>
          <w:tcPr>
            <w:tcW w:w="20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r>
      <w:tr>
        <w:trPr>
          <w:trHeight w:val="27"/>
        </w:trPr>
        <w:tc>
          <w:tcPr>
            <w:tcW w:w="9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7"/>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 and $0.7</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Unrealized Gain (Loss) on Derivatives</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360" w:type="dxa"/>
            <w:vAlign w:val="bottom"/>
          </w:tcPr>
          <w:p>
            <w:pPr>
              <w:ind w:left="380"/>
              <w:spacing w:after="0"/>
              <w:rPr>
                <w:sz w:val="20"/>
                <w:szCs w:val="20"/>
                <w:color w:val="auto"/>
              </w:rPr>
            </w:pPr>
            <w:r>
              <w:rPr>
                <w:rFonts w:ascii="Arial" w:cs="Arial" w:eastAsia="Arial" w:hAnsi="Arial"/>
                <w:sz w:val="18"/>
                <w:szCs w:val="18"/>
                <w:color w:val="auto"/>
              </w:rPr>
              <w:t>Net of Income Taxes of $- and $(0.1)</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302"/>
        </w:trPr>
        <w:tc>
          <w:tcPr>
            <w:tcW w:w="9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of Income Taxes of $0.2 and $0.3</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93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64"/>
        </w:trPr>
        <w:tc>
          <w:tcPr>
            <w:tcW w:w="936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5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580" w:type="dxa"/>
            <w:vAlign w:val="bottom"/>
          </w:tcPr>
          <w:p>
            <w:pPr>
              <w:spacing w:after="0"/>
              <w:rPr>
                <w:sz w:val="23"/>
                <w:szCs w:val="23"/>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$32.5</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$24.4</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Sale of Investments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28.2</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5.6</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2.7</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5.5</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5.5</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(11.0)</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(10.8)</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Operating Activities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58.2</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7.9</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(63.9)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23.4</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Notes Payable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Long-Term Debt</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(19.5)</w:t>
            </w: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Financing Activities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8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(3.5)</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80.8</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8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$77.3</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$118.2</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4"/>
        </w:trPr>
        <w:tc>
          <w:tcPr>
            <w:tcW w:w="8580" w:type="dxa"/>
            <w:vAlign w:val="bottom"/>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6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First Quarter 2013 Form 10-Q</w:t>
      </w:r>
    </w:p>
    <w:p>
      <w:pPr>
        <w:sectPr>
          <w:pgSz w:w="11900" w:h="16838" w:orient="portrait"/>
          <w:cols w:equalWidth="0" w:num="1">
            <w:col w:w="11300"/>
          </w:cols>
          <w:pgMar w:left="360" w:top="580" w:right="239" w:bottom="1440"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2012, Consolidated Balance Sheet was derived from audited financial statements but does not include all disclosures required by GAAP. All adjustments are of a normal, recurring nature, except as otherwise disclosed. Operating results for the period ended March 31, 2013, are not necessarily indicative of results that may be expected for any other interim period or for the year ending December 31, 2013. For further information, refer to the consolidated financial statements and notes included in our 2012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46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2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680" w:type="dxa"/>
            <w:vAlign w:val="bottom"/>
          </w:tcPr>
          <w:p>
            <w:pPr>
              <w:jc w:val="right"/>
              <w:ind w:right="150"/>
              <w:spacing w:after="0"/>
              <w:rPr>
                <w:sz w:val="20"/>
                <w:szCs w:val="20"/>
                <w:color w:val="auto"/>
              </w:rPr>
            </w:pPr>
            <w:r>
              <w:rPr>
                <w:rFonts w:ascii="Arial" w:cs="Arial" w:eastAsia="Arial" w:hAnsi="Arial"/>
                <w:sz w:val="18"/>
                <w:szCs w:val="18"/>
                <w:color w:val="auto"/>
              </w:rPr>
              <w:t>41.9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2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0"/>
        </w:trPr>
        <w:tc>
          <w:tcPr>
            <w:tcW w:w="528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9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0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390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0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0"/>
        </w:trPr>
        <w:tc>
          <w:tcPr>
            <w:tcW w:w="606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8"/>
                <w:szCs w:val="18"/>
                <w:i w:val="1"/>
                <w:iCs w:val="1"/>
                <w:color w:val="auto"/>
              </w:rPr>
              <w:t>(a)</w:t>
            </w: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29.4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20" w:type="dxa"/>
            <w:vAlign w:val="bottom"/>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00"/>
        </w:trPr>
        <w:tc>
          <w:tcPr>
            <w:tcW w:w="20" w:type="dxa"/>
            <w:vAlign w:val="bottom"/>
          </w:tcPr>
          <w:p>
            <w:pPr>
              <w:spacing w:after="0"/>
              <w:rPr>
                <w:sz w:val="17"/>
                <w:szCs w:val="17"/>
                <w:color w:val="auto"/>
              </w:rPr>
            </w:pPr>
          </w:p>
        </w:tc>
        <w:tc>
          <w:tcPr>
            <w:tcW w:w="83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w w:val="99"/>
              </w:rPr>
              <w:t>(a)  Customer deposits are primarily due to security deposits for capital expenditures relating to a transmission project.</w:t>
            </w:r>
          </w:p>
        </w:tc>
        <w:tc>
          <w:tcPr>
            <w:tcW w:w="16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46.1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Statement of Cash Flows Information.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$(26.2)</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Amounts Reclassified Out of Accumulated Other Comprehensive Income. </w:t>
      </w:r>
      <w:r>
        <w:rPr>
          <w:rFonts w:ascii="Arial" w:cs="Arial" w:eastAsia="Arial" w:hAnsi="Arial"/>
          <w:sz w:val="17"/>
          <w:szCs w:val="17"/>
          <w:color w:val="auto"/>
        </w:rPr>
        <w:t>In February 2013, the FASB issued an accounting standard update on disclosure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reclassified out of accumulated other comprehensive income. This update requires entities to provide information about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guidance was adopted for the quarter ended March 31, 2013, and required additional disclosures but did not have an impact on our consolidated financial position, results of operations, or cash flows. (See Note 11. Reclassifications Out of Accumulated Other Comprehensive Income.)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midstream gas and oil infrastructure, among other energy related projects. This segment also includes other business development and corporate expenditures, a small amount of non-rate base generation, approximately 6,000 acres of land in Minnesota, and earnings on cash and investments.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5020" w:type="dxa"/>
            <w:vAlign w:val="bottom"/>
          </w:tcPr>
          <w:p>
            <w:pPr>
              <w:spacing w:after="0"/>
              <w:rPr>
                <w:sz w:val="20"/>
                <w:szCs w:val="20"/>
                <w:color w:val="auto"/>
              </w:rPr>
            </w:pPr>
          </w:p>
        </w:tc>
        <w:tc>
          <w:tcPr>
            <w:tcW w:w="3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5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2013</w:t>
            </w:r>
          </w:p>
        </w:tc>
        <w:tc>
          <w:tcPr>
            <w:tcW w:w="3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$263.8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86.5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86.5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104.7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28.2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26.8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(12.3)</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534"/>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2013</w:t>
            </w:r>
          </w:p>
        </w:tc>
        <w:tc>
          <w:tcPr>
            <w:tcW w:w="34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5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$3,251.3</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$2,967.9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$2,366.7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$2,300.8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5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$1,179.8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$43.1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$42.6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76"/>
        </w:trPr>
        <w:tc>
          <w:tcPr>
            <w:tcW w:w="5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5340" w:type="dxa"/>
            <w:vAlign w:val="bottom"/>
          </w:tcPr>
          <w:p>
            <w:pPr>
              <w:spacing w:after="0"/>
              <w:rPr>
                <w:sz w:val="20"/>
                <w:szCs w:val="20"/>
                <w:color w:val="auto"/>
              </w:rPr>
            </w:pPr>
          </w:p>
        </w:tc>
        <w:tc>
          <w:tcPr>
            <w:tcW w:w="310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5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2012</w:t>
            </w:r>
          </w:p>
        </w:tc>
        <w:tc>
          <w:tcPr>
            <w:tcW w:w="3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$240.0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77.1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77.1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24.6</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(11.0)</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0.7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34"/>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2012</w:t>
            </w:r>
          </w:p>
        </w:tc>
        <w:tc>
          <w:tcPr>
            <w:tcW w:w="3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5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$2,906.6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$2,586.4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$2,002.8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$1,945.6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5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$1,099.0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$1,045.9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$39.7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$38.7</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4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4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480" w:type="dxa"/>
            <w:vAlign w:val="bottom"/>
          </w:tcPr>
          <w:p>
            <w:pPr>
              <w:jc w:val="right"/>
              <w:ind w:right="210"/>
              <w:spacing w:after="0"/>
              <w:rPr>
                <w:sz w:val="20"/>
                <w:szCs w:val="20"/>
                <w:color w:val="auto"/>
              </w:rPr>
            </w:pPr>
            <w:r>
              <w:rPr>
                <w:rFonts w:ascii="Arial" w:cs="Arial" w:eastAsia="Arial" w:hAnsi="Arial"/>
                <w:sz w:val="18"/>
                <w:szCs w:val="18"/>
                <w:color w:val="auto"/>
              </w:rPr>
              <w:t>20.1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54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w:t>
            </w:r>
          </w:p>
        </w:tc>
        <w:tc>
          <w:tcPr>
            <w:tcW w:w="448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$138.6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0"/>
        </w:trPr>
        <w:tc>
          <w:tcPr>
            <w:tcW w:w="544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0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Capitalized Improvements and Other</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Ending Balance</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Real Estate Assets</w:t>
            </w:r>
          </w:p>
        </w:tc>
        <w:tc>
          <w:tcPr>
            <w:tcW w:w="3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$91.1</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quarter ended March 31, 2013 (none for the year ended December 31, 2012).</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As of March 31, 2013, long-term finance receivables were $1.4 million net of allowance ($1.4 million net of allowance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Long-term finance receivables are collateralized by property sold, accrue interest at market-based rates and are net of an allowance for doubtful accounts. As of March 31, 2013, we had an allowance for doubtful accounts of $0.6 million ($0.6 million as of December 31, 2012).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8 percent of the Company’s outstanding long-term debt as of March 31, 2013.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with respect to that derivative. The shortcut method is used to assess hedge effectiveness. At inception, all shortcut method requirements were satisfied; thus changes in the value of the Swap are deemed 100 percent effective. As a result, there was no ineffectiveness recorded for the quarter ended March 31, 2013. The mark-to-market fluctuation on the cash flow hedge was recorded in accumulated other comprehensive income on the Consolidated Balance Sheet. As of March 31, 2013, the fair value of the Swap was a $0.6 million liability (a $0.7 million liability as of December 31, 2012)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2012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March 31, 2013 and December 31, 2012.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are excluded from the recurring fair value measures in the tables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Fair Value as of March 31, 2013</w:t>
            </w:r>
          </w:p>
        </w:tc>
        <w:tc>
          <w:tcPr>
            <w:tcW w:w="8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$8.7</w:t>
            </w:r>
          </w:p>
        </w:tc>
        <w:tc>
          <w:tcPr>
            <w:tcW w:w="1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$14.4</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77"/>
        </w:trPr>
        <w:tc>
          <w:tcPr>
            <w:tcW w:w="5420" w:type="dxa"/>
            <w:vAlign w:val="bottom"/>
            <w:tcBorders>
              <w:top w:val="single" w:sz="8" w:color="auto"/>
              <w:bottom w:val="single" w:sz="8" w:color="auto"/>
            </w:tcBorders>
          </w:tcPr>
          <w:p>
            <w:pPr>
              <w:spacing w:after="0"/>
              <w:rPr>
                <w:sz w:val="24"/>
                <w:szCs w:val="24"/>
                <w:color w:val="auto"/>
              </w:rPr>
            </w:pPr>
          </w:p>
        </w:tc>
        <w:tc>
          <w:tcPr>
            <w:tcW w:w="25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r>
        <w:trPr>
          <w:trHeight w:val="20"/>
        </w:trPr>
        <w:tc>
          <w:tcPr>
            <w:tcW w:w="542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940" w:type="dxa"/>
            <w:vAlign w:val="bottom"/>
            <w:gridSpan w:val="3"/>
          </w:tcPr>
          <w:p>
            <w:pPr>
              <w:ind w:left="1160"/>
              <w:spacing w:after="0"/>
              <w:rPr>
                <w:sz w:val="20"/>
                <w:szCs w:val="20"/>
                <w:color w:val="auto"/>
              </w:rPr>
            </w:pPr>
            <w:r>
              <w:rPr>
                <w:rFonts w:ascii="Arial" w:cs="Arial" w:eastAsia="Arial" w:hAnsi="Arial"/>
                <w:sz w:val="18"/>
                <w:szCs w:val="18"/>
                <w:b w:val="1"/>
                <w:bCs w:val="1"/>
                <w:color w:val="auto"/>
                <w:w w:val="91"/>
              </w:rPr>
              <w:t>Fair Value as of December 31, 2012</w:t>
            </w:r>
          </w:p>
        </w:tc>
        <w:tc>
          <w:tcPr>
            <w:tcW w:w="780" w:type="dxa"/>
            <w:vAlign w:val="bottom"/>
          </w:tcPr>
          <w:p>
            <w:pPr>
              <w:spacing w:after="0"/>
              <w:rPr>
                <w:sz w:val="20"/>
                <w:szCs w:val="20"/>
                <w:color w:val="auto"/>
              </w:rPr>
            </w:pP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6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r>
      <w:tr>
        <w:trPr>
          <w:trHeight w:val="27"/>
        </w:trPr>
        <w:tc>
          <w:tcPr>
            <w:tcW w:w="6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6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$14.7</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77"/>
        </w:trPr>
        <w:tc>
          <w:tcPr>
            <w:tcW w:w="66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426"/>
        </w:trPr>
        <w:tc>
          <w:tcPr>
            <w:tcW w:w="6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There was no activity in Level 3 during the quarters ended March 31, 2013 and 2012.</w:t>
            </w:r>
          </w:p>
        </w:tc>
        <w:tc>
          <w:tcPr>
            <w:tcW w:w="1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recognize transfers in and transfers out as of the actual date of the event or of the change in circumstances that caused the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quarters ended March 31, 2013 and 2012, there were no transfers in or out of Levels 1, 2 or 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March 31, 2013</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$1,016.3</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$1,073.3</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2012</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$1,018.1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$1,143.7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2011, Minnesota Power appealed the MPUC’s interim rate decision in the Company’s 2010 rate case to the Minnesota Court 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In January 2012, the Company filed a petition for review at the Minnesota Supreme Court (Court). In February 2012, the Court granted the petition for review and oral arguments were held before the Court in October 2012. A decision is expected in the second quarter of 2013. We cannot predict the outcome at this time.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power provided to this customer is expected to be used to supply power for prospective additional retail and municipal load.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2013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The new rates reflect an average overall increase of 2.4 percent for retail customers (a 13.8 percent increase in water rates, a 1.2 percent increase in electric rates, and a 0.2 percent decrease in natural gas rates). On an annualized basis, the rate increase will generate approximately $1.7 million in additional revenue.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Cost Recovery Riders. </w:t>
      </w:r>
      <w:r>
        <w:rPr>
          <w:rFonts w:ascii="Arial" w:cs="Arial" w:eastAsia="Arial" w:hAnsi="Arial"/>
          <w:sz w:val="17"/>
          <w:szCs w:val="17"/>
          <w:color w:val="auto"/>
        </w:rPr>
        <w:t>Minnesota Power has an approved cost recovery rider in place for certain transmission investments and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that includes additional transmission expenditures, which is expected to be approved in mid-2013.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Riders. </w:t>
      </w:r>
      <w:r>
        <w:rPr>
          <w:rFonts w:ascii="Arial" w:cs="Arial" w:eastAsia="Arial" w:hAnsi="Arial"/>
          <w:sz w:val="18"/>
          <w:szCs w:val="18"/>
          <w:color w:val="auto"/>
        </w:rPr>
        <w:t>The Bison Wind Energy Center in North Dakota consists of 292 MW of nameplate capacity and was completed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phases through 2012. Customer billing rates for Bison were approved by the MPUC in a November 2011 order and are based on investments and expenditures through that period. Minnesota Power anticipates filing a cost recovery petition with the MPUC in the second quarter of 2013 to update customer billing rates for subsequent investments and expenditures since 2011.</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Rapids Energy Center. </w:t>
      </w:r>
      <w:r>
        <w:rPr>
          <w:rFonts w:ascii="Arial" w:cs="Arial" w:eastAsia="Arial" w:hAnsi="Arial"/>
          <w:sz w:val="18"/>
          <w:szCs w:val="18"/>
          <w:color w:val="auto"/>
        </w:rPr>
        <w:t>In December 2012, Minnesota Power filed with the MPUC for approval to transfer the assets of Rapids Energy Center from non-rate</w:t>
      </w:r>
      <w:r>
        <w:rPr>
          <w:rFonts w:ascii="Arial" w:cs="Arial" w:eastAsia="Arial" w:hAnsi="Arial"/>
          <w:sz w:val="18"/>
          <w:szCs w:val="18"/>
          <w:b w:val="1"/>
          <w:bCs w:val="1"/>
          <w:color w:val="auto"/>
        </w:rPr>
        <w:t xml:space="preserve"> </w:t>
      </w:r>
      <w:r>
        <w:rPr>
          <w:rFonts w:ascii="Arial" w:cs="Arial" w:eastAsia="Arial" w:hAnsi="Arial"/>
          <w:sz w:val="18"/>
          <w:szCs w:val="18"/>
          <w:color w:val="auto"/>
        </w:rPr>
        <w:t>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late 2013.</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May 2011, the MPUC issued its final order approving our 2010 Integrated Resource Plan. As a condition of the final order, 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baseload diversification study evaluating the impact of additional environmental regulations over the next two decades was filed in February 2012. Minnesota Power’s 2013 Integrated Resource Plan, filed on March 1, 2013, details our “EnergyForward” strategic plan and includes an analysis of a variety of existing and future energy resource alternatives and a projection of customer cost impact by class. A decision by the MPUC on this plan is expected in late 2013.</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required to implement a mercury emissions reduction project for Boswell Unit 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between $350 million and $400 million. The MPCA issued its report on March 1, 2013 in support of the Boswell Unit 4 mercury emissions reduction plan stating that the plan is appropriate for accomplishing the objectives of reducing emissions of mercury and other pollutants under the Minnesota Statutes and recommended that the MPUC accept the report’s findings. We expect a decision by the MPUC on the plan in the third quarter of 2013. Upon approval by the MPUC, we anticipate filing a petition to include investments and expenditures in customer billing rates.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900" w:type="dxa"/>
            <w:vAlign w:val="bottom"/>
          </w:tcPr>
          <w:p>
            <w:pPr>
              <w:spacing w:after="0"/>
              <w:rPr>
                <w:sz w:val="24"/>
                <w:szCs w:val="24"/>
                <w:color w:val="auto"/>
              </w:rPr>
            </w:pPr>
          </w:p>
        </w:tc>
        <w:tc>
          <w:tcPr>
            <w:tcW w:w="29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9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37"/>
        </w:trPr>
        <w:tc>
          <w:tcPr>
            <w:tcW w:w="6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18.5</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29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6900" w:type="dxa"/>
            <w:vAlign w:val="bottom"/>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256.1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260.7</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12.8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(b)</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336.6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r>
      <w:tr>
        <w:trPr>
          <w:trHeight w:val="264"/>
        </w:trPr>
        <w:tc>
          <w:tcPr>
            <w:tcW w:w="690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$355.1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w:t>
            </w:r>
          </w:p>
        </w:tc>
      </w:tr>
      <w:tr>
        <w:trPr>
          <w:trHeight w:val="264"/>
        </w:trPr>
        <w:tc>
          <w:tcPr>
            <w:tcW w:w="690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$18.3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16.0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37"/>
        </w:trPr>
        <w:tc>
          <w:tcPr>
            <w:tcW w:w="6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$59.2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March 31, 2013, our equity investment in ATC was $109.0 million ($107.3 million at December 31, 2012). In the first quarter of 2013, we invested $0.4 million in ATC, and on April 29, 2013, we invested an additional $1.2 million. We expect to make additional investments of approximately $1.5 million in 2013.</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2012</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2013</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NOTE 7. INVESTMENT IN ATC (Continued)</w:t>
            </w:r>
          </w:p>
        </w:tc>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ATC’s summarized financial data for the quarters ended March 31, 2013 and 2012, is as follows:</w:t>
            </w: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8200" w:type="dxa"/>
            <w:vAlign w:val="bottom"/>
          </w:tcPr>
          <w:p>
            <w:pPr>
              <w:spacing w:after="0"/>
              <w:rPr>
                <w:sz w:val="24"/>
                <w:szCs w:val="24"/>
                <w:color w:val="auto"/>
              </w:rPr>
            </w:pPr>
          </w:p>
        </w:tc>
        <w:tc>
          <w:tcPr>
            <w:tcW w:w="32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4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8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60" w:type="dxa"/>
            <w:vAlign w:val="bottom"/>
          </w:tcPr>
          <w:p>
            <w:pPr>
              <w:jc w:val="right"/>
              <w:ind w:right="510"/>
              <w:spacing w:after="0"/>
              <w:rPr>
                <w:sz w:val="20"/>
                <w:szCs w:val="20"/>
                <w:color w:val="auto"/>
              </w:rPr>
            </w:pPr>
            <w:r>
              <w:rPr>
                <w:rFonts w:ascii="Arial" w:cs="Arial" w:eastAsia="Arial" w:hAnsi="Arial"/>
                <w:sz w:val="18"/>
                <w:szCs w:val="18"/>
                <w:color w:val="auto"/>
              </w:rPr>
              <w:t>69.8</w:t>
            </w: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8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4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$60.5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8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20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March 31, 2013, total short-term debt outstanding was $41.2 million ($84.5 million as of December 31, 2012) and consisted of long-term debt due within one year. Short-term debt as of December 31, 2012 included $60.0 million of long-term debt that matured in April 2013. At March 31, 2013, this debt was classified as long-term debt consistent with the accounting guidance for short-term debt expected to be refinanced.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March 31, 2013, total long-term debt outstanding was $975.1 million ($933.6 million as of December 31, 2012).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April 2, 2013, we issued $150.0 million of the Company’s First Mortgage Bonds (Bonds) in the private placement market in three series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2018</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1.83%</w:t>
            </w:r>
          </w:p>
        </w:tc>
      </w:tr>
      <w:tr>
        <w:trPr>
          <w:trHeight w:val="243"/>
        </w:trPr>
        <w:tc>
          <w:tcPr>
            <w:tcW w:w="3840" w:type="dxa"/>
            <w:vAlign w:val="bottom"/>
          </w:tcPr>
          <w:p>
            <w:pPr>
              <w:jc w:val="center"/>
              <w:spacing w:after="0"/>
              <w:rPr>
                <w:sz w:val="20"/>
                <w:szCs w:val="20"/>
                <w:color w:val="auto"/>
              </w:rPr>
            </w:pPr>
            <w:r>
              <w:rPr>
                <w:rFonts w:ascii="Arial" w:cs="Arial" w:eastAsia="Arial" w:hAnsi="Arial"/>
                <w:sz w:val="18"/>
                <w:szCs w:val="18"/>
                <w:color w:val="auto"/>
                <w:w w:val="90"/>
              </w:rPr>
              <w:t>October 15, 2028</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3.30%</w:t>
            </w: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15, 2043</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4.21%</w:t>
            </w:r>
          </w:p>
        </w:tc>
      </w:tr>
      <w:tr>
        <w:trPr>
          <w:trHeight w:val="20"/>
        </w:trPr>
        <w:tc>
          <w:tcPr>
            <w:tcW w:w="38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the option to prepay all or a portion of the 1.83 percent Bonds at our discretion at any time, subject to a make-whole provision. We have the option to prepay all or a portion of the 3.30 percent Bonds at our discretion at any time prior to April 15, 2028, subject to a make-whole provision, and at any time on or after April 15, 2028, at par, including, in each case, accrued and unpaid interest. We also have the option to prepay all or a portion of the 4.21 percent Bonds at our discretion at any time prior to April 15, 2043, subject to a make-whole provision, and at any time on or after April 15, 2043, at par, including, in each case, accrued and unpaid interest. The Bonds are subject to additional terms and conditions of our utility mortgage. Proceeds from the sale of the Bonds will be used to fund utility capital investments, repay debt, and/or for general corporate purposes. The Bonds were sold in reliance on an exemption from registration under Section 4(a)(2) of the Securities Act of 1933, as amended, to certain institutional accredited investors in a private placement.</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2013, our ratio was approximately 0.45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2013,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40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6420" w:type="dxa"/>
            <w:vAlign w:val="bottom"/>
          </w:tcPr>
          <w:p>
            <w:pPr>
              <w:spacing w:after="0"/>
              <w:rPr>
                <w:sz w:val="24"/>
                <w:szCs w:val="24"/>
                <w:color w:val="auto"/>
              </w:rPr>
            </w:pPr>
          </w:p>
        </w:tc>
        <w:tc>
          <w:tcPr>
            <w:tcW w:w="5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6420" w:type="dxa"/>
            <w:vAlign w:val="bottom"/>
          </w:tcPr>
          <w:p>
            <w:pPr>
              <w:spacing w:after="0"/>
              <w:rPr>
                <w:sz w:val="23"/>
                <w:szCs w:val="23"/>
                <w:color w:val="auto"/>
              </w:rPr>
            </w:pPr>
          </w:p>
        </w:tc>
        <w:tc>
          <w:tcPr>
            <w:tcW w:w="5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420" w:type="dxa"/>
            <w:vAlign w:val="bottom"/>
          </w:tcPr>
          <w:p>
            <w:pPr>
              <w:spacing w:after="0"/>
              <w:rPr>
                <w:sz w:val="23"/>
                <w:szCs w:val="23"/>
                <w:color w:val="auto"/>
              </w:rPr>
            </w:pPr>
          </w:p>
        </w:tc>
        <w:tc>
          <w:tcPr>
            <w:tcW w:w="4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64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4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4080" w:type="dxa"/>
            <w:vAlign w:val="bottom"/>
          </w:tcPr>
          <w:p>
            <w:pPr>
              <w:jc w:val="right"/>
              <w:ind w:right="210"/>
              <w:spacing w:after="0"/>
              <w:rPr>
                <w:sz w:val="20"/>
                <w:szCs w:val="20"/>
                <w:color w:val="auto"/>
              </w:rPr>
            </w:pPr>
            <w:r>
              <w:rPr>
                <w:rFonts w:ascii="Arial" w:cs="Arial" w:eastAsia="Arial" w:hAnsi="Arial"/>
                <w:sz w:val="18"/>
                <w:szCs w:val="18"/>
                <w:color w:val="auto"/>
              </w:rPr>
              <w:t>0.8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 (Expense)</w:t>
            </w:r>
          </w:p>
        </w:tc>
        <w:tc>
          <w:tcPr>
            <w:tcW w:w="4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4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4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42"/>
        </w:trPr>
        <w:tc>
          <w:tcPr>
            <w:tcW w:w="642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6420" w:type="dxa"/>
            <w:vAlign w:val="bottom"/>
          </w:tcPr>
          <w:p>
            <w:pPr>
              <w:spacing w:after="0"/>
              <w:rPr>
                <w:sz w:val="24"/>
                <w:szCs w:val="24"/>
                <w:color w:val="auto"/>
              </w:rPr>
            </w:pPr>
          </w:p>
        </w:tc>
        <w:tc>
          <w:tcPr>
            <w:tcW w:w="5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6420" w:type="dxa"/>
            <w:vAlign w:val="bottom"/>
          </w:tcPr>
          <w:p>
            <w:pPr>
              <w:spacing w:after="0"/>
              <w:rPr>
                <w:sz w:val="23"/>
                <w:szCs w:val="23"/>
                <w:color w:val="auto"/>
              </w:rPr>
            </w:pPr>
          </w:p>
        </w:tc>
        <w:tc>
          <w:tcPr>
            <w:tcW w:w="5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420" w:type="dxa"/>
            <w:vAlign w:val="bottom"/>
          </w:tcPr>
          <w:p>
            <w:pPr>
              <w:spacing w:after="0"/>
              <w:rPr>
                <w:sz w:val="23"/>
                <w:szCs w:val="23"/>
                <w:color w:val="auto"/>
              </w:rPr>
            </w:pPr>
          </w:p>
        </w:tc>
        <w:tc>
          <w:tcPr>
            <w:tcW w:w="4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64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4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408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4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4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4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Federal</w:t>
            </w:r>
          </w:p>
        </w:tc>
        <w:tc>
          <w:tcPr>
            <w:tcW w:w="40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 xml:space="preserve">Change in Valuation Allowance </w:t>
            </w:r>
            <w:r>
              <w:rPr>
                <w:rFonts w:ascii="Arial" w:cs="Arial" w:eastAsia="Arial" w:hAnsi="Arial"/>
                <w:sz w:val="18"/>
                <w:szCs w:val="18"/>
                <w:i w:val="1"/>
                <w:iCs w:val="1"/>
                <w:color w:val="auto"/>
              </w:rPr>
              <w:t>(c)</w:t>
            </w:r>
          </w:p>
        </w:tc>
        <w:tc>
          <w:tcPr>
            <w:tcW w:w="408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4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4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4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4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0"/>
        </w:trPr>
        <w:tc>
          <w:tcPr>
            <w:tcW w:w="642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ended March 31, 2013, the federal and state current tax expense of $0.2 million and zero, respectively, (zero and zero for the quarter ended March 31, 2012) is due to net operating losses (NOLs) which resulted primarily from the bonus depreciation provision of the American Taxpayer Relief Act of 2012 and the Tax Relief Unemployment Insurance Reauthorization and Job Creation Act of 2010. The 2013 and 2012 federal and state NOLs will be carried forward to offset future taxable income.</w:t>
      </w:r>
    </w:p>
    <w:p>
      <w:pPr>
        <w:spacing w:after="0" w:line="3"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quarters ended March 31, 2013 and 2012, the state deferred tax benefits of $0.5 million and $0.8 million, respectively, are primarily due to state renewable tax credits earned which will be carried forward to offset future state tax expense.</w:t>
      </w:r>
    </w:p>
    <w:p>
      <w:pPr>
        <w:ind w:left="340" w:hanging="332"/>
        <w:spacing w:after="0" w:line="25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quarters ended March 31, 2013 and 2012, the change in the valuation allowance is due to state renewable tax credits earned in 2013 and 2012 which are not expected to be utilized within their allowable tax carryforward period.</w:t>
      </w:r>
    </w:p>
    <w:p>
      <w:pPr>
        <w:spacing w:after="0" w:line="18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For the quarter ended March 31, 2013, the effective tax rate was 18.8 percent (25.4 percent for the quarter ended March 31, 2012). The decrease from the effective tax rate for the quarter ended March 31, 2012, was primarily due to increased federal production tax credits. The effective tax rate deviated from the statutory rate of approximately 41 percent primarily due to deductions for AFUDC </w:t>
      </w:r>
      <w:r>
        <w:rPr>
          <w:rFonts w:ascii="MS PGothic" w:cs="MS PGothic" w:eastAsia="MS PGothic" w:hAnsi="MS PGothic"/>
          <w:sz w:val="18"/>
          <w:szCs w:val="18"/>
          <w:color w:val="auto"/>
        </w:rPr>
        <w:t>‑</w:t>
      </w:r>
      <w:r>
        <w:rPr>
          <w:rFonts w:ascii="Arial" w:cs="Arial" w:eastAsia="Arial" w:hAnsi="Arial"/>
          <w:sz w:val="18"/>
          <w:szCs w:val="18"/>
          <w:color w:val="auto"/>
        </w:rPr>
        <w:t xml:space="preserve"> Equity, investment tax credits, federal production tax credits, state income tax credits and depletion.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2013, we had gross unrecognized tax benefits of $2.6 million ($2.7 million as of December 31, 2012).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$0.7 million represents the amount of unrecognized tax benefits included in the Consolidated Balance Sheet, that, if recognized, would favorably impact the effective income tax rate.</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ALLETE’s IRS exam for tax years 2005 through 2009 is currently under review at the IRS appeals office. We expect the IRS appeals process to be completed during the next twelve months, resulting in the reversal of substantially all of the unrecognized tax benefits as of March 31, 2013. The unrecognized tax benefits are primarily due to tax positions which are timing in nature and therefore would have an immaterial impact on our effective tax rate if recognized.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RECLASSIFICATIONS OUT OF ACCUMULATED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Changes in Accumulated Other Comprehensive Loss by Component</w:t>
            </w:r>
          </w:p>
        </w:tc>
        <w:tc>
          <w:tcPr>
            <w:tcW w:w="1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5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Gains and Losses</w:t>
            </w:r>
          </w:p>
        </w:tc>
        <w:tc>
          <w:tcPr>
            <w:tcW w:w="10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on Cash Flow</w:t>
            </w:r>
          </w:p>
        </w:tc>
        <w:tc>
          <w:tcPr>
            <w:tcW w:w="1020" w:type="dxa"/>
            <w:vAlign w:val="bottom"/>
          </w:tcPr>
          <w:p>
            <w:pPr>
              <w:spacing w:after="0"/>
              <w:rPr>
                <w:sz w:val="18"/>
                <w:szCs w:val="18"/>
                <w:color w:val="auto"/>
              </w:rPr>
            </w:pPr>
          </w:p>
        </w:tc>
      </w:tr>
      <w:tr>
        <w:trPr>
          <w:trHeight w:val="234"/>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2013</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sale Securities </w:t>
            </w:r>
            <w:r>
              <w:rPr>
                <w:rFonts w:ascii="Arial" w:cs="Arial" w:eastAsia="Arial" w:hAnsi="Arial"/>
                <w:sz w:val="18"/>
                <w:szCs w:val="18"/>
                <w:b w:val="1"/>
                <w:bCs w:val="1"/>
                <w:i w:val="1"/>
                <w:iCs w:val="1"/>
                <w:color w:val="auto"/>
                <w:w w:val="87"/>
              </w:rPr>
              <w:t>(a)</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(a)</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Hedge </w:t>
            </w:r>
            <w:r>
              <w:rPr>
                <w:rFonts w:ascii="Arial" w:cs="Arial" w:eastAsia="Arial" w:hAnsi="Arial"/>
                <w:sz w:val="18"/>
                <w:szCs w:val="18"/>
                <w:b w:val="1"/>
                <w:bCs w:val="1"/>
                <w:i w:val="1"/>
                <w:iCs w:val="1"/>
                <w:color w:val="auto"/>
              </w:rPr>
              <w:t>(a), (b)</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i w:val="1"/>
                <w:iCs w:val="1"/>
                <w:color w:val="auto"/>
              </w:rPr>
              <w:t>(a)</w:t>
            </w:r>
          </w:p>
        </w:tc>
      </w:tr>
      <w:tr>
        <w:trPr>
          <w:trHeight w:val="27"/>
        </w:trPr>
        <w:tc>
          <w:tcPr>
            <w:tcW w:w="5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51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5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Amounts shown are net of tax.</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amounts reclassified from accumulated other comprehensive loss related to the cash flow hedge.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Reclassifications Out of Accumulated Other Comprehensive Loss</w:t>
            </w:r>
          </w:p>
        </w:tc>
        <w:tc>
          <w:tcPr>
            <w:tcW w:w="20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60"/>
        </w:trPr>
        <w:tc>
          <w:tcPr>
            <w:tcW w:w="60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w w:val="90"/>
              </w:rPr>
              <w:t>Amount Reclassified from</w:t>
            </w:r>
          </w:p>
        </w:tc>
        <w:tc>
          <w:tcPr>
            <w:tcW w:w="3300" w:type="dxa"/>
            <w:vAlign w:val="bottom"/>
          </w:tcPr>
          <w:p>
            <w:pPr>
              <w:spacing w:after="0"/>
              <w:rPr>
                <w:sz w:val="24"/>
                <w:szCs w:val="24"/>
                <w:color w:val="auto"/>
              </w:rPr>
            </w:pPr>
          </w:p>
        </w:tc>
      </w:tr>
      <w:tr>
        <w:trPr>
          <w:trHeight w:val="216"/>
        </w:trPr>
        <w:tc>
          <w:tcPr>
            <w:tcW w:w="6060" w:type="dxa"/>
            <w:vAlign w:val="bottom"/>
          </w:tcPr>
          <w:p>
            <w:pPr>
              <w:spacing w:after="0"/>
              <w:rPr>
                <w:sz w:val="18"/>
                <w:szCs w:val="18"/>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b w:val="1"/>
                <w:bCs w:val="1"/>
                <w:color w:val="auto"/>
              </w:rPr>
              <w:t>Accumulated Other</w:t>
            </w:r>
          </w:p>
        </w:tc>
        <w:tc>
          <w:tcPr>
            <w:tcW w:w="3300" w:type="dxa"/>
            <w:vAlign w:val="bottom"/>
          </w:tcPr>
          <w:p>
            <w:pPr>
              <w:spacing w:after="0"/>
              <w:rPr>
                <w:sz w:val="18"/>
                <w:szCs w:val="18"/>
                <w:color w:val="auto"/>
              </w:rPr>
            </w:pP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Details About Accumulated Other Comprehensive Loss Components</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 xml:space="preserve">Comprehensive Loss </w:t>
            </w:r>
            <w:r>
              <w:rPr>
                <w:rFonts w:ascii="Arial" w:cs="Arial" w:eastAsia="Arial" w:hAnsi="Arial"/>
                <w:sz w:val="18"/>
                <w:szCs w:val="18"/>
                <w:b w:val="1"/>
                <w:bCs w:val="1"/>
                <w:i w:val="1"/>
                <w:iCs w:val="1"/>
                <w:color w:val="auto"/>
                <w:w w:val="92"/>
              </w:rPr>
              <w:t>(a)</w:t>
            </w:r>
          </w:p>
        </w:tc>
        <w:tc>
          <w:tcPr>
            <w:tcW w:w="33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Affected Income Statement Line Item</w:t>
            </w:r>
          </w:p>
        </w:tc>
      </w:tr>
      <w:tr>
        <w:trPr>
          <w:trHeight w:val="27"/>
        </w:trPr>
        <w:tc>
          <w:tcPr>
            <w:tcW w:w="60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2013</w:t>
            </w:r>
          </w:p>
        </w:tc>
        <w:tc>
          <w:tcPr>
            <w:tcW w:w="206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Other Income (Expense) - Other</w:t>
            </w:r>
          </w:p>
        </w:tc>
      </w:tr>
      <w:tr>
        <w:trPr>
          <w:trHeight w:val="243"/>
        </w:trPr>
        <w:tc>
          <w:tcPr>
            <w:tcW w:w="60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(0.3)</w:t>
            </w:r>
          </w:p>
        </w:tc>
        <w:tc>
          <w:tcPr>
            <w:tcW w:w="3300" w:type="dxa"/>
            <w:vAlign w:val="bottom"/>
          </w:tcPr>
          <w:p>
            <w:pPr>
              <w:jc w:val="center"/>
              <w:ind w:left="30"/>
              <w:spacing w:after="0"/>
              <w:rPr>
                <w:sz w:val="20"/>
                <w:szCs w:val="20"/>
                <w:color w:val="auto"/>
              </w:rPr>
            </w:pPr>
            <w:r>
              <w:rPr>
                <w:rFonts w:ascii="Arial" w:cs="Arial" w:eastAsia="Arial" w:hAnsi="Arial"/>
                <w:sz w:val="18"/>
                <w:szCs w:val="18"/>
                <w:color w:val="auto"/>
                <w:w w:val="88"/>
              </w:rPr>
              <w:t>Income Tax Expense</w:t>
            </w:r>
          </w:p>
        </w:tc>
      </w:tr>
      <w:tr>
        <w:trPr>
          <w:trHeight w:val="27"/>
        </w:trPr>
        <w:tc>
          <w:tcPr>
            <w:tcW w:w="60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3300" w:type="dxa"/>
            <w:vAlign w:val="bottom"/>
            <w:tcBorders>
              <w:bottom w:val="single" w:sz="8" w:color="CCEEFF"/>
            </w:tcBorders>
            <w:shd w:val="clear" w:color="auto" w:fill="CCEEFF"/>
          </w:tcPr>
          <w:p>
            <w:pPr>
              <w:spacing w:after="0"/>
              <w:rPr>
                <w:sz w:val="22"/>
                <w:szCs w:val="22"/>
                <w:color w:val="auto"/>
              </w:rPr>
            </w:pPr>
          </w:p>
        </w:tc>
      </w:tr>
      <w:tr>
        <w:trPr>
          <w:trHeight w:val="277"/>
        </w:trPr>
        <w:tc>
          <w:tcPr>
            <w:tcW w:w="60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06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Prior Service Costs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30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7"/>
        </w:trPr>
        <w:tc>
          <w:tcPr>
            <w:tcW w:w="6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Gains and Losses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37"/>
        </w:trPr>
        <w:tc>
          <w:tcPr>
            <w:tcW w:w="6060" w:type="dxa"/>
            <w:vAlign w:val="bottom"/>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Income Tax Expense</w:t>
            </w:r>
          </w:p>
        </w:tc>
      </w:tr>
      <w:tr>
        <w:trPr>
          <w:trHeight w:val="237"/>
        </w:trPr>
        <w:tc>
          <w:tcPr>
            <w:tcW w:w="6060" w:type="dxa"/>
            <w:vAlign w:val="bottom"/>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30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r>
      <w:tr>
        <w:trPr>
          <w:trHeight w:val="277"/>
        </w:trPr>
        <w:tc>
          <w:tcPr>
            <w:tcW w:w="6060" w:type="dxa"/>
            <w:vAlign w:val="bottom"/>
            <w:tcBorders>
              <w:bottom w:val="single" w:sz="8" w:color="auto"/>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spacing w:after="0"/>
              <w:rPr>
                <w:sz w:val="24"/>
                <w:szCs w:val="24"/>
                <w:color w:val="auto"/>
              </w:rPr>
            </w:pPr>
          </w:p>
        </w:tc>
        <w:tc>
          <w:tcPr>
            <w:tcW w:w="3300" w:type="dxa"/>
            <w:vAlign w:val="bottom"/>
            <w:tcBorders>
              <w:bottom w:val="single" w:sz="8" w:color="auto"/>
            </w:tcBorders>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3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 parentheses indicate charges to net income.</w:t>
      </w:r>
    </w:p>
    <w:p>
      <w:pPr>
        <w:spacing w:after="0" w:line="19"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accumulated other comprehensive loss are included in the computation of net pension and other postretirement benefit expense. (See Note 13.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non-vested restricted stock, and performance share awards granted under our Executive Long-Term Incentive Compensation Plan. For the quarters ended March 31, 2013 and 2012, 0.1 million and 0.2 million options to purchase shares of common stock, respectively, were excluded from the computation of diluted earnings per share because the option exercise prices were greater than the average market prices; therefore, their effect would have been anti-dilutive.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38.9</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36.8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$0.83</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$0.66</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13.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2012</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(8.8)</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$5.6</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$4.5</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quarter ended March 31, 2013, no contributions were made to our defined benefit pension plan (none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2012). For the quarter ended March 31, 2013, we contributed $10.8 million to our other postretirement benefit plan (none for the quarter ended March 31, 2012). We do not expect to contribute to our defined benefit pension plan in 2013, and we do not expect to make any additional contributions to our other postretirement benefit plan in 2013.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March 31, 2013, Square Butte had total debt outstanding of $406.0 million. Annual debt service for Square Butte is expected to be approximately $44 million in each of the next five years, 2013 through 2017,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quarter ended March 31, 2013 was $16.3 million ($15.9 million for the quarter ended March 31, 2012). This reflects Minnesota Power’s pro rata share of total Square Butte costs based on the 50 percent output entitlement. Included in this amount was Minnesota Power’s pro rata share of interest expense of $2.6 million during the quarter ended March 31, 2013 ($2.7 million for the quarter ended March 31, 2012).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anticipated to occur by the end of 2013. This new AC transmission line will allow Minnkota Power to transmit its entitlement from Square Butte directly to its customers, which in turn will enable Minnesota Power the ability to transmit additional wind generation on the existing DC transmission 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1, 2016 through May 31,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calls for Manitoba Hydro to sell 250 MW of capacity and energy to Minnesota Power for 15 years beginning in 2020 and is subject to construction of additional transmission capacity between Manitoba and Minnesota’s Iron Range, along with construction of new hydroelectric generating capacity in Manitoba.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 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2014. We also have coal transportation agreements in place for the delivery of a significant portion of our coal requirements with expiration dates through 2015. Our minimum annual payment obligation under these supply and transportation agreements is $36.8 million for the remainder of 2013 and $1.3 million for 2014.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2016. The aggregate amount of minimum lease payments for all operating leases is $11.5 million in 2013, $11.7 million in 2014, $11.4 million in 2015, $9.3 million in 2016, $8.5 million in 2017 and $35.0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$53.5 million was spent through March 31, 2013, of which $42.6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Source Review (NSR)</w:t>
      </w:r>
      <w:r>
        <w:rPr>
          <w:rFonts w:ascii="Arial" w:cs="Arial" w:eastAsia="Arial" w:hAnsi="Arial"/>
          <w:sz w:val="16"/>
          <w:szCs w:val="16"/>
          <w:color w:val="auto"/>
        </w:rPr>
        <w:t>. 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installing additional pollution control equipment would likely be eligible for recovery in rates over time subject to regulatory approval in a rate proceeding.</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Cross-State Air Pollution Rule (CSAPR)</w:t>
      </w:r>
      <w:r>
        <w:rPr>
          <w:rFonts w:ascii="Arial" w:cs="Arial" w:eastAsia="Arial" w:hAnsi="Arial"/>
          <w:sz w:val="18"/>
          <w:szCs w:val="18"/>
          <w:color w:val="auto"/>
        </w:rPr>
        <w:t>. In July 2011, the EPA issued the CSAPR, which replaced the EPA’s 2005 CAIR. However, in August 2012, a three</w:t>
      </w:r>
      <w:r>
        <w:rPr>
          <w:rFonts w:ascii="Arial" w:cs="Arial" w:eastAsia="Arial" w:hAnsi="Arial"/>
          <w:sz w:val="18"/>
          <w:szCs w:val="18"/>
          <w:i w:val="1"/>
          <w:iCs w:val="1"/>
          <w:color w:val="auto"/>
        </w:rPr>
        <w:t xml:space="preserve"> </w:t>
      </w:r>
      <w:r>
        <w:rPr>
          <w:rFonts w:ascii="Arial" w:cs="Arial" w:eastAsia="Arial" w:hAnsi="Arial"/>
          <w:sz w:val="18"/>
          <w:szCs w:val="18"/>
          <w:color w:val="auto"/>
        </w:rPr>
        <w:t>judge panel of the District of Columbia Circuit Court of Appeals vacated the CSAPR, ordering that the CAIR remain in effect while a CSAPR replacement rule is promulgated. On March 29, 2013, the EPA petitioned the Supreme Court to review the District of Columbia Circuit Court of Appeals ruling. The Supreme Court has not yet decided whether it will grant review. If reinstated after Supreme Court review,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due to the August 2012 District of Columbia Circuit Court of Appeals decision.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2013. We are unable to predict any additional compliance costs we might incur if the CSAPR is reinstated or if a CSAPR replacement rule is promulgated.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2011, the EPA published in the Federal Register a proposal to approve the trading program in the CSAPR as an alternative to determining BART. However, as a result of the August 2012 District of Columbia Circuit Court of Appeals decision to vacate the CSAPR (See </w:t>
      </w:r>
      <w:r>
        <w:rPr>
          <w:rFonts w:ascii="Arial" w:cs="Arial" w:eastAsia="Arial" w:hAnsi="Arial"/>
          <w:sz w:val="18"/>
          <w:szCs w:val="18"/>
          <w:i w:val="1"/>
          <w:iCs w:val="1"/>
          <w:color w:val="auto"/>
        </w:rPr>
        <w:t>CSAPR</w:t>
      </w:r>
      <w:r>
        <w:rPr>
          <w:rFonts w:ascii="Arial" w:cs="Arial" w:eastAsia="Arial" w:hAnsi="Arial"/>
          <w:sz w:val="18"/>
          <w:szCs w:val="18"/>
          <w:color w:val="auto"/>
        </w:rPr>
        <w:t>), Minnesota Power is now evaluating whether significant additional expenditures at Taconite Harbor Unit 3 will be required to comply with BART requirements under the Regional Haze Rule. If additional regional haze related controls are ultimately required, Minnesota Power will have up to five years from the final rule promulgation date to bring Taconite Harbor Unit 3 into compliance with the Regional Haze Rule requirements. It is uncertain what controls would ultimately be required at Taconite Harbor Unit 3 under this scenario. On January 30, 2013, Minnesota Power announced “EnergyForward”, a strategic plan for assuring reliability, protecting affordability and further improving environmental performance. The plan includes retiring Taconite Harbor Unit 3 in 2015, subject to MPUC approval.</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they have approved Minnesota Power’s request of an additional year extending the date of compliance for the Boswell Unit 4 retrofit to April 1, 2016. Compliance at our Boswell Unit 4 to address the final MATS rule is expected to result in capital expenditures totaling between $350 million and $400 million through 2016. Our “EnergyForward” plan also includes the conversion of Laskin Units 1 and 2 to natural gas in 2015, addressing the MATS requirements.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EPA National Emission Standards for Hazardous Air Pollutants for Major Sources: Industrial, Commercial and Institutional Boilers and Process Heaters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was released in December 2012. Major sources have three years to achieve compliance with the final rule. Minnesota Power is in the process of assessing the impact of this rule on our affected units including Hibbard and Rapids Energy Center. Costs for complying with the final rule cannot be estimated at this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Minnesota Mercury Emissions Reduction Act</w:t>
      </w:r>
      <w:r>
        <w:rPr>
          <w:rFonts w:ascii="Arial" w:cs="Arial" w:eastAsia="Arial" w:hAnsi="Arial"/>
          <w:sz w:val="16"/>
          <w:szCs w:val="16"/>
          <w:color w:val="auto"/>
        </w:rPr>
        <w:t>. Under the 2006 Minnesota Mercury Emissions Reduction Act, Minnesota Power is required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mercury emissions reduction project for Boswell Unit 4 by December 31, 2018. In August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retrofit to April 1, 2016, was approved by the MPCA. Costs to implement the Boswell Unit 4 mercury emissions reduction plan are included in the estimated capital expenditures required for compliance with the MATS rule discussed above.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The EPA has proposed to more stringently control emissions that result in ground level ozone. In January 2010, the EPA proposed to revise</w:t>
      </w:r>
      <w:r>
        <w:rPr>
          <w:rFonts w:ascii="Arial" w:cs="Arial" w:eastAsia="Arial" w:hAnsi="Arial"/>
          <w:sz w:val="18"/>
          <w:szCs w:val="18"/>
          <w:i w:val="1"/>
          <w:iCs w:val="1"/>
          <w:color w:val="auto"/>
        </w:rPr>
        <w:t xml:space="preserve"> </w:t>
      </w:r>
      <w:r>
        <w:rPr>
          <w:rFonts w:ascii="Arial" w:cs="Arial" w:eastAsia="Arial" w:hAnsi="Arial"/>
          <w:sz w:val="18"/>
          <w:szCs w:val="18"/>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the second half of 2013.</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2012, the EPA confirmed in a final rule that the current annual PM</w:t>
      </w:r>
      <w:r>
        <w:rPr>
          <w:rFonts w:ascii="Arial" w:cs="Arial" w:eastAsia="Arial" w:hAnsi="Arial"/>
          <w:sz w:val="12"/>
          <w:szCs w:val="12"/>
          <w:color w:val="auto"/>
        </w:rPr>
        <w:t>2.5</w:t>
      </w:r>
      <w:r>
        <w:rPr>
          <w:rFonts w:ascii="Arial" w:cs="Arial" w:eastAsia="Arial" w:hAnsi="Arial"/>
          <w:sz w:val="18"/>
          <w:szCs w:val="18"/>
          <w:color w:val="auto"/>
        </w:rPr>
        <w:t xml:space="preserve"> standard, which has been in place since 1997, will be lowered,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lower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lower standard, and compliance with the NAAQS at the facility level is generally demonstrated by modeling. To bridge the transition to the lower standard, the EPA is finalizing a grandfathering provision to ensure that projects and pending permits already underway are not unduly delayed.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relocation or repurposing of existing monitors. States are expected to propose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has notified states that their SIPs for attainment of the standard will be required to be submitted to the EPA for approval by June 2013 but will not be required to include the evaluation of modeling data until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apply only to new or re-powered units and were open for public comment through June 25, 2012. It is anticipated that the EPA will issue NSPS for existing fossil fuel-fired electric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have been filed with respect to the EPA’s regulation of GHG emissions, including the Tailoring Rule. On June 26, 2012, the United States District Court for the District of Columbia upheld most of the EPA’s proposed regulations, including the Tailoring Rule criteria, finding that the Clean Air Act compels the EPA to regulate in the manner the EPA proposed. Comments on the permitting guidance were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 Water</w:t>
      </w:r>
      <w:r>
        <w:rPr>
          <w:rFonts w:ascii="Arial" w:cs="Arial" w:eastAsia="Arial" w:hAnsi="Arial"/>
          <w:sz w:val="17"/>
          <w:szCs w:val="17"/>
          <w:i w:val="1"/>
          <w:iCs w:val="1"/>
          <w:color w:val="auto"/>
        </w:rPr>
        <w:t xml:space="preserve"> </w:t>
      </w:r>
      <w:r>
        <w:rPr>
          <w:rFonts w:ascii="Arial" w:cs="Arial" w:eastAsia="Arial" w:hAnsi="Arial"/>
          <w:sz w:val="17"/>
          <w:szCs w:val="17"/>
          <w:color w:val="auto"/>
        </w:rPr>
        <w:t>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obligated to finalize the rule by June 27, 2013. We are unable to predict the compliance costs we might incur under the final rule;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late 2009, the EPA announced that it would be reviewing and reissuing the federal effluent</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for steam electric power generating stations under the Clean Water Act. On April 19, 2013, the EPA announced proposed revisions to those federal effluent guidelines. Instead of proposing a single rule, the EPA has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Compliance with the final rule would be required no later than July 1, 2022. We are reviewing the proposed rule and evaluating its potential impacts on our operations. It is expected that the EPA will issue a final rule in 2014.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2013 or early 2014. We are unable to predict the compliance costs we might incur; however, the costs could be material. We would seek recovery of any additional costs through cost recovery riders or in a general rate case.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March 31, 2013, BNI Coal had surety bonds outstanding of $29.7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2013,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$7.4 million, of which $0.6 million is the contractual obligation of land purchasers. ALLETE Properties does not believe it is likely that any of these outstanding surety bonds or letters of credit will be drawn upon.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2013, we owned 73 percent of the assessable land in the Town Center District (73 percent at December 31, 2012) and 93 percent of the assessable land in the Palm Coast Park District (93 percent at December 31, 2012).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In January 2011, the Company was named as a defendant in a lawsuit in the Sixth Judicial District for the State of Minnesota by one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March 31, 2013, because a potential loss is not currently probable or reasonably estimable; however, the Company believes it has adequate insurance limits for any potential loss. Our insurance carrier is providing a defense subject to a reservation of rights as to certain claims.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our results of operations and cash flows in the year of resolution, none of these matters are expected to materially change our present liquidity position, or have a material adverse effect on our financial condition.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beginning on page 27 of our 2012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 related projects. This segment also includes other business development and corporate expenditures, a small amount of non-rate base generation, approximately 6,000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2013, unless otherwise indicated. All subsidiaries are wholly-owned unless otherwise specifically indicated. References in this report to “we,” “us” and “our” are to ALLETE and its subsidiaries, collectively.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quarter ended March 31, 2013, to the quarter ended March 31, 2012.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quarter ended March 31, 2013, was $32.5 million, or $0.83 per diluted share, compared to $24.4 million, or $0.66 per diluted share, for the same period of 2012. Net income for 2013 reflected higher kilowatt-hour sales, cost recovery rider revenue and federal production tax credits. These increases were partially offset by increased operating and maintenance, depreciation and interest expenses. Earnings per share dilution was $0.05 as a result of additional shares of common stock outstanding as of March 31, 2013.</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$32.1 million for the quarter ended March 31, 2013, compared to $24.4 million for the same period of 2012.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for 2013 reflected higher kilowatt-hour sales, cost recovery rider revenue and federal production tax credits. These increases were partially offset by increased operating and maintenance, depreciation and interest expenses.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income was $0.4 million for the quarter ended March 31, 2013, compared to no net income for the same period of 2012.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2013 was primarily due to a gain on sale of available-for-sale securities.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MARCH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$22.8 million, or 10 percent, from 2012 primarily due to higher fuel adjustment clause recoveries, higher cost recovery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rider revenue, a 3.1 percent increase in kilowatt-hours sold, higher municipal rates, and higher gas sales.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$7.2 million from 2012 due to higher fuel and purchased power costs attributable to our retail and municipal customers. (</w:t>
      </w:r>
      <w:r>
        <w:rPr>
          <w:rFonts w:ascii="Arial" w:cs="Arial" w:eastAsia="Arial" w:hAnsi="Arial"/>
          <w:sz w:val="18"/>
          <w:szCs w:val="18"/>
          <w:i w:val="1"/>
          <w:iCs w:val="1"/>
          <w:color w:val="auto"/>
        </w:rPr>
        <w:t>See 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Cost recovery rider revenue increased $4.9 million from 2012 as our Bison Wind Energy Center was completed in various phases through 2012 and in service for the full first quarter of 2013. Also contributing to the increase were higher capital expenditures related to our CapX2020 projects.</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Revenue from Regulated Operations increased $5.3 million from 2012 due to a 3.1 percent increase in kilowatt-hour sales. The increase in kilowatt-hour sales was due to higher sales to residential, commercial and municipal customers as the first quarter of 2012 had unseasonably warm weather; in 2013, heating degree days in Duluth, Minnesota were approximately 27 percent higher than the same period in 2012. Total kilowatt-hour sales to Other Power Suppliers increased 14.3 percent from 2012. Sales to Other Power Suppliers are sold at market-based prices into the MISO market on a daily basis or through bilateral agreements of various durations.</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from our municipal customers increased $1.3 million from 2012 due to higher rates under the cost-based formula primarily due to higher capital expenditures.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QUARTERS ENDED MARCH 31,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Gas sales at SWL&amp;P increased $1.9 million from 2012 as a result of the unseasonably warm weather during the first quarter of 2012.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March 31,</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377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274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591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06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3,441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(26 percent in 2012). Revenue from electric sales to paper and pulp mills accounted for 8 percent of consolidated operating revenue in 2013 (8 percent in 2012). Revenue from electric sales to pipelines and other industrials accounted for 6 percent of consolidated operating revenue in 2013 (7 percent in 2012).</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$17.1 million, or 10 percent, from 2012.</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$9.4 million, or 12 percent, from 2012 due to an increase in kilowatt-hours sold and higher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$4.1 million, or 5 percent, from 2012 primarily due to higher purchased gas and property tax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gas expenses increased due to higher gas sales in 2013 as a result of the unseasonably warm weather during the first quarter of 2012; purchased gas costs are recovered through a purchased gas adjustment clause from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 Property tax expenses increased primarily due to higher taxable plant and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$3.6 million, or 16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$1.1 million, or 11 percent, from 2012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$2.2 million, or 19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December 2012 and in service for the full first quarter of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$1.0 million, or 5 percent, from 2012 primarily due to a $0.8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2013. (See </w:t>
      </w:r>
      <w:r>
        <w:rPr>
          <w:rFonts w:ascii="Arial" w:cs="Arial" w:eastAsia="Arial" w:hAnsi="Arial"/>
          <w:sz w:val="17"/>
          <w:szCs w:val="17"/>
          <w:i w:val="1"/>
          <w:iCs w:val="1"/>
          <w:color w:val="auto"/>
        </w:rPr>
        <w:t>Operating Expense</w:t>
      </w:r>
      <w:r>
        <w:rPr>
          <w:rFonts w:ascii="Arial" w:cs="Arial" w:eastAsia="Arial" w:hAnsi="Arial"/>
          <w:sz w:val="17"/>
          <w:szCs w:val="17"/>
          <w:color w:val="auto"/>
        </w:rPr>
        <w:t>.)</w:t>
      </w:r>
    </w:p>
    <w:p>
      <w:pPr>
        <w:spacing w:after="0" w:line="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360" w:type="dxa"/>
            <w:vAlign w:val="bottom"/>
          </w:tcPr>
          <w:p>
            <w:pPr>
              <w:spacing w:after="0"/>
              <w:rPr>
                <w:sz w:val="20"/>
                <w:szCs w:val="20"/>
                <w:color w:val="auto"/>
              </w:rPr>
            </w:pPr>
          </w:p>
        </w:tc>
        <w:tc>
          <w:tcPr>
            <w:tcW w:w="1660" w:type="dxa"/>
            <w:vAlign w:val="bottom"/>
          </w:tcPr>
          <w:p>
            <w:pPr>
              <w:jc w:val="right"/>
              <w:ind w:right="1210"/>
              <w:spacing w:after="0"/>
              <w:rPr>
                <w:sz w:val="20"/>
                <w:szCs w:val="20"/>
                <w:color w:val="auto"/>
              </w:rPr>
            </w:pPr>
            <w:r>
              <w:rPr>
                <w:rFonts w:ascii="Arial" w:cs="Arial" w:eastAsia="Arial" w:hAnsi="Arial"/>
                <w:sz w:val="18"/>
                <w:szCs w:val="18"/>
                <w:b w:val="1"/>
                <w:bCs w:val="1"/>
                <w:color w:val="auto"/>
                <w:w w:val="84"/>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spacing w:after="0"/>
              <w:rPr>
                <w:sz w:val="20"/>
                <w:szCs w:val="20"/>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360" w:type="dxa"/>
            <w:vAlign w:val="bottom"/>
          </w:tcPr>
          <w:p>
            <w:pPr>
              <w:jc w:val="right"/>
              <w:ind w:right="11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Pr>
          <w:p>
            <w:pPr>
              <w:spacing w:after="0"/>
              <w:rPr>
                <w:sz w:val="21"/>
                <w:szCs w:val="21"/>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3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spacing w:after="0"/>
        <w:tabs>
          <w:tab w:leader="none" w:pos="66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Acreage amounts are shown on a gross basis, including wetlands.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QUARTERS ENDED MARCH 31,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$0.7 million, or 3 percent, from 2012 reflecting higher expenses at BNI Coal of $1.0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costs and labor, which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$1.7 million from 2012 primarily due to a gain on sale of available-for-sale securities.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decreased $1.4 million from 2012 primarily due to higher state tax expense. State income tax expense was higher in 2013 as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Dakota income tax credits attributable to our North Dakota capital investments were recognized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quarter ended March 31, 2013, the effective tax rate was 18.8 percent (25.4 percent for the quarter ended March 31, 2012). The decrease from the effective tax rate for the quarter ended March 31, 2012, was primarily due to increased federal production tax credits in 2013. The effective tax rate deviated from the statutory rate of approximately 41 percent primarily due to deductions for AFUDC - Equity, investment tax credits, federal production tax credits, state income tax credits and depletion. (See Note 10.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2012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2012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while at the same time reduce our exposure to industrial electricity sales. The new energy-centric pursuits will be in renewable energy, transmission and other energy-related infrastructure or infrastructure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considering additional investments. In addition, in June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 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 For wind development, we intend to capitalize on our existing presence in North Dakota through BNI Coal, our DC transmission line and our Bison Wind Energy Center. We have a long-term business presence and established landowner relationships in North Dakota.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plan to make investments in transmission opportunities that strengthen or enhance the transmission grid or take advantage of our 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6"/>
          <w:szCs w:val="16"/>
          <w:i w:val="1"/>
          <w:iCs w:val="1"/>
          <w:color w:val="auto"/>
        </w:rPr>
        <w:t>Transmission</w:t>
      </w:r>
      <w:r>
        <w:rPr>
          <w:rFonts w:ascii="Arial" w:cs="Arial" w:eastAsia="Arial" w:hAnsi="Arial"/>
          <w:sz w:val="16"/>
          <w:szCs w:val="16"/>
          <w:color w:val="auto"/>
        </w:rPr>
        <w: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2013.</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Minnesota Power’s current retail rates are based on a 2011 MPUC retail rate order, effective June 1, 2011, that allows for a 10.38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and a 54.29 percent equity ratio.</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Interim Rate Appeal. </w:t>
      </w:r>
      <w:r>
        <w:rPr>
          <w:rFonts w:ascii="Arial" w:cs="Arial" w:eastAsia="Arial" w:hAnsi="Arial"/>
          <w:sz w:val="18"/>
          <w:szCs w:val="18"/>
          <w:color w:val="auto"/>
        </w:rPr>
        <w:t>In February 2011, Minnesota Power appealed the MPUC’s interim rate decision in the Company’s 2010 rate case to the Minnesota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In January 2012, the Company filed a petition for review at the Minnesota Supreme Court (Court). In February 2012, the Court granted the petition for review and oral arguments were held before the Court in October 2012. A decision is expected in the second quarter of 2013. We cannot predict the outcome at this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Rapids Energy Center. </w:t>
      </w:r>
      <w:r>
        <w:rPr>
          <w:rFonts w:ascii="Arial" w:cs="Arial" w:eastAsia="Arial" w:hAnsi="Arial"/>
          <w:sz w:val="18"/>
          <w:szCs w:val="18"/>
          <w:color w:val="auto"/>
        </w:rPr>
        <w:t>In December 2012, Minnesota Power filed with the MPUC for approval to transfer the assets of Rapids Energy Center from non-rate</w:t>
      </w:r>
      <w:r>
        <w:rPr>
          <w:rFonts w:ascii="Arial" w:cs="Arial" w:eastAsia="Arial" w:hAnsi="Arial"/>
          <w:sz w:val="18"/>
          <w:szCs w:val="18"/>
          <w:i w:val="1"/>
          <w:iCs w:val="1"/>
          <w:color w:val="auto"/>
        </w:rPr>
        <w:t xml:space="preserve"> </w:t>
      </w:r>
      <w:r>
        <w:rPr>
          <w:rFonts w:ascii="Arial" w:cs="Arial" w:eastAsia="Arial" w:hAnsi="Arial"/>
          <w:sz w:val="18"/>
          <w:szCs w:val="18"/>
          <w:color w:val="auto"/>
        </w:rPr>
        <w:t>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late 2013.</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Federal Energy Regulatory Commission. </w:t>
      </w:r>
      <w:r>
        <w:rPr>
          <w:rFonts w:ascii="Arial" w:cs="Arial" w:eastAsia="Arial" w:hAnsi="Arial"/>
          <w:sz w:val="16"/>
          <w:szCs w:val="16"/>
          <w:color w:val="auto"/>
        </w:rPr>
        <w:t>Minnesota Power’s non-affiliated municipal customers consist of 16 municipalities in Minnesota and 1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power provided to this customer is expected to be used to supply power for prospective additional retail and municipal load.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Public Service Commission of Wisconsin. </w:t>
      </w:r>
      <w:r>
        <w:rPr>
          <w:rFonts w:ascii="Arial" w:cs="Arial" w:eastAsia="Arial" w:hAnsi="Arial"/>
          <w:sz w:val="18"/>
          <w:szCs w:val="18"/>
          <w:color w:val="auto"/>
        </w:rPr>
        <w:t>SWL&amp;P’s 2013 retail rates are based on a 2012 PSCW retail rate order, effective January 1, 2013, that allows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10.9 percent return on common equity. The new rates reflect an average overall increase of 2.4 percent for retail customers (a 13.8 percent increase in water rates, a 1.2 percent increase in electric rates, and a 0.2 percent decrease in natural gas rates). On an annualized basis, the rate increase will generate approximately $1.7 million in additional revenue.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54 percent of our Regulated Utility kilowatt-hour sales in the quarter ended March 31, 2013 (56 percent in the quarter ended March 31, 2012)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2013 will be similar to 2012. The American Iron and Steel Institute (AISI), an association of North American steel producers, reported that U.S. raw steel production operated at approximately 76 percent of capacity during the first quarter of 2013, compared to 79 percent in 2012. Based on this information, 2013 taconite production levels in Minnesota are expected to be similar to 2012.</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and Magnetation. We cannot predict the outcome of these projects, but if these projects are constructed, Minnesota Power could serve up to approximately 600 MW of new retail or wholesale load, which includes 110 MW related to Essar Steel Minnesota LLC (Essar). (See </w:t>
      </w:r>
      <w:r>
        <w:rPr>
          <w:rFonts w:ascii="Arial" w:cs="Arial" w:eastAsia="Arial" w:hAnsi="Arial"/>
          <w:sz w:val="18"/>
          <w:szCs w:val="18"/>
          <w:i w:val="1"/>
          <w:iCs w:val="1"/>
          <w:color w:val="auto"/>
        </w:rPr>
        <w:t>City of Nashwauk</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City of Nashwauk. </w:t>
      </w:r>
      <w:r>
        <w:rPr>
          <w:rFonts w:ascii="Arial" w:cs="Arial" w:eastAsia="Arial" w:hAnsi="Arial"/>
          <w:sz w:val="17"/>
          <w:szCs w:val="17"/>
          <w:color w:val="auto"/>
        </w:rPr>
        <w:t>In May 2012, the Company entered into a new formula-based wholesale electric sales agreement with the City of Nashwauk,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for all of the City's electric service requirements, effective April 1, 2013 through June 30, 2024. A new Essar taconite facility is currently under construction in the City of Nashwauk. This facility will result in approximately 110 MW of additional load for Minnesota Power. Under the terms of a facilities construction agreement, Minnesota Power constructed a 230 kV transmission system upgrade to serve the Essar load which was placed into service in March 2013, with a total cost of approximately $35 million. This upgrade will allow the City of Nashwauk to provide electric service for Essar's new taconite facility. Billings to Essar to recover our transmission investments began in April 2013. Essar is expected to begin blasting, mining, and commissioning of equipment during the second half of 2013, which require insignificant electric power. As a result, we expect minimal impact from electric sales on our results of operations in 2013. Essar is expected to begin increasing electric power requirements as it ramps up production in 2014. Expansions for additional pellet production, production of direct reduced iron and production of steel slabs are also being considered by Essar for future years. In addition, on February 11, 2013, Essar announced a ten-year iron ore pellet off-take agreement with ArcelorMittal. Under the terms of the agreement, Essar will supply 3.5 million tons of pellets annually to ArcelorMittal through 2024.</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EnergyForward. </w:t>
      </w:r>
      <w:r>
        <w:rPr>
          <w:rFonts w:ascii="Arial" w:cs="Arial" w:eastAsia="Arial" w:hAnsi="Arial"/>
          <w:sz w:val="16"/>
          <w:szCs w:val="16"/>
          <w:color w:val="auto"/>
        </w:rPr>
        <w:t>On January 30, 2013, Minnesota Power announced “EnergyForward”, a strategic plan for assuring reliability, protecting affordability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47"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Including the 210 MW of wind generation commissioned in December 2012, our Bison Wind Energy Center has 292 MW of nameplate capacity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installation of approximately $350 to $400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Planning for the proposed Great Northern Transmission Line to deliver hydroelectric power from northern Manitoba by 2020 (see </w:t>
      </w:r>
      <w:r>
        <w:rPr>
          <w:rFonts w:ascii="Arial" w:cs="Arial" w:eastAsia="Arial" w:hAnsi="Arial"/>
          <w:sz w:val="18"/>
          <w:szCs w:val="18"/>
          <w:i w:val="1"/>
          <w:iCs w:val="1"/>
          <w:color w:val="auto"/>
        </w:rPr>
        <w:t>Renewable Energy</w:t>
      </w:r>
      <w:r>
        <w:rPr>
          <w:rFonts w:ascii="Arial" w:cs="Arial" w:eastAsia="Arial" w:hAnsi="Arial"/>
          <w:sz w:val="18"/>
          <w:szCs w:val="18"/>
          <w:color w:val="auto"/>
        </w:rPr>
        <w:t xml:space="preserve"> and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our Laskin Energy Center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Retiring Taconite Harbor Unit 3, one of three coal units at our Taconite Harbor Energy Center, in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“EnergyForward” initiatives are subject to regulatory approval, and were included in Minnesota Power’s 2013 Integrated Resource Plan filed with the MPUC on March 1, 2013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Boswell Mercury Emissions Reduction Plan. </w:t>
      </w:r>
      <w:r>
        <w:rPr>
          <w:rFonts w:ascii="Arial" w:cs="Arial" w:eastAsia="Arial" w:hAnsi="Arial"/>
          <w:sz w:val="17"/>
          <w:szCs w:val="17"/>
          <w:color w:val="auto"/>
        </w:rPr>
        <w:t>Minnesota Power is required to implement a mercury emissions reduction project for Boswell Unit 4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between $350 million and $400 million. The MPCA issued its report on March 1, 2013 in support of the Boswell Unit 4 mercury emissions reduction plan stating that the plan is appropriate for accomplishing the objectives of reducing emissions of mercury and other pollutants under the Minnesota Statutes and recommended that the MPUC accept the report’s findings. We expect a decision by the MPUC on the plan in the third quarter of 2013. Upon approval by the MPUC, we anticipate filing a petition to include investments and expenditures in customer billing rates.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Renewable Energy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2007, Minnesota enacted a law requiring 25 percent of Minnesota Power’s total retail and municipal energy sales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2010 and 2013 Integrated Resource Plans. The MPUC approved the 2010 Integrated Resource Plan in its final order issued in May 2011. Minnesota Power submitted its 2013 Integrated Resource Plan on March 1, 2013, which included an update on its plans and progress in meeting the Minnesota renewable energy milestones through 2025.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Power has taken several steps in executing its renewable energy strategy through key renewable projects that will ensure we meet the identified state mandate at the lowest cost for customers (see </w:t>
      </w:r>
      <w:r>
        <w:rPr>
          <w:rFonts w:ascii="Arial" w:cs="Arial" w:eastAsia="Arial" w:hAnsi="Arial"/>
          <w:sz w:val="18"/>
          <w:szCs w:val="18"/>
          <w:i w:val="1"/>
          <w:iCs w:val="1"/>
          <w:color w:val="auto"/>
        </w:rPr>
        <w:t>Wind Energy</w:t>
      </w:r>
      <w:r>
        <w:rPr>
          <w:rFonts w:ascii="Arial" w:cs="Arial" w:eastAsia="Arial" w:hAnsi="Arial"/>
          <w:sz w:val="18"/>
          <w:szCs w:val="18"/>
          <w:color w:val="auto"/>
        </w:rPr>
        <w:t>). We expect approximately 20 percent of the Company’s total retail and municipal energy sales will be supplied by renewable energy sources in 2013.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Wind Energy. </w:t>
      </w:r>
      <w:r>
        <w:rPr>
          <w:rFonts w:ascii="Arial" w:cs="Arial" w:eastAsia="Arial" w:hAnsi="Arial"/>
          <w:sz w:val="17"/>
          <w:szCs w:val="17"/>
          <w:color w:val="auto"/>
        </w:rPr>
        <w:t>Our wind energy facilities consist of our 292 MW Bison Wind Energy Center located in North Dakota completed in various phases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2012, and our 25 MW Taconite Ridge Energy Center located in northeastern Minnesota completed in 2008. We also have two long-term wind PPAs with an affiliate of NextEra Energy, Inc. to purchase the output from Oliver Wind I (50 MW) and Oliver Wind II (48 MW) located in North Dakota.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our Bison Wind Energy Center were approved by the MPUC in a November 2011 order and are based on investments and expenditures through that period. We anticipate filing a cost recovery petition with the MPUC in the second quarter of 2013 to update customer billing rates for subsequent investments and expenditures since 2011.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capital expenditures plan includes additional wind energy investments in North Dakota in 2016 and 2017 to meet Minnesota’s 25 percent renewable energy mandate by 2025. On January 2, 2013, The American Taxpayer Relief Act of 2012 extended the availability of the production tax credit for renewable energy facilities that commence construction by December 31, 2013. As a result, we are evaluating the acceleration of these investments so that construction would commence in 2013, as well as increasing the scope of these projects.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 The agreement is subject to construction of additional transmission capacity between Manitoba and Minnesota’s Iron Range. In addition, we are exploring other regional grid enhancements that would allow for the movement of more renewable energy in the Upper Midwest while at the same time strengthening electric reliability in the region.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Power’s St. Louis River hydro system, particularly the Thomson Energy Center, which is currently off-line due to damage to the forebay canal and flooding at the facility. Minnesota Power continues to work on restoring the Thomson facility and to assess options for rebuilding the forebay canal. We are in close contact with the appropriate regulatory bodies which oversee the hydro system operations, including dams and reservoirs. Until that assessment is complete, we are not able to fully estimate the capital cost and schedule for rebuilding the forebay canal and resuming generation; however, based on a preliminary evaluation, the capital rebuild cost is estimated to be approximately $25 million to $30 million. In addition to the forebay work, Minnesota Power is performing restoration and upgrade work on electrical, mechanical and flow line systems at the Thomson facility, which we estimate will cost a total of approximately $34 million (net of anticipated insurance recoveries) in 2013. Any expenditures to restore and upgrade systems and rebuild the forebay canal will be capitalized. Minnesota Power is working towards returning to partial generation from the Thomson Energy Center by the end of 2013 and to full generation by the end of 2014. In addition to the work at the Thomson facility, future additional work on other facilities in the St. Louis River hydro system may be required to meet high flow events like that experienced in June 2012. We are working to assess the potential timing and cost of these additional projects. We expect to file a request with the MPUC in 2013 for cost recovery of capital expenditures related to the restoration and repair of the Thomson facility and other related St. Louis River hydro system projects through a renewable resources rider.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2011, the MPUC issued its final order approving our 2010 Integrated Resource Plan. As a condition of the final order,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baseload diversification study evaluating the impact of additional environmental regulations over the next two decades was filed in February 2012. Minnesota Power’s 2013 Integrated Resource Plan, filed on March 1, 2013, details our “EnergyForward”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 A decision by the MPUC on this plan is expected in late 2013.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that includes additional transmission expenditures, which is expected to be approved in mid-2013.</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$53.5 million was spent through March 31, 2013, of which $42.6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Great Northern Transmission Line. </w:t>
      </w:r>
      <w:r>
        <w:rPr>
          <w:rFonts w:ascii="Arial" w:cs="Arial" w:eastAsia="Arial" w:hAnsi="Arial"/>
          <w:sz w:val="17"/>
          <w:szCs w:val="17"/>
          <w:color w:val="auto"/>
        </w:rPr>
        <w:t>As a condition of the long-term PPA signed in May 2011 with Manitoba Hydro, construction of additional transmission</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is required. 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 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ATC Joint Development. </w:t>
      </w:r>
      <w:r>
        <w:rPr>
          <w:rFonts w:ascii="Arial" w:cs="Arial" w:eastAsia="Arial" w:hAnsi="Arial"/>
          <w:sz w:val="18"/>
          <w:szCs w:val="18"/>
          <w:color w:val="auto"/>
        </w:rPr>
        <w:t>Minnesota Power and ATC are evaluating the joint development of a 345 kV transmission line from Minnesota’s Iron Range to</w:t>
      </w:r>
      <w:r>
        <w:rPr>
          <w:rFonts w:ascii="Arial" w:cs="Arial" w:eastAsia="Arial" w:hAnsi="Arial"/>
          <w:sz w:val="18"/>
          <w:szCs w:val="18"/>
          <w:i w:val="1"/>
          <w:iCs w:val="1"/>
          <w:color w:val="auto"/>
        </w:rPr>
        <w:t xml:space="preserve"> </w:t>
      </w:r>
      <w:r>
        <w:rPr>
          <w:rFonts w:ascii="Arial" w:cs="Arial" w:eastAsia="Arial" w:hAnsi="Arial"/>
          <w:sz w:val="18"/>
          <w:szCs w:val="18"/>
          <w:color w:val="auto"/>
        </w:rPr>
        <w:t>Duluth, Minnesota, for service after 2020, as part of the Great Northern Transmission Line.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allocations are still to be determined.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March 31, 2013, our equity investment in ATC was $109.0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In September 2012, ATC updated its 10-year transmission assessment covering the years 2012 through 2021 which identifies a need for between $3.9 and $4.8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quarter of 2013, we invested $0.4 million in ATC, and on April 29, 2013, we invested an additional $1.2 million.We expect to make additional investments of approximately $1.5 million in 2013.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2013 (4.4 million tons were sold in 2012) and has sold 1.1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March 31, 2013 (1.1 million tons were sold as of March 31, 2012).</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Our current strategy for the assets is to complete and maintain key</w:t>
      </w:r>
      <w:r>
        <w:rPr>
          <w:rFonts w:ascii="Arial" w:cs="Arial" w:eastAsia="Arial" w:hAnsi="Arial"/>
          <w:sz w:val="17"/>
          <w:szCs w:val="17"/>
          <w:i w:val="1"/>
          <w:iCs w:val="1"/>
          <w:color w:val="auto"/>
        </w:rPr>
        <w:t xml:space="preserve"> </w:t>
      </w:r>
      <w:r>
        <w:rPr>
          <w:rFonts w:ascii="Arial" w:cs="Arial" w:eastAsia="Arial" w:hAnsi="Arial"/>
          <w:sz w:val="17"/>
          <w:szCs w:val="17"/>
          <w:color w:val="auto"/>
        </w:rPr>
        <w:t>entitlements and infrastructure improvements without requiring significant additional investment, sell the portfolio when opportunities arise and reinvest the proceeds in our growth initiatives.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 or impairments. ALLETE does not intend to acquire additional Florida real estate.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4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1,941 acres of other land available-for-sale.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ALLETE’s aggregate federal and multi-state statutory tax rate is approximately 41 percent for 2013.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reduce the statutory rate to the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from operations before income taxes, state and federal tax law changes that become effective during the year, business combinations and configuration changes, tax planning initiatives and resolution of prior years’ tax matters. Due primarily to increased production tax credits as a result of additional wind generation, we expect our effective tax rate to be approximately 20 percent for 2013. We also expect that our effective tax rate will be lower than the statutory rate over the next ten years due to production tax credits attributable to our wind generation. (See Note 10. Income Tax Expense.)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2013,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$77.3 million, $401.2 million in available consolidated lines of credit and a debt-to-capital ratio of 45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0"/>
        </w:trPr>
        <w:tc>
          <w:tcPr>
            <w:tcW w:w="5520" w:type="dxa"/>
            <w:vAlign w:val="bottom"/>
          </w:tcPr>
          <w:p>
            <w:pPr>
              <w:spacing w:after="0"/>
              <w:rPr>
                <w:sz w:val="24"/>
                <w:szCs w:val="24"/>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$1,240.5</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$1,201.0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1,016.3</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1,018.1</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$2,256.8</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$2,219.1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26"/>
        </w:trPr>
        <w:tc>
          <w:tcPr>
            <w:tcW w:w="7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 xml:space="preserve">Cash Flows. </w:t>
            </w:r>
            <w:r>
              <w:rPr>
                <w:rFonts w:ascii="Arial" w:cs="Arial" w:eastAsia="Arial" w:hAnsi="Arial"/>
                <w:sz w:val="18"/>
                <w:szCs w:val="18"/>
                <w:color w:val="auto"/>
                <w:w w:val="96"/>
              </w:rPr>
              <w:t>Selected information from ALLETE’s Consolidated Statement of Cash Flows is as follows:</w:t>
            </w:r>
          </w:p>
        </w:tc>
        <w:tc>
          <w:tcPr>
            <w:tcW w:w="9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378"/>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$80.8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58.2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(63.9)</w:t>
            </w: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55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(3.5)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$77.3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r>
      <w:tr>
        <w:trPr>
          <w:trHeight w:val="20"/>
        </w:trPr>
        <w:tc>
          <w:tcPr>
            <w:tcW w:w="55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$58.2 million for the quarter ended March 31, 2013 ($68.5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2012). Cash from operating activities was lower than 2012 primarily due to cash contributions to other postretirement benefit plans ($10.8 million in 2013 and none in 2012).</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for investing activities was $63.9 million for the quarter ended March 31, 2013 ($56.5 million for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2012). The increase in cash used for investing activities was primarily due to higher payments for capital expenditures in 2013.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$2.2 million for the quarter ended March 31, 2013 ($5.1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2012). The decrease in cash from financing activities was primarily due to higher dividends on common stock in 2013.</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paper. As of March 31, 2013, we had available consolidated bank lines of credit aggregating $401.2 million, of which $150.0 million expires in January 2014, and $250.0 million expires in June 2015. In addition, we have 0.8 million original issue shares of our common stock available for issuance through Invest Direct, our direct stock purchase and dividend reinvestment plan, and 4.2 million original issue shares of common stock available for issuance through a Distribution Agreement with KCCI, Ltd. The amount and timing of future sales of our securities will depend upon market conditions and our specific needs.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Ltd. in February 2008, as amended most recently in August 2012,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9.6 million shares of our common stock, without par value, of which 4.2 million remain available for issuance. For the quarter ended March 31, 2013, 0.3 million shares of common stock were issued under this agreement, resulting in net proceeds of $11.7 million (0.4 million shares were issued for the quarter ended March 31, 2012, resulting in net proceeds of $18.7 million). The shares issued in 2013 were, and the remaining shares may be, offered for sale, from time to time, in accordance with the terms of the amended distribution agreement pursuant to Registration Statement No. 333-170289.</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quarter ended March 31, 2013, we issued 0.3 million shares of common stock through Invest Direct, the Employee Stock Purchase Plan, and the Retirement Savings and Stock Ownership Plan, resulting in net proceeds of $11.7 million (0.2 million shares were issued for net proceeds of $5.0 million during the quarter ended March 31, 2012). These shares of common stock were registered under Registration Statement Nos. 333-166515, 333-105225, 333-183051 and 333-162890.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 2013, we issued $150.0 million of the Company’s First Mortgage Bonds (Bonds) in a private placement in three series. (See Note 8. Short-Term and Long-Term Debt.) Proceeds from the sale of the Bonds will be used to fund utility capital investments, repay debt, and/or for general corporate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contribute to our defined benefit pension plan in 2013, and we do not expect to make any additional contributions to our other postretirement benefit plan in 2013. (See Note 13.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2012 Form 10-K, with additional disclosure in Note 14. Commitments, Guarantees and Contingencies.</w:t>
      </w: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&amp; Poor’s recently revised its criteria for rating utility first mortgage bonds. As part of Standard &amp; Poor’s revised utility first mortgage bond criteria implementation, the senior secured rating for ALLETE was raised from “A–” to “A”.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4880" w:type="dxa"/>
            <w:vAlign w:val="bottom"/>
          </w:tcPr>
          <w:p>
            <w:pPr>
              <w:jc w:val="center"/>
              <w:ind w:left="269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2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Issuer Credit Rating</w:t>
            </w:r>
          </w:p>
        </w:tc>
        <w:tc>
          <w:tcPr>
            <w:tcW w:w="4880" w:type="dxa"/>
            <w:vAlign w:val="bottom"/>
          </w:tcPr>
          <w:p>
            <w:pPr>
              <w:jc w:val="center"/>
              <w:ind w:left="2690"/>
              <w:spacing w:after="0"/>
              <w:rPr>
                <w:sz w:val="20"/>
                <w:szCs w:val="20"/>
                <w:color w:val="auto"/>
              </w:rPr>
            </w:pPr>
            <w:r>
              <w:rPr>
                <w:rFonts w:ascii="Arial" w:cs="Arial" w:eastAsia="Arial" w:hAnsi="Arial"/>
                <w:sz w:val="18"/>
                <w:szCs w:val="18"/>
                <w:color w:val="auto"/>
                <w:w w:val="98"/>
              </w:rPr>
              <w:t>BBB+</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Baa1</w:t>
            </w: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880" w:type="dxa"/>
            <w:vAlign w:val="bottom"/>
            <w:tcBorders>
              <w:bottom w:val="single" w:sz="8" w:color="CCEEFF"/>
            </w:tcBorders>
            <w:shd w:val="clear" w:color="auto" w:fill="CCEEFF"/>
          </w:tcPr>
          <w:p>
            <w:pPr>
              <w:jc w:val="center"/>
              <w:ind w:left="2670"/>
              <w:spacing w:after="0"/>
              <w:rPr>
                <w:sz w:val="20"/>
                <w:szCs w:val="20"/>
                <w:color w:val="auto"/>
              </w:rPr>
            </w:pPr>
            <w:r>
              <w:rPr>
                <w:rFonts w:ascii="Arial" w:cs="Arial" w:eastAsia="Arial" w:hAnsi="Arial"/>
                <w:sz w:val="18"/>
                <w:szCs w:val="18"/>
                <w:color w:val="auto"/>
                <w:w w:val="99"/>
              </w:rPr>
              <w:t>A-2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Secured</w:t>
            </w:r>
          </w:p>
        </w:tc>
        <w:tc>
          <w:tcPr>
            <w:tcW w:w="4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4880" w:type="dxa"/>
            <w:vAlign w:val="bottom"/>
            <w:tcBorders>
              <w:bottom w:val="single" w:sz="8" w:color="CCEEFF"/>
            </w:tcBorders>
            <w:shd w:val="clear" w:color="auto" w:fill="CCEEFF"/>
          </w:tcPr>
          <w:p>
            <w:pPr>
              <w:jc w:val="center"/>
              <w:ind w:left="2690"/>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
        </w:trPr>
        <w:tc>
          <w:tcPr>
            <w:tcW w:w="520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collateralized pollution control bonds.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for 2013 are expected to be approximately $310 million. For the quarter ended March 31, 2013, capital expenditures totaled $43.1 million ($39.7 million for the quarter ended March 31, 2012). The expenditures were primarily made in the Regulated Operations segment.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2012 Form 10-K, with additional disclosure in Note 14. Commitments, Guarantees and Contingencies. We are unable to predict the outcome of the matters discussed.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2013, our available-for-sale securities portfolio consisted of securities acquired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2013,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March 31,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2013,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accrual related to any damages that may result from the lawsuit has not been recorded as of March 31, 2013, because a potential loss is not currently probable or reasonably estimable; however, the Company believes it has adequate insurance limits for any potential loss. Our insurance carrier is providing a defense subject to a reservation of rights as to certain claims.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2012 Form 10-K.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49" w:lineRule="exact"/>
        <w:rPr>
          <w:sz w:val="20"/>
          <w:szCs w:val="20"/>
          <w:color w:val="auto"/>
        </w:rPr>
      </w:pPr>
    </w:p>
    <w:p>
      <w:pPr>
        <w:ind w:left="1300" w:right="140" w:hanging="463"/>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Thirty-fourth Supplemental Indenture, dated as of April 1, 2013, between the Company and The Bank of New York Mellon, as corporate trustee, and Philip L. Watson, as co-trustee (filed as Exhibit 4 to the April 2, 2013, Form 8-K, File No. 1-3548).</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340" w:hanging="55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8"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20" w:hanging="554"/>
        <w:spacing w:after="0" w:line="30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ALLETE News Release dated May 8, 2013, announcing 2013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2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101.INS</w:t>
            </w:r>
          </w:p>
        </w:tc>
        <w:tc>
          <w:tcPr>
            <w:tcW w:w="160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7"/>
              </w:rPr>
              <w:t>101.SCH</w:t>
            </w:r>
          </w:p>
        </w:tc>
        <w:tc>
          <w:tcPr>
            <w:tcW w:w="160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101.CAL</w:t>
            </w:r>
          </w:p>
        </w:tc>
        <w:tc>
          <w:tcPr>
            <w:tcW w:w="1600" w:type="dxa"/>
            <w:vAlign w:val="bottom"/>
          </w:tcPr>
          <w:p>
            <w:pPr>
              <w:ind w:left="200"/>
              <w:spacing w:after="0"/>
              <w:rPr>
                <w:sz w:val="20"/>
                <w:szCs w:val="20"/>
                <w:color w:val="auto"/>
              </w:rPr>
            </w:pPr>
            <w:r>
              <w:rPr>
                <w:rFonts w:ascii="Arial" w:cs="Arial" w:eastAsia="Arial" w:hAnsi="Arial"/>
                <w:sz w:val="18"/>
                <w:szCs w:val="18"/>
                <w:color w:val="auto"/>
                <w:w w:val="97"/>
              </w:rPr>
              <w:t>XBRL Calculation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101.DEF</w:t>
            </w:r>
          </w:p>
        </w:tc>
        <w:tc>
          <w:tcPr>
            <w:tcW w:w="160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2"/>
              </w:rPr>
              <w:t>101.LAB</w:t>
            </w:r>
          </w:p>
        </w:tc>
        <w:tc>
          <w:tcPr>
            <w:tcW w:w="160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101.PRE</w:t>
            </w:r>
          </w:p>
        </w:tc>
        <w:tc>
          <w:tcPr>
            <w:tcW w:w="1600" w:type="dxa"/>
            <w:vAlign w:val="bottom"/>
          </w:tcPr>
          <w:p>
            <w:pPr>
              <w:ind w:left="200"/>
              <w:spacing w:after="0"/>
              <w:rPr>
                <w:sz w:val="20"/>
                <w:szCs w:val="20"/>
                <w:color w:val="auto"/>
              </w:rPr>
            </w:pPr>
            <w:r>
              <w:rPr>
                <w:rFonts w:ascii="Arial" w:cs="Arial" w:eastAsia="Arial" w:hAnsi="Arial"/>
                <w:sz w:val="18"/>
                <w:szCs w:val="18"/>
                <w:color w:val="auto"/>
                <w:w w:val="90"/>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8220" w:val="left"/>
        </w:tabs>
        <w:rPr>
          <w:sz w:val="20"/>
          <w:szCs w:val="20"/>
          <w:color w:val="auto"/>
        </w:rPr>
      </w:pPr>
      <w:r>
        <w:rPr>
          <w:rFonts w:ascii="Arial" w:cs="Arial" w:eastAsia="Arial" w:hAnsi="Arial"/>
          <w:sz w:val="18"/>
          <w:szCs w:val="18"/>
          <w:color w:val="auto"/>
        </w:rPr>
        <w:t>May 8, 2013</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8140" w:val="left"/>
        </w:tabs>
        <w:rPr>
          <w:sz w:val="20"/>
          <w:szCs w:val="20"/>
          <w:color w:val="auto"/>
        </w:rPr>
      </w:pPr>
      <w:r>
        <w:rPr>
          <w:rFonts w:ascii="Arial" w:cs="Arial" w:eastAsia="Arial" w:hAnsi="Arial"/>
          <w:sz w:val="18"/>
          <w:szCs w:val="18"/>
          <w:color w:val="auto"/>
        </w:rPr>
        <w:t>May 8, 2013</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Controller and Vice President – Business Support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208280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(formerly Minnesota Power &amp; Light Company</w:t>
      </w:r>
    </w:p>
    <w:p>
      <w:pPr>
        <w:jc w:val="center"/>
        <w:ind w:right="1200"/>
        <w:spacing w:after="0"/>
        <w:rPr>
          <w:sz w:val="20"/>
          <w:szCs w:val="20"/>
          <w:color w:val="auto"/>
        </w:rPr>
      </w:pPr>
      <w:r>
        <w:rPr>
          <w:rFonts w:ascii="Arial" w:cs="Arial" w:eastAsia="Arial" w:hAnsi="Arial"/>
          <w:sz w:val="20"/>
          <w:szCs w:val="20"/>
          <w:b w:val="1"/>
          <w:bCs w:val="1"/>
          <w:color w:val="auto"/>
        </w:rPr>
        <w:t>and formerly Minnesota Power, Inc.)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TO</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(formerly The Bank of New York</w:t>
      </w: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PHILIP L. WATSON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(successor to Richard H. West, J. A. Austin, E. J. McCabe,</w:t>
      </w:r>
    </w:p>
    <w:p>
      <w:pPr>
        <w:jc w:val="center"/>
        <w:ind w:right="1200"/>
        <w:spacing w:after="0"/>
        <w:rPr>
          <w:sz w:val="20"/>
          <w:szCs w:val="20"/>
          <w:color w:val="auto"/>
        </w:rPr>
      </w:pPr>
      <w:r>
        <w:rPr>
          <w:rFonts w:ascii="Arial" w:cs="Arial" w:eastAsia="Arial" w:hAnsi="Arial"/>
          <w:sz w:val="18"/>
          <w:szCs w:val="18"/>
          <w:b w:val="1"/>
          <w:bCs w:val="1"/>
          <w:color w:val="auto"/>
        </w:rPr>
        <w:t>D. W. May, J. A. Vaughan, W. T. Cunningham and Douglas J. MacInnes and Ming Ryan)</w:t>
      </w:r>
    </w:p>
    <w:p>
      <w:pPr>
        <w:spacing w:after="0" w:line="379"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As Trustees under ALLETE, Inc.’s Mortgage</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and</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262890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Thirty-fourth Supplemental Indenture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Providing, among other things, for</w:t>
      </w:r>
    </w:p>
    <w:p>
      <w:pPr>
        <w:jc w:val="center"/>
        <w:ind w:right="1200"/>
        <w:spacing w:after="0"/>
        <w:rPr>
          <w:sz w:val="20"/>
          <w:szCs w:val="20"/>
          <w:color w:val="auto"/>
        </w:rPr>
      </w:pPr>
      <w:r>
        <w:rPr>
          <w:rFonts w:ascii="Arial" w:cs="Arial" w:eastAsia="Arial" w:hAnsi="Arial"/>
          <w:sz w:val="20"/>
          <w:szCs w:val="20"/>
          <w:b w:val="1"/>
          <w:bCs w:val="1"/>
          <w:color w:val="auto"/>
        </w:rPr>
        <w:t>First Mortgage Bonds, 1.83% Series due April 15, 2018</w:t>
      </w:r>
    </w:p>
    <w:p>
      <w:pPr>
        <w:jc w:val="center"/>
        <w:ind w:right="1200"/>
        <w:spacing w:after="0"/>
        <w:rPr>
          <w:sz w:val="20"/>
          <w:szCs w:val="20"/>
          <w:color w:val="auto"/>
        </w:rPr>
      </w:pPr>
      <w:r>
        <w:rPr>
          <w:rFonts w:ascii="Arial" w:cs="Arial" w:eastAsia="Arial" w:hAnsi="Arial"/>
          <w:sz w:val="20"/>
          <w:szCs w:val="20"/>
          <w:b w:val="1"/>
          <w:bCs w:val="1"/>
          <w:color w:val="auto"/>
        </w:rPr>
        <w:t>(Forty-fifth Series),</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First Mortgage Bonds, 3.30% Series due October 15, 2028</w:t>
      </w:r>
    </w:p>
    <w:p>
      <w:pPr>
        <w:spacing w:after="0" w:line="54"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(Forty-sixth Series)</w:t>
      </w:r>
    </w:p>
    <w:p>
      <w:pPr>
        <w:spacing w:after="0" w:line="5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and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4.21% Series due October 15, 2043</w:t>
      </w:r>
    </w:p>
    <w:p>
      <w:pPr>
        <w:jc w:val="center"/>
        <w:ind w:right="1200"/>
        <w:spacing w:after="0"/>
        <w:rPr>
          <w:sz w:val="20"/>
          <w:szCs w:val="20"/>
          <w:color w:val="auto"/>
        </w:rPr>
      </w:pPr>
      <w:r>
        <w:rPr>
          <w:rFonts w:ascii="Arial" w:cs="Arial" w:eastAsia="Arial" w:hAnsi="Arial"/>
          <w:sz w:val="20"/>
          <w:szCs w:val="20"/>
          <w:b w:val="1"/>
          <w:bCs w:val="1"/>
          <w:color w:val="auto"/>
        </w:rPr>
        <w:t>(Forty-seventh Series)</w:t>
      </w: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Arial" w:cs="Arial" w:eastAsia="Arial" w:hAnsi="Arial"/>
          <w:sz w:val="20"/>
          <w:szCs w:val="20"/>
          <w:b w:val="1"/>
          <w:bCs w:val="1"/>
          <w:i w:val="1"/>
          <w:iCs w:val="1"/>
          <w:color w:val="auto"/>
        </w:rPr>
        <w:t>Dated as of April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THIRTY-FOURTH SUPPLEMENTAL INDENTURE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THIS INDENTURE, </w:t>
      </w:r>
      <w:r>
        <w:rPr>
          <w:rFonts w:ascii="Arial" w:cs="Arial" w:eastAsia="Arial" w:hAnsi="Arial"/>
          <w:sz w:val="16"/>
          <w:szCs w:val="16"/>
          <w:color w:val="auto"/>
        </w:rPr>
        <w:t>dated as of April 1, 2013, by and between ALLETE, Inc. (formerly Minnesota Power &amp; Light Company and formerly</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PHILIP L. WATSON (successor to Richard H. West, J. A. Austin, E. J. McCabe, D. W. May, J. A. Vaughan, W. T. Cunningham, Douglas J. MacInnes and Ming Ryan), whose post office address is c/o The Bank of New York Mellon, 101 Barclay Street, New York, New York 10286 (said Philip L. Watson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“Thirty-fourth Supplemental Indenture”) being supplemental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Mortgage was filed and recorded in various official records in the State of Minnesota; and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under the Sixth Supplemental Indenture, dated as of August 1, 1975, to which reference is hereinafter made, D. W. May in turn succeeded E. J. McCabe as Co-Trustee under the Mortgage; and</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May 8, 2001, the Company filed Amended and Restated Articles of Incorporation with the Secretary of State of the State of Minnesota changing its name from Minnesota Power, Inc. to ALLETE, Inc.;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WHEREAS, under the Thirty-second Supplemental Indenture, dated as of August 1, 2010, to which reference is hereinafter made, Ming Ryan in turn succeeded Douglas J. MacInnes as Co-Trustee under the Mortgage;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 Mortgage: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Designation</w:t>
            </w:r>
          </w:p>
        </w:tc>
        <w:tc>
          <w:tcPr>
            <w:tcW w:w="48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Dated as of</w:t>
            </w:r>
          </w:p>
        </w:tc>
      </w:tr>
      <w:tr>
        <w:trPr>
          <w:trHeight w:val="48"/>
        </w:trPr>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1, 1949</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Second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July 1, 1951</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1, 1957</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Fourth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January 1, 1968</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Fifth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1971</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Sixth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August 1, 1975</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1, 1976</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Eighth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September 1, 1977</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Ninth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1978</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Tenth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August 1, 1978</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Eleventh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1, 1982</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Twelfth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April 1, 1987</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Thirteenth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1, 1992</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Fourteenth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June 1, 1992</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Fifteenth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1, 1992</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Sixteenth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July 1, 1992</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Seventeenth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 1993</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Eighteenth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July 1, 1993</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Nineteenth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 1997</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Twentieth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November 1, 1997</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Twenty-first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1, 2000</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Twenty-second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July 1, 2003</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Twenty-third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August 1, 2004</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Twenty-fourth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March 1, 2005</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Twenty-fifth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1, 2005</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Twenty-sixth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October 1, 2006</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Twenty-seventh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 2008</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Twenty-eighth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May 1, 2008</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Twenty-ninth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November 1, 2008</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Thirtieth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January 1, 2009</w:t>
            </w:r>
          </w:p>
        </w:tc>
      </w:tr>
      <w:tr>
        <w:trPr>
          <w:trHeight w:val="27"/>
        </w:trPr>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Thirty-first Supplemental Indenture</w:t>
            </w:r>
          </w:p>
        </w:tc>
        <w:tc>
          <w:tcPr>
            <w:tcW w:w="48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 2010</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Thirty-second Supplemental Indenture</w:t>
            </w:r>
          </w:p>
        </w:tc>
        <w:tc>
          <w:tcPr>
            <w:tcW w:w="484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August 1, 2010</w:t>
            </w:r>
          </w:p>
        </w:tc>
      </w:tr>
      <w:tr>
        <w:trPr>
          <w:trHeight w:val="702"/>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40" w:type="dxa"/>
            <w:vAlign w:val="bottom"/>
          </w:tcPr>
          <w:p>
            <w:pPr>
              <w:jc w:val="right"/>
              <w:ind w:right="331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Designation</w:t>
            </w: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Dated as of</w:t>
            </w:r>
          </w:p>
        </w:tc>
      </w:tr>
      <w:tr>
        <w:trPr>
          <w:trHeight w:val="48"/>
        </w:trPr>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9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Thirty-third Supplemental Indenture</w:t>
            </w: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1, 2012</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which supplemental indentures were filed and recorded in various official records in the State of Minnesota; and</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issued, in accordance with the provisions of the Mortgage, as heretofore supplemented, the following series of First Mortgage Bonds: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4"/>
              </w:rPr>
              <w:t>Principal</w:t>
            </w:r>
          </w:p>
        </w:tc>
        <w:tc>
          <w:tcPr>
            <w:tcW w:w="680" w:type="dxa"/>
            <w:vAlign w:val="bottom"/>
          </w:tcPr>
          <w:p>
            <w:pPr>
              <w:spacing w:after="0"/>
              <w:rPr>
                <w:sz w:val="20"/>
                <w:szCs w:val="20"/>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4"/>
              </w:rPr>
              <w:t>Principal</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4"/>
              </w:rPr>
              <w:t>Amount</w:t>
            </w:r>
          </w:p>
        </w:tc>
        <w:tc>
          <w:tcPr>
            <w:tcW w:w="680" w:type="dxa"/>
            <w:vAlign w:val="bottom"/>
          </w:tcPr>
          <w:p>
            <w:pPr>
              <w:spacing w:after="0"/>
              <w:rPr>
                <w:sz w:val="23"/>
                <w:szCs w:val="23"/>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4"/>
              </w:rPr>
              <w:t>Amount</w:t>
            </w:r>
          </w:p>
        </w:tc>
      </w:tr>
      <w:tr>
        <w:trPr>
          <w:trHeight w:val="230"/>
        </w:trPr>
        <w:tc>
          <w:tcPr>
            <w:tcW w:w="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1"/>
              </w:rPr>
              <w:t>Series</w:t>
            </w:r>
          </w:p>
        </w:tc>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4"/>
              </w:rPr>
              <w:t>Issued</w:t>
            </w:r>
          </w:p>
        </w:tc>
        <w:tc>
          <w:tcPr>
            <w:tcW w:w="2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3-1/8% Series due 1975</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26,000,000</w:t>
            </w:r>
          </w:p>
        </w:tc>
        <w:tc>
          <w:tcPr>
            <w:tcW w:w="680" w:type="dxa"/>
            <w:vAlign w:val="bottom"/>
          </w:tcPr>
          <w:p>
            <w:pPr>
              <w:spacing w:after="0"/>
              <w:rPr>
                <w:sz w:val="24"/>
                <w:szCs w:val="2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3-1/8% Series due 1979</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9"/>
              </w:rPr>
              <w:t>4,000,000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3-5/8% Series due 1981</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10,000,000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4-3/4% Series due 1987</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12,000,000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6-1/2% Series due 1998</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18,000,000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1/8% Series due 2001</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23,000,000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1/2% Series due 2005</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35,000,000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8.70%</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2006</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35,000,000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8.35%</w:t>
            </w:r>
          </w:p>
        </w:tc>
        <w:tc>
          <w:tcPr>
            <w:tcW w:w="4800" w:type="dxa"/>
            <w:vAlign w:val="bottom"/>
          </w:tcPr>
          <w:p>
            <w:pPr>
              <w:ind w:left="20"/>
              <w:spacing w:after="0"/>
              <w:rPr>
                <w:sz w:val="20"/>
                <w:szCs w:val="20"/>
                <w:color w:val="auto"/>
              </w:rPr>
            </w:pPr>
            <w:r>
              <w:rPr>
                <w:rFonts w:ascii="Arial" w:cs="Arial" w:eastAsia="Arial" w:hAnsi="Arial"/>
                <w:sz w:val="18"/>
                <w:szCs w:val="18"/>
                <w:color w:val="auto"/>
              </w:rPr>
              <w:t>Series due 2007</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50,000,000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9-1/4% Series due 2008</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50,000,000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Pollution Control Series A</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7"/>
              </w:rPr>
              <w:t>111,000,000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Development Series A</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9"/>
              </w:rPr>
              <w:t>2,500,000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Industrial Development Series B</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9"/>
              </w:rPr>
              <w:t>1,800,000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Development Series C</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9"/>
              </w:rPr>
              <w:t>1,150,000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Pollution Control Series B</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13,500,000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Pollution Control Series C</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9"/>
              </w:rPr>
              <w:t>2,000,000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Pollution Control Series D</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9"/>
              </w:rPr>
              <w:t>3,600,000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7-3/4% Series due 1994</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55,000,000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7-3/8% Series due March 1, 1997</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60,000,000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7-3/4% Series due June 1, 2007</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55,000,000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7-1/2% Series due August 1, 2007</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35,000,000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Pollution Control Series E</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7"/>
              </w:rPr>
              <w:t>111,000,000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7% Series due March 1, 2008</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50,000,000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6-1/4% Series due July 1, 2003</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25,000,000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7% Series due February 15, 2007</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60,000,000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6.68%</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November 15, 2007</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20,000,000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Floating Rate Series due October 20, 2003</w:t>
            </w:r>
          </w:p>
        </w:tc>
        <w:tc>
          <w:tcPr>
            <w:tcW w:w="3800" w:type="dxa"/>
            <w:vAlign w:val="bottom"/>
            <w:gridSpan w:val="3"/>
          </w:tcPr>
          <w:p>
            <w:pPr>
              <w:jc w:val="center"/>
              <w:ind w:left="1450"/>
              <w:spacing w:after="0"/>
              <w:rPr>
                <w:sz w:val="20"/>
                <w:szCs w:val="20"/>
                <w:color w:val="auto"/>
              </w:rPr>
            </w:pPr>
            <w:r>
              <w:rPr>
                <w:rFonts w:ascii="Arial" w:cs="Arial" w:eastAsia="Arial" w:hAnsi="Arial"/>
                <w:sz w:val="18"/>
                <w:szCs w:val="18"/>
                <w:color w:val="auto"/>
                <w:w w:val="89"/>
              </w:rPr>
              <w:t>250,000,000</w:t>
            </w:r>
          </w:p>
        </w:tc>
        <w:tc>
          <w:tcPr>
            <w:tcW w:w="680" w:type="dxa"/>
            <w:vAlign w:val="bottom"/>
          </w:tcPr>
          <w:p>
            <w:pPr>
              <w:spacing w:after="0"/>
              <w:rPr>
                <w:sz w:val="21"/>
                <w:szCs w:val="21"/>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Collateral Series A</w:t>
            </w:r>
          </w:p>
        </w:tc>
        <w:tc>
          <w:tcPr>
            <w:tcW w:w="3800" w:type="dxa"/>
            <w:vAlign w:val="bottom"/>
            <w:tcBorders>
              <w:bottom w:val="single" w:sz="8" w:color="CCEEFF"/>
            </w:tcBorders>
            <w:gridSpan w:val="3"/>
            <w:shd w:val="clear" w:color="auto" w:fill="CCEEFF"/>
          </w:tcPr>
          <w:p>
            <w:pPr>
              <w:jc w:val="center"/>
              <w:ind w:left="1450"/>
              <w:spacing w:after="0"/>
              <w:rPr>
                <w:sz w:val="20"/>
                <w:szCs w:val="20"/>
                <w:color w:val="auto"/>
              </w:rPr>
            </w:pPr>
            <w:r>
              <w:rPr>
                <w:rFonts w:ascii="Arial" w:cs="Arial" w:eastAsia="Arial" w:hAnsi="Arial"/>
                <w:sz w:val="18"/>
                <w:szCs w:val="18"/>
                <w:color w:val="auto"/>
                <w:w w:val="89"/>
              </w:rPr>
              <w:t>255,000,000</w:t>
            </w:r>
          </w:p>
        </w:tc>
        <w:tc>
          <w:tcPr>
            <w:tcW w:w="6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None</w:t>
            </w:r>
          </w:p>
        </w:tc>
      </w:tr>
      <w:tr>
        <w:trPr>
          <w:trHeight w:val="243"/>
        </w:trPr>
        <w:tc>
          <w:tcPr>
            <w:tcW w:w="40" w:type="dxa"/>
            <w:vAlign w:val="bottom"/>
          </w:tcPr>
          <w:p>
            <w:pPr>
              <w:spacing w:after="0"/>
              <w:rPr>
                <w:sz w:val="21"/>
                <w:szCs w:val="21"/>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Pollution Control Series F</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7"/>
              </w:rPr>
              <w:t>111,000,000</w:t>
            </w:r>
          </w:p>
        </w:tc>
        <w:tc>
          <w:tcPr>
            <w:tcW w:w="1640" w:type="dxa"/>
            <w:vAlign w:val="bottom"/>
            <w:gridSpan w:val="2"/>
          </w:tcPr>
          <w:p>
            <w:pPr>
              <w:jc w:val="center"/>
              <w:ind w:left="590"/>
              <w:spacing w:after="0"/>
              <w:rPr>
                <w:sz w:val="20"/>
                <w:szCs w:val="20"/>
                <w:color w:val="auto"/>
              </w:rPr>
            </w:pPr>
            <w:r>
              <w:rPr>
                <w:rFonts w:ascii="Arial" w:cs="Arial" w:eastAsia="Arial" w:hAnsi="Arial"/>
                <w:sz w:val="18"/>
                <w:szCs w:val="18"/>
                <w:color w:val="auto"/>
                <w:w w:val="87"/>
              </w:rPr>
              <w:t>111,000,000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5.28%</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August 1, 2020</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35,000,000</w:t>
            </w:r>
          </w:p>
        </w:tc>
        <w:tc>
          <w:tcPr>
            <w:tcW w:w="164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35,000,000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5.69%</w:t>
            </w:r>
          </w:p>
        </w:tc>
        <w:tc>
          <w:tcPr>
            <w:tcW w:w="4800" w:type="dxa"/>
            <w:vAlign w:val="bottom"/>
          </w:tcPr>
          <w:p>
            <w:pPr>
              <w:ind w:left="20"/>
              <w:spacing w:after="0"/>
              <w:rPr>
                <w:sz w:val="20"/>
                <w:szCs w:val="20"/>
                <w:color w:val="auto"/>
              </w:rPr>
            </w:pPr>
            <w:r>
              <w:rPr>
                <w:rFonts w:ascii="Arial" w:cs="Arial" w:eastAsia="Arial" w:hAnsi="Arial"/>
                <w:sz w:val="18"/>
                <w:szCs w:val="18"/>
                <w:color w:val="auto"/>
              </w:rPr>
              <w:t>Series due March 1, 2036</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50,000,000</w:t>
            </w:r>
          </w:p>
        </w:tc>
        <w:tc>
          <w:tcPr>
            <w:tcW w:w="164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50,000,000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5.99%</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February 1, 2027</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60,000,000</w:t>
            </w:r>
          </w:p>
        </w:tc>
        <w:tc>
          <w:tcPr>
            <w:tcW w:w="164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60,000,000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4.86%</w:t>
            </w:r>
          </w:p>
        </w:tc>
        <w:tc>
          <w:tcPr>
            <w:tcW w:w="4800" w:type="dxa"/>
            <w:vAlign w:val="bottom"/>
          </w:tcPr>
          <w:p>
            <w:pPr>
              <w:ind w:left="20"/>
              <w:spacing w:after="0"/>
              <w:rPr>
                <w:sz w:val="20"/>
                <w:szCs w:val="20"/>
                <w:color w:val="auto"/>
              </w:rPr>
            </w:pPr>
            <w:r>
              <w:rPr>
                <w:rFonts w:ascii="Arial" w:cs="Arial" w:eastAsia="Arial" w:hAnsi="Arial"/>
                <w:sz w:val="18"/>
                <w:szCs w:val="18"/>
                <w:color w:val="auto"/>
              </w:rPr>
              <w:t>Series due April 1, 2013</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60,000,000</w:t>
            </w:r>
          </w:p>
        </w:tc>
        <w:tc>
          <w:tcPr>
            <w:tcW w:w="680" w:type="dxa"/>
            <w:vAlign w:val="bottom"/>
          </w:tcPr>
          <w:p>
            <w:pPr>
              <w:spacing w:after="0"/>
              <w:rPr>
                <w:sz w:val="21"/>
                <w:szCs w:val="21"/>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None</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6.02%</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May 1, 2023</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75,000,000</w:t>
            </w:r>
          </w:p>
        </w:tc>
        <w:tc>
          <w:tcPr>
            <w:tcW w:w="164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75,000,000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6.94%</w:t>
            </w:r>
          </w:p>
        </w:tc>
        <w:tc>
          <w:tcPr>
            <w:tcW w:w="4800" w:type="dxa"/>
            <w:vAlign w:val="bottom"/>
          </w:tcPr>
          <w:p>
            <w:pPr>
              <w:ind w:left="20"/>
              <w:spacing w:after="0"/>
              <w:rPr>
                <w:sz w:val="20"/>
                <w:szCs w:val="20"/>
                <w:color w:val="auto"/>
              </w:rPr>
            </w:pPr>
            <w:r>
              <w:rPr>
                <w:rFonts w:ascii="Arial" w:cs="Arial" w:eastAsia="Arial" w:hAnsi="Arial"/>
                <w:sz w:val="18"/>
                <w:szCs w:val="18"/>
                <w:color w:val="auto"/>
              </w:rPr>
              <w:t>Series due January 15, 2014</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18,000,000</w:t>
            </w:r>
          </w:p>
        </w:tc>
        <w:tc>
          <w:tcPr>
            <w:tcW w:w="164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18,000,000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7.70%</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January 15, 2016</w:t>
            </w:r>
          </w:p>
        </w:tc>
        <w:tc>
          <w:tcPr>
            <w:tcW w:w="3800" w:type="dxa"/>
            <w:vAlign w:val="bottom"/>
            <w:tcBorders>
              <w:bottom w:val="single" w:sz="8" w:color="CCEEFF"/>
            </w:tcBorders>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20,000,000</w:t>
            </w:r>
          </w:p>
        </w:tc>
        <w:tc>
          <w:tcPr>
            <w:tcW w:w="164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20,000,000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8.17%</w:t>
            </w:r>
          </w:p>
        </w:tc>
        <w:tc>
          <w:tcPr>
            <w:tcW w:w="4800" w:type="dxa"/>
            <w:vAlign w:val="bottom"/>
          </w:tcPr>
          <w:p>
            <w:pPr>
              <w:ind w:left="20"/>
              <w:spacing w:after="0"/>
              <w:rPr>
                <w:sz w:val="20"/>
                <w:szCs w:val="20"/>
                <w:color w:val="auto"/>
              </w:rPr>
            </w:pPr>
            <w:r>
              <w:rPr>
                <w:rFonts w:ascii="Arial" w:cs="Arial" w:eastAsia="Arial" w:hAnsi="Arial"/>
                <w:sz w:val="18"/>
                <w:szCs w:val="18"/>
                <w:color w:val="auto"/>
              </w:rPr>
              <w:t>Series due January 15, 2019</w:t>
            </w:r>
          </w:p>
        </w:tc>
        <w:tc>
          <w:tcPr>
            <w:tcW w:w="380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42,000,000</w:t>
            </w:r>
          </w:p>
        </w:tc>
        <w:tc>
          <w:tcPr>
            <w:tcW w:w="164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42,000,000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4.85%</w:t>
            </w: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April 15, 2021</w:t>
            </w:r>
          </w:p>
        </w:tc>
        <w:tc>
          <w:tcPr>
            <w:tcW w:w="3800" w:type="dxa"/>
            <w:vAlign w:val="bottom"/>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15,000,000</w:t>
            </w:r>
          </w:p>
        </w:tc>
        <w:tc>
          <w:tcPr>
            <w:tcW w:w="164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88"/>
              </w:rPr>
              <w:t>15,000,000</w:t>
            </w:r>
          </w:p>
        </w:tc>
        <w:tc>
          <w:tcPr>
            <w:tcW w:w="66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0"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00" w:type="dxa"/>
            <w:vAlign w:val="bottom"/>
            <w:gridSpan w:val="3"/>
          </w:tcPr>
          <w:p>
            <w:pPr>
              <w:jc w:val="center"/>
              <w:ind w:left="1710"/>
              <w:spacing w:after="0"/>
              <w:rPr>
                <w:sz w:val="20"/>
                <w:szCs w:val="20"/>
                <w:color w:val="auto"/>
              </w:rPr>
            </w:pPr>
            <w:r>
              <w:rPr>
                <w:rFonts w:ascii="Arial" w:cs="Arial" w:eastAsia="Arial" w:hAnsi="Arial"/>
                <w:sz w:val="18"/>
                <w:szCs w:val="18"/>
                <w:b w:val="1"/>
                <w:bCs w:val="1"/>
                <w:color w:val="auto"/>
                <w:w w:val="94"/>
              </w:rPr>
              <w:t>Principal</w:t>
            </w:r>
          </w:p>
        </w:tc>
        <w:tc>
          <w:tcPr>
            <w:tcW w:w="700" w:type="dxa"/>
            <w:vAlign w:val="bottom"/>
          </w:tcPr>
          <w:p>
            <w:pPr>
              <w:spacing w:after="0"/>
              <w:rPr>
                <w:sz w:val="20"/>
                <w:szCs w:val="20"/>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4"/>
              </w:rPr>
              <w:t>Principal</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4000" w:type="dxa"/>
            <w:vAlign w:val="bottom"/>
            <w:gridSpan w:val="3"/>
          </w:tcPr>
          <w:p>
            <w:pPr>
              <w:jc w:val="center"/>
              <w:ind w:left="1710"/>
              <w:spacing w:after="0"/>
              <w:rPr>
                <w:sz w:val="20"/>
                <w:szCs w:val="20"/>
                <w:color w:val="auto"/>
              </w:rPr>
            </w:pPr>
            <w:r>
              <w:rPr>
                <w:rFonts w:ascii="Arial" w:cs="Arial" w:eastAsia="Arial" w:hAnsi="Arial"/>
                <w:sz w:val="18"/>
                <w:szCs w:val="18"/>
                <w:b w:val="1"/>
                <w:bCs w:val="1"/>
                <w:color w:val="auto"/>
                <w:w w:val="94"/>
              </w:rPr>
              <w:t>Amount</w:t>
            </w:r>
          </w:p>
        </w:tc>
        <w:tc>
          <w:tcPr>
            <w:tcW w:w="700" w:type="dxa"/>
            <w:vAlign w:val="bottom"/>
          </w:tcPr>
          <w:p>
            <w:pPr>
              <w:spacing w:after="0"/>
              <w:rPr>
                <w:sz w:val="23"/>
                <w:szCs w:val="23"/>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4"/>
              </w:rPr>
              <w:t>Amount</w:t>
            </w:r>
          </w:p>
        </w:tc>
      </w:tr>
      <w:tr>
        <w:trPr>
          <w:trHeight w:val="230"/>
        </w:trPr>
        <w:tc>
          <w:tcPr>
            <w:tcW w:w="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1"/>
              </w:rPr>
              <w:t>Series</w:t>
            </w:r>
          </w:p>
        </w:tc>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4"/>
              </w:rPr>
              <w:t>Issued</w:t>
            </w:r>
          </w:p>
        </w:tc>
        <w:tc>
          <w:tcPr>
            <w:tcW w:w="2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5.10%</w:t>
            </w:r>
          </w:p>
        </w:tc>
        <w:tc>
          <w:tcPr>
            <w:tcW w:w="4580" w:type="dxa"/>
            <w:vAlign w:val="bottom"/>
          </w:tcPr>
          <w:p>
            <w:pPr>
              <w:ind w:left="20"/>
              <w:spacing w:after="0"/>
              <w:rPr>
                <w:sz w:val="20"/>
                <w:szCs w:val="20"/>
                <w:color w:val="auto"/>
              </w:rPr>
            </w:pPr>
            <w:r>
              <w:rPr>
                <w:rFonts w:ascii="Arial" w:cs="Arial" w:eastAsia="Arial" w:hAnsi="Arial"/>
                <w:sz w:val="18"/>
                <w:szCs w:val="18"/>
                <w:color w:val="auto"/>
              </w:rPr>
              <w:t>Series due April 15, 2025</w:t>
            </w:r>
          </w:p>
        </w:tc>
        <w:tc>
          <w:tcPr>
            <w:tcW w:w="4000" w:type="dxa"/>
            <w:vAlign w:val="bottom"/>
            <w:gridSpan w:val="3"/>
          </w:tcPr>
          <w:p>
            <w:pPr>
              <w:jc w:val="center"/>
              <w:ind w:left="1710"/>
              <w:spacing w:after="0"/>
              <w:rPr>
                <w:sz w:val="20"/>
                <w:szCs w:val="20"/>
                <w:color w:val="auto"/>
              </w:rPr>
            </w:pPr>
            <w:r>
              <w:rPr>
                <w:rFonts w:ascii="Arial" w:cs="Arial" w:eastAsia="Arial" w:hAnsi="Arial"/>
                <w:sz w:val="18"/>
                <w:szCs w:val="18"/>
                <w:color w:val="auto"/>
                <w:w w:val="88"/>
              </w:rPr>
              <w:t>30,000,000</w:t>
            </w:r>
          </w:p>
        </w:tc>
        <w:tc>
          <w:tcPr>
            <w:tcW w:w="166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30,000,000</w:t>
            </w:r>
          </w:p>
        </w:tc>
        <w:tc>
          <w:tcPr>
            <w:tcW w:w="6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6.00%</w:t>
            </w: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April 15, 2040</w:t>
            </w:r>
          </w:p>
        </w:tc>
        <w:tc>
          <w:tcPr>
            <w:tcW w:w="4000" w:type="dxa"/>
            <w:vAlign w:val="bottom"/>
            <w:tcBorders>
              <w:bottom w:val="single" w:sz="8" w:color="CCEEFF"/>
            </w:tcBorders>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88"/>
              </w:rPr>
              <w:t>35,000,000</w:t>
            </w:r>
          </w:p>
        </w:tc>
        <w:tc>
          <w:tcPr>
            <w:tcW w:w="166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8"/>
              </w:rPr>
              <w:t>35,000,000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4.90%</w:t>
            </w:r>
          </w:p>
        </w:tc>
        <w:tc>
          <w:tcPr>
            <w:tcW w:w="4580" w:type="dxa"/>
            <w:vAlign w:val="bottom"/>
          </w:tcPr>
          <w:p>
            <w:pPr>
              <w:ind w:left="20"/>
              <w:spacing w:after="0"/>
              <w:rPr>
                <w:sz w:val="20"/>
                <w:szCs w:val="20"/>
                <w:color w:val="auto"/>
              </w:rPr>
            </w:pPr>
            <w:r>
              <w:rPr>
                <w:rFonts w:ascii="Arial" w:cs="Arial" w:eastAsia="Arial" w:hAnsi="Arial"/>
                <w:sz w:val="18"/>
                <w:szCs w:val="18"/>
                <w:color w:val="auto"/>
              </w:rPr>
              <w:t>Series due October 15, 2025</w:t>
            </w:r>
          </w:p>
        </w:tc>
        <w:tc>
          <w:tcPr>
            <w:tcW w:w="4000" w:type="dxa"/>
            <w:vAlign w:val="bottom"/>
            <w:gridSpan w:val="3"/>
          </w:tcPr>
          <w:p>
            <w:pPr>
              <w:jc w:val="center"/>
              <w:ind w:left="1710"/>
              <w:spacing w:after="0"/>
              <w:rPr>
                <w:sz w:val="20"/>
                <w:szCs w:val="20"/>
                <w:color w:val="auto"/>
              </w:rPr>
            </w:pPr>
            <w:r>
              <w:rPr>
                <w:rFonts w:ascii="Arial" w:cs="Arial" w:eastAsia="Arial" w:hAnsi="Arial"/>
                <w:sz w:val="18"/>
                <w:szCs w:val="18"/>
                <w:color w:val="auto"/>
                <w:w w:val="88"/>
              </w:rPr>
              <w:t>30,000,000</w:t>
            </w:r>
          </w:p>
        </w:tc>
        <w:tc>
          <w:tcPr>
            <w:tcW w:w="166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30,000,000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5.82%</w:t>
            </w: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April 15, 2040</w:t>
            </w:r>
          </w:p>
        </w:tc>
        <w:tc>
          <w:tcPr>
            <w:tcW w:w="4000" w:type="dxa"/>
            <w:vAlign w:val="bottom"/>
            <w:tcBorders>
              <w:bottom w:val="single" w:sz="8" w:color="CCEEFF"/>
            </w:tcBorders>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88"/>
              </w:rPr>
              <w:t>45,000,000</w:t>
            </w:r>
          </w:p>
        </w:tc>
        <w:tc>
          <w:tcPr>
            <w:tcW w:w="166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8"/>
              </w:rPr>
              <w:t>45,000,000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3.20%</w:t>
            </w:r>
          </w:p>
        </w:tc>
        <w:tc>
          <w:tcPr>
            <w:tcW w:w="4580" w:type="dxa"/>
            <w:vAlign w:val="bottom"/>
          </w:tcPr>
          <w:p>
            <w:pPr>
              <w:ind w:left="20"/>
              <w:spacing w:after="0"/>
              <w:rPr>
                <w:sz w:val="20"/>
                <w:szCs w:val="20"/>
                <w:color w:val="auto"/>
              </w:rPr>
            </w:pPr>
            <w:r>
              <w:rPr>
                <w:rFonts w:ascii="Arial" w:cs="Arial" w:eastAsia="Arial" w:hAnsi="Arial"/>
                <w:sz w:val="18"/>
                <w:szCs w:val="18"/>
                <w:color w:val="auto"/>
              </w:rPr>
              <w:t>Series due July 15, 2026</w:t>
            </w:r>
          </w:p>
        </w:tc>
        <w:tc>
          <w:tcPr>
            <w:tcW w:w="4000" w:type="dxa"/>
            <w:vAlign w:val="bottom"/>
            <w:gridSpan w:val="3"/>
          </w:tcPr>
          <w:p>
            <w:pPr>
              <w:jc w:val="center"/>
              <w:ind w:left="1710"/>
              <w:spacing w:after="0"/>
              <w:rPr>
                <w:sz w:val="20"/>
                <w:szCs w:val="20"/>
                <w:color w:val="auto"/>
              </w:rPr>
            </w:pPr>
            <w:r>
              <w:rPr>
                <w:rFonts w:ascii="Arial" w:cs="Arial" w:eastAsia="Arial" w:hAnsi="Arial"/>
                <w:sz w:val="18"/>
                <w:szCs w:val="18"/>
                <w:color w:val="auto"/>
                <w:w w:val="88"/>
              </w:rPr>
              <w:t>75,000,000</w:t>
            </w:r>
          </w:p>
        </w:tc>
        <w:tc>
          <w:tcPr>
            <w:tcW w:w="166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75,000,000</w:t>
            </w:r>
          </w:p>
        </w:tc>
        <w:tc>
          <w:tcPr>
            <w:tcW w:w="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4.08%</w:t>
            </w: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July 15, 2042</w:t>
            </w:r>
          </w:p>
        </w:tc>
        <w:tc>
          <w:tcPr>
            <w:tcW w:w="4000" w:type="dxa"/>
            <w:vAlign w:val="bottom"/>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88"/>
              </w:rPr>
              <w:t>85,000,000</w:t>
            </w:r>
          </w:p>
        </w:tc>
        <w:tc>
          <w:tcPr>
            <w:tcW w:w="166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8"/>
              </w:rPr>
              <w:t>85,000,000</w:t>
            </w:r>
          </w:p>
        </w:tc>
        <w:tc>
          <w:tcPr>
            <w:tcW w:w="66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which bonds are also hereinafter sometimes called bonds of the First through Forty-fourth Series, respectively; and</w:t>
      </w:r>
    </w:p>
    <w:p>
      <w:pPr>
        <w:spacing w:after="0" w:line="225" w:lineRule="exact"/>
        <w:rPr>
          <w:sz w:val="20"/>
          <w:szCs w:val="20"/>
          <w:color w:val="auto"/>
        </w:rPr>
      </w:pPr>
    </w:p>
    <w:p>
      <w:pPr>
        <w:jc w:val="both"/>
        <w:ind w:firstLine="608"/>
        <w:spacing w:after="0" w:line="276" w:lineRule="auto"/>
        <w:rPr>
          <w:sz w:val="20"/>
          <w:szCs w:val="20"/>
          <w:color w:val="auto"/>
        </w:rPr>
      </w:pPr>
      <w:r>
        <w:rPr>
          <w:rFonts w:ascii="Arial" w:cs="Arial" w:eastAsia="Arial" w:hAnsi="Arial"/>
          <w:sz w:val="17"/>
          <w:szCs w:val="17"/>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73"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92" w:lineRule="exact"/>
        <w:rPr>
          <w:sz w:val="20"/>
          <w:szCs w:val="20"/>
          <w:color w:val="auto"/>
        </w:rPr>
      </w:pPr>
    </w:p>
    <w:p>
      <w:pPr>
        <w:jc w:val="both"/>
        <w:ind w:firstLine="608"/>
        <w:spacing w:after="0" w:line="286" w:lineRule="auto"/>
        <w:rPr>
          <w:sz w:val="20"/>
          <w:szCs w:val="20"/>
          <w:color w:val="auto"/>
        </w:rPr>
      </w:pPr>
      <w:r>
        <w:rPr>
          <w:rFonts w:ascii="Arial" w:cs="Arial" w:eastAsia="Arial" w:hAnsi="Arial"/>
          <w:sz w:val="17"/>
          <w:szCs w:val="17"/>
          <w:color w:val="auto"/>
        </w:rPr>
        <w:t>WHEREAS, the Company now desires to create three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6" w:lineRule="exact"/>
        <w:rPr>
          <w:sz w:val="20"/>
          <w:szCs w:val="20"/>
          <w:color w:val="auto"/>
        </w:rPr>
      </w:pPr>
    </w:p>
    <w:p>
      <w:pPr>
        <w:jc w:val="both"/>
        <w:ind w:firstLine="608"/>
        <w:spacing w:after="0" w:line="264" w:lineRule="auto"/>
        <w:rPr>
          <w:sz w:val="20"/>
          <w:szCs w:val="20"/>
          <w:color w:val="auto"/>
        </w:rPr>
      </w:pPr>
      <w:r>
        <w:rPr>
          <w:rFonts w:ascii="Arial" w:cs="Arial" w:eastAsia="Arial" w:hAnsi="Arial"/>
          <w:sz w:val="18"/>
          <w:szCs w:val="18"/>
          <w:color w:val="auto"/>
        </w:rPr>
        <w:t>WHEREAS, the execution and delivery by the Company of this Thirty-fourth Supplemental Indenture, and the terms of the bonds of the Forty-fifth Series, the Forty-sixth Series and the Forty-seventh Series, hereinafter referred to, have been duly authorized by the Board of Directors of the Company by appropriate resolutions of said Board of Directors;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3" w:right="239" w:bottom="1440" w:gutter="0" w:footer="0" w:header="0"/>
        </w:sectPr>
      </w:pPr>
    </w:p>
    <w:bookmarkStart w:id="50" w:name="page51"/>
    <w:bookmarkEnd w:id="50"/>
    <w:p>
      <w:pPr>
        <w:jc w:val="both"/>
        <w:spacing w:after="0" w:line="284" w:lineRule="auto"/>
        <w:rPr>
          <w:sz w:val="20"/>
          <w:szCs w:val="20"/>
          <w:color w:val="auto"/>
        </w:rPr>
      </w:pPr>
      <w:r>
        <w:rPr>
          <w:rFonts w:ascii="Arial" w:cs="Arial" w:eastAsia="Arial" w:hAnsi="Arial"/>
          <w:sz w:val="16"/>
          <w:szCs w:val="16"/>
          <w:color w:val="auto"/>
        </w:rPr>
        <w:t>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Philip L. Watson,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Thirty-fourth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396"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88"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51" w:name="page52"/>
    <w:bookmarkEnd w:id="51"/>
    <w:p>
      <w:pPr>
        <w:jc w:val="both"/>
        <w:ind w:firstLine="608"/>
        <w:spacing w:after="0" w:line="268" w:lineRule="auto"/>
        <w:rPr>
          <w:sz w:val="20"/>
          <w:szCs w:val="20"/>
          <w:color w:val="auto"/>
        </w:rPr>
      </w:pPr>
      <w:r>
        <w:rPr>
          <w:rFonts w:ascii="Arial" w:cs="Arial" w:eastAsia="Arial" w:hAnsi="Arial"/>
          <w:sz w:val="17"/>
          <w:szCs w:val="17"/>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Thirty-fourth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Thirty-fourth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81" w:lineRule="exact"/>
        <w:rPr>
          <w:sz w:val="20"/>
          <w:szCs w:val="20"/>
          <w:color w:val="auto"/>
        </w:rPr>
      </w:pPr>
    </w:p>
    <w:p>
      <w:pPr>
        <w:jc w:val="both"/>
        <w:ind w:right="20" w:firstLine="608"/>
        <w:spacing w:after="0" w:line="342" w:lineRule="auto"/>
        <w:rPr>
          <w:sz w:val="20"/>
          <w:szCs w:val="20"/>
          <w:color w:val="auto"/>
        </w:rPr>
      </w:pPr>
      <w:r>
        <w:rPr>
          <w:rFonts w:ascii="Arial" w:cs="Arial" w:eastAsia="Arial" w:hAnsi="Arial"/>
          <w:sz w:val="16"/>
          <w:szCs w:val="16"/>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24" w:lineRule="exact"/>
        <w:rPr>
          <w:sz w:val="20"/>
          <w:szCs w:val="20"/>
          <w:color w:val="auto"/>
        </w:rPr>
      </w:pPr>
    </w:p>
    <w:p>
      <w:pPr>
        <w:jc w:val="both"/>
        <w:ind w:right="20" w:firstLine="608"/>
        <w:spacing w:after="0" w:line="308" w:lineRule="auto"/>
        <w:rPr>
          <w:sz w:val="20"/>
          <w:szCs w:val="20"/>
          <w:color w:val="auto"/>
        </w:rPr>
      </w:pPr>
      <w:r>
        <w:rPr>
          <w:rFonts w:ascii="Arial" w:cs="Arial" w:eastAsia="Arial" w:hAnsi="Arial"/>
          <w:sz w:val="17"/>
          <w:szCs w:val="17"/>
          <w:color w:val="auto"/>
        </w:rPr>
        <w:t>IN TRUST NEVERTHELESS, for the same purposes and upon the same terms, trusts and conditions and subject to and with the same provisos and covenants as are set forth in the Mortgage, as supplemented, this Thirty-fourth Supplemental Indenture being supplemental thereto.</w:t>
      </w:r>
    </w:p>
    <w:p>
      <w:pPr>
        <w:spacing w:after="0" w:line="147" w:lineRule="exact"/>
        <w:rPr>
          <w:sz w:val="20"/>
          <w:szCs w:val="20"/>
          <w:color w:val="auto"/>
        </w:rPr>
      </w:pPr>
    </w:p>
    <w:p>
      <w:pPr>
        <w:jc w:val="both"/>
        <w:ind w:firstLine="608"/>
        <w:spacing w:after="0" w:line="297"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Forty-fifth Series of Bonds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 There shall be a series of bonds designated “1.83% Series due April 15, 2018” (herein sometimes referred to as the “Forty-fifth Series”), each of which shall also bear the descriptive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title “First Mortgage Bond”, and the form thereof, which shall be established by Resolution of the Board of Directors of the Company, shall contain suitable provisions with respect to the matters hereinafter in this Section specified. Bonds of the Forty-fifth Series shall be dated as in Section 10 of the Mortgage provided, mature on April 15, 2018 (the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2, 2013 (computed on the basis of a 360-day year of twelve thirty-day months) at the rate of 1.83% per annum, payable semi-annually on April 15 and October 15 of each year, commencing October 15, 2013,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92"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Any payment of principal of or interest on any bond of the Forty-fifth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Forty-fifth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4" w:lineRule="exact"/>
        <w:rPr>
          <w:sz w:val="20"/>
          <w:szCs w:val="20"/>
          <w:color w:val="auto"/>
        </w:rPr>
      </w:pPr>
    </w:p>
    <w:p>
      <w:pPr>
        <w:jc w:val="both"/>
        <w:ind w:firstLine="616"/>
        <w:spacing w:after="0" w:line="286" w:lineRule="auto"/>
        <w:tabs>
          <w:tab w:leader="none" w:pos="968"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The Company may, at its option, upon notice as provided below, prepay at any time all, or from time to time any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bonds of the Forty-fifth Series at 100% of the principal amount so prepaid, and the Make-Whole Amount determined for the Settlement Date specified by the Company in such notice with respect to such principal amount. The Company will give each registered owner of bonds of the Forty-fifth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Forty-fifth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Forty-fifth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68" w:lineRule="exact"/>
        <w:rPr>
          <w:rFonts w:ascii="Arial" w:cs="Arial" w:eastAsia="Arial" w:hAnsi="Arial"/>
          <w:sz w:val="16"/>
          <w:szCs w:val="16"/>
          <w:color w:val="auto"/>
        </w:rPr>
      </w:pPr>
    </w:p>
    <w:p>
      <w:pPr>
        <w:jc w:val="both"/>
        <w:ind w:firstLine="656"/>
        <w:spacing w:after="0" w:line="289" w:lineRule="auto"/>
        <w:tabs>
          <w:tab w:leader="none" w:pos="1095" w:val="left"/>
        </w:tabs>
        <w:numPr>
          <w:ilvl w:val="1"/>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Forty-fifth Series, the principal amount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of the Forty-fifth Series to be prepaid shall be allocated by the Company among all of the bonds of the Forty-fifth Series at the time outstanding in proportion, as nearly as practicable, to the respective unpaid principal amounts thereof not theretofore called for prepayment.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53" w:name="page54"/>
    <w:bookmarkEnd w:id="53"/>
    <w:p>
      <w:pPr>
        <w:jc w:val="both"/>
        <w:ind w:firstLine="656"/>
        <w:spacing w:after="0" w:line="286" w:lineRule="auto"/>
        <w:tabs>
          <w:tab w:leader="none" w:pos="1281"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Forty-fifth Series pursuant to this section, if cash</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Forty-fifth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b w:val="1"/>
          <w:bCs w:val="1"/>
          <w:color w:val="auto"/>
        </w:rPr>
        <w:t>Make-Whole Amount.</w:t>
      </w:r>
    </w:p>
    <w:p>
      <w:pPr>
        <w:spacing w:after="0" w:line="229"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“Make-Whole Amount” means, with respect to any bond of the Forty-fifth Series, an amount equal to the excess, if any, of the Discounted Value of the Remaining Scheduled Payments with respect to the Called Principal of such bond of the Forty-fifth Series over the amount of such Called Principal, provided that the Make-Whole Amount may in no event be less than zero. For the purposes of determining the Make-Whole Amount, the following terms have the following meanings:</w:t>
      </w:r>
    </w:p>
    <w:p>
      <w:pPr>
        <w:spacing w:after="0" w:line="187"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“Business Day” means any day other than a Saturday, a Sunday or a day on which commercial banks in New York City are required or authorized to be closed.</w:t>
      </w:r>
    </w:p>
    <w:p>
      <w:pPr>
        <w:spacing w:after="0" w:line="170" w:lineRule="exact"/>
        <w:rPr>
          <w:sz w:val="20"/>
          <w:szCs w:val="20"/>
          <w:color w:val="auto"/>
        </w:rPr>
      </w:pPr>
    </w:p>
    <w:p>
      <w:pPr>
        <w:jc w:val="both"/>
        <w:ind w:right="20" w:firstLine="608"/>
        <w:spacing w:after="0" w:line="277" w:lineRule="auto"/>
        <w:rPr>
          <w:sz w:val="20"/>
          <w:szCs w:val="20"/>
          <w:color w:val="auto"/>
        </w:rPr>
      </w:pPr>
      <w:r>
        <w:rPr>
          <w:rFonts w:ascii="Arial" w:cs="Arial" w:eastAsia="Arial" w:hAnsi="Arial"/>
          <w:sz w:val="18"/>
          <w:szCs w:val="18"/>
          <w:color w:val="auto"/>
        </w:rPr>
        <w:t>“Called Principal” means, with respect to any bond of the Forty-fifth Series, the principal of such bond that is to be prepaid pursuant to subsection (I) of this section.</w:t>
      </w:r>
    </w:p>
    <w:p>
      <w:pPr>
        <w:spacing w:after="0" w:line="170"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“Discounted Value” means, with respect to the Called Principal of any bond of the Forty-fifth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Forty-fifth Series is payable) equal to the Reinvestment Yield with respect to such Called Principal.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“Reinvestment Yield” means, with respect to the Called Principal of any bond of the Forty-fifth Series, 0.5% over the yield to maturity implied by</w:t>
      </w:r>
    </w:p>
    <w:p>
      <w:pPr>
        <w:spacing w:after="0" w:line="35" w:lineRule="exact"/>
        <w:rPr>
          <w:sz w:val="20"/>
          <w:szCs w:val="20"/>
          <w:color w:val="auto"/>
        </w:rPr>
      </w:pPr>
    </w:p>
    <w:p>
      <w:pPr>
        <w:jc w:val="both"/>
        <w:ind w:firstLine="8"/>
        <w:spacing w:after="0" w:line="302" w:lineRule="auto"/>
        <w:tabs>
          <w:tab w:leader="none" w:pos="2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54" w:name="page55"/>
    <w:bookmarkEnd w:id="54"/>
    <w:p>
      <w:pPr>
        <w:jc w:val="both"/>
        <w:spacing w:after="0" w:line="284" w:lineRule="auto"/>
        <w:rPr>
          <w:sz w:val="20"/>
          <w:szCs w:val="20"/>
          <w:color w:val="auto"/>
        </w:rPr>
      </w:pPr>
      <w:r>
        <w:rPr>
          <w:rFonts w:ascii="Arial" w:cs="Arial" w:eastAsia="Arial" w:hAnsi="Arial"/>
          <w:sz w:val="16"/>
          <w:szCs w:val="16"/>
          <w:color w:val="auto"/>
        </w:rPr>
        <w:t>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5" w:lineRule="exact"/>
        <w:rPr>
          <w:sz w:val="20"/>
          <w:szCs w:val="20"/>
          <w:color w:val="auto"/>
        </w:rPr>
      </w:pPr>
    </w:p>
    <w:p>
      <w:pPr>
        <w:jc w:val="both"/>
        <w:ind w:firstLine="8"/>
        <w:spacing w:after="0" w:line="254"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Forty-fifth Series.</w:t>
      </w:r>
    </w:p>
    <w:p>
      <w:pPr>
        <w:spacing w:after="0" w:line="190"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1" w:lineRule="exact"/>
        <w:rPr>
          <w:sz w:val="20"/>
          <w:szCs w:val="20"/>
          <w:color w:val="auto"/>
        </w:rPr>
      </w:pPr>
    </w:p>
    <w:p>
      <w:pPr>
        <w:jc w:val="both"/>
        <w:ind w:firstLine="608"/>
        <w:spacing w:after="0" w:line="276" w:lineRule="auto"/>
        <w:rPr>
          <w:sz w:val="20"/>
          <w:szCs w:val="20"/>
          <w:color w:val="auto"/>
        </w:rPr>
      </w:pPr>
      <w:r>
        <w:rPr>
          <w:rFonts w:ascii="Arial" w:cs="Arial" w:eastAsia="Arial" w:hAnsi="Arial"/>
          <w:sz w:val="17"/>
          <w:szCs w:val="17"/>
          <w:color w:val="auto"/>
        </w:rPr>
        <w:t>“Remaining Scheduled Payments” means, with respect to the Called Principal of any Bond of the Forty-fifth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Forty-fifth Series, then the amount of the next succeeding scheduled interest payment will be reduced by the amount of interest accrued to such Settlement Date and required to be paid on such Settlement Date pursuant to subsection (I) of this section.</w:t>
      </w:r>
    </w:p>
    <w:p>
      <w:pPr>
        <w:spacing w:after="0" w:line="173"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“Settlement Date” means, with respect to the Called Principal of any Bond of the Forty-fifth Series, the date on which such Called Principal is to be prepaid pursuant to subsection (I) of this section.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25" w:lineRule="exact"/>
        <w:rPr>
          <w:sz w:val="20"/>
          <w:szCs w:val="20"/>
          <w:color w:val="auto"/>
        </w:rPr>
      </w:pPr>
    </w:p>
    <w:p>
      <w:pPr>
        <w:jc w:val="both"/>
        <w:ind w:firstLine="616"/>
        <w:spacing w:after="0" w:line="259" w:lineRule="auto"/>
        <w:tabs>
          <w:tab w:leader="none" w:pos="10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Forty-fifth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87"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Bonds of the Forty-fifth Series shall be transferable (subject to the provisions of Section 12 of the Mortgage) at the office or agency of the Company in the Borough of Manhattan, The City of New York. The Company shall not be required to make transfers or exchanges of bonds of the Forty-fifth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55" w:name="page56"/>
    <w:bookmarkEnd w:id="55"/>
    <w:p>
      <w:pPr>
        <w:jc w:val="both"/>
        <w:ind w:firstLine="608"/>
        <w:spacing w:after="0" w:line="264" w:lineRule="auto"/>
        <w:rPr>
          <w:sz w:val="20"/>
          <w:szCs w:val="20"/>
          <w:color w:val="auto"/>
        </w:rPr>
      </w:pPr>
      <w:r>
        <w:rPr>
          <w:rFonts w:ascii="Arial" w:cs="Arial" w:eastAsia="Arial" w:hAnsi="Arial"/>
          <w:sz w:val="18"/>
          <w:szCs w:val="18"/>
          <w:color w:val="auto"/>
        </w:rPr>
        <w:t>Upon any exchange or transfer of bonds of the Forty-fifth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Forty-fifth Series.</w:t>
      </w:r>
    </w:p>
    <w:p>
      <w:pPr>
        <w:spacing w:after="0" w:line="181" w:lineRule="exact"/>
        <w:rPr>
          <w:sz w:val="20"/>
          <w:szCs w:val="20"/>
          <w:color w:val="auto"/>
        </w:rPr>
      </w:pPr>
    </w:p>
    <w:p>
      <w:pPr>
        <w:jc w:val="both"/>
        <w:ind w:right="20" w:firstLine="608"/>
        <w:spacing w:after="0" w:line="342" w:lineRule="auto"/>
        <w:rPr>
          <w:sz w:val="20"/>
          <w:szCs w:val="20"/>
          <w:color w:val="auto"/>
        </w:rPr>
      </w:pPr>
      <w:r>
        <w:rPr>
          <w:rFonts w:ascii="Arial" w:cs="Arial" w:eastAsia="Arial" w:hAnsi="Arial"/>
          <w:sz w:val="16"/>
          <w:szCs w:val="16"/>
          <w:color w:val="auto"/>
        </w:rPr>
        <w:t>After the delivery of this Thirty-fourth Supplemental Indenture and upon compliance with the applicable provisions of the Mortgage and receipt of consideration therefor by the Company, there shall be an initial issue of bonds of the Forty-fifth Series for the aggregate principal amount of $50,000,000.</w:t>
      </w:r>
    </w:p>
    <w:p>
      <w:pPr>
        <w:spacing w:after="0" w:line="33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Forty-sixth Series of Bonds</w:t>
      </w:r>
    </w:p>
    <w:p>
      <w:pPr>
        <w:spacing w:after="0" w:line="200" w:lineRule="exact"/>
        <w:rPr>
          <w:sz w:val="20"/>
          <w:szCs w:val="20"/>
          <w:color w:val="auto"/>
        </w:rPr>
      </w:pPr>
    </w:p>
    <w:p>
      <w:pPr>
        <w:spacing w:after="0" w:line="227"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7"/>
          <w:szCs w:val="17"/>
          <w:color w:val="auto"/>
        </w:rPr>
        <w:t>SECTION 1. There shall be a series of bonds designated “3.30% Series due October 15, 2028” (herein sometimes referred to as the “Forty-sixth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Forty-sixth Series shall be dated as in Section 10 of the Mortgage provided, mature on October 15, 2028 (the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2, 2013 (computed on the basis of a 360-day year of twelve thirty-day months) at the rate of 3.30% per annum, payable semi-annually on April 15 and October 15 of each year, commencing October 15, 2013,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82"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Any payment of principal of or interest on any bond of the Forty-sixth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Forty-sixth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4" w:lineRule="exact"/>
        <w:rPr>
          <w:sz w:val="20"/>
          <w:szCs w:val="20"/>
          <w:color w:val="auto"/>
        </w:rPr>
      </w:pPr>
    </w:p>
    <w:p>
      <w:pPr>
        <w:jc w:val="both"/>
        <w:ind w:firstLine="656"/>
        <w:spacing w:after="0" w:line="270" w:lineRule="auto"/>
        <w:tabs>
          <w:tab w:leader="none" w:pos="1062"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Optional Prepayment. </w:t>
      </w:r>
      <w:r>
        <w:rPr>
          <w:rFonts w:ascii="Arial" w:cs="Arial" w:eastAsia="Arial" w:hAnsi="Arial"/>
          <w:sz w:val="17"/>
          <w:szCs w:val="17"/>
          <w:color w:val="auto"/>
        </w:rPr>
        <w:t>At any time prior to April 15, 2028 (six months prior to the Stated Maturity), the Company may, at its option, upon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as provided below, prepay at any time all, or from time to time any part of, the bonds of the Forty-sixth Series at 100% of the principal amount so prepaid, and the Make-Whole Amount determined for the Settlement Date specified by the Company in such notice with respect to such principal amount. The Company will give each registered owner of bonds of the Forty-sixth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Forty-sixth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Forty-sixth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89"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At any time on or after April 15, 2028 , the bonds of the Forty-sixth series will be redeemable at the option of the Company, in whole or in part, on not less than 30 nor more than 60 days’ notice prior to the Settlement Date, at a redemption price equal to 100% of the principal amount of the bonds of the Forty-sixth Series to be redeemed, plus accrued and unpaid interest thereon to the Settlement Date. The bonds of the Forty-sixth Series are not otherwise subject to voluntary or optional prepayment.</w:t>
      </w:r>
    </w:p>
    <w:p>
      <w:pPr>
        <w:spacing w:after="0" w:line="183" w:lineRule="exact"/>
        <w:rPr>
          <w:sz w:val="20"/>
          <w:szCs w:val="20"/>
          <w:color w:val="auto"/>
        </w:rPr>
      </w:pPr>
    </w:p>
    <w:p>
      <w:pPr>
        <w:jc w:val="both"/>
        <w:ind w:firstLine="656"/>
        <w:spacing w:after="0" w:line="289" w:lineRule="auto"/>
        <w:tabs>
          <w:tab w:leader="none" w:pos="1082"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Forty-sixth Series, the principal amount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of the Forty-sixth Series to be prepaid shall be allocated by the Company among all of the bonds of the Forty-sixth Series at the time outstanding in proportion, as nearly as practicable, to the respective unpaid principal amounts thereof not theretofore called for prepayment.</w:t>
      </w:r>
    </w:p>
    <w:p>
      <w:pPr>
        <w:spacing w:after="0" w:line="158" w:lineRule="exact"/>
        <w:rPr>
          <w:sz w:val="20"/>
          <w:szCs w:val="20"/>
          <w:color w:val="auto"/>
        </w:rPr>
      </w:pPr>
    </w:p>
    <w:p>
      <w:pPr>
        <w:jc w:val="both"/>
        <w:ind w:firstLine="656"/>
        <w:spacing w:after="0" w:line="286" w:lineRule="auto"/>
        <w:tabs>
          <w:tab w:leader="none" w:pos="1267"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Forty-sixth Series pursuant to this section, if cash</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Forty-sixth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b w:val="1"/>
          <w:bCs w:val="1"/>
          <w:color w:val="auto"/>
        </w:rPr>
        <w:t>Make-Whole Amount.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“Make-Whole Amount” means, with respect to any bond of the Forty-sixth Series, an amount equal to the excess, if any, of the Discounted Value of the Remaining Scheduled Payments with respect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the Called Principal of such bond of the Forty-sixth Series over the amount of such Called Principal, provided that the Make-Whole Amount may in no event be less than zero. For the purposes of determining the Make-Whole Amount, the following terms have the following meanings:</w:t>
      </w:r>
    </w:p>
    <w:p>
      <w:pPr>
        <w:spacing w:after="0" w:line="170"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“Business Day” means any day other than a Saturday, a Sunday or a day on which commercial banks in New York City are required or authorized to be closed.</w:t>
      </w:r>
    </w:p>
    <w:p>
      <w:pPr>
        <w:spacing w:after="0" w:line="170" w:lineRule="exact"/>
        <w:rPr>
          <w:sz w:val="20"/>
          <w:szCs w:val="20"/>
          <w:color w:val="auto"/>
        </w:rPr>
      </w:pPr>
    </w:p>
    <w:p>
      <w:pPr>
        <w:jc w:val="both"/>
        <w:ind w:right="20" w:firstLine="608"/>
        <w:spacing w:after="0" w:line="277" w:lineRule="auto"/>
        <w:rPr>
          <w:sz w:val="20"/>
          <w:szCs w:val="20"/>
          <w:color w:val="auto"/>
        </w:rPr>
      </w:pPr>
      <w:r>
        <w:rPr>
          <w:rFonts w:ascii="Arial" w:cs="Arial" w:eastAsia="Arial" w:hAnsi="Arial"/>
          <w:sz w:val="18"/>
          <w:szCs w:val="18"/>
          <w:color w:val="auto"/>
        </w:rPr>
        <w:t>“Called Principal” means, with respect to any bond of the Forty-sixth Series, the principal of such bond that is to be prepaid pursuant to subsection (I) of this section.</w:t>
      </w:r>
    </w:p>
    <w:p>
      <w:pPr>
        <w:spacing w:after="0" w:line="170"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“Discounted Value” means, with respect to the Called Principal of any bond of the Forty-sixth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Forty-sixth Series is payable) equal to the Reinvestment Yield with respect to such Called Principal.</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“Reinvestment Yield” means, with respect to the Called Principal of any bond of the Forty-sixth Series, 0.5% over the yield to maturity implied by</w:t>
      </w:r>
    </w:p>
    <w:p>
      <w:pPr>
        <w:spacing w:after="0" w:line="46" w:lineRule="exact"/>
        <w:rPr>
          <w:sz w:val="20"/>
          <w:szCs w:val="20"/>
          <w:color w:val="auto"/>
        </w:rPr>
      </w:pPr>
    </w:p>
    <w:p>
      <w:pPr>
        <w:jc w:val="both"/>
        <w:ind w:firstLine="8"/>
        <w:spacing w:after="0" w:line="281"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6" w:lineRule="exact"/>
        <w:rPr>
          <w:rFonts w:ascii="Arial" w:cs="Arial" w:eastAsia="Arial" w:hAnsi="Arial"/>
          <w:sz w:val="16"/>
          <w:szCs w:val="16"/>
          <w:color w:val="auto"/>
        </w:rPr>
      </w:pPr>
    </w:p>
    <w:p>
      <w:pPr>
        <w:jc w:val="both"/>
        <w:ind w:firstLine="8"/>
        <w:spacing w:after="0" w:line="254" w:lineRule="auto"/>
        <w:tabs>
          <w:tab w:leader="none" w:pos="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Forty-sixth Series.</w:t>
      </w:r>
    </w:p>
    <w:p>
      <w:pPr>
        <w:spacing w:after="0" w:line="190"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“Remaining Scheduled Payments” means, with respect to the Called Principal of any Bond of the Forty-sixth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Forty-sixth Series, then the amount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the next succeeding scheduled interest payment will be reduced by the amount of interest accrued to such Settlement Date and required to be paid on such Settlement Date pursuant to subsection (I) of this section.</w:t>
      </w:r>
    </w:p>
    <w:p>
      <w:pPr>
        <w:spacing w:after="0" w:line="170"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“Settlement Date” means, with respect to the Called Principal of any Bond of the Forty-sixth Series, the date on which such Called Principal is to be prepaid pursuant to subsection (I) of this section.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25" w:lineRule="exact"/>
        <w:rPr>
          <w:sz w:val="20"/>
          <w:szCs w:val="20"/>
          <w:color w:val="auto"/>
        </w:rPr>
      </w:pPr>
    </w:p>
    <w:p>
      <w:pPr>
        <w:jc w:val="both"/>
        <w:ind w:firstLine="616"/>
        <w:spacing w:after="0" w:line="259" w:lineRule="auto"/>
        <w:tabs>
          <w:tab w:leader="none" w:pos="10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Forty-sixth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87"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Bonds of the Forty-sixth Series shall be transferable (subject to the provisions of Section 12 of the Mortgage) at the office or agency of the Company in the Borough of Manhattan, The City of New York. The Company shall not be required to make transfers or exchanges of bonds of the Forty-sixth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87" w:lineRule="exact"/>
        <w:rPr>
          <w:sz w:val="20"/>
          <w:szCs w:val="20"/>
          <w:color w:val="auto"/>
        </w:rPr>
      </w:pPr>
    </w:p>
    <w:p>
      <w:pPr>
        <w:jc w:val="both"/>
        <w:ind w:firstLine="608"/>
        <w:spacing w:after="0" w:line="264" w:lineRule="auto"/>
        <w:rPr>
          <w:sz w:val="20"/>
          <w:szCs w:val="20"/>
          <w:color w:val="auto"/>
        </w:rPr>
      </w:pPr>
      <w:r>
        <w:rPr>
          <w:rFonts w:ascii="Arial" w:cs="Arial" w:eastAsia="Arial" w:hAnsi="Arial"/>
          <w:sz w:val="18"/>
          <w:szCs w:val="18"/>
          <w:color w:val="auto"/>
        </w:rPr>
        <w:t>Upon any exchange or transfer of bonds of the Forty-sixth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Forty-sixth Series.</w:t>
      </w:r>
    </w:p>
    <w:p>
      <w:pPr>
        <w:spacing w:after="0" w:line="181" w:lineRule="exact"/>
        <w:rPr>
          <w:sz w:val="20"/>
          <w:szCs w:val="20"/>
          <w:color w:val="auto"/>
        </w:rPr>
      </w:pPr>
    </w:p>
    <w:p>
      <w:pPr>
        <w:jc w:val="both"/>
        <w:ind w:right="20" w:firstLine="608"/>
        <w:spacing w:after="0" w:line="342" w:lineRule="auto"/>
        <w:rPr>
          <w:sz w:val="20"/>
          <w:szCs w:val="20"/>
          <w:color w:val="auto"/>
        </w:rPr>
      </w:pPr>
      <w:r>
        <w:rPr>
          <w:rFonts w:ascii="Arial" w:cs="Arial" w:eastAsia="Arial" w:hAnsi="Arial"/>
          <w:sz w:val="16"/>
          <w:szCs w:val="16"/>
          <w:color w:val="auto"/>
        </w:rPr>
        <w:t>After the delivery of this Thirty-fourth Supplemental Indenture and upon compliance with the applicable provisions of the Mortgage and receipt of consideration therefor by the Company, there shall be an initial issue of bonds of the Forty-sixth Series for the aggregate principal amount of $40,000,000.</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Forty-seventh Series of Bonds</w:t>
      </w:r>
    </w:p>
    <w:p>
      <w:pPr>
        <w:spacing w:after="0" w:line="200" w:lineRule="exact"/>
        <w:rPr>
          <w:sz w:val="20"/>
          <w:szCs w:val="20"/>
          <w:color w:val="auto"/>
        </w:rPr>
      </w:pPr>
    </w:p>
    <w:p>
      <w:pPr>
        <w:spacing w:after="0" w:line="227" w:lineRule="exact"/>
        <w:rPr>
          <w:sz w:val="20"/>
          <w:szCs w:val="20"/>
          <w:color w:val="auto"/>
        </w:rPr>
      </w:pPr>
    </w:p>
    <w:p>
      <w:pPr>
        <w:jc w:val="both"/>
        <w:ind w:firstLine="608"/>
        <w:spacing w:after="0" w:line="289" w:lineRule="auto"/>
        <w:rPr>
          <w:sz w:val="20"/>
          <w:szCs w:val="20"/>
          <w:color w:val="auto"/>
        </w:rPr>
      </w:pPr>
      <w:r>
        <w:rPr>
          <w:rFonts w:ascii="Arial" w:cs="Arial" w:eastAsia="Arial" w:hAnsi="Arial"/>
          <w:sz w:val="16"/>
          <w:szCs w:val="16"/>
          <w:color w:val="auto"/>
        </w:rPr>
        <w:t>SECTION 1. There shall be a series of bonds designated “4.21% Series due October 15, 2043” (herein sometimes referred to as the “Forty-seventh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Forty-seventh Series shall be dated as in Section 10 of the Mortgage provided, mature on October 15, 2043 (the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2, 2013 (computed on the basis of a 360-day year of twelve thirty-day months) at the rate of 4.21% per annum, payable semi-annually on April 15 and October 15 of each year, commencing October 15, 2013,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59" w:name="page60"/>
    <w:bookmarkEnd w:id="59"/>
    <w:p>
      <w:pPr>
        <w:jc w:val="both"/>
        <w:ind w:firstLine="608"/>
        <w:spacing w:after="0" w:line="257" w:lineRule="auto"/>
        <w:rPr>
          <w:sz w:val="20"/>
          <w:szCs w:val="20"/>
          <w:color w:val="auto"/>
        </w:rPr>
      </w:pPr>
      <w:r>
        <w:rPr>
          <w:rFonts w:ascii="Arial" w:cs="Arial" w:eastAsia="Arial" w:hAnsi="Arial"/>
          <w:sz w:val="18"/>
          <w:szCs w:val="18"/>
          <w:color w:val="auto"/>
        </w:rPr>
        <w:t>Any payment of principal of or interest on any bond of the Forty-seventh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Forty-seventh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4" w:lineRule="exact"/>
        <w:rPr>
          <w:sz w:val="20"/>
          <w:szCs w:val="20"/>
          <w:color w:val="auto"/>
        </w:rPr>
      </w:pPr>
    </w:p>
    <w:p>
      <w:pPr>
        <w:jc w:val="both"/>
        <w:ind w:firstLine="616"/>
        <w:spacing w:after="0" w:line="286" w:lineRule="auto"/>
        <w:tabs>
          <w:tab w:leader="none" w:pos="1022"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At any time prior to April 15, 2043 (six months prior to the Stated Maturity), the Company may, at its option, upon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as provided below, prepay at any time all, or from time to time any part of, the bonds of the Forty-seventh Series at 100% of the principal amount so prepaid, and the Make-Whole Amount determined for the Settlement Date specified by the Company in such notice with respect to such principal amount. The Company will give each registered owner of bonds of the Forty-seventh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Forty-seventh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Forty-seventh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69"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At any time on or after April 15, 2043, the bonds of the Forty-seventh Series will be redeemable at the option of the Company, in whole or in part, on not less than 30 nor more than 60 days’ notice prior to the Settlement Date, at a redemption price equal to 100% of the principal amount of the bonds of the Forty-seventh series to be redeemed, plus accrued and unpaid interest thereon to the Settlement Date. The bonds of the Forty-seventh Series are not otherwise subject to voluntary or optional prepayment.</w:t>
      </w:r>
    </w:p>
    <w:p>
      <w:pPr>
        <w:spacing w:after="0" w:line="183" w:lineRule="exact"/>
        <w:rPr>
          <w:sz w:val="20"/>
          <w:szCs w:val="20"/>
          <w:color w:val="auto"/>
        </w:rPr>
      </w:pPr>
    </w:p>
    <w:p>
      <w:pPr>
        <w:jc w:val="both"/>
        <w:ind w:firstLine="616"/>
        <w:spacing w:after="0" w:line="289" w:lineRule="auto"/>
        <w:tabs>
          <w:tab w:leader="none" w:pos="105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Forty-seventh Series, the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bonds of the Forty-seventh Series to be prepaid shall be allocated by the Company among all of the bonds of the Forty-seventh Series at the time outstanding in proportion, as nearly as practicable, to the respective unpaid principal amounts thereof not theretofore called for prepayment.</w:t>
      </w:r>
    </w:p>
    <w:p>
      <w:pPr>
        <w:spacing w:after="0" w:line="158" w:lineRule="exact"/>
        <w:rPr>
          <w:rFonts w:ascii="Arial" w:cs="Arial" w:eastAsia="Arial" w:hAnsi="Arial"/>
          <w:sz w:val="17"/>
          <w:szCs w:val="17"/>
          <w:color w:val="auto"/>
        </w:rPr>
      </w:pPr>
    </w:p>
    <w:p>
      <w:pPr>
        <w:jc w:val="both"/>
        <w:ind w:firstLine="656"/>
        <w:spacing w:after="0" w:line="303"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Forty-seventh Series pursuant to this section, if cash</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60" w:name="page61"/>
    <w:bookmarkEnd w:id="60"/>
    <w:p>
      <w:pPr>
        <w:jc w:val="both"/>
        <w:spacing w:after="0" w:line="287" w:lineRule="auto"/>
        <w:rPr>
          <w:sz w:val="20"/>
          <w:szCs w:val="20"/>
          <w:color w:val="auto"/>
        </w:rPr>
      </w:pPr>
      <w:r>
        <w:rPr>
          <w:rFonts w:ascii="Arial" w:cs="Arial" w:eastAsia="Arial" w:hAnsi="Arial"/>
          <w:sz w:val="16"/>
          <w:szCs w:val="16"/>
          <w:color w:val="auto"/>
        </w:rPr>
        <w:t>the Settlement Date, then such notice of prepayment shall be of no effect. If such cash is so paid or deposited, such principal amount of the bonds of the Forty-seventh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9"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b w:val="1"/>
          <w:bCs w:val="1"/>
          <w:color w:val="auto"/>
        </w:rPr>
        <w:t>Make-Whole Amount.</w:t>
      </w:r>
    </w:p>
    <w:p>
      <w:pPr>
        <w:spacing w:after="0" w:line="229"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“Make-Whole Amount” means, with respect to any bond of the Forty-seventh Series, an amount equal to the excess, if any, of the Discounted Value of the Remaining Scheduled Payments with respect to the Called Principal of such bond of the Forty-seventh Series over the amount of such Called Principal, provided that the Make-Whole Amount may in no event be less than zero. For the purposes of determining the Make-Whole Amount, the following terms have the following meanings:</w:t>
      </w:r>
    </w:p>
    <w:p>
      <w:pPr>
        <w:spacing w:after="0" w:line="187"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“Business Day” means any day other than a Saturday, a Sunday or a day on which commercial banks in New York City are required or authorized to be closed.</w:t>
      </w:r>
    </w:p>
    <w:p>
      <w:pPr>
        <w:spacing w:after="0" w:line="170"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“Called Principal” means, with respect to any bond of the Forty-seventh Series, the principal of such bond that is to be prepaid pursuant to subsection (I) of this section.</w:t>
      </w:r>
    </w:p>
    <w:p>
      <w:pPr>
        <w:spacing w:after="0" w:line="170"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“Discounted Value” means, with respect to the Called Principal of any bond of the Forty-seventh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Forty-seventh Series is payable) equal to the Reinvestment Yield with respect to such Called Principal.</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“Reinvestment Yield” means, with respect to the Called Principal of any bond of the Forty-seventh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w:t>
      </w:r>
    </w:p>
    <w:p>
      <w:pPr>
        <w:spacing w:after="0" w:line="2" w:lineRule="exact"/>
        <w:rPr>
          <w:sz w:val="20"/>
          <w:szCs w:val="20"/>
          <w:color w:val="auto"/>
        </w:rPr>
      </w:pPr>
    </w:p>
    <w:p>
      <w:pPr>
        <w:jc w:val="both"/>
        <w:ind w:firstLine="8"/>
        <w:spacing w:after="0" w:line="254"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Forty-seventh Series.</w:t>
      </w:r>
    </w:p>
    <w:p>
      <w:pPr>
        <w:spacing w:after="0" w:line="178"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1" w:lineRule="exact"/>
        <w:rPr>
          <w:sz w:val="20"/>
          <w:szCs w:val="20"/>
          <w:color w:val="auto"/>
        </w:rPr>
      </w:pPr>
    </w:p>
    <w:p>
      <w:pPr>
        <w:jc w:val="both"/>
        <w:ind w:firstLine="608"/>
        <w:spacing w:after="0" w:line="276" w:lineRule="auto"/>
        <w:rPr>
          <w:sz w:val="20"/>
          <w:szCs w:val="20"/>
          <w:color w:val="auto"/>
        </w:rPr>
      </w:pPr>
      <w:r>
        <w:rPr>
          <w:rFonts w:ascii="Arial" w:cs="Arial" w:eastAsia="Arial" w:hAnsi="Arial"/>
          <w:sz w:val="17"/>
          <w:szCs w:val="17"/>
          <w:color w:val="auto"/>
        </w:rPr>
        <w:t>“Remaining Scheduled Payments” means, with respect to the Called Principal of any Bond of the Forty-seventh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Forty-seventh Series, then the amount of the next succeeding scheduled interest payment will be reduced by the amount of interest accrued to such Settlement Date and required to be paid on such Settlement Date pursuant to subsection (I) of this section.</w:t>
      </w:r>
    </w:p>
    <w:p>
      <w:pPr>
        <w:spacing w:after="0" w:line="173"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“Settlement Date” means, with respect to the Called Principal of any Bond of the Forty-seventh Series, the date on which such Called Principal is to be prepaid pursuant to subsection (I) of this section.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25" w:lineRule="exact"/>
        <w:rPr>
          <w:sz w:val="20"/>
          <w:szCs w:val="20"/>
          <w:color w:val="auto"/>
        </w:rPr>
      </w:pPr>
    </w:p>
    <w:p>
      <w:pPr>
        <w:jc w:val="both"/>
        <w:ind w:firstLine="616"/>
        <w:spacing w:after="0" w:line="259" w:lineRule="auto"/>
        <w:tabs>
          <w:tab w:leader="none" w:pos="10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Forty-seventh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87"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8"/>
          <w:szCs w:val="18"/>
          <w:color w:val="auto"/>
        </w:rPr>
        <w:t>Bonds of the Forty-seventh Series shall be transferable (subject to the provisions of Section 12 of the Mortgage) at the office or agency of the Company in the Borough of Manhattan, The City of New York. The Company shall not be required to make transfers or exchanges of bonds of the Forty-seventh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87" w:lineRule="exact"/>
        <w:rPr>
          <w:sz w:val="20"/>
          <w:szCs w:val="20"/>
          <w:color w:val="auto"/>
        </w:rPr>
      </w:pPr>
    </w:p>
    <w:p>
      <w:pPr>
        <w:jc w:val="both"/>
        <w:ind w:firstLine="608"/>
        <w:spacing w:after="0" w:line="264" w:lineRule="auto"/>
        <w:rPr>
          <w:sz w:val="20"/>
          <w:szCs w:val="20"/>
          <w:color w:val="auto"/>
        </w:rPr>
      </w:pPr>
      <w:r>
        <w:rPr>
          <w:rFonts w:ascii="Arial" w:cs="Arial" w:eastAsia="Arial" w:hAnsi="Arial"/>
          <w:sz w:val="18"/>
          <w:szCs w:val="18"/>
          <w:color w:val="auto"/>
        </w:rPr>
        <w:t>Upon any exchange or transfer of bonds of the Forty-seventh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Forty-seventh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delivery of this Thirty-fourth Supplemental Indenture and upon compliance with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applicable provisions of the Mortgage and receipt of consideration therefor by the Company, there shall be an initial issue of bonds of the Forty-seventh Series for the aggregate principal amount of $60,000,000.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Amendments</w:t>
      </w:r>
    </w:p>
    <w:p>
      <w:pPr>
        <w:spacing w:after="0" w:line="200" w:lineRule="exact"/>
        <w:rPr>
          <w:sz w:val="20"/>
          <w:szCs w:val="20"/>
          <w:color w:val="auto"/>
        </w:rPr>
      </w:pPr>
    </w:p>
    <w:p>
      <w:pPr>
        <w:spacing w:after="0" w:line="227" w:lineRule="exact"/>
        <w:rPr>
          <w:sz w:val="20"/>
          <w:szCs w:val="20"/>
          <w:color w:val="auto"/>
        </w:rPr>
      </w:pPr>
    </w:p>
    <w:p>
      <w:pPr>
        <w:jc w:val="both"/>
        <w:ind w:firstLine="60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Consent to Amendments</w:t>
      </w:r>
      <w:r>
        <w:rPr>
          <w:rFonts w:ascii="Arial" w:cs="Arial" w:eastAsia="Arial" w:hAnsi="Arial"/>
          <w:sz w:val="17"/>
          <w:szCs w:val="17"/>
          <w:color w:val="auto"/>
        </w:rPr>
        <w:t xml:space="preserve"> Each initial and future holder of bonds of the Forty-fifth Series, the Forty-sixth Series and the Forty-seventh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 of Right to Amend Sections 35(a) and 101 of the Mortgage</w:t>
      </w:r>
    </w:p>
    <w:p>
      <w:pPr>
        <w:spacing w:after="0" w:line="200" w:lineRule="exact"/>
        <w:rPr>
          <w:sz w:val="20"/>
          <w:szCs w:val="20"/>
          <w:color w:val="auto"/>
        </w:rPr>
      </w:pPr>
    </w:p>
    <w:p>
      <w:pPr>
        <w:spacing w:after="0" w:line="227" w:lineRule="exact"/>
        <w:rPr>
          <w:sz w:val="20"/>
          <w:szCs w:val="20"/>
          <w:color w:val="auto"/>
        </w:rPr>
      </w:pPr>
    </w:p>
    <w:p>
      <w:pPr>
        <w:jc w:val="both"/>
        <w:ind w:right="20" w:firstLine="608"/>
        <w:spacing w:after="0" w:line="308" w:lineRule="auto"/>
        <w:rPr>
          <w:sz w:val="20"/>
          <w:szCs w:val="20"/>
          <w:color w:val="auto"/>
        </w:rPr>
      </w:pPr>
      <w:r>
        <w:rPr>
          <w:rFonts w:ascii="Arial" w:cs="Arial" w:eastAsia="Arial" w:hAnsi="Arial"/>
          <w:sz w:val="17"/>
          <w:szCs w:val="17"/>
          <w:color w:val="auto"/>
        </w:rPr>
        <w:t>SECTION 1. The Company reserves the right, without any vote, consent or other action by the holders of bonds of the Forty-fifth Series, the Forty-sixth Series, the Forty-seventh Series or any subsequent series, to amend the Mortgage, as herein or heretofore supplemented as follows:</w:t>
      </w:r>
    </w:p>
    <w:p>
      <w:pPr>
        <w:spacing w:after="0" w:line="147" w:lineRule="exact"/>
        <w:rPr>
          <w:sz w:val="20"/>
          <w:szCs w:val="20"/>
          <w:color w:val="auto"/>
        </w:rPr>
      </w:pPr>
    </w:p>
    <w:p>
      <w:pPr>
        <w:ind w:firstLine="1305"/>
        <w:spacing w:after="0" w:line="277" w:lineRule="auto"/>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86" w:lineRule="exact"/>
        <w:rPr>
          <w:rFonts w:ascii="Arial" w:cs="Arial" w:eastAsia="Arial" w:hAnsi="Arial"/>
          <w:sz w:val="18"/>
          <w:szCs w:val="18"/>
          <w:color w:val="auto"/>
        </w:rPr>
      </w:pPr>
    </w:p>
    <w:p>
      <w:pPr>
        <w:ind w:left="1580" w:hanging="275"/>
        <w:spacing w:after="0"/>
        <w:tabs>
          <w:tab w:leader="none" w:pos="1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adding the following at the end of the first sentence of Section 101:</w:t>
      </w:r>
    </w:p>
    <w:p>
      <w:pPr>
        <w:spacing w:after="0" w:line="200" w:lineRule="exact"/>
        <w:rPr>
          <w:sz w:val="20"/>
          <w:szCs w:val="20"/>
          <w:color w:val="auto"/>
        </w:rPr>
      </w:pPr>
    </w:p>
    <w:p>
      <w:pPr>
        <w:spacing w:after="0" w:line="241"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00" w:lineRule="exact"/>
        <w:rPr>
          <w:sz w:val="20"/>
          <w:szCs w:val="20"/>
          <w:color w:val="auto"/>
        </w:rPr>
      </w:pPr>
    </w:p>
    <w:p>
      <w:pPr>
        <w:spacing w:after="0" w:line="227" w:lineRule="exact"/>
        <w:rPr>
          <w:sz w:val="20"/>
          <w:szCs w:val="20"/>
          <w:color w:val="auto"/>
        </w:rPr>
      </w:pPr>
    </w:p>
    <w:p>
      <w:pPr>
        <w:ind w:right="20" w:firstLine="608"/>
        <w:spacing w:after="0" w:line="277" w:lineRule="auto"/>
        <w:rPr>
          <w:sz w:val="20"/>
          <w:szCs w:val="20"/>
          <w:color w:val="auto"/>
        </w:rPr>
      </w:pPr>
      <w:r>
        <w:rPr>
          <w:rFonts w:ascii="Arial" w:cs="Arial" w:eastAsia="Arial" w:hAnsi="Arial"/>
          <w:sz w:val="18"/>
          <w:szCs w:val="18"/>
          <w:color w:val="auto"/>
        </w:rPr>
        <w:t>SECTION 1. Section 126 of the Mortgage, as heretofore amended, is hereby further amended by adding the words “and April 15, 2018, October 15, 2028 and October 15, 2043” after the words “and July 15, 2042.”</w:t>
      </w:r>
    </w:p>
    <w:p>
      <w:pPr>
        <w:spacing w:after="0" w:line="170" w:lineRule="exact"/>
        <w:rPr>
          <w:sz w:val="20"/>
          <w:szCs w:val="20"/>
          <w:color w:val="auto"/>
        </w:rPr>
      </w:pPr>
    </w:p>
    <w:p>
      <w:pPr>
        <w:ind w:firstLine="608"/>
        <w:spacing w:after="0" w:line="342" w:lineRule="auto"/>
        <w:rPr>
          <w:sz w:val="20"/>
          <w:szCs w:val="20"/>
          <w:color w:val="auto"/>
        </w:rPr>
      </w:pPr>
      <w:r>
        <w:rPr>
          <w:rFonts w:ascii="Arial" w:cs="Arial" w:eastAsia="Arial" w:hAnsi="Arial"/>
          <w:sz w:val="16"/>
          <w:szCs w:val="16"/>
          <w:color w:val="auto"/>
        </w:rPr>
        <w:t>SECTION 2. Subject to the amendments provided for in this Thirty-fourth Supplemental Indenture, the terms defined in the Mortgage, as heretofore supplemented, shall, for all purposes of this Thirty-fourth Supplemental Indenture, have the meanings specified in the Mortgage, as heretofore supplemented.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63" w:name="page64"/>
    <w:bookmarkEnd w:id="63"/>
    <w:p>
      <w:pPr>
        <w:jc w:val="both"/>
        <w:ind w:firstLine="608"/>
        <w:spacing w:after="0" w:line="255" w:lineRule="auto"/>
        <w:rPr>
          <w:sz w:val="20"/>
          <w:szCs w:val="20"/>
          <w:color w:val="auto"/>
        </w:rPr>
      </w:pPr>
      <w:r>
        <w:rPr>
          <w:rFonts w:ascii="Arial" w:cs="Arial" w:eastAsia="Arial" w:hAnsi="Arial"/>
          <w:sz w:val="18"/>
          <w:szCs w:val="18"/>
          <w:color w:val="auto"/>
        </w:rPr>
        <w:t>SECTION 3. The holders of bonds of the Forty-fifth Series, the Forty-sixth Series and the Forty-seventh Series consent that the Company may, but shall not be obligated to, fix a record date for the purpose of determining the holders of bonds of the Forty-fifth Series, the Forty-sixth Series and the Forty-seventh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93" w:lineRule="exact"/>
        <w:rPr>
          <w:sz w:val="20"/>
          <w:szCs w:val="20"/>
          <w:color w:val="auto"/>
        </w:rPr>
      </w:pPr>
    </w:p>
    <w:p>
      <w:pPr>
        <w:jc w:val="both"/>
        <w:ind w:right="20" w:firstLine="608"/>
        <w:spacing w:after="0" w:line="277" w:lineRule="auto"/>
        <w:rPr>
          <w:sz w:val="20"/>
          <w:szCs w:val="20"/>
          <w:color w:val="auto"/>
        </w:rPr>
      </w:pPr>
      <w:r>
        <w:rPr>
          <w:rFonts w:ascii="Arial" w:cs="Arial" w:eastAsia="Arial" w:hAnsi="Arial"/>
          <w:sz w:val="18"/>
          <w:szCs w:val="18"/>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70"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18"/>
          <w:szCs w:val="18"/>
          <w:color w:val="auto"/>
        </w:rPr>
        <w:t>The Trustees shall not be responsible in any manner whatsoever for or in respect of the validity or sufficiency of this Thirty-fourth Supplemental Indenture or for or in respect of the recitals contained herein, all of which recitals are made by the Company solely. In general, each and every term and condition contained in Article XVII of the Mortgage shall apply to and form part of this Thirty-fourth Supplemental Indenture with the same force and effect as if the same were herein set forth in full with such omissions, variations and insertions, if any, as may be appropriate to make the same conform to the provisions of this Thirty-fourth Supplemental Indenture.</w:t>
      </w:r>
    </w:p>
    <w:p>
      <w:pPr>
        <w:spacing w:after="0" w:line="188" w:lineRule="exact"/>
        <w:rPr>
          <w:sz w:val="20"/>
          <w:szCs w:val="20"/>
          <w:color w:val="auto"/>
        </w:rPr>
      </w:pPr>
    </w:p>
    <w:p>
      <w:pPr>
        <w:jc w:val="both"/>
        <w:ind w:firstLine="608"/>
        <w:spacing w:after="0" w:line="279" w:lineRule="auto"/>
        <w:rPr>
          <w:sz w:val="20"/>
          <w:szCs w:val="20"/>
          <w:color w:val="auto"/>
        </w:rPr>
      </w:pPr>
      <w:r>
        <w:rPr>
          <w:rFonts w:ascii="Arial" w:cs="Arial" w:eastAsia="Arial" w:hAnsi="Arial"/>
          <w:sz w:val="17"/>
          <w:szCs w:val="17"/>
          <w:color w:val="auto"/>
        </w:rPr>
        <w:t>SECTION 5. Whenever in this Thirty-fourth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Thirty-fourth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71" w:lineRule="exact"/>
        <w:rPr>
          <w:sz w:val="20"/>
          <w:szCs w:val="20"/>
          <w:color w:val="auto"/>
        </w:rPr>
      </w:pPr>
    </w:p>
    <w:p>
      <w:pPr>
        <w:jc w:val="both"/>
        <w:ind w:firstLine="608"/>
        <w:spacing w:after="0" w:line="297" w:lineRule="auto"/>
        <w:rPr>
          <w:sz w:val="20"/>
          <w:szCs w:val="20"/>
          <w:color w:val="auto"/>
        </w:rPr>
      </w:pPr>
      <w:r>
        <w:rPr>
          <w:rFonts w:ascii="Arial" w:cs="Arial" w:eastAsia="Arial" w:hAnsi="Arial"/>
          <w:sz w:val="16"/>
          <w:szCs w:val="16"/>
          <w:color w:val="auto"/>
        </w:rPr>
        <w:t>SECTION 6. Nothing in this Thirty-fourth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Thirty-fourth Supplemental Indenture or any covenant, condition, stipulation, promise or agreement hereof, and all the covenants, conditions, stipulations, promises and agreements in this Thirty-fourth Supplemental Indenture contained by and on behalf of the Company shall be for the sole and exclusive benefit of the parties hereto, and of the holders of the bonds and of the coupons Outstanding under the Mortgage.</w:t>
      </w:r>
    </w:p>
    <w:p>
      <w:pPr>
        <w:spacing w:after="0" w:line="158"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SECTION 7. This Thirty-fourth Supplemental Indenture shall be executed in several counterparts, each of which shall be an original and all of which shall constitute but one and the same instrument.</w:t>
      </w:r>
    </w:p>
    <w:p>
      <w:pPr>
        <w:spacing w:after="0" w:line="170"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SECTION 8. The Company, the mortgagor named herein, by its execution hereof acknowledges receipt of a full, true and complete copy of this Thirty-fourth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64" w:name="page65"/>
    <w:bookmarkEnd w:id="64"/>
    <w:p>
      <w:pPr>
        <w:jc w:val="both"/>
        <w:ind w:firstLine="648"/>
        <w:spacing w:after="0" w:line="255"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Philip L. Watson has hereunto set his hand and affixed his seal, all in The City of New York, as of the day and year first above written.</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Mark A. Schober</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-130175</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Deborah A. Amberg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Trustees’ Signature Page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Trustee</w:t>
      </w:r>
    </w:p>
    <w:p>
      <w:pPr>
        <w:spacing w:after="0" w:line="1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Laurence O’Brien</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Laurence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Francine Kincaid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389" w:lineRule="exact"/>
        <w:rPr>
          <w:sz w:val="20"/>
          <w:szCs w:val="20"/>
          <w:color w:val="auto"/>
        </w:rPr>
      </w:pPr>
    </w:p>
    <w:p>
      <w:pPr>
        <w:jc w:val="right"/>
        <w:ind w:right="799"/>
        <w:spacing w:after="0"/>
        <w:tabs>
          <w:tab w:leader="none" w:pos="280" w:val="left"/>
        </w:tabs>
        <w:rPr>
          <w:sz w:val="20"/>
          <w:szCs w:val="20"/>
          <w:color w:val="auto"/>
        </w:rPr>
      </w:pPr>
      <w:r>
        <w:rPr>
          <w:rFonts w:ascii="Arial" w:cs="Arial" w:eastAsia="Arial" w:hAnsi="Arial"/>
          <w:sz w:val="18"/>
          <w:szCs w:val="18"/>
          <w:color w:val="auto"/>
        </w:rPr>
        <w:t>/s/ Philip L. Watson</w:t>
      </w:r>
      <w:r>
        <w:rPr>
          <w:sz w:val="20"/>
          <w:szCs w:val="20"/>
          <w:color w:val="auto"/>
        </w:rPr>
        <w:tab/>
      </w:r>
      <w:r>
        <w:rPr>
          <w:rFonts w:ascii="Arial" w:cs="Arial" w:eastAsia="Arial" w:hAnsi="Arial"/>
          <w:sz w:val="16"/>
          <w:szCs w:val="16"/>
          <w:color w:val="auto"/>
        </w:rPr>
        <w:t>L.S.</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PHILIP 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-130175</wp:posOffset>
            </wp:positionV>
            <wp:extent cx="2366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 THE BANK OF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YORK MELLON and PHILIP L. WATSON in the presence of:</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Ryan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Christopher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6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Glenn G. McKeever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612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Thirty-fourth Supplemental Indenture dated as of April 1, 2013</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Trustees’ Signature Page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125" w:right="1440" w:bottom="1440" w:gutter="0" w:footer="0" w:header="0"/>
        </w:sectPr>
      </w:pPr>
    </w:p>
    <w:bookmarkStart w:id="66" w:name="page67"/>
    <w:bookmarkEnd w:id="66"/>
    <w:p>
      <w:pPr>
        <w:ind w:left="40"/>
        <w:spacing w:after="0"/>
        <w:tabs>
          <w:tab w:leader="none" w:pos="3540" w:val="left"/>
        </w:tabs>
        <w:rPr>
          <w:sz w:val="20"/>
          <w:szCs w:val="20"/>
          <w:color w:val="auto"/>
        </w:rPr>
      </w:pPr>
      <w:r>
        <w:rPr>
          <w:rFonts w:ascii="Arial" w:cs="Arial" w:eastAsia="Arial" w:hAnsi="Arial"/>
          <w:sz w:val="18"/>
          <w:szCs w:val="18"/>
          <w:color w:val="auto"/>
        </w:rPr>
        <w:t>STATE OF MINNESOTA</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SS</w:t>
      </w:r>
    </w:p>
    <w:p>
      <w:pPr>
        <w:spacing w:after="0" w:line="63"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COUNTY OF ST. LOUIS</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this 19th day of March, 2013, the foregoing instrument was acknowledged before me by Mark A. Schober, Senior Vice President and Chief Financial Officer of ALLETE, Inc., a Minnesota corporation,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NOTARIAL STAMP OR SEAL</w:t>
      </w: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 Jodi M. Nash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[NOTARY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-130175</wp:posOffset>
            </wp:positionV>
            <wp:extent cx="2667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JODI M. NASH</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NOTARY PUBLIC – MINNESOTA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STATE OF MINNESOTA</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SS</w:t>
      </w:r>
    </w:p>
    <w:p>
      <w:pPr>
        <w:spacing w:after="0" w:line="63"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COUNTY OF ST. LOUIS</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this 21st day of March, 2013, the foregoing instrument was acknowledged before me by Deborah A. Amberg, Senior Vice President, General Counsel and Secretary of ALLETE, Inc., a Minnesota corporation,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NOTARIAL STAMP OR SEAL</w:t>
      </w: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 Jodi Nash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[NOTARY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-130175</wp:posOffset>
            </wp:positionV>
            <wp:extent cx="2667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JODI M. NASH</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NOTARY PUBLIC – MINNESOTA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240" w:top="287" w:right="579" w:bottom="1440" w:gutter="0" w:footer="0" w:header="0"/>
        </w:sectPr>
      </w:pPr>
    </w:p>
    <w:bookmarkStart w:id="67" w:name="page68"/>
    <w:bookmarkEnd w:id="67"/>
    <w:p>
      <w:pPr>
        <w:ind w:left="40"/>
        <w:spacing w:after="0"/>
        <w:tabs>
          <w:tab w:leader="none" w:pos="3540" w:val="left"/>
        </w:tabs>
        <w:rPr>
          <w:sz w:val="20"/>
          <w:szCs w:val="20"/>
          <w:color w:val="auto"/>
        </w:rPr>
      </w:pPr>
      <w:r>
        <w:rPr>
          <w:rFonts w:ascii="Arial" w:cs="Arial" w:eastAsia="Arial" w:hAnsi="Arial"/>
          <w:sz w:val="18"/>
          <w:szCs w:val="18"/>
          <w:color w:val="auto"/>
        </w:rPr>
        <w:t>STATE OF NEW YORK</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SS:</w:t>
      </w:r>
    </w:p>
    <w:p>
      <w:pPr>
        <w:spacing w:after="0" w:line="63"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On this 26th day of March, 2013, the foregoing instrument was acknowledged before me by Laurence O’Brien and Francine Kincaid, each a Vice President of The Bank of New York Mellon, the corporation named in the foregoing instrument.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GIVEN under my hand and notarial seal this 26th day of March, 2013.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31750</wp:posOffset>
            </wp:positionV>
            <wp:extent cx="2649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Notary Public, State of New York</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DANNY LEE, NOTARY PUBLIC</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State of New York, NO. 01LE6161129</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Commission Expires February 20, 2015</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[NOTARY SEAL]</w:t>
      </w:r>
    </w:p>
    <w:p>
      <w:pPr>
        <w:spacing w:after="0" w:line="171"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STATE OF NEW YORK</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SS:</w:t>
      </w:r>
    </w:p>
    <w:p>
      <w:pPr>
        <w:spacing w:after="0" w:line="63" w:lineRule="exact"/>
        <w:rPr>
          <w:sz w:val="20"/>
          <w:szCs w:val="20"/>
          <w:color w:val="auto"/>
        </w:rPr>
      </w:pPr>
    </w:p>
    <w:p>
      <w:pPr>
        <w:ind w:left="40"/>
        <w:spacing w:after="0"/>
        <w:tabs>
          <w:tab w:leader="none" w:pos="354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On this 26th day of March, 2013, the foregoing instrument was acknowledged before me by Philip L. Watson, the person described in and who executed the foregoing instrument.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GIVEN under my hand and notarial seal this 26th day of March, 2013.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31750</wp:posOffset>
            </wp:positionV>
            <wp:extent cx="2649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Notary Public, State of New York</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DANNY LEE, NOTARY PUBLIC</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State of New York, NO. 01LE6161129</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Qualified in New York County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Commission Expires February 20, 2015</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2013,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71" w:name="page72"/>
    <w:bookmarkEnd w:id="7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2013, BNI Coal, owner of Center Mine, received no citations, orders, violations or notices under Sections 104(a),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72" w:name="page73"/>
    <w:bookmarkEnd w:id="72"/>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00"/>
          </w:cols>
          <w:pgMar w:left="240" w:top="845"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8, 2013</w:t>
      </w:r>
    </w:p>
    <w:p>
      <w:pPr>
        <w:spacing w:after="0" w:line="96" w:lineRule="exact"/>
        <w:rPr>
          <w:sz w:val="20"/>
          <w:szCs w:val="20"/>
          <w:color w:val="auto"/>
        </w:rPr>
      </w:pPr>
    </w:p>
    <w:p>
      <w:pPr>
        <w:sectPr>
          <w:pgSz w:w="11900" w:h="16838" w:orient="portrait"/>
          <w:cols w:equalWidth="0" w:num="2">
            <w:col w:w="8000" w:space="720"/>
            <w:col w:w="2680"/>
          </w:cols>
          <w:pgMar w:left="240" w:top="845"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845"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845"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ALLETE reports first quarter earnings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EPS rose 25% compared to first quarter of 2012</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DULUTH, Minn. - ALLETE, Inc. (NYSE:ALE) today reported first quarter 2013 earnings of 83 cents per share on net income of $32.5 million and operating revenue of $263.8 million, compared to 66 cents on net income of $24.4 million and operating revenue of $240 million in 2012.</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Company, recorded net income of $32.1 million versus $24.4 million in 2012.</w:t>
      </w:r>
    </w:p>
    <w:p>
      <w:pPr>
        <w:spacing w:after="0" w:line="13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Higher cost recovery rider revenue and federal production tax credits were tied to the company's strategic move toward adding more renewable wind energy. In late 2012, Minnesota Power completed two phases of the Bison Wind Energy Center and both were in service for the first quarter of 2013. Increases in depreciation and interest expense, both directly attributable to Minnesota Power's recent capital investments, were in line with the company's expectations.</w:t>
      </w:r>
    </w:p>
    <w:p>
      <w:pPr>
        <w:spacing w:after="0" w:line="10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This year's first quarter saw a return to more normal winter weather conditions, increasing sales to residential, commercial, and municipal customers. The company's industrial customers continued to produce at near full-capacity levels; total electric sales were up about three percent compared to last year. Earnings from ALLETE's investment in the American Transmission Company grew slightly due to a higher investment balance compared to a year ago.</w:t>
      </w:r>
    </w:p>
    <w:p>
      <w:pPr>
        <w:spacing w:after="0" w:line="10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ALLETE's Investments and Other segment, which includes BNI Coal, ALLETE Properties, ALLETE Clean Energy, and other miscellaneous corporate income and expense, recorded $400,000 of net income during the quarter, versus a break-even quarter a year ago.</w:t>
      </w:r>
    </w:p>
    <w:p>
      <w:pPr>
        <w:spacing w:after="0" w:line="1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 increase in the average number of common shares outstanding in 2013 from a year ago, with proceeds used to fund the company's capital investment program, resulted in dilution of five cents per share compared to the first quarter of 2012.</w:t>
      </w:r>
    </w:p>
    <w:p>
      <w:pPr>
        <w:spacing w:after="0" w:line="13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first quarter financial results were consistent with our expectations,” said ALLETE Chairman, President and CEO Al Hodnik. “Electricity demand remains strong with our customers, and we continue to make progress in executing our multi-faceted, multi-year growth strategy.” Hodnik reaffirmed ALLETE's 2013 earnings guidance of between $2.58 and $2.78 per share.</w:t>
      </w:r>
    </w:p>
    <w:p>
      <w:pPr>
        <w:spacing w:after="0" w:line="14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reiterated earnings guidance assumes continued strong industrial demand, higher cost recovery revenue and federal production tax credits, higher depreciation and interest expense and dilution from equity issuances of between ten cents and 15 cents per share.</w:t>
      </w:r>
    </w:p>
    <w:p>
      <w:pPr>
        <w:spacing w:after="0" w:line="10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will host a conference call and webcast at 10 a.m. Eastern time today to discuss details of its quarterly performance. Interested parties may listen live by calling (877) 303-5852, or by accessing the webcast at </w:t>
      </w:r>
      <w:r>
        <w:rPr>
          <w:rFonts w:ascii="Arial" w:cs="Arial" w:eastAsia="Arial" w:hAnsi="Arial"/>
          <w:sz w:val="18"/>
          <w:szCs w:val="18"/>
          <w:u w:val="single" w:color="auto"/>
          <w:color w:val="0000FF"/>
        </w:rPr>
        <w:t>www.allete.com</w:t>
      </w:r>
      <w:r>
        <w:rPr>
          <w:rFonts w:ascii="Arial" w:cs="Arial" w:eastAsia="Arial" w:hAnsi="Arial"/>
          <w:sz w:val="18"/>
          <w:szCs w:val="18"/>
          <w:color w:val="auto"/>
        </w:rPr>
        <w:t>. A replay of the call will be available through May 10, 2013 by dialing (855) 859-2056, pass code 31733644.</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BNI Coal in Center, N.D., ALLETE Clean Energy, based in Duluth,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w:t>
      </w:r>
    </w:p>
    <w:p>
      <w:pPr>
        <w:spacing w:after="0" w:line="14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00"/>
          </w:cols>
          <w:pgMar w:left="240" w:top="845" w:right="259" w:bottom="1440" w:gutter="0" w:footer="0" w:header="0"/>
          <w:type w:val="continuous"/>
        </w:sectPr>
      </w:pPr>
    </w:p>
    <w:bookmarkStart w:id="73" w:name="page74"/>
    <w:bookmarkEnd w:id="73"/>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74" w:name="page75"/>
    <w:bookmarkEnd w:id="74"/>
    <w:p>
      <w:pPr>
        <w:ind w:left="534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388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980" w:type="dxa"/>
            <w:vAlign w:val="bottom"/>
          </w:tcPr>
          <w:p>
            <w:pPr>
              <w:spacing w:after="0"/>
              <w:rPr>
                <w:sz w:val="20"/>
                <w:szCs w:val="20"/>
                <w:color w:val="auto"/>
              </w:rPr>
            </w:pPr>
          </w:p>
        </w:tc>
      </w:tr>
      <w:tr>
        <w:trPr>
          <w:trHeight w:val="270"/>
        </w:trPr>
        <w:tc>
          <w:tcPr>
            <w:tcW w:w="5880" w:type="dxa"/>
            <w:vAlign w:val="bottom"/>
          </w:tcPr>
          <w:p>
            <w:pPr>
              <w:spacing w:after="0"/>
              <w:rPr>
                <w:sz w:val="23"/>
                <w:szCs w:val="23"/>
                <w:color w:val="auto"/>
              </w:rPr>
            </w:pPr>
          </w:p>
        </w:tc>
        <w:tc>
          <w:tcPr>
            <w:tcW w:w="388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23"/>
                <w:szCs w:val="23"/>
                <w:color w:val="auto"/>
              </w:rPr>
            </w:pPr>
          </w:p>
        </w:tc>
      </w:tr>
      <w:tr>
        <w:trPr>
          <w:trHeight w:val="270"/>
        </w:trPr>
        <w:tc>
          <w:tcPr>
            <w:tcW w:w="5880" w:type="dxa"/>
            <w:vAlign w:val="bottom"/>
          </w:tcPr>
          <w:p>
            <w:pPr>
              <w:spacing w:after="0"/>
              <w:rPr>
                <w:sz w:val="23"/>
                <w:szCs w:val="23"/>
                <w:color w:val="auto"/>
              </w:rPr>
            </w:pPr>
          </w:p>
        </w:tc>
        <w:tc>
          <w:tcPr>
            <w:tcW w:w="388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2013</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5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5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$263.8</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$240.0</w:t>
            </w:r>
          </w:p>
        </w:tc>
      </w:tr>
      <w:tr>
        <w:trPr>
          <w:trHeight w:val="277"/>
        </w:trPr>
        <w:tc>
          <w:tcPr>
            <w:tcW w:w="588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86.5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77.1</w:t>
            </w:r>
          </w:p>
        </w:tc>
      </w:tr>
      <w:tr>
        <w:trPr>
          <w:trHeight w:val="27"/>
        </w:trPr>
        <w:tc>
          <w:tcPr>
            <w:tcW w:w="5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104.7</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99.9</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28.2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24.6</w:t>
            </w:r>
          </w:p>
        </w:tc>
      </w:tr>
      <w:tr>
        <w:trPr>
          <w:trHeight w:val="27"/>
        </w:trPr>
        <w:tc>
          <w:tcPr>
            <w:tcW w:w="5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219.4</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201.6</w:t>
            </w:r>
          </w:p>
        </w:tc>
      </w:tr>
      <w:tr>
        <w:trPr>
          <w:trHeight w:val="284"/>
        </w:trPr>
        <w:tc>
          <w:tcPr>
            <w:tcW w:w="5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44.4</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38.4</w:t>
            </w:r>
          </w:p>
        </w:tc>
      </w:tr>
      <w:tr>
        <w:trPr>
          <w:trHeight w:val="277"/>
        </w:trPr>
        <w:tc>
          <w:tcPr>
            <w:tcW w:w="588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(12.3)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(11.0)</w:t>
            </w:r>
          </w:p>
        </w:tc>
      </w:tr>
      <w:tr>
        <w:trPr>
          <w:trHeight w:val="27"/>
        </w:trPr>
        <w:tc>
          <w:tcPr>
            <w:tcW w:w="5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5.2</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Other</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2.7</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0.7</w:t>
            </w:r>
          </w:p>
        </w:tc>
      </w:tr>
      <w:tr>
        <w:trPr>
          <w:trHeight w:val="27"/>
        </w:trPr>
        <w:tc>
          <w:tcPr>
            <w:tcW w:w="5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(4.4)</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r>
      <w:tr>
        <w:trPr>
          <w:trHeight w:val="277"/>
        </w:trPr>
        <w:tc>
          <w:tcPr>
            <w:tcW w:w="588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7.5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8.3</w:t>
            </w:r>
          </w:p>
        </w:tc>
      </w:tr>
      <w:tr>
        <w:trPr>
          <w:trHeight w:val="27"/>
        </w:trPr>
        <w:tc>
          <w:tcPr>
            <w:tcW w:w="5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$32.5</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$24.4</w:t>
            </w:r>
          </w:p>
        </w:tc>
      </w:tr>
      <w:tr>
        <w:trPr>
          <w:trHeight w:val="277"/>
        </w:trPr>
        <w:tc>
          <w:tcPr>
            <w:tcW w:w="588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Basic</w:t>
            </w:r>
          </w:p>
        </w:tc>
        <w:tc>
          <w:tcPr>
            <w:tcW w:w="3880" w:type="dxa"/>
            <w:vAlign w:val="bottom"/>
          </w:tcPr>
          <w:p>
            <w:pPr>
              <w:jc w:val="right"/>
              <w:ind w:right="850"/>
              <w:spacing w:after="0"/>
              <w:rPr>
                <w:sz w:val="20"/>
                <w:szCs w:val="20"/>
                <w:color w:val="auto"/>
              </w:rPr>
            </w:pPr>
            <w:r>
              <w:rPr>
                <w:rFonts w:ascii="Arial" w:cs="Arial" w:eastAsia="Arial" w:hAnsi="Arial"/>
                <w:sz w:val="18"/>
                <w:szCs w:val="18"/>
                <w:color w:val="auto"/>
              </w:rPr>
              <w:t>38.9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36.8</w:t>
            </w:r>
          </w:p>
        </w:tc>
      </w:tr>
      <w:tr>
        <w:trPr>
          <w:trHeight w:val="27"/>
        </w:trPr>
        <w:tc>
          <w:tcPr>
            <w:tcW w:w="5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39.0</w:t>
            </w:r>
          </w:p>
        </w:tc>
        <w:tc>
          <w:tcPr>
            <w:tcW w:w="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36.9</w:t>
            </w:r>
          </w:p>
        </w:tc>
      </w:tr>
      <w:tr>
        <w:trPr>
          <w:trHeight w:val="277"/>
        </w:trPr>
        <w:tc>
          <w:tcPr>
            <w:tcW w:w="588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8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$0.83</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$0.66</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$0.83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$0.66</w:t>
            </w:r>
          </w:p>
        </w:tc>
      </w:tr>
      <w:tr>
        <w:trPr>
          <w:trHeight w:val="27"/>
        </w:trPr>
        <w:tc>
          <w:tcPr>
            <w:tcW w:w="5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588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880" w:type="dxa"/>
            <w:vAlign w:val="bottom"/>
          </w:tcPr>
          <w:p>
            <w:pPr>
              <w:jc w:val="right"/>
              <w:ind w:right="790"/>
              <w:spacing w:after="0"/>
              <w:rPr>
                <w:sz w:val="20"/>
                <w:szCs w:val="20"/>
                <w:color w:val="auto"/>
              </w:rPr>
            </w:pPr>
            <w:r>
              <w:rPr>
                <w:rFonts w:ascii="Arial" w:cs="Arial" w:eastAsia="Arial" w:hAnsi="Arial"/>
                <w:sz w:val="18"/>
                <w:szCs w:val="18"/>
                <w:color w:val="auto"/>
              </w:rPr>
              <w:t>$0.475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$0.46</w:t>
            </w:r>
          </w:p>
        </w:tc>
      </w:tr>
      <w:tr>
        <w:trPr>
          <w:trHeight w:val="27"/>
        </w:trPr>
        <w:tc>
          <w:tcPr>
            <w:tcW w:w="5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Short-Term Investments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$202.6</w:t>
            </w:r>
          </w:p>
        </w:tc>
        <w:tc>
          <w:tcPr>
            <w:tcW w:w="84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2,366.7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2,347.6</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430.9</w:t>
            </w:r>
          </w:p>
        </w:tc>
        <w:tc>
          <w:tcPr>
            <w:tcW w:w="840" w:type="dxa"/>
            <w:vAlign w:val="bottom"/>
          </w:tcPr>
          <w:p>
            <w:pPr>
              <w:jc w:val="right"/>
              <w:spacing w:after="0"/>
              <w:rPr>
                <w:sz w:val="20"/>
                <w:szCs w:val="20"/>
                <w:color w:val="auto"/>
              </w:rPr>
            </w:pPr>
            <w:r>
              <w:rPr>
                <w:rFonts w:ascii="Arial" w:cs="Arial" w:eastAsia="Arial" w:hAnsi="Arial"/>
                <w:sz w:val="18"/>
                <w:szCs w:val="18"/>
                <w:color w:val="auto"/>
              </w:rPr>
              <w:t>423.8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216.3</w:t>
            </w:r>
          </w:p>
        </w:tc>
        <w:tc>
          <w:tcPr>
            <w:tcW w:w="84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1,240.5</w:t>
            </w:r>
          </w:p>
        </w:tc>
        <w:tc>
          <w:tcPr>
            <w:tcW w:w="840" w:type="dxa"/>
            <w:vAlign w:val="bottom"/>
          </w:tcPr>
          <w:p>
            <w:pPr>
              <w:jc w:val="right"/>
              <w:spacing w:after="0"/>
              <w:rPr>
                <w:sz w:val="20"/>
                <w:szCs w:val="20"/>
                <w:color w:val="auto"/>
              </w:rPr>
            </w:pPr>
            <w:r>
              <w:rPr>
                <w:rFonts w:ascii="Arial" w:cs="Arial" w:eastAsia="Arial" w:hAnsi="Arial"/>
                <w:sz w:val="18"/>
                <w:szCs w:val="18"/>
                <w:color w:val="auto"/>
              </w:rPr>
              <w:t>1,201.0</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$3,253.4</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60" w:top="364" w:right="259" w:bottom="1440" w:gutter="0" w:footer="0" w:header="0"/>
        </w:sectPr>
      </w:pPr>
    </w:p>
    <w:bookmarkStart w:id="75" w:name="page76"/>
    <w:bookmarkEnd w:id="7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960" w:type="dxa"/>
            <w:vAlign w:val="bottom"/>
          </w:tcPr>
          <w:p>
            <w:pPr>
              <w:spacing w:after="0"/>
              <w:rPr>
                <w:sz w:val="20"/>
                <w:szCs w:val="20"/>
                <w:color w:val="auto"/>
              </w:rPr>
            </w:pPr>
          </w:p>
        </w:tc>
      </w:tr>
      <w:tr>
        <w:trPr>
          <w:trHeight w:val="27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4260" w:type="dxa"/>
            <w:vAlign w:val="bottom"/>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3"/>
                <w:szCs w:val="23"/>
                <w:color w:val="auto"/>
              </w:rPr>
            </w:pPr>
          </w:p>
        </w:tc>
      </w:tr>
      <w:tr>
        <w:trPr>
          <w:trHeight w:val="27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Income (Loss)</w:t>
            </w:r>
          </w:p>
        </w:tc>
        <w:tc>
          <w:tcPr>
            <w:tcW w:w="426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Millions</w:t>
            </w:r>
          </w:p>
        </w:tc>
        <w:tc>
          <w:tcPr>
            <w:tcW w:w="4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42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$32.1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$24.4</w:t>
            </w: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Investments and Other</w:t>
            </w:r>
          </w:p>
        </w:tc>
        <w:tc>
          <w:tcPr>
            <w:tcW w:w="4260" w:type="dxa"/>
            <w:vAlign w:val="bottom"/>
          </w:tcPr>
          <w:p>
            <w:pPr>
              <w:jc w:val="right"/>
              <w:ind w:right="750"/>
              <w:spacing w:after="0"/>
              <w:rPr>
                <w:sz w:val="20"/>
                <w:szCs w:val="20"/>
                <w:color w:val="auto"/>
              </w:rPr>
            </w:pPr>
            <w:r>
              <w:rPr>
                <w:rFonts w:ascii="Arial" w:cs="Arial" w:eastAsia="Arial" w:hAnsi="Arial"/>
                <w:sz w:val="18"/>
                <w:szCs w:val="18"/>
                <w:color w:val="auto"/>
              </w:rPr>
              <w:t>0.4</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ALLETE</w:t>
            </w:r>
          </w:p>
        </w:tc>
        <w:tc>
          <w:tcPr>
            <w:tcW w:w="42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$32.5</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$24.4</w:t>
            </w:r>
          </w:p>
        </w:tc>
      </w:tr>
      <w:tr>
        <w:trPr>
          <w:trHeight w:val="237"/>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2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$0.83</w:t>
            </w: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$0.66</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88"/>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Statistical Data</w:t>
            </w:r>
          </w:p>
        </w:tc>
        <w:tc>
          <w:tcPr>
            <w:tcW w:w="4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4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4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High</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$49.50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$42.49</w:t>
            </w: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$41.39</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$39.98</w:t>
            </w: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Close</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$49.02</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$41.49</w:t>
            </w: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$31.07</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$29.20</w:t>
            </w:r>
          </w:p>
        </w:tc>
      </w:tr>
      <w:tr>
        <w:trPr>
          <w:trHeight w:val="59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4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Millions</w:t>
            </w:r>
          </w:p>
        </w:tc>
        <w:tc>
          <w:tcPr>
            <w:tcW w:w="4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4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Retail and Municipals</w:t>
            </w:r>
          </w:p>
        </w:tc>
        <w:tc>
          <w:tcPr>
            <w:tcW w:w="4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Residential</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354</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326</w:t>
            </w:r>
          </w:p>
        </w:tc>
      </w:tr>
      <w:tr>
        <w:trPr>
          <w:trHeight w:val="243"/>
        </w:trPr>
        <w:tc>
          <w:tcPr>
            <w:tcW w:w="5780" w:type="dxa"/>
            <w:vAlign w:val="bottom"/>
          </w:tcPr>
          <w:p>
            <w:pPr>
              <w:ind w:left="1020"/>
              <w:spacing w:after="0"/>
              <w:rPr>
                <w:sz w:val="20"/>
                <w:szCs w:val="20"/>
                <w:color w:val="auto"/>
              </w:rPr>
            </w:pPr>
            <w:r>
              <w:rPr>
                <w:rFonts w:ascii="Arial" w:cs="Arial" w:eastAsia="Arial" w:hAnsi="Arial"/>
                <w:sz w:val="18"/>
                <w:szCs w:val="18"/>
                <w:color w:val="auto"/>
              </w:rPr>
              <w:t>Commercial</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377</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364</w:t>
            </w: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274</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264</w:t>
            </w:r>
          </w:p>
        </w:tc>
      </w:tr>
      <w:tr>
        <w:trPr>
          <w:trHeight w:val="243"/>
        </w:trPr>
        <w:tc>
          <w:tcPr>
            <w:tcW w:w="578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1,845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1,868</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Retail and Municipal</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2,850</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2,822</w:t>
            </w: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Other Power Suppliers</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591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517</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3,441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3,339</w:t>
            </w: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Non-regulated Energy Operations</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31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30</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Kilowatt-hours Sold</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3,472</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3,369</w:t>
            </w:r>
          </w:p>
        </w:tc>
      </w:tr>
      <w:tr>
        <w:trPr>
          <w:trHeight w:val="588"/>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4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Millions</w:t>
            </w:r>
          </w:p>
        </w:tc>
        <w:tc>
          <w:tcPr>
            <w:tcW w:w="4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4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Retail and Municipals</w:t>
            </w:r>
          </w:p>
        </w:tc>
        <w:tc>
          <w:tcPr>
            <w:tcW w:w="4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Residential</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$33.1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$29.5</w:t>
            </w:r>
          </w:p>
        </w:tc>
      </w:tr>
      <w:tr>
        <w:trPr>
          <w:trHeight w:val="243"/>
        </w:trPr>
        <w:tc>
          <w:tcPr>
            <w:tcW w:w="5780" w:type="dxa"/>
            <w:vAlign w:val="bottom"/>
          </w:tcPr>
          <w:p>
            <w:pPr>
              <w:ind w:left="1020"/>
              <w:spacing w:after="0"/>
              <w:rPr>
                <w:sz w:val="20"/>
                <w:szCs w:val="20"/>
                <w:color w:val="auto"/>
              </w:rPr>
            </w:pPr>
            <w:r>
              <w:rPr>
                <w:rFonts w:ascii="Arial" w:cs="Arial" w:eastAsia="Arial" w:hAnsi="Arial"/>
                <w:sz w:val="18"/>
                <w:szCs w:val="18"/>
                <w:color w:val="auto"/>
              </w:rPr>
              <w:t>Commercial</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31.3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29.0</w:t>
            </w: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16.5</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15.5</w:t>
            </w:r>
          </w:p>
        </w:tc>
      </w:tr>
      <w:tr>
        <w:trPr>
          <w:trHeight w:val="243"/>
        </w:trPr>
        <w:tc>
          <w:tcPr>
            <w:tcW w:w="578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102.2</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97.8</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Retail and Municipals</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183.1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171.8</w:t>
            </w:r>
          </w:p>
        </w:tc>
      </w:tr>
      <w:tr>
        <w:trPr>
          <w:trHeight w:val="243"/>
        </w:trPr>
        <w:tc>
          <w:tcPr>
            <w:tcW w:w="5780" w:type="dxa"/>
            <w:vAlign w:val="bottom"/>
          </w:tcPr>
          <w:p>
            <w:pPr>
              <w:ind w:left="580"/>
              <w:spacing w:after="0"/>
              <w:rPr>
                <w:sz w:val="20"/>
                <w:szCs w:val="20"/>
                <w:color w:val="auto"/>
              </w:rPr>
            </w:pPr>
            <w:r>
              <w:rPr>
                <w:rFonts w:ascii="Arial" w:cs="Arial" w:eastAsia="Arial" w:hAnsi="Arial"/>
                <w:sz w:val="18"/>
                <w:szCs w:val="18"/>
                <w:color w:val="auto"/>
              </w:rPr>
              <w:t>Other Power Suppliers</w:t>
            </w:r>
          </w:p>
        </w:tc>
        <w:tc>
          <w:tcPr>
            <w:tcW w:w="4260" w:type="dxa"/>
            <w:vAlign w:val="bottom"/>
          </w:tcPr>
          <w:p>
            <w:pPr>
              <w:jc w:val="right"/>
              <w:ind w:right="770"/>
              <w:spacing w:after="0"/>
              <w:rPr>
                <w:sz w:val="20"/>
                <w:szCs w:val="20"/>
                <w:color w:val="auto"/>
              </w:rPr>
            </w:pPr>
            <w:r>
              <w:rPr>
                <w:rFonts w:ascii="Arial" w:cs="Arial" w:eastAsia="Arial" w:hAnsi="Arial"/>
                <w:sz w:val="18"/>
                <w:szCs w:val="18"/>
                <w:color w:val="auto"/>
              </w:rPr>
              <w:t>22.3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18.7</w:t>
            </w:r>
          </w:p>
        </w:tc>
      </w:tr>
      <w:tr>
        <w:trPr>
          <w:trHeight w:val="27"/>
        </w:trPr>
        <w:tc>
          <w:tcPr>
            <w:tcW w:w="5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36.0</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28.1</w:t>
            </w:r>
          </w:p>
        </w:tc>
      </w:tr>
      <w:tr>
        <w:trPr>
          <w:trHeight w:val="237"/>
        </w:trPr>
        <w:tc>
          <w:tcPr>
            <w:tcW w:w="5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42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$241.4</w:t>
            </w: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$218.6</w:t>
            </w:r>
          </w:p>
        </w:tc>
      </w:tr>
      <w:tr>
        <w:trPr>
          <w:trHeight w:val="27"/>
        </w:trPr>
        <w:tc>
          <w:tcPr>
            <w:tcW w:w="57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4"/>
      <w:numFmt w:val="bullet"/>
      <w:start w:val="1"/>
    </w:lvl>
  </w:abstractNum>
  <w:abstractNum w:abstractNumId="11">
    <w:nsid w:val="721DA317"/>
    <w:multiLevelType w:val="hybridMultilevel"/>
    <w:lvl w:ilvl="0">
      <w:lvlJc w:val="left"/>
      <w:lvlText w:val="%1"/>
      <w:numFmt w:val="decimal"/>
      <w:start w:val="32"/>
    </w:lvl>
  </w:abstractNum>
  <w:abstractNum w:abstractNumId="12">
    <w:nsid w:val="2443A858"/>
    <w:multiLevelType w:val="hybridMultilevel"/>
    <w:lvl w:ilvl="0">
      <w:lvlJc w:val="left"/>
      <w:lvlText w:val="%1"/>
      <w:numFmt w:val="decimal"/>
      <w:start w:val="99"/>
    </w:lvl>
  </w:abstractNum>
  <w:abstractNum w:abstractNumId="13">
    <w:nsid w:val="2D1D5AE9"/>
    <w:multiLevelType w:val="hybridMultilevel"/>
    <w:lvl w:ilvl="0">
      <w:lvlJc w:val="left"/>
      <w:lvlText w:val="(%1)"/>
      <w:numFmt w:val="upperLetter"/>
      <w:start w:val="9"/>
    </w:lvl>
    <w:lvl w:ilvl="1">
      <w:lvlJc w:val="left"/>
      <w:lvlText w:val="(%2)"/>
      <w:numFmt w:val="upperLetter"/>
      <w:start w:val="35"/>
    </w:lvl>
  </w:abstractNum>
  <w:abstractNum w:abstractNumId="14">
    <w:nsid w:val="6763845E"/>
    <w:multiLevelType w:val="hybridMultilevel"/>
    <w:lvl w:ilvl="0">
      <w:lvlJc w:val="left"/>
      <w:lvlText w:val="(%1)"/>
      <w:numFmt w:val="upperLetter"/>
      <w:start w:val="6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upperLetter"/>
      <w:start w:val="22"/>
    </w:lvl>
  </w:abstractNum>
  <w:abstractNum w:abstractNumId="18">
    <w:nsid w:val="4353D0CD"/>
    <w:multiLevelType w:val="hybridMultilevel"/>
    <w:lvl w:ilvl="0">
      <w:lvlJc w:val="left"/>
      <w:lvlText w:val="(%1)"/>
      <w:numFmt w:val="upperLetter"/>
      <w:start w:val="9"/>
    </w:lvl>
  </w:abstractNum>
  <w:abstractNum w:abstractNumId="19">
    <w:nsid w:val="B03E0C6"/>
    <w:multiLevelType w:val="hybridMultilevel"/>
    <w:lvl w:ilvl="0">
      <w:lvlJc w:val="left"/>
      <w:lvlText w:val="(%1)"/>
      <w:numFmt w:val="upperLetter"/>
      <w:start w:val="35"/>
    </w:lvl>
  </w:abstractNum>
  <w:abstractNum w:abstractNumId="20">
    <w:nsid w:val="189A769B"/>
    <w:multiLevelType w:val="hybridMultilevel"/>
    <w:lvl w:ilvl="0">
      <w:lvlJc w:val="left"/>
      <w:lvlText w:val="(%1)"/>
      <w:numFmt w:val="upperLetter"/>
      <w:start w:val="61"/>
    </w:lvl>
  </w:abstractNum>
  <w:abstractNum w:abstractNumId="21">
    <w:nsid w:val="54E49EB4"/>
    <w:multiLevelType w:val="hybridMultilevel"/>
    <w:lvl w:ilvl="0">
      <w:lvlJc w:val="left"/>
      <w:lvlText w:val="(%1)"/>
      <w:numFmt w:val="lowerLetter"/>
      <w:start w:val="9"/>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upperLetter"/>
      <w:start w:val="22"/>
    </w:lvl>
  </w:abstractNum>
  <w:abstractNum w:abstractNumId="24">
    <w:nsid w:val="836C40E"/>
    <w:multiLevelType w:val="hybridMultilevel"/>
    <w:lvl w:ilvl="0">
      <w:lvlJc w:val="left"/>
      <w:lvlText w:val="(%1)"/>
      <w:numFmt w:val="upperLetter"/>
      <w:start w:val="9"/>
    </w:lvl>
  </w:abstractNum>
  <w:abstractNum w:abstractNumId="25">
    <w:nsid w:val="2901D82"/>
    <w:multiLevelType w:val="hybridMultilevel"/>
    <w:lvl w:ilvl="0">
      <w:lvlJc w:val="left"/>
      <w:lvlText w:val="(%1)"/>
      <w:numFmt w:val="upperLetter"/>
      <w:start w:val="35"/>
    </w:lvl>
    <w:lvl w:ilvl="1">
      <w:lvlJc w:val="left"/>
      <w:lvlText w:val="(%2)"/>
      <w:numFmt w:val="upperLetter"/>
      <w:start w:val="6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1)"/>
      <w:numFmt w:val="upperLetter"/>
      <w:start w:val="22"/>
    </w:lvl>
  </w:abstractNum>
  <w:abstractNum w:abstractNumId="28">
    <w:nsid w:val="1E7FF521"/>
    <w:multiLevelType w:val="hybridMultilevel"/>
    <w:lvl w:ilvl="0">
      <w:lvlJc w:val="left"/>
      <w:lvlText w:val="(%1)"/>
      <w:numFmt w:val="upp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2019-12-05T13:19:03Z</dcterms:created>
  <dcterms:modified xsi:type="dcterms:W3CDTF">2019-12-05T13:19:03Z</dcterms:modified>
</cp:coreProperties>
</file>