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660" w:right="4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229" w:right="239" w:bottom="1440" w:gutter="0" w:footer="0" w:header="0"/>
          <w:type w:val="continuous"/>
        </w:sectPr>
      </w:pPr>
    </w:p>
    <w:p>
      <w:pPr>
        <w:spacing w:after="0" w:line="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type w:val="continuous"/>
        </w:sect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9" w:right="239" w:bottom="1440" w:gutter="0" w:footer="0" w:header="0"/>
          <w:type w:val="continuous"/>
        </w:sectPr>
      </w:pPr>
    </w:p>
    <w:p>
      <w:pPr>
        <w:spacing w:after="0" w:line="2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jc w:val="right"/>
              <w:ind w:right="2750"/>
              <w:spacing w:after="0"/>
              <w:rPr>
                <w:sz w:val="20"/>
                <w:szCs w:val="20"/>
                <w:color w:val="auto"/>
              </w:rPr>
            </w:pPr>
            <w:r>
              <w:rPr>
                <w:rFonts w:ascii="Arial" w:cs="Arial" w:eastAsia="Arial" w:hAnsi="Arial"/>
                <w:sz w:val="18"/>
                <w:szCs w:val="18"/>
                <w:color w:val="auto"/>
              </w:rPr>
              <w:t>Large Accelerated Filer T</w:t>
            </w:r>
          </w:p>
        </w:tc>
        <w:tc>
          <w:tcPr>
            <w:tcW w:w="3120" w:type="dxa"/>
            <w:vAlign w:val="bottom"/>
          </w:tcPr>
          <w:p>
            <w:pPr>
              <w:jc w:val="right"/>
              <w:spacing w:after="0"/>
              <w:rPr>
                <w:sz w:val="20"/>
                <w:szCs w:val="20"/>
                <w:color w:val="auto"/>
              </w:rPr>
            </w:pPr>
            <w:r>
              <w:rPr>
                <w:rFonts w:ascii="Arial" w:cs="Arial" w:eastAsia="Arial" w:hAnsi="Arial"/>
                <w:sz w:val="18"/>
                <w:szCs w:val="18"/>
                <w:color w:val="auto"/>
              </w:rPr>
              <w:t>Accelerated Filer £</w:t>
            </w:r>
          </w:p>
        </w:tc>
      </w:tr>
      <w:tr>
        <w:trPr>
          <w:trHeight w:val="230"/>
        </w:trPr>
        <w:tc>
          <w:tcPr>
            <w:tcW w:w="8300" w:type="dxa"/>
            <w:vAlign w:val="bottom"/>
          </w:tcPr>
          <w:p>
            <w:pPr>
              <w:jc w:val="right"/>
              <w:ind w:right="2750"/>
              <w:spacing w:after="0"/>
              <w:rPr>
                <w:sz w:val="20"/>
                <w:szCs w:val="20"/>
                <w:color w:val="auto"/>
              </w:rPr>
            </w:pPr>
            <w:r>
              <w:rPr>
                <w:rFonts w:ascii="Arial" w:cs="Arial" w:eastAsia="Arial" w:hAnsi="Arial"/>
                <w:sz w:val="18"/>
                <w:szCs w:val="18"/>
                <w:color w:val="auto"/>
              </w:rPr>
              <w:t>Non-Accelerated Filer £</w:t>
            </w:r>
          </w:p>
        </w:tc>
        <w:tc>
          <w:tcPr>
            <w:tcW w:w="3120" w:type="dxa"/>
            <w:vAlign w:val="bottom"/>
          </w:tcPr>
          <w:p>
            <w:pPr>
              <w:jc w:val="right"/>
              <w:spacing w:after="0"/>
              <w:rPr>
                <w:sz w:val="20"/>
                <w:szCs w:val="20"/>
                <w:color w:val="auto"/>
              </w:rPr>
            </w:pPr>
            <w:r>
              <w:rPr>
                <w:rFonts w:ascii="Arial" w:cs="Arial" w:eastAsia="Arial" w:hAnsi="Arial"/>
                <w:sz w:val="18"/>
                <w:szCs w:val="18"/>
                <w:color w:val="auto"/>
              </w:rPr>
              <w:t>Smaller Reporting Company £</w:t>
            </w:r>
          </w:p>
        </w:tc>
      </w:tr>
      <w:tr>
        <w:trPr>
          <w:trHeight w:val="445"/>
        </w:trPr>
        <w:tc>
          <w:tcPr>
            <w:tcW w:w="8300" w:type="dxa"/>
            <w:vAlign w:val="bottom"/>
          </w:tcPr>
          <w:p>
            <w:pPr>
              <w:jc w:val="right"/>
              <w:ind w:right="30"/>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3120" w:type="dxa"/>
            <w:vAlign w:val="bottom"/>
          </w:tcPr>
          <w:p>
            <w:pPr>
              <w:jc w:val="right"/>
              <w:ind w:right="1930"/>
              <w:spacing w:after="0"/>
              <w:rPr>
                <w:sz w:val="20"/>
                <w:szCs w:val="20"/>
                <w:color w:val="auto"/>
              </w:rPr>
            </w:pPr>
            <w:r>
              <w:rPr>
                <w:rFonts w:ascii="Arial" w:cs="Arial" w:eastAsia="Arial" w:hAnsi="Arial"/>
                <w:sz w:val="18"/>
                <w:szCs w:val="18"/>
                <w:color w:val="auto"/>
              </w:rPr>
              <w:t>£ Yes   T No</w:t>
            </w:r>
          </w:p>
        </w:tc>
      </w:tr>
      <w:tr>
        <w:trPr>
          <w:trHeight w:val="216"/>
        </w:trPr>
        <w:tc>
          <w:tcPr>
            <w:tcW w:w="8300" w:type="dxa"/>
            <w:vAlign w:val="bottom"/>
          </w:tcPr>
          <w:p>
            <w:pPr>
              <w:jc w:val="center"/>
              <w:ind w:left="3030"/>
              <w:spacing w:after="0"/>
              <w:rPr>
                <w:sz w:val="20"/>
                <w:szCs w:val="20"/>
                <w:color w:val="auto"/>
              </w:rPr>
            </w:pPr>
            <w:r>
              <w:rPr>
                <w:rFonts w:ascii="Arial" w:cs="Arial" w:eastAsia="Arial" w:hAnsi="Arial"/>
                <w:sz w:val="18"/>
                <w:szCs w:val="18"/>
                <w:color w:val="auto"/>
                <w:w w:val="90"/>
              </w:rPr>
              <w:t>Common Stock, no par value,</w:t>
            </w:r>
          </w:p>
        </w:tc>
        <w:tc>
          <w:tcPr>
            <w:tcW w:w="3120" w:type="dxa"/>
            <w:vAlign w:val="bottom"/>
          </w:tcPr>
          <w:p>
            <w:pPr>
              <w:spacing w:after="0"/>
              <w:rPr>
                <w:sz w:val="18"/>
                <w:szCs w:val="18"/>
                <w:color w:val="auto"/>
              </w:rPr>
            </w:pPr>
          </w:p>
        </w:tc>
      </w:tr>
      <w:tr>
        <w:trPr>
          <w:trHeight w:val="216"/>
        </w:trPr>
        <w:tc>
          <w:tcPr>
            <w:tcW w:w="8300" w:type="dxa"/>
            <w:vAlign w:val="bottom"/>
          </w:tcPr>
          <w:p>
            <w:pPr>
              <w:jc w:val="center"/>
              <w:ind w:left="3030"/>
              <w:spacing w:after="0"/>
              <w:rPr>
                <w:sz w:val="20"/>
                <w:szCs w:val="20"/>
                <w:color w:val="auto"/>
              </w:rPr>
            </w:pPr>
            <w:r>
              <w:rPr>
                <w:rFonts w:ascii="Arial" w:cs="Arial" w:eastAsia="Arial" w:hAnsi="Arial"/>
                <w:sz w:val="18"/>
                <w:szCs w:val="18"/>
                <w:color w:val="auto"/>
                <w:w w:val="88"/>
              </w:rPr>
              <w:t>35,910,576 shares outstanding</w:t>
            </w:r>
          </w:p>
        </w:tc>
        <w:tc>
          <w:tcPr>
            <w:tcW w:w="3120" w:type="dxa"/>
            <w:vAlign w:val="bottom"/>
          </w:tcPr>
          <w:p>
            <w:pPr>
              <w:spacing w:after="0"/>
              <w:rPr>
                <w:sz w:val="18"/>
                <w:szCs w:val="18"/>
                <w:color w:val="auto"/>
              </w:rPr>
            </w:pPr>
          </w:p>
        </w:tc>
      </w:tr>
      <w:tr>
        <w:trPr>
          <w:trHeight w:val="230"/>
        </w:trPr>
        <w:tc>
          <w:tcPr>
            <w:tcW w:w="8300" w:type="dxa"/>
            <w:vAlign w:val="bottom"/>
          </w:tcPr>
          <w:p>
            <w:pPr>
              <w:jc w:val="center"/>
              <w:ind w:left="3050"/>
              <w:spacing w:after="0"/>
              <w:rPr>
                <w:sz w:val="20"/>
                <w:szCs w:val="20"/>
                <w:color w:val="auto"/>
              </w:rPr>
            </w:pPr>
            <w:r>
              <w:rPr>
                <w:rFonts w:ascii="Arial" w:cs="Arial" w:eastAsia="Arial" w:hAnsi="Arial"/>
                <w:sz w:val="18"/>
                <w:szCs w:val="18"/>
                <w:color w:val="auto"/>
                <w:w w:val="89"/>
              </w:rPr>
              <w:t>as of March 31, 2011</w:t>
            </w:r>
          </w:p>
        </w:tc>
        <w:tc>
          <w:tcPr>
            <w:tcW w:w="3120" w:type="dxa"/>
            <w:vAlign w:val="bottom"/>
          </w:tcPr>
          <w:p>
            <w:pPr>
              <w:spacing w:after="0"/>
              <w:rPr>
                <w:sz w:val="20"/>
                <w:szCs w:val="20"/>
                <w:color w:val="auto"/>
              </w:rPr>
            </w:pPr>
          </w:p>
        </w:tc>
      </w:tr>
      <w:tr>
        <w:trPr>
          <w:trHeight w:val="969"/>
        </w:trPr>
        <w:tc>
          <w:tcPr>
            <w:tcW w:w="830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40" w:type="dxa"/>
            <w:vAlign w:val="bottom"/>
          </w:tcPr>
          <w:p>
            <w:pPr>
              <w:ind w:left="4020"/>
              <w:spacing w:after="0"/>
              <w:rPr>
                <w:sz w:val="20"/>
                <w:szCs w:val="20"/>
                <w:color w:val="auto"/>
              </w:rPr>
            </w:pPr>
            <w:r>
              <w:rPr>
                <w:rFonts w:ascii="Arial" w:cs="Arial" w:eastAsia="Arial" w:hAnsi="Arial"/>
                <w:sz w:val="18"/>
                <w:szCs w:val="18"/>
                <w:b w:val="1"/>
                <w:bCs w:val="1"/>
                <w:color w:val="auto"/>
              </w:rPr>
              <w:t>INDEX</w:t>
            </w: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2"/>
              </w:rPr>
              <w:t>Definitions</w:t>
            </w: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gridSpan w:val="3"/>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Information</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  Financial Statements (Unaudited)</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 -</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March 31, 2011 and December 31, 2010</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Consolidated Statement of Income -</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Quarter Ended March 31, 2011 and 2010</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 of Cash Flows -</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Quarter Ended March 31, 2011 and 2010</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720" w:type="dxa"/>
            <w:vAlign w:val="bottom"/>
            <w:gridSpan w:val="2"/>
          </w:tcPr>
          <w:p>
            <w:pPr>
              <w:spacing w:after="0" w:line="201" w:lineRule="exact"/>
              <w:rPr>
                <w:sz w:val="20"/>
                <w:szCs w:val="20"/>
                <w:color w:val="auto"/>
              </w:rPr>
            </w:pPr>
            <w:r>
              <w:rPr>
                <w:rFonts w:ascii="Arial" w:cs="Arial" w:eastAsia="Arial" w:hAnsi="Arial"/>
                <w:sz w:val="18"/>
                <w:szCs w:val="18"/>
                <w:color w:val="auto"/>
              </w:rPr>
              <w:t>Item 2.  Management’s Discussion and Analysis of Financial Condition</w:t>
            </w: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40" w:type="dxa"/>
            <w:vAlign w:val="bottom"/>
          </w:tcPr>
          <w:p>
            <w:pPr>
              <w:ind w:left="80"/>
              <w:spacing w:after="0"/>
              <w:rPr>
                <w:sz w:val="20"/>
                <w:szCs w:val="20"/>
                <w:color w:val="auto"/>
              </w:rPr>
            </w:pPr>
            <w:r>
              <w:rPr>
                <w:rFonts w:ascii="Arial" w:cs="Arial" w:eastAsia="Arial" w:hAnsi="Arial"/>
                <w:sz w:val="18"/>
                <w:szCs w:val="18"/>
                <w:color w:val="auto"/>
              </w:rPr>
              <w:t>and Results of Operations</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28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Item 4.  Controls and Procedures</w:t>
            </w:r>
          </w:p>
        </w:tc>
        <w:tc>
          <w:tcPr>
            <w:tcW w:w="28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7720" w:type="dxa"/>
            <w:vAlign w:val="bottom"/>
            <w:gridSpan w:val="2"/>
          </w:tcPr>
          <w:p>
            <w:pPr>
              <w:spacing w:after="0"/>
              <w:rPr>
                <w:sz w:val="20"/>
                <w:szCs w:val="20"/>
                <w:color w:val="auto"/>
              </w:rPr>
            </w:pPr>
            <w:r>
              <w:rPr>
                <w:rFonts w:ascii="Arial" w:cs="Arial" w:eastAsia="Arial" w:hAnsi="Arial"/>
                <w:sz w:val="18"/>
                <w:szCs w:val="18"/>
                <w:color w:val="auto"/>
              </w:rPr>
              <w:t>Other Information</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714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Item 1A. Risk Factors</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Item 3.  Defaults Upon Senior Securities</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4.</w:t>
            </w:r>
          </w:p>
        </w:tc>
        <w:tc>
          <w:tcPr>
            <w:tcW w:w="7140" w:type="dxa"/>
            <w:vAlign w:val="bottom"/>
          </w:tcPr>
          <w:p>
            <w:pPr>
              <w:ind w:left="80"/>
              <w:spacing w:after="0"/>
              <w:rPr>
                <w:sz w:val="20"/>
                <w:szCs w:val="20"/>
                <w:color w:val="auto"/>
              </w:rPr>
            </w:pPr>
            <w:r>
              <w:rPr>
                <w:rFonts w:ascii="Arial" w:cs="Arial" w:eastAsia="Arial" w:hAnsi="Arial"/>
                <w:sz w:val="18"/>
                <w:szCs w:val="18"/>
                <w:color w:val="auto"/>
              </w:rPr>
              <w:t>Reserved</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5.</w:t>
            </w:r>
          </w:p>
        </w:tc>
        <w:tc>
          <w:tcPr>
            <w:tcW w:w="714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2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6.</w:t>
            </w:r>
          </w:p>
        </w:tc>
        <w:tc>
          <w:tcPr>
            <w:tcW w:w="7140" w:type="dxa"/>
            <w:vAlign w:val="bottom"/>
          </w:tcPr>
          <w:p>
            <w:pPr>
              <w:ind w:left="80"/>
              <w:spacing w:after="0"/>
              <w:rPr>
                <w:sz w:val="20"/>
                <w:szCs w:val="20"/>
                <w:color w:val="auto"/>
              </w:rPr>
            </w:pPr>
            <w:r>
              <w:rPr>
                <w:rFonts w:ascii="Arial" w:cs="Arial" w:eastAsia="Arial" w:hAnsi="Arial"/>
                <w:sz w:val="18"/>
                <w:szCs w:val="18"/>
                <w:color w:val="auto"/>
              </w:rPr>
              <w:t>Exhibits</w:t>
            </w:r>
          </w:p>
        </w:tc>
        <w:tc>
          <w:tcPr>
            <w:tcW w:w="28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w w:val="90"/>
              </w:rPr>
              <w:t>Signatures</w:t>
            </w:r>
          </w:p>
        </w:tc>
        <w:tc>
          <w:tcPr>
            <w:tcW w:w="58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Term</w:t>
            </w:r>
          </w:p>
        </w:tc>
      </w:tr>
      <w:tr>
        <w:trPr>
          <w:trHeight w:val="234"/>
        </w:trPr>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Acronym</w:t>
            </w:r>
          </w:p>
        </w:tc>
        <w:tc>
          <w:tcPr>
            <w:tcW w:w="9820" w:type="dxa"/>
            <w:vAlign w:val="bottom"/>
            <w:shd w:val="clear" w:color="auto" w:fill="CCEEFF"/>
          </w:tcPr>
          <w:p>
            <w:pPr>
              <w:spacing w:after="0"/>
              <w:rPr>
                <w:sz w:val="20"/>
                <w:szCs w:val="20"/>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AC</w:t>
            </w:r>
          </w:p>
        </w:tc>
        <w:tc>
          <w:tcPr>
            <w:tcW w:w="9820" w:type="dxa"/>
            <w:vAlign w:val="bottom"/>
          </w:tcPr>
          <w:p>
            <w:pPr>
              <w:ind w:left="120"/>
              <w:spacing w:after="0"/>
              <w:rPr>
                <w:sz w:val="20"/>
                <w:szCs w:val="20"/>
                <w:color w:val="auto"/>
              </w:rPr>
            </w:pPr>
            <w:r>
              <w:rPr>
                <w:rFonts w:ascii="Arial" w:cs="Arial" w:eastAsia="Arial" w:hAnsi="Arial"/>
                <w:sz w:val="18"/>
                <w:szCs w:val="18"/>
                <w:color w:val="auto"/>
              </w:rPr>
              <w:t>Alternating Current</w:t>
            </w:r>
          </w:p>
        </w:tc>
      </w:tr>
      <w:tr>
        <w:trPr>
          <w:trHeight w:val="202"/>
        </w:trPr>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AFUDC</w:t>
            </w:r>
          </w:p>
        </w:tc>
        <w:tc>
          <w:tcPr>
            <w:tcW w:w="9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Allowance for Funds Used During Construction – consisting of the cost of both the debt and equity funds used to finance utility plant</w:t>
            </w:r>
          </w:p>
        </w:tc>
      </w:tr>
      <w:tr>
        <w:trPr>
          <w:trHeight w:val="230"/>
        </w:trPr>
        <w:tc>
          <w:tcPr>
            <w:tcW w:w="1600" w:type="dxa"/>
            <w:vAlign w:val="bottom"/>
            <w:shd w:val="clear" w:color="auto" w:fill="CCEEFF"/>
          </w:tcPr>
          <w:p>
            <w:pPr>
              <w:spacing w:after="0"/>
              <w:rPr>
                <w:sz w:val="20"/>
                <w:szCs w:val="20"/>
                <w:color w:val="auto"/>
              </w:rPr>
            </w:pP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during construction periods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ALLETE</w:t>
            </w:r>
          </w:p>
        </w:tc>
        <w:tc>
          <w:tcPr>
            <w:tcW w:w="9820" w:type="dxa"/>
            <w:vAlign w:val="bottom"/>
          </w:tcPr>
          <w:p>
            <w:pPr>
              <w:ind w:left="120"/>
              <w:spacing w:after="0"/>
              <w:rPr>
                <w:sz w:val="20"/>
                <w:szCs w:val="20"/>
                <w:color w:val="auto"/>
              </w:rPr>
            </w:pPr>
            <w:r>
              <w:rPr>
                <w:rFonts w:ascii="Arial" w:cs="Arial" w:eastAsia="Arial" w:hAnsi="Arial"/>
                <w:sz w:val="18"/>
                <w:szCs w:val="18"/>
                <w:color w:val="auto"/>
              </w:rPr>
              <w:t>ALLETE, Inc.</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ALLETE Properties, LLC and its subsidiaries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ARS</w:t>
            </w:r>
          </w:p>
        </w:tc>
        <w:tc>
          <w:tcPr>
            <w:tcW w:w="9820" w:type="dxa"/>
            <w:vAlign w:val="bottom"/>
          </w:tcPr>
          <w:p>
            <w:pPr>
              <w:ind w:left="120"/>
              <w:spacing w:after="0"/>
              <w:rPr>
                <w:sz w:val="20"/>
                <w:szCs w:val="20"/>
                <w:color w:val="auto"/>
              </w:rPr>
            </w:pPr>
            <w:r>
              <w:rPr>
                <w:rFonts w:ascii="Arial" w:cs="Arial" w:eastAsia="Arial" w:hAnsi="Arial"/>
                <w:sz w:val="18"/>
                <w:szCs w:val="18"/>
                <w:color w:val="auto"/>
              </w:rPr>
              <w:t>Auction Rate Securities</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ATC</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American Transmission Company LLC</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Bison 1</w:t>
            </w:r>
          </w:p>
        </w:tc>
        <w:tc>
          <w:tcPr>
            <w:tcW w:w="9820" w:type="dxa"/>
            <w:vAlign w:val="bottom"/>
          </w:tcPr>
          <w:p>
            <w:pPr>
              <w:ind w:left="120"/>
              <w:spacing w:after="0"/>
              <w:rPr>
                <w:sz w:val="20"/>
                <w:szCs w:val="20"/>
                <w:color w:val="auto"/>
              </w:rPr>
            </w:pPr>
            <w:r>
              <w:rPr>
                <w:rFonts w:ascii="Arial" w:cs="Arial" w:eastAsia="Arial" w:hAnsi="Arial"/>
                <w:sz w:val="18"/>
                <w:szCs w:val="18"/>
                <w:color w:val="auto"/>
              </w:rPr>
              <w:t>Bison 1 Wind Project</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Bison 2</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Bison 2 Wind Project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BNI Coal</w:t>
            </w:r>
          </w:p>
        </w:tc>
        <w:tc>
          <w:tcPr>
            <w:tcW w:w="9820" w:type="dxa"/>
            <w:vAlign w:val="bottom"/>
          </w:tcPr>
          <w:p>
            <w:pPr>
              <w:ind w:left="120"/>
              <w:spacing w:after="0"/>
              <w:rPr>
                <w:sz w:val="20"/>
                <w:szCs w:val="20"/>
                <w:color w:val="auto"/>
              </w:rPr>
            </w:pPr>
            <w:r>
              <w:rPr>
                <w:rFonts w:ascii="Arial" w:cs="Arial" w:eastAsia="Arial" w:hAnsi="Arial"/>
                <w:sz w:val="18"/>
                <w:szCs w:val="18"/>
                <w:color w:val="auto"/>
              </w:rPr>
              <w:t>BNI Coal, Ltd.</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Boswell</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Boswell Energy Center</w:t>
            </w:r>
          </w:p>
        </w:tc>
      </w:tr>
      <w:tr>
        <w:trPr>
          <w:trHeight w:val="230"/>
        </w:trPr>
        <w:tc>
          <w:tcPr>
            <w:tcW w:w="1600" w:type="dxa"/>
            <w:vAlign w:val="bottom"/>
          </w:tcPr>
          <w:p>
            <w:pPr>
              <w:spacing w:after="0" w:line="229" w:lineRule="exact"/>
              <w:rPr>
                <w:sz w:val="20"/>
                <w:szCs w:val="20"/>
                <w:color w:val="auto"/>
              </w:rPr>
            </w:pPr>
            <w:r>
              <w:rPr>
                <w:rFonts w:ascii="Arial" w:cs="Arial" w:eastAsia="Arial" w:hAnsi="Arial"/>
                <w:sz w:val="18"/>
                <w:szCs w:val="18"/>
                <w:color w:val="auto"/>
              </w:rPr>
              <w:t>CO</w:t>
            </w:r>
            <w:r>
              <w:rPr>
                <w:rFonts w:ascii="Arial" w:cs="Arial" w:eastAsia="Arial" w:hAnsi="Arial"/>
                <w:sz w:val="25"/>
                <w:szCs w:val="25"/>
                <w:color w:val="auto"/>
                <w:vertAlign w:val="subscript"/>
              </w:rPr>
              <w:t>2</w:t>
            </w:r>
          </w:p>
        </w:tc>
        <w:tc>
          <w:tcPr>
            <w:tcW w:w="9820" w:type="dxa"/>
            <w:vAlign w:val="bottom"/>
          </w:tcPr>
          <w:p>
            <w:pPr>
              <w:ind w:left="120"/>
              <w:spacing w:after="0"/>
              <w:rPr>
                <w:sz w:val="20"/>
                <w:szCs w:val="20"/>
                <w:color w:val="auto"/>
              </w:rPr>
            </w:pPr>
            <w:r>
              <w:rPr>
                <w:rFonts w:ascii="Arial" w:cs="Arial" w:eastAsia="Arial" w:hAnsi="Arial"/>
                <w:sz w:val="18"/>
                <w:szCs w:val="18"/>
                <w:color w:val="auto"/>
              </w:rPr>
              <w:t>Carbon Dioxide</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ALLETE, Inc. and its subsidiaries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DC</w:t>
            </w:r>
          </w:p>
        </w:tc>
        <w:tc>
          <w:tcPr>
            <w:tcW w:w="9820" w:type="dxa"/>
            <w:vAlign w:val="bottom"/>
          </w:tcPr>
          <w:p>
            <w:pPr>
              <w:ind w:left="120"/>
              <w:spacing w:after="0"/>
              <w:rPr>
                <w:sz w:val="20"/>
                <w:szCs w:val="20"/>
                <w:color w:val="auto"/>
              </w:rPr>
            </w:pPr>
            <w:r>
              <w:rPr>
                <w:rFonts w:ascii="Arial" w:cs="Arial" w:eastAsia="Arial" w:hAnsi="Arial"/>
                <w:sz w:val="18"/>
                <w:szCs w:val="18"/>
                <w:color w:val="auto"/>
              </w:rPr>
              <w:t>Direct Current</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EPA</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Environmental Protection Agency</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ESOP</w:t>
            </w:r>
          </w:p>
        </w:tc>
        <w:tc>
          <w:tcPr>
            <w:tcW w:w="9820" w:type="dxa"/>
            <w:vAlign w:val="bottom"/>
          </w:tcPr>
          <w:p>
            <w:pPr>
              <w:ind w:left="120"/>
              <w:spacing w:after="0"/>
              <w:rPr>
                <w:sz w:val="20"/>
                <w:szCs w:val="20"/>
                <w:color w:val="auto"/>
              </w:rPr>
            </w:pPr>
            <w:r>
              <w:rPr>
                <w:rFonts w:ascii="Arial" w:cs="Arial" w:eastAsia="Arial" w:hAnsi="Arial"/>
                <w:sz w:val="18"/>
                <w:szCs w:val="18"/>
                <w:color w:val="auto"/>
              </w:rPr>
              <w:t>Employee Stock Ownership Plan</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FASB</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FERC</w:t>
            </w:r>
          </w:p>
        </w:tc>
        <w:tc>
          <w:tcPr>
            <w:tcW w:w="9820" w:type="dxa"/>
            <w:vAlign w:val="bottom"/>
          </w:tcPr>
          <w:p>
            <w:pPr>
              <w:ind w:left="12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Form 10-K</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ALLETE Annual Report on Form 10-K</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Form 10-Q</w:t>
            </w:r>
          </w:p>
        </w:tc>
        <w:tc>
          <w:tcPr>
            <w:tcW w:w="9820" w:type="dxa"/>
            <w:vAlign w:val="bottom"/>
          </w:tcPr>
          <w:p>
            <w:pPr>
              <w:ind w:left="120"/>
              <w:spacing w:after="0"/>
              <w:rPr>
                <w:sz w:val="20"/>
                <w:szCs w:val="20"/>
                <w:color w:val="auto"/>
              </w:rPr>
            </w:pPr>
            <w:r>
              <w:rPr>
                <w:rFonts w:ascii="Arial" w:cs="Arial" w:eastAsia="Arial" w:hAnsi="Arial"/>
                <w:sz w:val="18"/>
                <w:szCs w:val="18"/>
                <w:color w:val="auto"/>
              </w:rPr>
              <w:t>ALLETE Quarterly Report on Form 10-Q</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GHG</w:t>
            </w:r>
          </w:p>
        </w:tc>
        <w:tc>
          <w:tcPr>
            <w:tcW w:w="9820" w:type="dxa"/>
            <w:vAlign w:val="bottom"/>
          </w:tcPr>
          <w:p>
            <w:pPr>
              <w:ind w:left="120"/>
              <w:spacing w:after="0"/>
              <w:rPr>
                <w:sz w:val="20"/>
                <w:szCs w:val="20"/>
                <w:color w:val="auto"/>
              </w:rPr>
            </w:pPr>
            <w:r>
              <w:rPr>
                <w:rFonts w:ascii="Arial" w:cs="Arial" w:eastAsia="Arial" w:hAnsi="Arial"/>
                <w:sz w:val="18"/>
                <w:szCs w:val="18"/>
                <w:color w:val="auto"/>
              </w:rPr>
              <w:t>Greenhouse Gases</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Hibbard</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Hibbard Renewable Energy Center</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Invest Direct</w:t>
            </w:r>
          </w:p>
        </w:tc>
        <w:tc>
          <w:tcPr>
            <w:tcW w:w="9820" w:type="dxa"/>
            <w:vAlign w:val="bottom"/>
          </w:tcPr>
          <w:p>
            <w:pPr>
              <w:ind w:left="1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kV</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Kilovolt(s)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Laskin</w:t>
            </w:r>
          </w:p>
        </w:tc>
        <w:tc>
          <w:tcPr>
            <w:tcW w:w="9820" w:type="dxa"/>
            <w:vAlign w:val="bottom"/>
          </w:tcPr>
          <w:p>
            <w:pPr>
              <w:ind w:left="120"/>
              <w:spacing w:after="0"/>
              <w:rPr>
                <w:sz w:val="20"/>
                <w:szCs w:val="20"/>
                <w:color w:val="auto"/>
              </w:rPr>
            </w:pPr>
            <w:r>
              <w:rPr>
                <w:rFonts w:ascii="Arial" w:cs="Arial" w:eastAsia="Arial" w:hAnsi="Arial"/>
                <w:sz w:val="18"/>
                <w:szCs w:val="18"/>
                <w:color w:val="auto"/>
              </w:rPr>
              <w:t>Laskin Energy Center</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Manitoba Hydro</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Manitoba Hydro-Electric Board</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Medicare Part D</w:t>
            </w:r>
          </w:p>
        </w:tc>
        <w:tc>
          <w:tcPr>
            <w:tcW w:w="9820" w:type="dxa"/>
            <w:vAlign w:val="bottom"/>
          </w:tcPr>
          <w:p>
            <w:pPr>
              <w:ind w:left="120"/>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 operating division of ALLETE, Inc.</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Minnkota Power</w:t>
            </w:r>
          </w:p>
        </w:tc>
        <w:tc>
          <w:tcPr>
            <w:tcW w:w="9820" w:type="dxa"/>
            <w:vAlign w:val="bottom"/>
          </w:tcPr>
          <w:p>
            <w:pPr>
              <w:ind w:left="120"/>
              <w:spacing w:after="0"/>
              <w:rPr>
                <w:sz w:val="20"/>
                <w:szCs w:val="20"/>
                <w:color w:val="auto"/>
              </w:rPr>
            </w:pPr>
            <w:r>
              <w:rPr>
                <w:rFonts w:ascii="Arial" w:cs="Arial" w:eastAsia="Arial" w:hAnsi="Arial"/>
                <w:sz w:val="18"/>
                <w:szCs w:val="18"/>
                <w:color w:val="auto"/>
              </w:rPr>
              <w:t>Minnkota Power Cooperative, Inc.</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MISO</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Midwest Independent Transmission System Operator, Inc.</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MPCA</w:t>
            </w:r>
          </w:p>
        </w:tc>
        <w:tc>
          <w:tcPr>
            <w:tcW w:w="9820" w:type="dxa"/>
            <w:vAlign w:val="bottom"/>
          </w:tcPr>
          <w:p>
            <w:pPr>
              <w:ind w:left="120"/>
              <w:spacing w:after="0"/>
              <w:rPr>
                <w:sz w:val="20"/>
                <w:szCs w:val="20"/>
                <w:color w:val="auto"/>
              </w:rPr>
            </w:pPr>
            <w:r>
              <w:rPr>
                <w:rFonts w:ascii="Arial" w:cs="Arial" w:eastAsia="Arial" w:hAnsi="Arial"/>
                <w:sz w:val="18"/>
                <w:szCs w:val="18"/>
                <w:color w:val="auto"/>
              </w:rPr>
              <w:t>Minnesota Pollution Control Agency</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MPUC</w:t>
            </w:r>
          </w:p>
        </w:tc>
        <w:tc>
          <w:tcPr>
            <w:tcW w:w="9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Minnesota Public Utilities Commission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MW / MWh</w:t>
            </w:r>
          </w:p>
        </w:tc>
        <w:tc>
          <w:tcPr>
            <w:tcW w:w="9820" w:type="dxa"/>
            <w:vAlign w:val="bottom"/>
          </w:tcPr>
          <w:p>
            <w:pPr>
              <w:ind w:left="120"/>
              <w:spacing w:after="0"/>
              <w:rPr>
                <w:sz w:val="20"/>
                <w:szCs w:val="20"/>
                <w:color w:val="auto"/>
              </w:rPr>
            </w:pPr>
            <w:r>
              <w:rPr>
                <w:rFonts w:ascii="Arial" w:cs="Arial" w:eastAsia="Arial" w:hAnsi="Arial"/>
                <w:sz w:val="18"/>
                <w:szCs w:val="18"/>
                <w:color w:val="auto"/>
              </w:rPr>
              <w:t>Megawatt(s) / Megawatt-hour(s)</w:t>
            </w:r>
          </w:p>
        </w:tc>
      </w:tr>
      <w:tr>
        <w:trPr>
          <w:trHeight w:val="688"/>
        </w:trPr>
        <w:tc>
          <w:tcPr>
            <w:tcW w:w="1600" w:type="dxa"/>
            <w:vAlign w:val="bottom"/>
          </w:tcPr>
          <w:p>
            <w:pPr>
              <w:spacing w:after="0"/>
              <w:rPr>
                <w:sz w:val="24"/>
                <w:szCs w:val="24"/>
                <w:color w:val="auto"/>
              </w:rPr>
            </w:pPr>
          </w:p>
        </w:tc>
        <w:tc>
          <w:tcPr>
            <w:tcW w:w="9820" w:type="dxa"/>
            <w:vAlign w:val="bottom"/>
          </w:tcPr>
          <w:p>
            <w:pPr>
              <w:ind w:left="2660"/>
              <w:spacing w:after="0"/>
              <w:rPr>
                <w:sz w:val="20"/>
                <w:szCs w:val="20"/>
                <w:color w:val="auto"/>
              </w:rPr>
            </w:pPr>
            <w:r>
              <w:rPr>
                <w:rFonts w:ascii="Arial" w:cs="Arial" w:eastAsia="Arial" w:hAnsi="Arial"/>
                <w:sz w:val="18"/>
                <w:szCs w:val="18"/>
                <w:color w:val="auto"/>
              </w:rPr>
              <w:t>ALLETE First Quarter 2011 Form 10-Q</w:t>
            </w:r>
          </w:p>
        </w:tc>
      </w:tr>
      <w:tr>
        <w:trPr>
          <w:trHeight w:val="365"/>
        </w:trPr>
        <w:tc>
          <w:tcPr>
            <w:tcW w:w="1600" w:type="dxa"/>
            <w:vAlign w:val="bottom"/>
          </w:tcPr>
          <w:p>
            <w:pPr>
              <w:spacing w:after="0"/>
              <w:rPr>
                <w:sz w:val="24"/>
                <w:szCs w:val="24"/>
                <w:color w:val="auto"/>
              </w:rPr>
            </w:pPr>
          </w:p>
        </w:tc>
        <w:tc>
          <w:tcPr>
            <w:tcW w:w="9820" w:type="dxa"/>
            <w:vAlign w:val="bottom"/>
          </w:tcPr>
          <w:p>
            <w:pPr>
              <w:ind w:left="9740"/>
              <w:spacing w:after="0"/>
              <w:rPr>
                <w:sz w:val="20"/>
                <w:szCs w:val="20"/>
                <w:color w:val="auto"/>
              </w:rPr>
            </w:pPr>
            <w:r>
              <w:rPr>
                <w:rFonts w:ascii="Arial" w:cs="Arial" w:eastAsia="Arial" w:hAnsi="Arial"/>
                <w:sz w:val="15"/>
                <w:szCs w:val="15"/>
                <w:color w:val="auto"/>
                <w:w w:val="71"/>
              </w:rPr>
              <w:t>3</w:t>
            </w:r>
          </w:p>
        </w:tc>
      </w:tr>
      <w:tr>
        <w:trPr>
          <w:trHeight w:val="118"/>
        </w:trPr>
        <w:tc>
          <w:tcPr>
            <w:tcW w:w="1600" w:type="dxa"/>
            <w:vAlign w:val="bottom"/>
            <w:tcBorders>
              <w:bottom w:val="single" w:sz="8" w:color="808080"/>
            </w:tcBorders>
          </w:tcPr>
          <w:p>
            <w:pPr>
              <w:spacing w:after="0"/>
              <w:rPr>
                <w:sz w:val="10"/>
                <w:szCs w:val="10"/>
                <w:color w:val="auto"/>
              </w:rPr>
            </w:pPr>
          </w:p>
        </w:tc>
        <w:tc>
          <w:tcPr>
            <w:tcW w:w="9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0" w:type="dxa"/>
            <w:vAlign w:val="bottom"/>
          </w:tcPr>
          <w:p>
            <w:pPr>
              <w:ind w:left="3180"/>
              <w:spacing w:after="0"/>
              <w:rPr>
                <w:sz w:val="20"/>
                <w:szCs w:val="20"/>
                <w:color w:val="auto"/>
              </w:rPr>
            </w:pPr>
            <w:r>
              <w:rPr>
                <w:rFonts w:ascii="Arial" w:cs="Arial" w:eastAsia="Arial" w:hAnsi="Arial"/>
                <w:sz w:val="18"/>
                <w:szCs w:val="18"/>
                <w:b w:val="1"/>
                <w:bCs w:val="1"/>
                <w:color w:val="auto"/>
              </w:rPr>
              <w:t>Definitions (Continued)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Abbreviation or</w:t>
            </w:r>
          </w:p>
        </w:tc>
        <w:tc>
          <w:tcPr>
            <w:tcW w:w="9800" w:type="dxa"/>
            <w:vAlign w:val="bottom"/>
            <w:shd w:val="clear" w:color="auto" w:fill="CCEEFF"/>
          </w:tcPr>
          <w:p>
            <w:pPr>
              <w:ind w:left="100"/>
              <w:spacing w:after="0" w:line="198"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Acronym</w:t>
            </w:r>
          </w:p>
        </w:tc>
        <w:tc>
          <w:tcPr>
            <w:tcW w:w="9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NDPSC</w:t>
            </w:r>
          </w:p>
        </w:tc>
        <w:tc>
          <w:tcPr>
            <w:tcW w:w="9800" w:type="dxa"/>
            <w:vAlign w:val="bottom"/>
          </w:tcPr>
          <w:p>
            <w:pPr>
              <w:ind w:left="100"/>
              <w:spacing w:after="0"/>
              <w:rPr>
                <w:sz w:val="20"/>
                <w:szCs w:val="20"/>
                <w:color w:val="auto"/>
              </w:rPr>
            </w:pPr>
            <w:r>
              <w:rPr>
                <w:rFonts w:ascii="Arial" w:cs="Arial" w:eastAsia="Arial" w:hAnsi="Arial"/>
                <w:sz w:val="18"/>
                <w:szCs w:val="18"/>
                <w:color w:val="auto"/>
              </w:rPr>
              <w:t>North Dakota Public Service Commission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Non-residential</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2</w:t>
            </w:r>
          </w:p>
        </w:tc>
        <w:tc>
          <w:tcPr>
            <w:tcW w:w="9800" w:type="dxa"/>
            <w:vAlign w:val="bottom"/>
          </w:tcPr>
          <w:p>
            <w:pPr>
              <w:ind w:left="100"/>
              <w:spacing w:after="0"/>
              <w:rPr>
                <w:sz w:val="20"/>
                <w:szCs w:val="20"/>
                <w:color w:val="auto"/>
              </w:rPr>
            </w:pPr>
            <w:r>
              <w:rPr>
                <w:rFonts w:ascii="Arial" w:cs="Arial" w:eastAsia="Arial" w:hAnsi="Arial"/>
                <w:sz w:val="18"/>
                <w:szCs w:val="18"/>
                <w:color w:val="auto"/>
              </w:rPr>
              <w:t>Nitrogen Dioxide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X</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Nitrogen Oxide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Note ___</w:t>
            </w:r>
          </w:p>
        </w:tc>
        <w:tc>
          <w:tcPr>
            <w:tcW w:w="9800" w:type="dxa"/>
            <w:vAlign w:val="bottom"/>
          </w:tcPr>
          <w:p>
            <w:pPr>
              <w:ind w:left="100"/>
              <w:spacing w:after="0"/>
              <w:rPr>
                <w:sz w:val="20"/>
                <w:szCs w:val="20"/>
                <w:color w:val="auto"/>
              </w:rPr>
            </w:pPr>
            <w:r>
              <w:rPr>
                <w:rFonts w:ascii="Arial" w:cs="Arial" w:eastAsia="Arial" w:hAnsi="Arial"/>
                <w:sz w:val="18"/>
                <w:szCs w:val="18"/>
                <w:color w:val="auto"/>
              </w:rPr>
              <w:t>Note ___ to the consolidated financial statements in this Form 10-Q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NPDES</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National Pollutant Discharge Elimination System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Oliver Wind I</w:t>
            </w:r>
          </w:p>
        </w:tc>
        <w:tc>
          <w:tcPr>
            <w:tcW w:w="9800" w:type="dxa"/>
            <w:vAlign w:val="bottom"/>
          </w:tcPr>
          <w:p>
            <w:pPr>
              <w:ind w:left="100"/>
              <w:spacing w:after="0"/>
              <w:rPr>
                <w:sz w:val="20"/>
                <w:szCs w:val="20"/>
                <w:color w:val="auto"/>
              </w:rPr>
            </w:pPr>
            <w:r>
              <w:rPr>
                <w:rFonts w:ascii="Arial" w:cs="Arial" w:eastAsia="Arial" w:hAnsi="Arial"/>
                <w:sz w:val="18"/>
                <w:szCs w:val="18"/>
                <w:color w:val="auto"/>
              </w:rPr>
              <w:t>Oliver Wind I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Oliver Wind II</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Oliver Wind II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Palm Coast Park</w:t>
            </w:r>
          </w:p>
        </w:tc>
        <w:tc>
          <w:tcPr>
            <w:tcW w:w="9800" w:type="dxa"/>
            <w:vAlign w:val="bottom"/>
          </w:tcPr>
          <w:p>
            <w:pPr>
              <w:ind w:left="100"/>
              <w:spacing w:after="0"/>
              <w:rPr>
                <w:sz w:val="20"/>
                <w:szCs w:val="20"/>
                <w:color w:val="auto"/>
              </w:rPr>
            </w:pPr>
            <w:r>
              <w:rPr>
                <w:rFonts w:ascii="Arial" w:cs="Arial" w:eastAsia="Arial" w:hAnsi="Arial"/>
                <w:sz w:val="18"/>
                <w:szCs w:val="18"/>
                <w:color w:val="auto"/>
              </w:rPr>
              <w:t>Palm Coast Park development project in Florida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Palm Coast Park</w:t>
            </w:r>
          </w:p>
        </w:tc>
        <w:tc>
          <w:tcPr>
            <w:tcW w:w="98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Palm Coast Park Community Development District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District</w:t>
            </w:r>
          </w:p>
        </w:tc>
        <w:tc>
          <w:tcPr>
            <w:tcW w:w="9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PPA</w:t>
            </w:r>
          </w:p>
        </w:tc>
        <w:tc>
          <w:tcPr>
            <w:tcW w:w="9800" w:type="dxa"/>
            <w:vAlign w:val="bottom"/>
          </w:tcPr>
          <w:p>
            <w:pPr>
              <w:ind w:left="10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PPACA</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Patient Protection and Affordable Care Act of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PSCW</w:t>
            </w:r>
          </w:p>
        </w:tc>
        <w:tc>
          <w:tcPr>
            <w:tcW w:w="9800" w:type="dxa"/>
            <w:vAlign w:val="bottom"/>
          </w:tcPr>
          <w:p>
            <w:pPr>
              <w:ind w:left="100"/>
              <w:spacing w:after="0"/>
              <w:rPr>
                <w:sz w:val="20"/>
                <w:szCs w:val="20"/>
                <w:color w:val="auto"/>
              </w:rPr>
            </w:pPr>
            <w:r>
              <w:rPr>
                <w:rFonts w:ascii="Arial" w:cs="Arial" w:eastAsia="Arial" w:hAnsi="Arial"/>
                <w:sz w:val="18"/>
                <w:szCs w:val="18"/>
                <w:color w:val="auto"/>
              </w:rPr>
              <w:t>Public Service Commission of Wisconsin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Rainy River Energy</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Rainy River Energy Corporation - Wisconsin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SEC</w:t>
            </w:r>
          </w:p>
        </w:tc>
        <w:tc>
          <w:tcPr>
            <w:tcW w:w="9800" w:type="dxa"/>
            <w:vAlign w:val="bottom"/>
          </w:tcPr>
          <w:p>
            <w:pPr>
              <w:ind w:left="10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SO</w:t>
            </w:r>
            <w:r>
              <w:rPr>
                <w:rFonts w:ascii="Arial" w:cs="Arial" w:eastAsia="Arial" w:hAnsi="Arial"/>
                <w:sz w:val="25"/>
                <w:szCs w:val="25"/>
                <w:color w:val="auto"/>
                <w:vertAlign w:val="subscript"/>
              </w:rPr>
              <w:t>2</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Square Butte</w:t>
            </w:r>
          </w:p>
        </w:tc>
        <w:tc>
          <w:tcPr>
            <w:tcW w:w="9800" w:type="dxa"/>
            <w:vAlign w:val="bottom"/>
          </w:tcPr>
          <w:p>
            <w:pPr>
              <w:ind w:left="100"/>
              <w:spacing w:after="0"/>
              <w:rPr>
                <w:sz w:val="20"/>
                <w:szCs w:val="20"/>
                <w:color w:val="auto"/>
              </w:rPr>
            </w:pPr>
            <w:r>
              <w:rPr>
                <w:rFonts w:ascii="Arial" w:cs="Arial" w:eastAsia="Arial" w:hAnsi="Arial"/>
                <w:sz w:val="18"/>
                <w:szCs w:val="18"/>
                <w:color w:val="auto"/>
              </w:rPr>
              <w:t>Square Butte Electric Cooperative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SWL&amp;P</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Superior Water, Light and Power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Taconite Harbor</w:t>
            </w:r>
          </w:p>
        </w:tc>
        <w:tc>
          <w:tcPr>
            <w:tcW w:w="9800" w:type="dxa"/>
            <w:vAlign w:val="bottom"/>
          </w:tcPr>
          <w:p>
            <w:pPr>
              <w:ind w:left="100"/>
              <w:spacing w:after="0"/>
              <w:rPr>
                <w:sz w:val="20"/>
                <w:szCs w:val="20"/>
                <w:color w:val="auto"/>
              </w:rPr>
            </w:pPr>
            <w:r>
              <w:rPr>
                <w:rFonts w:ascii="Arial" w:cs="Arial" w:eastAsia="Arial" w:hAnsi="Arial"/>
                <w:sz w:val="18"/>
                <w:szCs w:val="18"/>
                <w:color w:val="auto"/>
              </w:rPr>
              <w:t>Taconite Harbor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Taconite Ridge</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Taconite Ridge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Town Center</w:t>
            </w:r>
          </w:p>
        </w:tc>
        <w:tc>
          <w:tcPr>
            <w:tcW w:w="9800" w:type="dxa"/>
            <w:vAlign w:val="bottom"/>
          </w:tcPr>
          <w:p>
            <w:pPr>
              <w:ind w:left="100"/>
              <w:spacing w:after="0"/>
              <w:rPr>
                <w:sz w:val="20"/>
                <w:szCs w:val="20"/>
                <w:color w:val="auto"/>
              </w:rPr>
            </w:pPr>
            <w:r>
              <w:rPr>
                <w:rFonts w:ascii="Arial" w:cs="Arial" w:eastAsia="Arial" w:hAnsi="Arial"/>
                <w:sz w:val="18"/>
                <w:szCs w:val="18"/>
                <w:color w:val="auto"/>
              </w:rPr>
              <w:t>Town Center at Palm Coast development project in 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6"/>
              </w:rPr>
              <w:t>Town Center District</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Town Center at Palm Coast Community Development District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WDNR</w:t>
            </w:r>
          </w:p>
        </w:tc>
        <w:tc>
          <w:tcPr>
            <w:tcW w:w="9800" w:type="dxa"/>
            <w:vAlign w:val="bottom"/>
          </w:tcPr>
          <w:p>
            <w:pPr>
              <w:ind w:left="100"/>
              <w:spacing w:after="0"/>
              <w:rPr>
                <w:sz w:val="20"/>
                <w:szCs w:val="20"/>
                <w:color w:val="auto"/>
              </w:rPr>
            </w:pPr>
            <w:r>
              <w:rPr>
                <w:rFonts w:ascii="Arial" w:cs="Arial" w:eastAsia="Arial" w:hAnsi="Arial"/>
                <w:sz w:val="18"/>
                <w:szCs w:val="18"/>
                <w:color w:val="auto"/>
              </w:rPr>
              <w:t>Wisconsin Department of Natural Resources</w:t>
            </w: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0" w:type="dxa"/>
            <w:vAlign w:val="bottom"/>
          </w:tcPr>
          <w:p>
            <w:pPr>
              <w:ind w:left="2640"/>
              <w:spacing w:after="0"/>
              <w:rPr>
                <w:sz w:val="20"/>
                <w:szCs w:val="20"/>
                <w:color w:val="auto"/>
              </w:rPr>
            </w:pPr>
            <w:r>
              <w:rPr>
                <w:rFonts w:ascii="Arial" w:cs="Arial" w:eastAsia="Arial" w:hAnsi="Arial"/>
                <w:sz w:val="18"/>
                <w:szCs w:val="18"/>
                <w:color w:val="auto"/>
              </w:rPr>
              <w:t>ALLETE First Quarter 2011 Form 10-Q</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 “will continue,” “could,” “may,” “potential,” “target,” “outlook” or words of similar meaning) are not statements of historical facts and may be forward-looking.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15"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60" w:hanging="352"/>
        <w:spacing w:after="0" w:line="265" w:lineRule="auto"/>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the NDPSC, the EPA and various state,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 ALLETE.</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22 of our 2010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$52.7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Investments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Accounts Receivable (Less Allowance of $1.0 and $0.9)</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91.5</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56.1</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Prepayments and Other</w:t>
            </w: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224.8</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1,841.3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Regulatory Assets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288.5</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 in ATC</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94.8</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128.1</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35.9</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$2,613.4</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$48.2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Taxes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Accrued Interest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 Due Within One Year</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Notes Payable</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125.7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771.0</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341.9</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Regulatory Liabilities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45.4</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Liabilities</w:t>
            </w: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317.3</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1,601.3</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0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ALLETE’s Equity</w:t>
            </w: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Without Par Value, 80.0 Shares Authorized, 35.9 and 35.8 Shares Outstanding</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638.8</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Unearned ESOP Shares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(34.6)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Retained Earnings</w:t>
            </w: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420.9</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ALLETE Equity</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1,003.2</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 in Subsidiaries</w:t>
            </w: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1,012.1</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$2,613.4</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2011</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36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$242.2</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$233.6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Fuel and Purchased Power</w:t>
            </w:r>
          </w:p>
        </w:tc>
        <w:tc>
          <w:tcPr>
            <w:tcW w:w="3640" w:type="dxa"/>
            <w:vAlign w:val="bottom"/>
          </w:tcPr>
          <w:p>
            <w:pPr>
              <w:jc w:val="right"/>
              <w:ind w:right="490"/>
              <w:spacing w:after="0"/>
              <w:rPr>
                <w:sz w:val="20"/>
                <w:szCs w:val="20"/>
                <w:color w:val="auto"/>
              </w:rPr>
            </w:pPr>
            <w:r>
              <w:rPr>
                <w:rFonts w:ascii="Arial" w:cs="Arial" w:eastAsia="Arial" w:hAnsi="Arial"/>
                <w:sz w:val="18"/>
                <w:szCs w:val="18"/>
                <w:color w:val="auto"/>
              </w:rPr>
              <w:t>79.0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and Maintenance</w:t>
            </w:r>
          </w:p>
        </w:tc>
        <w:tc>
          <w:tcPr>
            <w:tcW w:w="3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90.1</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Depreciation</w:t>
            </w:r>
          </w:p>
        </w:tc>
        <w:tc>
          <w:tcPr>
            <w:tcW w:w="3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22.3</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6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191.4</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6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50.8</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3640" w:type="dxa"/>
            <w:vAlign w:val="bottom"/>
          </w:tcPr>
          <w:p>
            <w:pPr>
              <w:jc w:val="right"/>
              <w:ind w:right="490"/>
              <w:spacing w:after="0"/>
              <w:rPr>
                <w:sz w:val="20"/>
                <w:szCs w:val="20"/>
                <w:color w:val="auto"/>
              </w:rPr>
            </w:pPr>
            <w:r>
              <w:rPr>
                <w:rFonts w:ascii="Arial" w:cs="Arial" w:eastAsia="Arial" w:hAnsi="Arial"/>
                <w:sz w:val="18"/>
                <w:szCs w:val="18"/>
                <w:color w:val="auto"/>
              </w:rPr>
              <w:t>(10.7)</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Earnings in ATC</w:t>
            </w:r>
          </w:p>
        </w:tc>
        <w:tc>
          <w:tcPr>
            <w:tcW w:w="3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4.4</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3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w:t>
            </w:r>
          </w:p>
        </w:tc>
        <w:tc>
          <w:tcPr>
            <w:tcW w:w="36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(5.5)</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3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45.3</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Income Tax Expense</w:t>
            </w:r>
          </w:p>
        </w:tc>
        <w:tc>
          <w:tcPr>
            <w:tcW w:w="3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8.2</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6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37.1</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3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ALLETE</w:t>
            </w:r>
          </w:p>
        </w:tc>
        <w:tc>
          <w:tcPr>
            <w:tcW w:w="36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$37.2</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of Common Stock</w:t>
            </w:r>
          </w:p>
        </w:tc>
        <w:tc>
          <w:tcPr>
            <w:tcW w:w="3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Basic</w:t>
            </w:r>
          </w:p>
        </w:tc>
        <w:tc>
          <w:tcPr>
            <w:tcW w:w="3640" w:type="dxa"/>
            <w:vAlign w:val="bottom"/>
          </w:tcPr>
          <w:p>
            <w:pPr>
              <w:jc w:val="right"/>
              <w:ind w:right="490"/>
              <w:spacing w:after="0"/>
              <w:rPr>
                <w:sz w:val="20"/>
                <w:szCs w:val="20"/>
                <w:color w:val="auto"/>
              </w:rPr>
            </w:pPr>
            <w:r>
              <w:rPr>
                <w:rFonts w:ascii="Arial" w:cs="Arial" w:eastAsia="Arial" w:hAnsi="Arial"/>
                <w:sz w:val="18"/>
                <w:szCs w:val="18"/>
                <w:color w:val="auto"/>
              </w:rPr>
              <w:t>34.6</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36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34.7</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Common Stock</w:t>
            </w:r>
          </w:p>
        </w:tc>
        <w:tc>
          <w:tcPr>
            <w:tcW w:w="3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$1.07</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Diluted Earnings Per Share of Common Stock</w:t>
            </w:r>
          </w:p>
        </w:tc>
        <w:tc>
          <w:tcPr>
            <w:tcW w:w="3640" w:type="dxa"/>
            <w:vAlign w:val="bottom"/>
          </w:tcPr>
          <w:p>
            <w:pPr>
              <w:jc w:val="right"/>
              <w:ind w:right="490"/>
              <w:spacing w:after="0"/>
              <w:rPr>
                <w:sz w:val="20"/>
                <w:szCs w:val="20"/>
                <w:color w:val="auto"/>
              </w:rPr>
            </w:pPr>
            <w:r>
              <w:rPr>
                <w:rFonts w:ascii="Arial" w:cs="Arial" w:eastAsia="Arial" w:hAnsi="Arial"/>
                <w:sz w:val="18"/>
                <w:szCs w:val="18"/>
                <w:color w:val="auto"/>
              </w:rPr>
              <w:t>$1.07</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3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$0.445</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2011</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$37.1</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Funds Used During Construction</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(0.6)</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Income from Equity Investments, Net of Dividends</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Assets</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(0.7)</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22.3</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Deferred Income Tax Expense</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Expense</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0.6</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ESOP Compensation Expense</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1.9</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Bad Debt Expense</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3.9</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4.1</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(12.7)</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(5.1)</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Regulatory and Other Assets</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(0.7)</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Regulatory and Other Liabilities</w:t>
            </w:r>
          </w:p>
        </w:tc>
        <w:tc>
          <w:tcPr>
            <w:tcW w:w="18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2.7</w:t>
            </w: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Cash from Operating Activities</w:t>
            </w:r>
          </w:p>
        </w:tc>
        <w:tc>
          <w:tcPr>
            <w:tcW w:w="18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69.1</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Available-for-sale Securities</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7.0</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Payments for Purchase of Available-for-sale Securities</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(0.9)</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ATC</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Changes to Other Investments</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(0.9)</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(51.5)</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Proceeds from Sale of Assets</w:t>
            </w:r>
          </w:p>
        </w:tc>
        <w:tc>
          <w:tcPr>
            <w:tcW w:w="18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8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(45.7)</w:t>
            </w: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Proceeds from Issuance of Common Stock</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2.1</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Long-Term Debt</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Payments on Long-Term Debt</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Issuance Costs</w:t>
            </w: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Dividends on Common Stock</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(16.2)</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Changes in Notes Payable</w:t>
            </w:r>
          </w:p>
        </w:tc>
        <w:tc>
          <w:tcPr>
            <w:tcW w:w="18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(0.5)</w:t>
            </w: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Cash from (for) Financing Activities</w:t>
            </w:r>
          </w:p>
        </w:tc>
        <w:tc>
          <w:tcPr>
            <w:tcW w:w="18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(15.6)</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7.8</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8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44.9</w:t>
            </w: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$52.7</w:t>
            </w: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40" w:type="dxa"/>
            <w:vAlign w:val="bottom"/>
          </w:tcPr>
          <w:p>
            <w:pPr>
              <w:ind w:left="33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40" w:type="dxa"/>
            <w:vAlign w:val="bottom"/>
          </w:tcPr>
          <w:p>
            <w:pPr>
              <w:ind w:left="4240"/>
              <w:spacing w:after="0"/>
              <w:rPr>
                <w:sz w:val="20"/>
                <w:szCs w:val="20"/>
                <w:color w:val="auto"/>
              </w:rPr>
            </w:pPr>
            <w:r>
              <w:rPr>
                <w:rFonts w:ascii="Arial" w:cs="Arial" w:eastAsia="Arial" w:hAnsi="Arial"/>
                <w:sz w:val="18"/>
                <w:szCs w:val="18"/>
                <w:color w:val="auto"/>
              </w:rPr>
              <w:t>ALLETE First Quarter 2011 Form 10-Q</w:t>
            </w: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2010, consolidated balance sheet was derived from audited financial statements but does not include all disclosures required by GAAP. All adjustments are of a normal, recurring nature, except as otherwise disclosed. Operating results for the period ended March 31, 2011, are not necessarily indicative of results that may be expected for any other interim period or for the year ending December 31, 2011. For further information, refer to the consolidated financial statements and notes included in our 2010 Form 10-K.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March 31, 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4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Fuel</w:t>
            </w:r>
          </w:p>
        </w:tc>
        <w:tc>
          <w:tcPr>
            <w:tcW w:w="4920" w:type="dxa"/>
            <w:vAlign w:val="bottom"/>
          </w:tcPr>
          <w:p>
            <w:pPr>
              <w:jc w:val="right"/>
              <w:ind w:right="290"/>
              <w:spacing w:after="0"/>
              <w:rPr>
                <w:sz w:val="20"/>
                <w:szCs w:val="20"/>
                <w:color w:val="auto"/>
              </w:rPr>
            </w:pPr>
            <w:r>
              <w:rPr>
                <w:rFonts w:ascii="Arial" w:cs="Arial" w:eastAsia="Arial" w:hAnsi="Arial"/>
                <w:sz w:val="18"/>
                <w:szCs w:val="18"/>
                <w:color w:val="auto"/>
              </w:rPr>
              <w:t>$18.4</w:t>
            </w:r>
          </w:p>
        </w:tc>
        <w:tc>
          <w:tcPr>
            <w:tcW w:w="76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Materials and Supplies</w:t>
            </w:r>
          </w:p>
        </w:tc>
        <w:tc>
          <w:tcPr>
            <w:tcW w:w="4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37.7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Inventories</w:t>
            </w:r>
          </w:p>
        </w:tc>
        <w:tc>
          <w:tcPr>
            <w:tcW w:w="4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$56.1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March 31, 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Prepayments and Other Current Assets</w:t>
            </w:r>
          </w:p>
        </w:tc>
        <w:tc>
          <w:tcPr>
            <w:tcW w:w="4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Arial" w:cs="Arial" w:eastAsia="Arial" w:hAnsi="Arial"/>
                <w:sz w:val="18"/>
                <w:szCs w:val="18"/>
                <w:color w:val="auto"/>
              </w:rPr>
              <w:t>Deferred Fuel Adjustment Clause</w:t>
            </w:r>
          </w:p>
        </w:tc>
        <w:tc>
          <w:tcPr>
            <w:tcW w:w="4140" w:type="dxa"/>
            <w:vAlign w:val="bottom"/>
          </w:tcPr>
          <w:p>
            <w:pPr>
              <w:jc w:val="right"/>
              <w:ind w:right="290"/>
              <w:spacing w:after="0"/>
              <w:rPr>
                <w:sz w:val="20"/>
                <w:szCs w:val="20"/>
                <w:color w:val="auto"/>
              </w:rPr>
            </w:pPr>
            <w:r>
              <w:rPr>
                <w:rFonts w:ascii="Arial" w:cs="Arial" w:eastAsia="Arial" w:hAnsi="Arial"/>
                <w:sz w:val="18"/>
                <w:szCs w:val="18"/>
                <w:color w:val="auto"/>
              </w:rPr>
              <w:t>$19.1</w:t>
            </w: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Prepayments and Other Current Assets</w:t>
            </w:r>
          </w:p>
        </w:tc>
        <w:tc>
          <w:tcPr>
            <w:tcW w:w="4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March 31, 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Non-Current Liabilities</w:t>
            </w:r>
          </w:p>
        </w:tc>
        <w:tc>
          <w:tcPr>
            <w:tcW w:w="2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320"/>
              <w:spacing w:after="0" w:line="201" w:lineRule="exact"/>
              <w:rPr>
                <w:sz w:val="20"/>
                <w:szCs w:val="20"/>
                <w:color w:val="auto"/>
              </w:rPr>
            </w:pPr>
            <w:r>
              <w:rPr>
                <w:rFonts w:ascii="Arial" w:cs="Arial" w:eastAsia="Arial" w:hAnsi="Arial"/>
                <w:sz w:val="18"/>
                <w:szCs w:val="18"/>
                <w:color w:val="auto"/>
              </w:rPr>
              <w:t>Future Benefit Obligation Under Defined Benefit Pension and</w:t>
            </w:r>
          </w:p>
        </w:tc>
        <w:tc>
          <w:tcPr>
            <w:tcW w:w="2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Other Postretirement Benefit Plans</w:t>
            </w:r>
          </w:p>
        </w:tc>
        <w:tc>
          <w:tcPr>
            <w:tcW w:w="2580" w:type="dxa"/>
            <w:vAlign w:val="bottom"/>
          </w:tcPr>
          <w:p>
            <w:pPr>
              <w:jc w:val="right"/>
              <w:ind w:right="230"/>
              <w:spacing w:after="0"/>
              <w:rPr>
                <w:sz w:val="20"/>
                <w:szCs w:val="20"/>
                <w:color w:val="auto"/>
              </w:rPr>
            </w:pPr>
            <w:r>
              <w:rPr>
                <w:rFonts w:ascii="Arial" w:cs="Arial" w:eastAsia="Arial" w:hAnsi="Arial"/>
                <w:sz w:val="18"/>
                <w:szCs w:val="18"/>
                <w:color w:val="auto"/>
              </w:rPr>
              <w:t>$220.4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Retirement Obligation</w:t>
            </w:r>
          </w:p>
        </w:tc>
        <w:tc>
          <w:tcPr>
            <w:tcW w:w="2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Other Non-Current Liabilities</w:t>
            </w:r>
          </w:p>
        </w:tc>
        <w:tc>
          <w:tcPr>
            <w:tcW w:w="2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$317.3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2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Interest – Net of Amounts Capitalized</w:t>
            </w:r>
          </w:p>
        </w:tc>
        <w:tc>
          <w:tcPr>
            <w:tcW w:w="258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2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580" w:type="dxa"/>
            <w:vAlign w:val="bottom"/>
          </w:tcPr>
          <w:p>
            <w:pPr>
              <w:jc w:val="right"/>
              <w:ind w:right="230"/>
              <w:spacing w:after="0"/>
              <w:rPr>
                <w:sz w:val="20"/>
                <w:szCs w:val="20"/>
                <w:color w:val="auto"/>
              </w:rPr>
            </w:pPr>
            <w:r>
              <w:rPr>
                <w:rFonts w:ascii="Arial" w:cs="Arial" w:eastAsia="Arial" w:hAnsi="Arial"/>
                <w:sz w:val="18"/>
                <w:szCs w:val="18"/>
                <w:color w:val="auto"/>
              </w:rPr>
              <w:t>$(14.4)</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AFUDC – Equity</w:t>
            </w:r>
          </w:p>
        </w:tc>
        <w:tc>
          <w:tcPr>
            <w:tcW w:w="2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Receivables. </w:t>
      </w:r>
      <w:r>
        <w:rPr>
          <w:rFonts w:ascii="Arial" w:cs="Arial" w:eastAsia="Arial" w:hAnsi="Arial"/>
          <w:sz w:val="17"/>
          <w:szCs w:val="17"/>
          <w:color w:val="auto"/>
        </w:rPr>
        <w:t>In July 2010, the FASB issued an accounting standards update on allowances for credit losses and the credit quality of the financing receivables</w:t>
      </w:r>
      <w:r>
        <w:rPr>
          <w:rFonts w:ascii="Arial" w:cs="Arial" w:eastAsia="Arial" w:hAnsi="Arial"/>
          <w:sz w:val="17"/>
          <w:szCs w:val="17"/>
          <w:b w:val="1"/>
          <w:bCs w:val="1"/>
          <w:color w:val="auto"/>
        </w:rPr>
        <w:t xml:space="preserve"> </w:t>
      </w:r>
      <w:r>
        <w:rPr>
          <w:rFonts w:ascii="Arial" w:cs="Arial" w:eastAsia="Arial" w:hAnsi="Arial"/>
          <w:sz w:val="17"/>
          <w:szCs w:val="17"/>
          <w:color w:val="auto"/>
        </w:rPr>
        <w:t>of an entity. This guidance required expanded disclosures in addition to a roll forward schedule of the allowance for credit losses for each reporting period. The guidance requiring expanded disclosures was adopted December 31, 2010, and did not have an impact on our consolidated financial position, results of operations or cash flows. The guidance requiring a roll forward schedule, which is included in Note 3. Investments, was effective January 1, 2011, and did not have an impact on our consolidated financial position, results of operations or cash flows.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approximately 5,500 acres of land available-for-sale in Minnesota and earnings on cash and short-term investments.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Regulated</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Consolidated</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Operations</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For the Quarter Ended March 31, 2011</w:t>
            </w:r>
          </w:p>
        </w:tc>
        <w:tc>
          <w:tcPr>
            <w:tcW w:w="2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Fuel and Purchased Power Expense</w:t>
            </w: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220" w:type="dxa"/>
            <w:vAlign w:val="bottom"/>
          </w:tcPr>
          <w:p>
            <w:pPr>
              <w:jc w:val="right"/>
              <w:spacing w:after="0"/>
              <w:rPr>
                <w:sz w:val="20"/>
                <w:szCs w:val="20"/>
                <w:color w:val="auto"/>
              </w:rPr>
            </w:pPr>
            <w:r>
              <w:rPr>
                <w:rFonts w:ascii="Arial" w:cs="Arial" w:eastAsia="Arial" w:hAnsi="Arial"/>
                <w:sz w:val="18"/>
                <w:szCs w:val="18"/>
                <w:color w:val="auto"/>
              </w:rPr>
              <w:t>79.0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 Expense</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Non-Controlling Interest and Income</w:t>
            </w:r>
          </w:p>
        </w:tc>
        <w:tc>
          <w:tcPr>
            <w:tcW w:w="2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2011</w:t>
            </w:r>
          </w:p>
        </w:tc>
        <w:tc>
          <w:tcPr>
            <w:tcW w:w="2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$2,613.4</w:t>
            </w:r>
          </w:p>
        </w:tc>
        <w:tc>
          <w:tcPr>
            <w:tcW w:w="1220" w:type="dxa"/>
            <w:vAlign w:val="bottom"/>
          </w:tcPr>
          <w:p>
            <w:pPr>
              <w:jc w:val="right"/>
              <w:spacing w:after="0"/>
              <w:rPr>
                <w:sz w:val="20"/>
                <w:szCs w:val="20"/>
                <w:color w:val="auto"/>
              </w:rPr>
            </w:pPr>
            <w:r>
              <w:rPr>
                <w:rFonts w:ascii="Arial" w:cs="Arial" w:eastAsia="Arial" w:hAnsi="Arial"/>
                <w:sz w:val="18"/>
                <w:szCs w:val="18"/>
                <w:color w:val="auto"/>
              </w:rPr>
              <w:t>$2,381.8</w:t>
            </w:r>
          </w:p>
        </w:tc>
        <w:tc>
          <w:tcPr>
            <w:tcW w:w="1080" w:type="dxa"/>
            <w:vAlign w:val="bottom"/>
          </w:tcPr>
          <w:p>
            <w:pPr>
              <w:jc w:val="right"/>
              <w:spacing w:after="0"/>
              <w:rPr>
                <w:sz w:val="20"/>
                <w:szCs w:val="20"/>
                <w:color w:val="auto"/>
              </w:rPr>
            </w:pPr>
            <w:r>
              <w:rPr>
                <w:rFonts w:ascii="Arial" w:cs="Arial" w:eastAsia="Arial" w:hAnsi="Arial"/>
                <w:sz w:val="18"/>
                <w:szCs w:val="18"/>
                <w:color w:val="auto"/>
              </w:rPr>
              <w:t>$231.6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$1,043.4</w:t>
            </w:r>
          </w:p>
        </w:tc>
        <w:tc>
          <w:tcPr>
            <w:tcW w:w="1220" w:type="dxa"/>
            <w:vAlign w:val="bottom"/>
          </w:tcPr>
          <w:p>
            <w:pPr>
              <w:jc w:val="right"/>
              <w:spacing w:after="0"/>
              <w:rPr>
                <w:sz w:val="20"/>
                <w:szCs w:val="20"/>
                <w:color w:val="auto"/>
              </w:rPr>
            </w:pPr>
            <w:r>
              <w:rPr>
                <w:rFonts w:ascii="Arial" w:cs="Arial" w:eastAsia="Arial" w:hAnsi="Arial"/>
                <w:sz w:val="18"/>
                <w:szCs w:val="18"/>
                <w:color w:val="auto"/>
              </w:rPr>
              <w:t>$993.1</w:t>
            </w:r>
          </w:p>
        </w:tc>
        <w:tc>
          <w:tcPr>
            <w:tcW w:w="1080" w:type="dxa"/>
            <w:vAlign w:val="bottom"/>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Regulated</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Consolidated</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Operations</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For the Quarter Ended March 31, 2010</w:t>
            </w:r>
          </w:p>
        </w:tc>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Fuel and Purchased Power Expense</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220" w:type="dxa"/>
            <w:vAlign w:val="bottom"/>
          </w:tcPr>
          <w:p>
            <w:pPr>
              <w:jc w:val="right"/>
              <w:spacing w:after="0"/>
              <w:rPr>
                <w:sz w:val="20"/>
                <w:szCs w:val="20"/>
                <w:color w:val="auto"/>
              </w:rPr>
            </w:pPr>
            <w:r>
              <w:rPr>
                <w:rFonts w:ascii="Arial" w:cs="Arial" w:eastAsia="Arial" w:hAnsi="Arial"/>
                <w:sz w:val="18"/>
                <w:szCs w:val="18"/>
                <w:color w:val="auto"/>
              </w:rPr>
              <w:t>79.8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 Expense</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2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Non-Controlling Interest and Income Taxes</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2010</w:t>
            </w:r>
          </w:p>
        </w:tc>
        <w:tc>
          <w:tcPr>
            <w:tcW w:w="2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 Assets</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$2,416.0</w:t>
            </w:r>
          </w:p>
        </w:tc>
        <w:tc>
          <w:tcPr>
            <w:tcW w:w="1220" w:type="dxa"/>
            <w:vAlign w:val="bottom"/>
          </w:tcPr>
          <w:p>
            <w:pPr>
              <w:jc w:val="right"/>
              <w:spacing w:after="0"/>
              <w:rPr>
                <w:sz w:val="20"/>
                <w:szCs w:val="20"/>
                <w:color w:val="auto"/>
              </w:rPr>
            </w:pPr>
            <w:r>
              <w:rPr>
                <w:rFonts w:ascii="Arial" w:cs="Arial" w:eastAsia="Arial" w:hAnsi="Arial"/>
                <w:sz w:val="18"/>
                <w:szCs w:val="18"/>
                <w:color w:val="auto"/>
              </w:rPr>
              <w:t>$2,196.4</w:t>
            </w:r>
          </w:p>
        </w:tc>
        <w:tc>
          <w:tcPr>
            <w:tcW w:w="1080" w:type="dxa"/>
            <w:vAlign w:val="bottom"/>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$1,649.1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$990.3</w:t>
            </w:r>
          </w:p>
        </w:tc>
        <w:tc>
          <w:tcPr>
            <w:tcW w:w="1220" w:type="dxa"/>
            <w:vAlign w:val="bottom"/>
          </w:tcPr>
          <w:p>
            <w:pPr>
              <w:jc w:val="right"/>
              <w:spacing w:after="0"/>
              <w:rPr>
                <w:sz w:val="20"/>
                <w:szCs w:val="20"/>
                <w:color w:val="auto"/>
              </w:rPr>
            </w:pPr>
            <w:r>
              <w:rPr>
                <w:rFonts w:ascii="Arial" w:cs="Arial" w:eastAsia="Arial" w:hAnsi="Arial"/>
                <w:sz w:val="18"/>
                <w:szCs w:val="18"/>
                <w:color w:val="auto"/>
              </w:rPr>
              <w:t>$942.8</w:t>
            </w: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and land held-for-sale in Minnesota.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March 31, 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Investments</w:t>
            </w:r>
          </w:p>
        </w:tc>
        <w:tc>
          <w:tcPr>
            <w:tcW w:w="4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ALLETE Properties</w:t>
            </w:r>
          </w:p>
        </w:tc>
        <w:tc>
          <w:tcPr>
            <w:tcW w:w="4820" w:type="dxa"/>
            <w:vAlign w:val="bottom"/>
          </w:tcPr>
          <w:p>
            <w:pPr>
              <w:jc w:val="right"/>
              <w:ind w:right="230"/>
              <w:spacing w:after="0"/>
              <w:rPr>
                <w:sz w:val="20"/>
                <w:szCs w:val="20"/>
                <w:color w:val="auto"/>
              </w:rPr>
            </w:pPr>
            <w:r>
              <w:rPr>
                <w:rFonts w:ascii="Arial" w:cs="Arial" w:eastAsia="Arial" w:hAnsi="Arial"/>
                <w:sz w:val="18"/>
                <w:szCs w:val="18"/>
                <w:color w:val="auto"/>
              </w:rPr>
              <w:t>$93.7</w:t>
            </w:r>
          </w:p>
        </w:tc>
        <w:tc>
          <w:tcPr>
            <w:tcW w:w="820" w:type="dxa"/>
            <w:vAlign w:val="bottom"/>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$128.1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March 31, 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ALLETE Properties</w:t>
            </w: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Land Held-for-sale Beginning Balance (January 1, 2011 and 2010, respectively)</w:t>
            </w:r>
          </w:p>
        </w:tc>
        <w:tc>
          <w:tcPr>
            <w:tcW w:w="3020" w:type="dxa"/>
            <w:vAlign w:val="bottom"/>
          </w:tcPr>
          <w:p>
            <w:pPr>
              <w:jc w:val="right"/>
              <w:ind w:right="290"/>
              <w:spacing w:after="0"/>
              <w:rPr>
                <w:sz w:val="20"/>
                <w:szCs w:val="20"/>
                <w:color w:val="auto"/>
              </w:rPr>
            </w:pPr>
            <w:r>
              <w:rPr>
                <w:rFonts w:ascii="Arial" w:cs="Arial" w:eastAsia="Arial" w:hAnsi="Arial"/>
                <w:sz w:val="18"/>
                <w:szCs w:val="18"/>
                <w:color w:val="auto"/>
              </w:rPr>
              <w:t>$86.0</w:t>
            </w:r>
          </w:p>
        </w:tc>
        <w:tc>
          <w:tcPr>
            <w:tcW w:w="76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during period:</w:t>
            </w:r>
          </w:p>
        </w:tc>
        <w:tc>
          <w:tcPr>
            <w:tcW w:w="3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80"/>
              <w:spacing w:after="0"/>
              <w:rPr>
                <w:sz w:val="20"/>
                <w:szCs w:val="20"/>
                <w:color w:val="auto"/>
              </w:rPr>
            </w:pPr>
            <w:r>
              <w:rPr>
                <w:rFonts w:ascii="Arial" w:cs="Arial" w:eastAsia="Arial" w:hAnsi="Arial"/>
                <w:sz w:val="18"/>
                <w:szCs w:val="18"/>
                <w:color w:val="auto"/>
              </w:rPr>
              <w:t xml:space="preserve">Deeds to Collateralized Property </w:t>
            </w:r>
            <w:r>
              <w:rPr>
                <w:rFonts w:ascii="Arial" w:cs="Arial" w:eastAsia="Arial" w:hAnsi="Arial"/>
                <w:sz w:val="18"/>
                <w:szCs w:val="18"/>
                <w:i w:val="1"/>
                <w:iCs w:val="1"/>
                <w:color w:val="auto"/>
              </w:rPr>
              <w:t>(a)</w:t>
            </w:r>
          </w:p>
        </w:tc>
        <w:tc>
          <w:tcPr>
            <w:tcW w:w="3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Capitalized Improvements and Other</w:t>
            </w:r>
          </w:p>
        </w:tc>
        <w:tc>
          <w:tcPr>
            <w:tcW w:w="3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Deductions during period: Cost of Real Estate Sold</w:t>
            </w: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Land Held-for-sale Ending Balance</w:t>
            </w:r>
          </w:p>
        </w:tc>
        <w:tc>
          <w:tcPr>
            <w:tcW w:w="3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Long-Term Finance Receivables (net of allowances of $0.9 and $0.8)</w:t>
            </w:r>
          </w:p>
        </w:tc>
        <w:tc>
          <w:tcPr>
            <w:tcW w:w="302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Real Estate Assets</w:t>
            </w:r>
          </w:p>
        </w:tc>
        <w:tc>
          <w:tcPr>
            <w:tcW w:w="3020" w:type="dxa"/>
            <w:vAlign w:val="bottom"/>
          </w:tcPr>
          <w:p>
            <w:pPr>
              <w:jc w:val="right"/>
              <w:ind w:right="290"/>
              <w:spacing w:after="0"/>
              <w:rPr>
                <w:sz w:val="20"/>
                <w:szCs w:val="20"/>
                <w:color w:val="auto"/>
              </w:rPr>
            </w:pPr>
            <w:r>
              <w:rPr>
                <w:rFonts w:ascii="Arial" w:cs="Arial" w:eastAsia="Arial" w:hAnsi="Arial"/>
                <w:sz w:val="18"/>
                <w:szCs w:val="18"/>
                <w:color w:val="auto"/>
              </w:rPr>
              <w:t>$93.7</w:t>
            </w:r>
          </w:p>
        </w:tc>
        <w:tc>
          <w:tcPr>
            <w:tcW w:w="760" w:type="dxa"/>
            <w:vAlign w:val="bottom"/>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line="275"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deeds to collateralized property resulted primarily from an entity which filed for voluntary Chapter 11 bankruptcy in 2010 and were recorded at fair value net of estimated selling costs.</w:t>
      </w:r>
    </w:p>
    <w:p>
      <w:pPr>
        <w:spacing w:after="0" w:line="199"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Land Held-for-sale. </w:t>
      </w:r>
      <w:r>
        <w:rPr>
          <w:rFonts w:ascii="Arial" w:cs="Arial" w:eastAsia="Arial" w:hAnsi="Arial"/>
          <w:sz w:val="17"/>
          <w:szCs w:val="17"/>
          <w:color w:val="auto"/>
        </w:rPr>
        <w:t>Land held-for-sale is recorded at the lower of cost or fair value as determined by the evaluation of individual land parcels. Land values</w:t>
      </w:r>
      <w:r>
        <w:rPr>
          <w:rFonts w:ascii="Arial" w:cs="Arial" w:eastAsia="Arial" w:hAnsi="Arial"/>
          <w:sz w:val="17"/>
          <w:szCs w:val="17"/>
          <w:i w:val="1"/>
          <w:iCs w:val="1"/>
          <w:color w:val="auto"/>
        </w:rPr>
        <w:t xml:space="preserve"> </w:t>
      </w:r>
      <w:r>
        <w:rPr>
          <w:rFonts w:ascii="Arial" w:cs="Arial" w:eastAsia="Arial" w:hAnsi="Arial"/>
          <w:sz w:val="17"/>
          <w:szCs w:val="17"/>
          <w:color w:val="auto"/>
        </w:rPr>
        <w:t>are reviewed for impairment on a quarterly basis, and no impairments were recorded for the quarter ended March 31, 2011 (none in 2010).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Finance Receivables. </w:t>
      </w:r>
      <w:r>
        <w:rPr>
          <w:rFonts w:ascii="Arial" w:cs="Arial" w:eastAsia="Arial" w:hAnsi="Arial"/>
          <w:sz w:val="18"/>
          <w:szCs w:val="18"/>
          <w:color w:val="auto"/>
        </w:rPr>
        <w:t>As of March 31, 2011, long-term finance receivables were $3.6 million net of allowance ($3.7 million net of allowance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2010). Long-term finance receivables are collateralized by property sold, accrue interest at market-based rates and are net of an allowance for doubtful accounts. As of March 31, 2011, $0.9 million was reserved for delinquent note receivables where the fair value of the collateralized property was less than the note balance ($0.8 million of impairments as of December 31,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Roll-Forward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March 31, 2011</w:t>
            </w:r>
          </w:p>
        </w:tc>
        <w:tc>
          <w:tcPr>
            <w:tcW w:w="4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Real Estate</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December 31, 2010</w:t>
            </w:r>
          </w:p>
        </w:tc>
        <w:tc>
          <w:tcPr>
            <w:tcW w:w="4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68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Additional Reserve</w:t>
            </w:r>
          </w:p>
        </w:tc>
        <w:tc>
          <w:tcPr>
            <w:tcW w:w="4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 as of March 31, 2011</w:t>
            </w:r>
          </w:p>
        </w:tc>
        <w:tc>
          <w:tcPr>
            <w:tcW w:w="46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$0.9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8. Fair Value to the consolidated financial statements in our 2010 Form 10-K.</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March 31, 2011, and December 31, 2010.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4820" w:type="dxa"/>
            <w:vAlign w:val="bottom"/>
            <w:gridSpan w:val="4"/>
            <w:shd w:val="clear" w:color="auto" w:fill="CCEEFF"/>
          </w:tcPr>
          <w:p>
            <w:pPr>
              <w:jc w:val="center"/>
              <w:ind w:left="2330"/>
              <w:spacing w:after="0"/>
              <w:rPr>
                <w:sz w:val="20"/>
                <w:szCs w:val="20"/>
                <w:color w:val="auto"/>
              </w:rPr>
            </w:pPr>
            <w:r>
              <w:rPr>
                <w:rFonts w:ascii="Arial" w:cs="Arial" w:eastAsia="Arial" w:hAnsi="Arial"/>
                <w:sz w:val="18"/>
                <w:szCs w:val="18"/>
                <w:b w:val="1"/>
                <w:bCs w:val="1"/>
                <w:color w:val="auto"/>
                <w:w w:val="92"/>
              </w:rPr>
              <w:t>Fair Value as of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2011</w:t>
            </w: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4820" w:type="dxa"/>
            <w:vAlign w:val="bottom"/>
            <w:tcBorders>
              <w:bottom w:val="single" w:sz="8" w:color="auto"/>
            </w:tcBorders>
            <w:gridSpan w:val="4"/>
          </w:tcPr>
          <w:p>
            <w:pPr>
              <w:jc w:val="center"/>
              <w:ind w:left="2330"/>
              <w:spacing w:after="0"/>
              <w:rPr>
                <w:sz w:val="20"/>
                <w:szCs w:val="20"/>
                <w:color w:val="auto"/>
              </w:rPr>
            </w:pPr>
            <w:r>
              <w:rPr>
                <w:rFonts w:ascii="Arial" w:cs="Arial" w:eastAsia="Arial" w:hAnsi="Arial"/>
                <w:sz w:val="18"/>
                <w:szCs w:val="18"/>
                <w:b w:val="1"/>
                <w:bCs w:val="1"/>
                <w:color w:val="auto"/>
                <w:w w:val="94"/>
              </w:rPr>
              <w:t>Level 1 Level 2Level 3 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Available-for-sale Securities – Corporate Debt Securities</w:t>
            </w:r>
          </w:p>
        </w:tc>
        <w:tc>
          <w:tcPr>
            <w:tcW w:w="3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Assets</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$7.8</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Liabilities</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Fair Value of Assets (Liabilities)</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FAIR VALUE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4300" w:type="dxa"/>
            <w:vAlign w:val="bottom"/>
            <w:gridSpan w:val="4"/>
            <w:shd w:val="clear" w:color="auto" w:fill="CCEEFF"/>
          </w:tcPr>
          <w:p>
            <w:pPr>
              <w:jc w:val="center"/>
              <w:ind w:left="1830"/>
              <w:spacing w:after="0"/>
              <w:rPr>
                <w:sz w:val="20"/>
                <w:szCs w:val="20"/>
                <w:color w:val="auto"/>
              </w:rPr>
            </w:pPr>
            <w:r>
              <w:rPr>
                <w:rFonts w:ascii="Arial" w:cs="Arial" w:eastAsia="Arial" w:hAnsi="Arial"/>
                <w:sz w:val="18"/>
                <w:szCs w:val="18"/>
                <w:b w:val="1"/>
                <w:bCs w:val="1"/>
                <w:color w:val="auto"/>
                <w:w w:val="90"/>
              </w:rPr>
              <w:t>Fair Value as of 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4300" w:type="dxa"/>
            <w:vAlign w:val="bottom"/>
            <w:tcBorders>
              <w:bottom w:val="single" w:sz="8" w:color="auto"/>
            </w:tcBorders>
            <w:gridSpan w:val="4"/>
          </w:tcPr>
          <w:p>
            <w:pPr>
              <w:jc w:val="center"/>
              <w:ind w:left="1810"/>
              <w:spacing w:after="0"/>
              <w:rPr>
                <w:sz w:val="20"/>
                <w:szCs w:val="20"/>
                <w:color w:val="auto"/>
              </w:rPr>
            </w:pPr>
            <w:r>
              <w:rPr>
                <w:rFonts w:ascii="Arial" w:cs="Arial" w:eastAsia="Arial" w:hAnsi="Arial"/>
                <w:sz w:val="18"/>
                <w:szCs w:val="18"/>
                <w:b w:val="1"/>
                <w:bCs w:val="1"/>
                <w:color w:val="auto"/>
                <w:w w:val="94"/>
              </w:rPr>
              <w:t>Level 1 Level 2Level 3 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Debt Securities Issued by States of the United States (ARS)</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Money Market Funds</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Assets</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Compensation</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Liabilities</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Fair Value of Assets (Liabilities)</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Debt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Issued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of the United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Activity in Level 3</w:t>
            </w:r>
          </w:p>
        </w:tc>
        <w:tc>
          <w:tcPr>
            <w:tcW w:w="320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Derivatives</w:t>
            </w:r>
          </w:p>
        </w:tc>
        <w:tc>
          <w:tcPr>
            <w:tcW w:w="11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States (ARS)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 and December 31, 2009, respectively</w:t>
            </w:r>
          </w:p>
        </w:tc>
        <w:tc>
          <w:tcPr>
            <w:tcW w:w="2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$0.7</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Redeemed During the Period</w:t>
            </w:r>
          </w:p>
        </w:tc>
        <w:tc>
          <w:tcPr>
            <w:tcW w:w="2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March 31, 2011 and March 31, 2010, respectively</w:t>
            </w:r>
          </w:p>
        </w:tc>
        <w:tc>
          <w:tcPr>
            <w:tcW w:w="2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$0.7</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January 5, 2011, the remaining $6.7 million of ARS were redeemed at carrying value.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policy is to recognize transfers in and transfers out as of the actual date of the event or of the change in circumstances that caused the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quarters ended March 31, 2011, and March 31, 2010, there were no transfers in or out of Levels 1, 2 or 3.</w:t>
      </w:r>
    </w:p>
    <w:p>
      <w:pPr>
        <w:spacing w:after="0" w:line="23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items listed below, the estimated fair value of all financial instruments approximates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The fair value for the items listed below was based on quoted market prices for the same or similar instruments.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40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Carrying</w:t>
            </w:r>
          </w:p>
        </w:tc>
        <w:tc>
          <w:tcPr>
            <w:tcW w:w="1180" w:type="dxa"/>
            <w:vAlign w:val="bottom"/>
            <w:shd w:val="clear" w:color="auto" w:fill="CCEEFF"/>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Instruments</w:t>
            </w:r>
          </w:p>
        </w:tc>
        <w:tc>
          <w:tcPr>
            <w:tcW w:w="4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0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4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March 31, 2011</w:t>
            </w:r>
          </w:p>
        </w:tc>
        <w:tc>
          <w:tcPr>
            <w:tcW w:w="4000" w:type="dxa"/>
            <w:vAlign w:val="bottom"/>
          </w:tcPr>
          <w:p>
            <w:pPr>
              <w:jc w:val="right"/>
              <w:ind w:right="190"/>
              <w:spacing w:after="0"/>
              <w:rPr>
                <w:sz w:val="20"/>
                <w:szCs w:val="20"/>
                <w:color w:val="auto"/>
              </w:rPr>
            </w:pPr>
            <w:r>
              <w:rPr>
                <w:rFonts w:ascii="Arial" w:cs="Arial" w:eastAsia="Arial" w:hAnsi="Arial"/>
                <w:sz w:val="18"/>
                <w:szCs w:val="18"/>
                <w:color w:val="auto"/>
              </w:rPr>
              <w:t>$784.0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$779.0</w:t>
            </w:r>
          </w:p>
        </w:tc>
      </w:tr>
      <w:tr>
        <w:trPr>
          <w:trHeight w:val="223"/>
        </w:trPr>
        <w:tc>
          <w:tcPr>
            <w:tcW w:w="20" w:type="dxa"/>
            <w:vAlign w:val="bottom"/>
          </w:tcPr>
          <w:p>
            <w:pPr>
              <w:spacing w:after="0"/>
              <w:rPr>
                <w:sz w:val="19"/>
                <w:szCs w:val="19"/>
                <w:color w:val="auto"/>
              </w:rPr>
            </w:pPr>
          </w:p>
        </w:tc>
        <w:tc>
          <w:tcPr>
            <w:tcW w:w="62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2010</w:t>
            </w:r>
          </w:p>
        </w:tc>
        <w:tc>
          <w:tcPr>
            <w:tcW w:w="4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$785.0</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$796.7</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REGULATORY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2010 Rate Case. </w:t>
      </w:r>
      <w:r>
        <w:rPr>
          <w:rFonts w:ascii="Arial" w:cs="Arial" w:eastAsia="Arial" w:hAnsi="Arial"/>
          <w:sz w:val="16"/>
          <w:szCs w:val="16"/>
          <w:color w:val="auto"/>
        </w:rPr>
        <w:t>On November 2, 2009, Minnesota Power filed an $81 million retail rate increase request to recover the costs of significant investments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current and future system reliability, enhance 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45.71 percent debt.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REGULATORY MATTERS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 2010, Minnesota Power received a written order from the MPUC approving a retail rate increase of approximately $54 million, a 10.38 percent return on common equity and a 54.29 percent equity ratio, subject to reconsideration. In an order dated January 20, 2011, the MPUC denied all reconsideration requests. Compliance filings were submitted in March 2011. Comments on the Company’s proposed rate implementation were received from the Minnesota Office of the Attorney General and the Office of Energy Security, and final action by the MPUC is expected in the second quarter of 2011. Minnesota Power will continue to collect interim rates from its customers until the new rates go into effect, currently estimated to be in June or July 2011. We expect no interim rate refunds will be issued.</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a stipulation and settlement agreement approved by the MPUC as part of this rate case, Minnesota Power agreed to forgo collection of $20.5 million in revenue receivable that it was entitled to under a prior rider for the Boswell Unit 3 environmental retrofit. The agreement required the Company to capitalize, as part of rate base, the $20.5 million to property, plant and equipment representing AFUDC. In conjunction with the settlement agreement, and upon receipt of the final rate order in February 2011, the Company reversed a $6.2 million deferred tax liability related to the revenue receivable Minnesota Power agreed to forgo. The $20.5 million revenue receivable was previously included in Regulatory Assets on the Company’s consolidated balance sheet.</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2011, Minnesota Power timely filed an appeal of the MPUC’s interim rate decision in the Company’s 2010 rate case with the Minnesota Court of Appeals. The Company is appealing the MPUC’s interim rate decision finding of exigent circumstances in the interim rate decision with the primary argument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The Company’s initial brief was filed on April 25, 2011. If the appeal is successful, the Minnesota Court of Appeals will remand the case to the MPUC for further action consistent with its decision. The Company cannot predict the outcome of the matter at this time.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Power’s non-affiliated municipal customers consist of 16 municipalities in Minnesota and 1 private utility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a wholly-owned subsidiary of ALLETE, is also a private utility in Wisconsin and a customer of Minnesota Power. In 2008, Minnesota Power entered into formula-based rate contracts with these customers. The rates included in these contracts are calculated using a cost-based formula methodology that is set at the beginning of the year using estimated costs, and provides for a true-up calculation for actual costs. The estimated true-up is recorded in the current year, then finalized and billed or paid to customers in the following year. The contracts include a termination clause requiring a three year notice to terminate. To date, no termination notices have been received.</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2010 Wisconsin Rate Increase. </w:t>
      </w:r>
      <w:r>
        <w:rPr>
          <w:rFonts w:ascii="Arial" w:cs="Arial" w:eastAsia="Arial" w:hAnsi="Arial"/>
          <w:sz w:val="18"/>
          <w:szCs w:val="18"/>
          <w:color w:val="auto"/>
        </w:rPr>
        <w:t>SWL&amp;P’s 2011 retail rates are based on a 2010 PSCW retail rate order, effective January 1, 2011, that allows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The new rates reflect a 2.4 percent average increase in retail utility rates for SWL&amp;P customers (a 12.8 percent increase in water rates, a 2.5 percent increase in natural gas rates and a 0.7 percent increase in electric rates). On an annualized basis, the rate increase will generate approximately $2 million in additional revenue.</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as regulatory assets, which are probable of recovery in future utility rates. Regulatory liabilities represent amounts expected to be credited to customers in rates. No regulatory assets or liabilities are currently earning a return.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REGULATORY MATTERS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Regulatory Assets and Liabilities</w:t>
            </w: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1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Deferred Fuel</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80"/>
              <w:spacing w:after="0"/>
              <w:rPr>
                <w:sz w:val="20"/>
                <w:szCs w:val="20"/>
                <w:color w:val="auto"/>
              </w:rPr>
            </w:pPr>
            <w:r>
              <w:rPr>
                <w:rFonts w:ascii="Arial" w:cs="Arial" w:eastAsia="Arial" w:hAnsi="Arial"/>
                <w:sz w:val="18"/>
                <w:szCs w:val="18"/>
                <w:color w:val="auto"/>
              </w:rPr>
              <w:t>Total Current Regulatory Assets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19.1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Regulatory Assets</w:t>
            </w:r>
          </w:p>
        </w:tc>
        <w:tc>
          <w:tcPr>
            <w:tcW w:w="1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Future Benefit Obligations Under</w:t>
            </w:r>
          </w:p>
        </w:tc>
        <w:tc>
          <w:tcPr>
            <w:tcW w:w="1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Defined Benefit Pension and Other Postretirement Benefit Plans</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Boswell Unit 3 Environmental Rider</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Asset Retirement Obligation</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Case Expenses</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Premium on Reacquired Debt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Non-Current Regulatory Assets</w:t>
            </w: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288.5</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Regulatory Assets</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$307.6</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Regulatory Liabilities</w:t>
            </w:r>
          </w:p>
        </w:tc>
        <w:tc>
          <w:tcPr>
            <w:tcW w:w="1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$22.8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Plant Removal Obligations</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Non-Current Regulatory Liabilities</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$45.4</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i w:val="1"/>
                <w:iCs w:val="1"/>
                <w:color w:val="auto"/>
                <w:w w:val="99"/>
              </w:rPr>
              <w:t>(a)  Current regulatory assets are included in prepayments and other on the consolidated balance sheet.</w:t>
            </w:r>
          </w:p>
        </w:tc>
        <w:tc>
          <w:tcPr>
            <w:tcW w:w="1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ATC</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FERC approved and are based on a 12.2 percent return on common equity dedicated to utility plant. We account for our investment in ATC under the equity method of accounting. As of March 31, 2011, our equity investment balance in ATC was $94.8 million ($93.3 million as of December 31, 2010). In the first quarter of 2011, we invested $0.8 million in ATC, and on April 29, 2011, we invested an additional $0.6 million. We expect to invest an additional $0.6 million in 2011 in ATC.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2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Balance as of December 31, 2010</w:t>
            </w:r>
          </w:p>
        </w:tc>
        <w:tc>
          <w:tcPr>
            <w:tcW w:w="2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Investments</w:t>
            </w:r>
          </w:p>
        </w:tc>
        <w:tc>
          <w:tcPr>
            <w:tcW w:w="226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Equity in ATC Earnings</w:t>
            </w:r>
          </w:p>
        </w:tc>
        <w:tc>
          <w:tcPr>
            <w:tcW w:w="2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Distributed ATC Earnings</w:t>
            </w:r>
          </w:p>
        </w:tc>
        <w:tc>
          <w:tcPr>
            <w:tcW w:w="2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 Balance as of March 31, 2011</w:t>
            </w:r>
          </w:p>
        </w:tc>
        <w:tc>
          <w:tcPr>
            <w:tcW w:w="2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520" w:type="dxa"/>
            <w:vAlign w:val="bottom"/>
            <w:gridSpan w:val="2"/>
          </w:tcPr>
          <w:p>
            <w:pPr>
              <w:spacing w:after="0"/>
              <w:rPr>
                <w:sz w:val="20"/>
                <w:szCs w:val="20"/>
                <w:color w:val="auto"/>
              </w:rPr>
            </w:pPr>
            <w:r>
              <w:rPr>
                <w:rFonts w:ascii="Arial" w:cs="Arial" w:eastAsia="Arial" w:hAnsi="Arial"/>
                <w:sz w:val="18"/>
                <w:szCs w:val="18"/>
                <w:color w:val="auto"/>
              </w:rPr>
              <w:t>ATC's summarized financial data for the quarter ended March 31, 2011 and 2010, is as follows:</w:t>
            </w:r>
          </w:p>
        </w:tc>
        <w:tc>
          <w:tcPr>
            <w:tcW w:w="2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90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ATC Summarized Financial Data</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Operating Expense</w:t>
            </w:r>
          </w:p>
        </w:tc>
        <w:tc>
          <w:tcPr>
            <w:tcW w:w="2260" w:type="dxa"/>
            <w:vAlign w:val="bottom"/>
          </w:tcPr>
          <w:p>
            <w:pPr>
              <w:jc w:val="right"/>
              <w:spacing w:after="0"/>
              <w:rPr>
                <w:sz w:val="20"/>
                <w:szCs w:val="20"/>
                <w:color w:val="auto"/>
              </w:rPr>
            </w:pPr>
            <w:r>
              <w:rPr>
                <w:rFonts w:ascii="Arial" w:cs="Arial" w:eastAsia="Arial" w:hAnsi="Arial"/>
                <w:sz w:val="18"/>
                <w:szCs w:val="18"/>
                <w:color w:val="auto"/>
              </w:rPr>
              <w:t>63.1</w:t>
            </w:r>
          </w:p>
        </w:tc>
        <w:tc>
          <w:tcPr>
            <w:tcW w:w="640" w:type="dxa"/>
            <w:vAlign w:val="bottom"/>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8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ALLETE’s Equity in Net Income</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Total short-term debt outstanding as of March 31, 2011, was $13.5 million ($14.4 million as of December 31, 2010) and consisted of long-term debt due within one year and notes payable.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No long-term debt was issued in the first three months of 2011. As of March 31, 2011, long-term debt outstanding was $771.0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($771.6 million as of December 31, 2011).</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its Funded Debt to Total Capital (as the amounts are calculated in accordance with the respective long-term debt arrangements) of less than or equal to 0.65 to 1.00 measured quarterly. As of March 31, 2011,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2011, ALLETE was in compliance with its financial covenants.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(EXPENSE)</w:t>
      </w:r>
    </w:p>
    <w:p>
      <w:pPr>
        <w:spacing w:after="0" w:line="252"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52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AFUDC – Equity</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Investment and Other Income (Expense)</w:t>
            </w: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NOTE 9. INCOME TAX EXPENSE</w:t>
            </w:r>
          </w:p>
        </w:tc>
        <w:tc>
          <w:tcPr>
            <w:tcW w:w="4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88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8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 (Benefit)</w:t>
            </w:r>
          </w:p>
        </w:tc>
        <w:tc>
          <w:tcPr>
            <w:tcW w:w="4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4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Tax Expense</w:t>
            </w: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w:t>
            </w:r>
          </w:p>
        </w:tc>
        <w:tc>
          <w:tcPr>
            <w:tcW w:w="4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4280" w:type="dxa"/>
            <w:vAlign w:val="bottom"/>
          </w:tcPr>
          <w:p>
            <w:pPr>
              <w:jc w:val="right"/>
              <w:spacing w:after="0"/>
              <w:rPr>
                <w:sz w:val="20"/>
                <w:szCs w:val="20"/>
                <w:color w:val="auto"/>
              </w:rPr>
            </w:pPr>
            <w:r>
              <w:rPr>
                <w:rFonts w:ascii="Arial" w:cs="Arial" w:eastAsia="Arial" w:hAnsi="Arial"/>
                <w:sz w:val="18"/>
                <w:szCs w:val="18"/>
                <w:color w:val="auto"/>
              </w:rPr>
              <w:t>6.8</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4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Deferred Tax Credits</w:t>
            </w: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Tax Expense</w:t>
            </w: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4280" w:type="dxa"/>
            <w:vAlign w:val="bottom"/>
          </w:tcPr>
          <w:p>
            <w:pPr>
              <w:jc w:val="right"/>
              <w:spacing w:after="0"/>
              <w:rPr>
                <w:sz w:val="20"/>
                <w:szCs w:val="20"/>
                <w:color w:val="auto"/>
              </w:rPr>
            </w:pPr>
            <w:r>
              <w:rPr>
                <w:rFonts w:ascii="Arial" w:cs="Arial" w:eastAsia="Arial" w:hAnsi="Arial"/>
                <w:sz w:val="18"/>
                <w:szCs w:val="18"/>
                <w:color w:val="auto"/>
              </w:rPr>
              <w:t>$8.2</w:t>
            </w: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340" w:hanging="332"/>
        <w:spacing w:after="0" w:line="28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federal and state current tax expense of zero and $0.1 million, respectively, for the quarter ended March 31, 2011, is due to a net operating loss (NOL) which resulted primarily from the bonus depreciation provision in the Tax Relief, Unemployment Insurance Reauthorization and Job Creation Act of 2010. The 2011 federal and state NOL will be carried forward to offset future taxable income. For the quarter ended March 31, 2010, we recorded a current tax expense, as the Small Business Jobs Act of 2010 was passed into law in the third quarter of 2010. The bonus depreciation provision of this legislation and tax planning initiatives resulted in a NOL and overall current tax benefit for the year ended December 31, 2010.</w:t>
      </w:r>
    </w:p>
    <w:p>
      <w:pPr>
        <w:jc w:val="both"/>
        <w:ind w:left="340" w:hanging="332"/>
        <w:spacing w:after="0" w:line="255"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quarter ended March 31, 2011, includes a reversal of a $6.2 million deferred tax liability related to a revenue receivable that Minnesota Power agreed to forgo as part of a stipulation and settlement agreement in its 2010 rate case. Included in 2010 is a charge of $4.0 million as a result of PPACA eliminating the tax deduction for expenses that are reimbursed under Medicare Part D beginning January 1, 2013.</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INCOME TAX EXPENSE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 ended March 31, 2011, the effective tax rate was 18.1 percent (46.6 percent for the quarter ended March 31, 2010). Excluding the non-recurring tax items recorded in the first quarters of 2011 and 2010, as described above, the effective tax rates were 31.8 percent and 37.2 percent, respectively. The effective tax rate for both years, excluding their respective non-recurring items, deviated from the statutory rate of approximately 41 percent primarily due to deductions for AFUDC-Equity, investment tax credits, renewable tax credits, and depletion.</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2011, we had gross unrecognized tax benefits of $11.3 million. Of this total, $0.6 million represents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unrecognized tax benefits that, if recognized, would favorably impact the effective income tax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total amount of unrecognized tax benefits as of March 31, 2011, will change by an immaterial amount in the next 12 months.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comprehensive income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3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Gain on Securities</w:t>
            </w:r>
          </w:p>
        </w:tc>
        <w:tc>
          <w:tcPr>
            <w:tcW w:w="3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of income taxes of $0.6 and $–</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60"/>
              <w:spacing w:after="0" w:line="201" w:lineRule="exact"/>
              <w:rPr>
                <w:sz w:val="20"/>
                <w:szCs w:val="20"/>
                <w:color w:val="auto"/>
              </w:rPr>
            </w:pPr>
            <w:r>
              <w:rPr>
                <w:rFonts w:ascii="Arial" w:cs="Arial" w:eastAsia="Arial" w:hAnsi="Arial"/>
                <w:sz w:val="18"/>
                <w:szCs w:val="18"/>
                <w:color w:val="auto"/>
              </w:rPr>
              <w:t>Defined Benefit Pension and Other Postretirement Plans</w:t>
            </w:r>
          </w:p>
        </w:tc>
        <w:tc>
          <w:tcPr>
            <w:tcW w:w="3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180" w:type="dxa"/>
            <w:vAlign w:val="bottom"/>
          </w:tcPr>
          <w:p>
            <w:pPr>
              <w:ind w:left="280"/>
              <w:spacing w:after="0"/>
              <w:rPr>
                <w:sz w:val="20"/>
                <w:szCs w:val="20"/>
                <w:color w:val="auto"/>
              </w:rPr>
            </w:pPr>
            <w:r>
              <w:rPr>
                <w:rFonts w:ascii="Arial" w:cs="Arial" w:eastAsia="Arial" w:hAnsi="Arial"/>
                <w:sz w:val="18"/>
                <w:szCs w:val="18"/>
                <w:color w:val="auto"/>
              </w:rPr>
              <w:t>Net of income taxes of $0.3 and $0.2</w:t>
            </w:r>
          </w:p>
        </w:tc>
        <w:tc>
          <w:tcPr>
            <w:tcW w:w="3620" w:type="dxa"/>
            <w:vAlign w:val="bottom"/>
          </w:tcPr>
          <w:p>
            <w:pPr>
              <w:jc w:val="right"/>
              <w:spacing w:after="0"/>
              <w:rPr>
                <w:sz w:val="20"/>
                <w:szCs w:val="20"/>
                <w:color w:val="auto"/>
              </w:rPr>
            </w:pPr>
            <w:r>
              <w:rPr>
                <w:rFonts w:ascii="Arial" w:cs="Arial" w:eastAsia="Arial" w:hAnsi="Arial"/>
                <w:sz w:val="18"/>
                <w:szCs w:val="18"/>
                <w:color w:val="auto"/>
              </w:rPr>
              <w:t>0.4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23"/>
        </w:trPr>
        <w:tc>
          <w:tcPr>
            <w:tcW w:w="20" w:type="dxa"/>
            <w:vAlign w:val="bottom"/>
          </w:tcPr>
          <w:p>
            <w:pPr>
              <w:spacing w:after="0"/>
              <w:rPr>
                <w:sz w:val="19"/>
                <w:szCs w:val="19"/>
                <w:color w:val="auto"/>
              </w:rPr>
            </w:pPr>
          </w:p>
        </w:tc>
        <w:tc>
          <w:tcPr>
            <w:tcW w:w="71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w:t>
            </w:r>
          </w:p>
        </w:tc>
        <w:tc>
          <w:tcPr>
            <w:tcW w:w="3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3620" w:type="dxa"/>
            <w:vAlign w:val="bottom"/>
          </w:tcPr>
          <w:p>
            <w:pPr>
              <w:jc w:val="right"/>
              <w:spacing w:after="0"/>
              <w:rPr>
                <w:sz w:val="20"/>
                <w:szCs w:val="20"/>
                <w:color w:val="auto"/>
              </w:rPr>
            </w:pPr>
            <w:r>
              <w:rPr>
                <w:rFonts w:ascii="Arial" w:cs="Arial" w:eastAsia="Arial" w:hAnsi="Arial"/>
                <w:sz w:val="18"/>
                <w:szCs w:val="18"/>
                <w:color w:val="auto"/>
              </w:rPr>
              <w:t>$38.4</w:t>
            </w:r>
          </w:p>
        </w:tc>
        <w:tc>
          <w:tcPr>
            <w:tcW w:w="60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Non-Controlling Interest in Subsidiaries</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 Attributable to ALLETE</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difference between basic and diluted earnings per share, if any, arises from outstanding stock options and performance share awards granted under our Executive and Director Long-Term Incentive Compensation Plans. For the quarter ended March 31, 2011, 0.4 million options to purchase shares of common stock were excluded from the computation of diluted earnings per share because the option exercise prices were greater than the average market prices; therefore, their effect would have been anti-dilutive. For the quarter ended March 31, 2010, 0.6 million options to purchase shares of common stock were excluded from the computation of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Reconciliation of Basic and Diluted</w:t>
            </w:r>
          </w:p>
        </w:tc>
        <w:tc>
          <w:tcPr>
            <w:tcW w:w="29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Dilutive</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5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43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Basic SecuritiesDiluted</w:t>
            </w:r>
          </w:p>
        </w:tc>
        <w:tc>
          <w:tcPr>
            <w:tcW w:w="1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Basic SecuritiesDiluted</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2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Attributable to ALLETE</w:t>
            </w:r>
          </w:p>
        </w:tc>
        <w:tc>
          <w:tcPr>
            <w:tcW w:w="2920" w:type="dxa"/>
            <w:vAlign w:val="bottom"/>
          </w:tcPr>
          <w:p>
            <w:pPr>
              <w:jc w:val="right"/>
              <w:spacing w:after="0"/>
              <w:rPr>
                <w:sz w:val="20"/>
                <w:szCs w:val="20"/>
                <w:color w:val="auto"/>
              </w:rPr>
            </w:pPr>
            <w:r>
              <w:rPr>
                <w:rFonts w:ascii="Arial" w:cs="Arial" w:eastAsia="Arial" w:hAnsi="Arial"/>
                <w:sz w:val="18"/>
                <w:szCs w:val="18"/>
                <w:color w:val="auto"/>
              </w:rPr>
              <w:t>$37.2</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PENSION AND OTHER POSTRETIREMENT BENEFIT PLANS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Pension</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Postretirement</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3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For the Quarter Ended March 31,</w:t>
            </w:r>
          </w:p>
        </w:tc>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Cost</w:t>
            </w:r>
          </w:p>
        </w:tc>
        <w:tc>
          <w:tcPr>
            <w:tcW w:w="3300" w:type="dxa"/>
            <w:vAlign w:val="bottom"/>
          </w:tcPr>
          <w:p>
            <w:pPr>
              <w:jc w:val="right"/>
              <w:spacing w:after="0"/>
              <w:rPr>
                <w:sz w:val="20"/>
                <w:szCs w:val="20"/>
                <w:color w:val="auto"/>
              </w:rPr>
            </w:pPr>
            <w:r>
              <w:rPr>
                <w:rFonts w:ascii="Arial" w:cs="Arial" w:eastAsia="Arial" w:hAnsi="Arial"/>
                <w:sz w:val="18"/>
                <w:szCs w:val="18"/>
                <w:color w:val="auto"/>
              </w:rPr>
              <w:t>6.9</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30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quarter ended March 31, 2011, no contributions were made to our defined benefit pension plan (no contributions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March 31, 2010) and $10.9 million was contributed to our other postretirement benefit plan ($2.6 million for the quarter ended March 31, 2010). We expect to make approximately $2 million in contributions to our defined benefit pension plan and an additional $1 million to our other postretirement benefit plan in 2011.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provides guidance for employers that sponsor postretirement health care plans that provide prescription drug benefits. We provide postretirement health benefits that include prescription drug benefits, which qualify us for the federal subsidy under the Act. For the quarter ended March 31, 2011, we received $0.2 million in prescription drug reimbursements.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Agreements. </w:t>
      </w:r>
      <w:r>
        <w:rPr>
          <w:rFonts w:ascii="Arial" w:cs="Arial" w:eastAsia="Arial" w:hAnsi="Arial"/>
          <w:sz w:val="18"/>
          <w:szCs w:val="18"/>
          <w:color w:val="auto"/>
        </w:rPr>
        <w:t>Our long-term PPAs have been evaluated under the accounting guidance for variable interest entities. We have determined that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we have no variable interest in the PPA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fixed capacity and energy payments.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power pool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We expect debt service, operating and maintenance, and depreciation expenses for Square Butte to increase in 2011 due to environmental compliance obligations. As of March 31, 2011, Square Butte had total debt outstanding of $369.4 million. Annual debt service for Square Butte is expected to be approximately $39 million in each of the five years, 2011 through 2015, of which Minnesota Power’s obligation is 50 percent. Fuel expenses are recoverable through our fuel adjustment clause and include the cost of coal purchased from BNI Coal, our subsidiary, under a long-term contract.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conjunction with the purchase of the existing 250 kV DC transmission line from Square Butte in December 2009,</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entered into a power sales agreement with Minnkota Power. Under the power sales 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 power will be sold under this agreement until Minnkota Power has placed in service a new AC transmission line, which is anticipated to occur in 2013.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new AC transmission line will allow Minnkota Power to transmit its entitlement from Square Butte directly to its customers, which, in turn, will enable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to transmit new wind generation on the DC transmission line.</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Wind PPAs. </w:t>
      </w:r>
      <w:r>
        <w:rPr>
          <w:rFonts w:ascii="Arial" w:cs="Arial" w:eastAsia="Arial" w:hAnsi="Arial"/>
          <w:sz w:val="16"/>
          <w:szCs w:val="16"/>
          <w:color w:val="auto"/>
        </w:rPr>
        <w:t>In 2006 and 2007, Minnesota Power entered into two long-term wind PPAs with an affiliate of NextEra Energy, Inc. to purchase the output from</w:t>
      </w:r>
      <w:r>
        <w:rPr>
          <w:rFonts w:ascii="Arial" w:cs="Arial" w:eastAsia="Arial" w:hAnsi="Arial"/>
          <w:sz w:val="16"/>
          <w:szCs w:val="16"/>
          <w:i w:val="1"/>
          <w:iCs w:val="1"/>
          <w:color w:val="auto"/>
        </w:rPr>
        <w:t xml:space="preserve"> </w:t>
      </w:r>
      <w:r>
        <w:rPr>
          <w:rFonts w:ascii="Arial" w:cs="Arial" w:eastAsia="Arial" w:hAnsi="Arial"/>
          <w:sz w:val="16"/>
          <w:szCs w:val="16"/>
          <w:color w:val="auto"/>
        </w:rPr>
        <w:t>two wind facilities, Oliver Wind I (50 MW) and Oliver Wind II (48 MW), located near Center, North Dakota. Each agreement is for 25 years and provides for the purchase of all output from the facilities at fixed prices. There are no fixed capacity charges and we only pay for energy as it is delivered to us.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PPA. </w:t>
      </w:r>
      <w:r>
        <w:rPr>
          <w:rFonts w:ascii="Arial" w:cs="Arial" w:eastAsia="Arial" w:hAnsi="Arial"/>
          <w:sz w:val="18"/>
          <w:szCs w:val="18"/>
          <w:color w:val="auto"/>
        </w:rPr>
        <w:t>Minnesota Power has a PPA with Manitoba Hydro that began in May 2009 and expires in April 2015. Under the agreement with Manitoba</w:t>
      </w:r>
      <w:r>
        <w:rPr>
          <w:rFonts w:ascii="Arial" w:cs="Arial" w:eastAsia="Arial" w:hAnsi="Arial"/>
          <w:sz w:val="18"/>
          <w:szCs w:val="18"/>
          <w:i w:val="1"/>
          <w:iCs w:val="1"/>
          <w:color w:val="auto"/>
        </w:rPr>
        <w:t xml:space="preserve"> </w:t>
      </w:r>
      <w:r>
        <w:rPr>
          <w:rFonts w:ascii="Arial" w:cs="Arial" w:eastAsia="Arial" w:hAnsi="Arial"/>
          <w:sz w:val="18"/>
          <w:szCs w:val="18"/>
          <w:color w:val="auto"/>
        </w:rPr>
        <w:t>Hydro, Minnesota Power is currently purchasing 50 MW of capacity and the energy associated with that capacity. Both the capacity price and the energy price are adjusted annually by the change in a governmental inflationary index.</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2010, Minnesota Power signed a definitive agreement with Manitoba Hydro to purchase surplus energy beginning in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March 11, 2011, the MPUC approved our PPA with Manitoba Hydro.</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On December 31, 2009, we purchased an existing 250 kV DC transmission line from Square Butte for $69.7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The 465-mile transmission line runs from Center, North Dakota to Duluth, Minnesota. We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1 is a two phase, 82 MW wind project in North Dakota. All permitting has been received and the first phase was completed in 2010. Phase one included the construction of a 22-mile, 230 kV transmission line and the installation of sixteen 2.3-MW wind turbines, all of which were in-service at the end of 2010. Phase two is expected to be completed in late 2011 and consists of the installation of fifteen 3.0-MW wind turbines. Bison 1 is expected to have a total capital cost of approximately $177 million, of which $132.9 million was spent through March 31, 2011. In 2009, the MPUC approved Minnesota Power’s petition seeking current cost recovery for investments and expenditures related to Bison 1, and in July 2010, the MPUC approved our petition establishing rates effective August 1, 2010. On March 31, 2011, Minnesota Power petitioned the MPUC to update the rates for additional investments and expenditures related to Bison 1.</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Bison 2 is a 105 MW wind project in North Dakota which, if approved by the MPUC, is expected to be completed by the end of 2012. Total project cost is estimated to be approximately $160 million. Construction would begin upon the receipt of all regulatory and permitting approvals. Request for approval of the project was filed with the MPUC on March 24, 2011. On April 6, 2011, the request for site permit approval was submitted to the NDPSC. We will file for current cost recovery for Bison 2 from the MPUC once the project and related permitting have been approved.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and transportation agreements providing for the purchase and delivery of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our coal requirements. These coal and transportation agreements, including option terms, expire in various years between late 2011 and 2015. Our minimum annual payment obligation is $46.4 million in 2011, $16.6 million in 2012, and 16.2 million in 2013.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$8.1 million in 2011, $8.4 million in 2012, $8.5 million in 2013, $8.7 million in 2014, $8.4 million in 2015 and $44.7 million thereafter.</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are making investments in Upper Midwest transmission opportunities that strengthen or enhance the regional transmission grid.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include the CapX2020 initiative, investments in our transmission assets and our investment in ATC.</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 is currently participating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$15.4 million was spent through March 31, 2011. As future CapX2020 projects are identified, Minnesota Power may elect to participate on a project-by-project basis.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2010, the MPUC granted a route permit for the 28-mile, 345 kV transmission line between Monticello and St. Cloud. Construction of the project is expected to be completed in late 2011. The 210-mile, 345 kV transmission line from St. Cloud to Fargo is expected to be completed by 2015. Construction for the Bemidji to Grand Rapids 230 kV line project commenced in January 2011.</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approved cost recovery rider in place for certain transmission expenditures, and our current billing factor was approved by the MPUC in June 2009. The billing factor allows us to charge our retail customers on a current basis for the costs of constructing certain transmission facilities plus a return on the capital invested.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Square Butte, located in North Dakota, burns lignite coal. All of Minnesota Power’s generating facilities are equipped with pollution control equipment such as scrubbers, bag houses and low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technologies. At this time, these facilities are substantially compliant with applicable emission requirements.</w:t>
      </w:r>
    </w:p>
    <w:p>
      <w:pPr>
        <w:spacing w:after="0" w:line="2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w:t>
      </w:r>
      <w:r>
        <w:rPr>
          <w:rFonts w:ascii="Arial" w:cs="Arial" w:eastAsia="Arial" w:hAnsi="Arial"/>
          <w:sz w:val="17"/>
          <w:szCs w:val="17"/>
          <w:color w:val="auto"/>
        </w:rPr>
        <w:t>. In August 2008, Minnesota Power received a Notice of Violation (NOV) from the United States EPA asserting violations of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Source Review (NSR) requirements of the Clean Air Act at Boswell Units 1-4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2005 and 2006 should have been reviewed under the NSR requirements and that the Rapids Energy Center’s Title V permit was violated. Minnesota Power believes the projects in both NOVs were in full compliance with the Clean Air Act, NSR requirements and applicable permits. We are engaged in discussions with the EPA regarding resolution of these matters, but we are unable to predict the outcome of these discussions.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Since 2006, Minnesota Power has significantly reduced emissions at Laskin and Boswell, and continues to reduce emissions at Boswell.</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EPA Transport Rule</w:t>
      </w:r>
      <w:r>
        <w:rPr>
          <w:rFonts w:ascii="Arial" w:cs="Arial" w:eastAsia="Arial" w:hAnsi="Arial"/>
          <w:sz w:val="16"/>
          <w:szCs w:val="16"/>
          <w:color w:val="auto"/>
        </w:rPr>
        <w:t>. On July 6, 2010, the EPA proposed a rule known as the Transport Rule (TR) requiring 31 states, including Minnesota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Columbia, to reduce power plant SO</w:t>
      </w:r>
      <w:r>
        <w:rPr>
          <w:rFonts w:ascii="Arial" w:cs="Arial" w:eastAsia="Arial" w:hAnsi="Arial"/>
          <w:sz w:val="22"/>
          <w:szCs w:val="22"/>
          <w:color w:val="auto"/>
          <w:vertAlign w:val="subscript"/>
        </w:rPr>
        <w:t>2</w:t>
      </w:r>
      <w:r>
        <w:rPr>
          <w:rFonts w:ascii="Arial" w:cs="Arial" w:eastAsia="Arial" w:hAnsi="Arial"/>
          <w:sz w:val="16"/>
          <w:szCs w:val="16"/>
          <w:color w:val="auto"/>
        </w:rPr>
        <w:t xml:space="preserve"> and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emissions that can significantly contribute to ozone and fine particle pollution problems in other states. If adopted, the TR will replace the Clean Air Interstate Rule (CAIR) that was issued by the EPA in March 2005. Minnesota was included as one of the original 28 CAIR states but, following Minnesota Power’s successful challenge to CAIR, the EPA granted an administrative stay of the CAIR requirements in Minnesota while it prepared the TR. The proposed TR responds to the United States Court of Appeals for the District of Columbia Circuit’s remand of CAIR by replacing and reforming provisions to address updated air quality standards, improved emissions data and reformed emissions transport modeling.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EPA took public comments on the proposed rule through October 1, 2010, and plans to finalize the rule in July 2011. Emissions reductions are proposed to take effect in 2012, within one year of projected finalization of the rule.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 has not yet determined whether trading of emission allowances between regulated generating units or states may be implemented. Since 2006, we have made substantial investments in pollution control equipment at our Laskin, Taconite Harbor and Boswell generating units which have significantly reduced emissions. These reductions may satisfy Minnesota Power’s obligations with respect to these requirements. We are unable to predict any additional compliance costs we might incur at this time.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 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 A decision by the EPA is pending on whether to approve the Minnesota SIP. If approved, Minnesota Power will have five years to bring Taconite Harbor Unit 3 into compliance. It is uncertain what controls will ultimately be required at Taconite Harbor Unit 3 in connection with the regional haze rule.</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(NESHAPs) for Coal- and Oil-fired Electric Utility Steam Generating Units (EUSGU)</w:t>
      </w:r>
      <w:r>
        <w:rPr>
          <w:rFonts w:ascii="Arial" w:cs="Arial" w:eastAsia="Arial" w:hAnsi="Arial"/>
          <w:sz w:val="17"/>
          <w:szCs w:val="17"/>
          <w:color w:val="auto"/>
        </w:rPr>
        <w:t>.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112 of the Clean Air Act, the EPA is required to set emission standards for hazardous air pollutants for certain source categories. In December 2009, Minnesota Power and other utilities received an Information Collection Request from the EPA requiring that emissions data be provided and stack testing be performed in order to develop a database upon which to base future regulations. In March 2010, Minnesota Power responded to the Information Collection Request. Stack testing was completed during the third quarter of 2010 and the results were submitted to the EPA. The EPA released their proposed EUSGU NESHAPs rule on March 16, 2011. As part of the NESHAPs rulemaking, the EPA will develop Maximum Achievable Control Technology standards for utilities. Minnesota Power is still in the process of reviewing the proposed rule. Costs for complying with potential future mercury and other hazardous air pollutant regulations under the Clean Air Act cannot be estimated at this time.</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2010, the EPA proposed four rules addressing hazardous air pollutant emissions from industrial boilers and solid waste incinerators and redefining solid waste. Comments on these proposed rules were due in August 2010, with final rules expected in early 2011. On March 21, 2011, the final rules were published in the Federal Register. Major sources have three years to achieve compliance with the final rules. Minnesota Power is in the process of reviewing the rules to determine the potential impact on our facilities. These rules may result in additional control measures being required at Rapids Energy Center and Hibbard. Costs for complying with these proposed rules cannot be estimated at this time.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Minnesota Mercury Emission Reduction Act</w:t>
      </w:r>
      <w:r>
        <w:rPr>
          <w:rFonts w:ascii="Arial" w:cs="Arial" w:eastAsia="Arial" w:hAnsi="Arial"/>
          <w:sz w:val="18"/>
          <w:szCs w:val="18"/>
          <w:color w:val="auto"/>
        </w:rPr>
        <w:t>. Under Minnesota law, a mercury emissions reduction plan for Boswell Unit 4 is required to be submitted by July</w:t>
      </w:r>
      <w:r>
        <w:rPr>
          <w:rFonts w:ascii="Arial" w:cs="Arial" w:eastAsia="Arial" w:hAnsi="Arial"/>
          <w:sz w:val="18"/>
          <w:szCs w:val="18"/>
          <w:i w:val="1"/>
          <w:iCs w:val="1"/>
          <w:color w:val="auto"/>
        </w:rPr>
        <w:t xml:space="preserve"> </w:t>
      </w:r>
      <w:r>
        <w:rPr>
          <w:rFonts w:ascii="Arial" w:cs="Arial" w:eastAsia="Arial" w:hAnsi="Arial"/>
          <w:sz w:val="18"/>
          <w:szCs w:val="18"/>
          <w:color w:val="auto"/>
        </w:rPr>
        <w:t>1, 2015, with implementation no later than December 31, 2018. The statute also calls for an evaluation of a mercury control alternative which provides for environmental and public health benefits without imposing excessive costs on the utility’s customers. Costs for the Boswell Unit 4 emission reduction plan cannot be estimated at this time.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w:t>
      </w:r>
      <w:r>
        <w:rPr>
          <w:rFonts w:ascii="Arial" w:cs="Arial" w:eastAsia="Arial" w:hAnsi="Arial"/>
          <w:sz w:val="18"/>
          <w:szCs w:val="18"/>
          <w:color w:val="auto"/>
        </w:rPr>
        <w:t>The EPA is required to review the National Ambient Air Quality Standards (NAAQS)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every five years. Each state is required to adopt plans describing how they will reduce emissions to attain these NAAQS if the state’s air quality is not in compliance with a NAAQS. These state plans often include more stringent air emission limitations on sources of air pollutants. Four NAAQS have either recently been revised or are currently proposed for revision, as described below.</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is proposing to more stringently control emissions that result in ground level ozone. In January 2010, the EPA proposed to reduce</w:t>
      </w:r>
      <w:r>
        <w:rPr>
          <w:rFonts w:ascii="Arial" w:cs="Arial" w:eastAsia="Arial" w:hAnsi="Arial"/>
          <w:sz w:val="17"/>
          <w:szCs w:val="17"/>
          <w:i w:val="1"/>
          <w:iCs w:val="1"/>
          <w:color w:val="auto"/>
        </w:rPr>
        <w:t xml:space="preserve"> </w:t>
      </w:r>
      <w:r>
        <w:rPr>
          <w:rFonts w:ascii="Arial" w:cs="Arial" w:eastAsia="Arial" w:hAnsi="Arial"/>
          <w:sz w:val="17"/>
          <w:szCs w:val="17"/>
          <w:color w:val="auto"/>
        </w:rPr>
        <w:t>the eight-hour ozone standard and to adopt a secondary standard for the protection of sensitive vegetation from ozone-related damage. The EPA expects to issue final standards by July 2011. As proposed, states have until early 2014 to submit plans outlining how they will meet the standards.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Particulate Matter NAAQS. </w:t>
      </w:r>
      <w:r>
        <w:rPr>
          <w:rFonts w:ascii="Arial" w:cs="Arial" w:eastAsia="Arial" w:hAnsi="Arial"/>
          <w:sz w:val="16"/>
          <w:szCs w:val="16"/>
          <w:color w:val="auto"/>
        </w:rPr>
        <w:t>The EPA finalized the NAAQS Particulate Matter standards in September 2006. The EPA established a more stringent 24-hour</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fine particulate (PM</w:t>
      </w:r>
      <w:r>
        <w:rPr>
          <w:rFonts w:ascii="Arial" w:cs="Arial" w:eastAsia="Arial" w:hAnsi="Arial"/>
          <w:sz w:val="22"/>
          <w:szCs w:val="22"/>
          <w:color w:val="auto"/>
          <w:vertAlign w:val="subscript"/>
        </w:rPr>
        <w:t>2.5</w:t>
      </w:r>
      <w:r>
        <w:rPr>
          <w:rFonts w:ascii="Arial" w:cs="Arial" w:eastAsia="Arial" w:hAnsi="Arial"/>
          <w:sz w:val="16"/>
          <w:szCs w:val="16"/>
          <w:color w:val="auto"/>
        </w:rPr>
        <w:t>) standard and kept the annual average fine particulate matter standard and the 24-hour coarse particulate matter standard unchanged. The District of Columbia Circuit Court of Appeals has remanded the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 to the EPA, requiring consideration of lower annual average standard values. The EPA plans to finalize the new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standards in 2011 and state attainment status determination will likely not occur prior to 2013. As early as late 2014, affected sources would have to take additional control measures if modeling demonstrates non-compliance at the property boundary. The EPA has indicated that ambient air quality monitoring for 2008 through 2010 will be used as a basis for states to characterize their attainment status.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25"/>
          <w:szCs w:val="25"/>
          <w:i w:val="1"/>
          <w:iCs w:val="1"/>
          <w:color w:val="auto"/>
          <w:vertAlign w:val="subscript"/>
        </w:rPr>
        <w:t>2</w:t>
      </w:r>
      <w:r>
        <w:rPr>
          <w:rFonts w:ascii="Arial" w:cs="Arial" w:eastAsia="Arial" w:hAnsi="Arial"/>
          <w:sz w:val="18"/>
          <w:szCs w:val="18"/>
          <w:i w:val="1"/>
          <w:iCs w:val="1"/>
          <w:color w:val="auto"/>
        </w:rPr>
        <w:t xml:space="preserve"> and NO</w:t>
      </w:r>
      <w:r>
        <w:rPr>
          <w:rFonts w:ascii="Arial" w:cs="Arial" w:eastAsia="Arial" w:hAnsi="Arial"/>
          <w:sz w:val="25"/>
          <w:szCs w:val="25"/>
          <w:i w:val="1"/>
          <w:iCs w:val="1"/>
          <w:color w:val="auto"/>
          <w:vertAlign w:val="subscript"/>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The EPA recently finalized a new one-hour NAAQS for SO</w:t>
      </w:r>
      <w:r>
        <w:rPr>
          <w:rFonts w:ascii="Arial" w:cs="Arial" w:eastAsia="Arial" w:hAnsi="Arial"/>
          <w:sz w:val="25"/>
          <w:szCs w:val="25"/>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25"/>
          <w:szCs w:val="25"/>
          <w:color w:val="auto"/>
          <w:vertAlign w:val="subscript"/>
        </w:rPr>
        <w:t>2</w:t>
      </w:r>
      <w:r>
        <w:rPr>
          <w:rFonts w:ascii="Arial" w:cs="Arial" w:eastAsia="Arial" w:hAnsi="Arial"/>
          <w:sz w:val="18"/>
          <w:szCs w:val="18"/>
          <w:color w:val="auto"/>
        </w:rPr>
        <w:t>. Monitoring data indicates that Minnesota will likely be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these new standards; however, the SO</w:t>
      </w:r>
      <w:r>
        <w:rPr>
          <w:rFonts w:ascii="Arial" w:cs="Arial" w:eastAsia="Arial" w:hAnsi="Arial"/>
          <w:sz w:val="25"/>
          <w:szCs w:val="25"/>
          <w:color w:val="auto"/>
          <w:vertAlign w:val="subscript"/>
        </w:rPr>
        <w:t>2</w:t>
      </w:r>
      <w:r>
        <w:rPr>
          <w:rFonts w:ascii="Arial" w:cs="Arial" w:eastAsia="Arial" w:hAnsi="Arial"/>
          <w:sz w:val="18"/>
          <w:szCs w:val="18"/>
          <w:color w:val="auto"/>
        </w:rPr>
        <w:t xml:space="preserve"> NAAQS also requires the EPA to evaluate modeling data to determine attainment. It is unclear what the outcome of this evaluation will be. These NAAQS could also result in more stringent emission limits on our steam generating facilities, possibly resulting in additional control measures on some of our units.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are unable to predict the nature or timing of any additional NAAQS regulation or compliance costs we might incur at this time.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Minnesota Power is addressing climate change by taking the following steps that also ensure reliable and environmentally compliant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resources to meet our customers’ requirements:</w:t>
      </w:r>
    </w:p>
    <w:p>
      <w:pPr>
        <w:spacing w:after="0" w:line="197"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overall carbon emission reductions.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On May 13,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PSD/Tailoring Rule establishes permitting thresholds required to address GHG emissions for new facilities, at existing facilities that undergo major modifications, and at other facilities characterized as major sources under the Clean Air Act’s Title V program.</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our existing facilities, the rule does not require amending our existing Title V Operating Permits to include GHG requirements. Implementation of the requirement to add GHG provisions to permits will be completed at the state level in Minnesota by the MPCA when the Title V permits are renewed. However, installation of new units or modification of existing units resulting in a significant increase in GHG emissions will require obtaining PSD permits and amending our operating permits to demonstrate that Best Available Control Technology (BACT) is being used at the facility to control GHG emissions. The EPA has defined significant emissions increase for existing sources as a GHG increase of 75,000 tons or more per year of total GHG on a CO</w:t>
      </w:r>
      <w:r>
        <w:rPr>
          <w:rFonts w:ascii="Arial" w:cs="Arial" w:eastAsia="Arial" w:hAnsi="Arial"/>
          <w:sz w:val="25"/>
          <w:szCs w:val="25"/>
          <w:color w:val="auto"/>
          <w:vertAlign w:val="subscript"/>
        </w:rPr>
        <w:t>2</w:t>
      </w:r>
      <w:r>
        <w:rPr>
          <w:rFonts w:ascii="Arial" w:cs="Arial" w:eastAsia="Arial" w:hAnsi="Arial"/>
          <w:sz w:val="18"/>
          <w:szCs w:val="18"/>
          <w:color w:val="auto"/>
        </w:rPr>
        <w:t xml:space="preserve"> equivalent basis.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these control technologies could be determined to be BACT on a project-by-project basis. In the near term, one option appears to be energy efficiency maximization.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challenges to the EPA’s regulation of GHG emissions, including the Tailoring Rule, have been filed by others and are awaiting judicial determination. Comments to the permitting guidance were also submitted by Minnesota Power and others and may be addressed by the EPA in the form of revised guidance documents.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to be obtained from the EPA (or, when delegated, from individual state pollution control agencies)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 We are in substantial compliance with these permits.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On April 20, 2011, the EPA published in the Federal Register proposed regulations under section 316(b) of the Clean</w:t>
      </w:r>
      <w:r>
        <w:rPr>
          <w:rFonts w:ascii="Arial" w:cs="Arial" w:eastAsia="Arial" w:hAnsi="Arial"/>
          <w:sz w:val="17"/>
          <w:szCs w:val="17"/>
          <w:i w:val="1"/>
          <w:iCs w:val="1"/>
          <w:color w:val="auto"/>
        </w:rPr>
        <w:t xml:space="preserve"> </w:t>
      </w:r>
      <w:r>
        <w:rPr>
          <w:rFonts w:ascii="Arial" w:cs="Arial" w:eastAsia="Arial" w:hAnsi="Arial"/>
          <w:sz w:val="17"/>
          <w:szCs w:val="17"/>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to limit the number of aquatic organisms that are killed when they are pinned against the facility’s intake structure or that are drawn into the facility’s cooling system. The section 316(b) standards would be implemented through NPDES permits issued to the covered facilities. Comments on the proposed rule are due 90 days after publication in the Federal Register. The EPA is obligated to finalize the rule by July 27, 2012. Minnesota Power is in the process of evaluating the potential impacts the proposed rule may have on its facilities. We are unable to predict the compliance costs we might incur; however, there is the possibility they could have a material impact on our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Coal Ash Management Facilities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generates coal ash at all five of its steam electric generating facilities. Two facilities store ash in onsite</w:t>
      </w:r>
      <w:r>
        <w:rPr>
          <w:rFonts w:ascii="Arial" w:cs="Arial" w:eastAsia="Arial" w:hAnsi="Arial"/>
          <w:sz w:val="18"/>
          <w:szCs w:val="18"/>
          <w:i w:val="1"/>
          <w:iCs w:val="1"/>
          <w:color w:val="auto"/>
        </w:rPr>
        <w:t xml:space="preserve"> </w:t>
      </w:r>
      <w:r>
        <w:rPr>
          <w:rFonts w:ascii="Arial" w:cs="Arial" w:eastAsia="Arial" w:hAnsi="Arial"/>
          <w:sz w:val="18"/>
          <w:szCs w:val="18"/>
          <w:color w:val="auto"/>
        </w:rPr>
        <w:t>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purposed rule were due in November 2010. It is estimated that the final rule will be published in mid-2012. We are unable to predict the compliance costs we might incur; however, there is the possibility they could have a material impact on our financial results.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within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At March 31, 2011, we have a $0.5 million liability for this site, and a corresponding regulatory asset as we expect recovery of remediation costs to be allowed by the PSCW.</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March 31, 2011, BNI Coal had surety bonds outstanding of $18.4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$10.0 million, of which $6.7 million is needed to meet the requirements for BNI Coal’s total reclamation liability currently estimated at $25.1 million. BNI Coal does not believe it is likely that any of these outstanding bonds will be drawn upon.</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2011, ALLETE Properties, through its subsidiaries, had surety bonds outstanding of $11.2 million primarily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and maintenance obligations to governmental entities to construct improvements in the Company’s various projects. The cost of the remaining work to be completed on these improvements is estimated to be approximately $9.0 million, and ALLETE Properties does not believe it is likely that any of these outstanding bonds will be drawn upon.</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of 2005, the Town Center District issued $26.4 million of tax-exempt, 6 percent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revenue bonds; and in May of 2006, the Palm Coast Park District issued $31.8 million of tax-exempt, 5.7 percent special assessment bonds.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annual assessments imposed, levied and collected by each district.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March 31, 2011, we owned 69 percent of the assessable land in the Town Center District (69 percent at December 31, 2010) and 93 percent of the assessable land in the Palm Coast Park District (93 percent at December 31, 2010). At these ownership levels our annual assessments are approximately $1.4 million for Town Center and $2.2 million for Palm Coast Park. As we sell property, the obligation to pay special assessments will pass to the new landowners. Under current accounting rules, these bonds are not reflected as debt on our consolidated balance sheet.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expense related to any damages that may result from the lawsuit has not been recorded as of March 31, 2011, because a potential loss is not currently probable or reasonably estimable; however, the Company believes it has adequate insurance coverage for any potential loss.</w:t>
      </w:r>
    </w:p>
    <w:p>
      <w:pPr>
        <w:spacing w:after="0" w:line="19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2010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22 of our 2010 Form 10-K. The risks and uncertainties described in this Form 10-Q and our 2010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144,000 retail customers and wholesale electric service to 16 municipalities. Minnesota Power also provides regulated utility electric service to 1 private utility in Wisconsin. SWL&amp;P provides regulated electric, natural gas and water service in northwestern Wisconsin to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This segment also includes a small amount of non-rate base generation, approximately 5,500 acres of land available-for-sale in Minnesota, and earnings on cash and investments.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2011, unless otherwise indicated. All subsidiaries are wholly owned unless otherwise specifically indicated. References in this report to “we,” “us” and “our” are to ALLETE and its subsidiaries, collectively.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quarter ended March 31, 2011, to the quarter ended March 31, 2010.</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ALLETE for the quarter ended March 31, 2011, was $37.2 million, or $1.07 per diluted share, compared to $23.0 million, or $0.68 per diluted share, for the same period of 2010. The first quarter of 2011 included the reversal of a $6.2 million, or $0.18 per share, deferred tax liability related to a revenue receivable Minnesota Power agreed to forgo as part of a stipulation and settlement agreement in its 2010 rate case (See Note 5. Regulatory Matters). Net income for the first quarter of 2010 was reduced by a $4.0 million, or $0.12 per share, income tax charge resulting from PPACA. The remaining increase over 2010 is attributable to an increase in MWh sales and current cost recovery rider revenue, partially offset by lower power marketing margins and higher expenses.</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$38.4 million for the first quarter of 2011, compared to $24.9 million for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2010. The first quarter of 2011 included the reversal of a $6.2 million deferred tax liability related to a revenue receivable Minnesota Power agreed to forgo as part of a stipulation and settlement agreement in its 2010 rate case. Net income for the first quarter of 2010 was reduced by a $3.6 million income tax charge resulting from PPACA. The remaining increase over 2010 is attributable to an increase in MWh sales and current cost recovery rider revenue, partially offset by lower power marketing margins and higher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OVERVIEW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reflected a net loss attributable to ALLETE of $1.2 million in the first quarter of 2011, compared to a net loss of $1.9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2010. Contributing to the decreased losses were lower losses at ALLETE Properties due to a reduction in operating expenses. Income tax expense in 2010 also included a $0.4 million charge resulting from PPACA.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MARCH 31, 2011 AND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$6.9 million, or 3 percent, from 2010 primarily due to increased sales to our retail and municipal customers,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cost recovery rider revenue, and higher fuel clause recoveries. These increases were partially offset by lower sales to Other Power Suppliers.</w:t>
      </w:r>
    </w:p>
    <w:p>
      <w:pPr>
        <w:spacing w:after="0" w:line="15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and kilowatt-hour sales to retail and municipal customers increased $10.2 million and 17.4 percent, respectively, from 2010 primarily due to a 28.6 percent increase in sales to our industrial customers. Increased revenue from our industrial sales was partially offset by a 32.8 percent decrease in kilowatt-hour sales to Other Power Suppliers.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Quantity</w:t>
            </w: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Ended March 31,</w:t>
            </w:r>
          </w:p>
        </w:tc>
        <w:tc>
          <w:tcPr>
            <w:tcW w:w="3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Variance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Variance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Regulated Utility</w:t>
            </w: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and Municipals</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560"/>
              <w:spacing w:after="0"/>
              <w:rPr>
                <w:sz w:val="20"/>
                <w:szCs w:val="20"/>
                <w:color w:val="auto"/>
              </w:rPr>
            </w:pPr>
            <w:r>
              <w:rPr>
                <w:rFonts w:ascii="Arial" w:cs="Arial" w:eastAsia="Arial" w:hAnsi="Arial"/>
                <w:sz w:val="18"/>
                <w:szCs w:val="18"/>
                <w:color w:val="auto"/>
              </w:rPr>
              <w:t>Residential</w:t>
            </w:r>
          </w:p>
        </w:tc>
        <w:tc>
          <w:tcPr>
            <w:tcW w:w="3260" w:type="dxa"/>
            <w:vAlign w:val="bottom"/>
          </w:tcPr>
          <w:p>
            <w:pPr>
              <w:jc w:val="right"/>
              <w:ind w:right="90"/>
              <w:spacing w:after="0"/>
              <w:rPr>
                <w:sz w:val="20"/>
                <w:szCs w:val="20"/>
                <w:color w:val="auto"/>
              </w:rPr>
            </w:pPr>
            <w:r>
              <w:rPr>
                <w:rFonts w:ascii="Arial" w:cs="Arial" w:eastAsia="Arial" w:hAnsi="Arial"/>
                <w:sz w:val="18"/>
                <w:szCs w:val="18"/>
                <w:color w:val="auto"/>
              </w:rPr>
              <w:t>362</w:t>
            </w:r>
          </w:p>
        </w:tc>
        <w:tc>
          <w:tcPr>
            <w:tcW w:w="740" w:type="dxa"/>
            <w:vAlign w:val="bottom"/>
          </w:tcPr>
          <w:p>
            <w:pPr>
              <w:jc w:val="right"/>
              <w:spacing w:after="0"/>
              <w:rPr>
                <w:sz w:val="20"/>
                <w:szCs w:val="20"/>
                <w:color w:val="auto"/>
              </w:rPr>
            </w:pPr>
            <w:r>
              <w:rPr>
                <w:rFonts w:ascii="Arial" w:cs="Arial" w:eastAsia="Arial" w:hAnsi="Arial"/>
                <w:sz w:val="18"/>
                <w:szCs w:val="18"/>
                <w:color w:val="auto"/>
              </w:rPr>
              <w:t>357</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w:t>
            </w:r>
          </w:p>
        </w:tc>
        <w:tc>
          <w:tcPr>
            <w:tcW w:w="3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560"/>
              <w:spacing w:after="0"/>
              <w:rPr>
                <w:sz w:val="20"/>
                <w:szCs w:val="20"/>
                <w:color w:val="auto"/>
              </w:rPr>
            </w:pPr>
            <w:r>
              <w:rPr>
                <w:rFonts w:ascii="Arial" w:cs="Arial" w:eastAsia="Arial" w:hAnsi="Arial"/>
                <w:sz w:val="18"/>
                <w:szCs w:val="18"/>
                <w:color w:val="auto"/>
              </w:rPr>
              <w:t>Industrial</w:t>
            </w:r>
          </w:p>
        </w:tc>
        <w:tc>
          <w:tcPr>
            <w:tcW w:w="3260" w:type="dxa"/>
            <w:vAlign w:val="bottom"/>
          </w:tcPr>
          <w:p>
            <w:pPr>
              <w:jc w:val="right"/>
              <w:ind w:right="90"/>
              <w:spacing w:after="0"/>
              <w:rPr>
                <w:sz w:val="20"/>
                <w:szCs w:val="20"/>
                <w:color w:val="auto"/>
              </w:rPr>
            </w:pPr>
            <w:r>
              <w:rPr>
                <w:rFonts w:ascii="Arial" w:cs="Arial" w:eastAsia="Arial" w:hAnsi="Arial"/>
                <w:sz w:val="18"/>
                <w:szCs w:val="18"/>
                <w:color w:val="auto"/>
              </w:rPr>
              <w:t>1,837</w:t>
            </w:r>
          </w:p>
        </w:tc>
        <w:tc>
          <w:tcPr>
            <w:tcW w:w="740" w:type="dxa"/>
            <w:vAlign w:val="bottom"/>
          </w:tcPr>
          <w:p>
            <w:pPr>
              <w:jc w:val="right"/>
              <w:spacing w:after="0"/>
              <w:rPr>
                <w:sz w:val="20"/>
                <w:szCs w:val="20"/>
                <w:color w:val="auto"/>
              </w:rPr>
            </w:pPr>
            <w:r>
              <w:rPr>
                <w:rFonts w:ascii="Arial" w:cs="Arial" w:eastAsia="Arial" w:hAnsi="Arial"/>
                <w:sz w:val="18"/>
                <w:szCs w:val="18"/>
                <w:color w:val="auto"/>
              </w:rPr>
              <w:t>1,429</w:t>
            </w:r>
          </w:p>
        </w:tc>
        <w:tc>
          <w:tcPr>
            <w:tcW w:w="840" w:type="dxa"/>
            <w:vAlign w:val="bottom"/>
          </w:tcPr>
          <w:p>
            <w:pPr>
              <w:jc w:val="right"/>
              <w:spacing w:after="0"/>
              <w:rPr>
                <w:sz w:val="20"/>
                <w:szCs w:val="20"/>
                <w:color w:val="auto"/>
              </w:rPr>
            </w:pPr>
            <w:r>
              <w:rPr>
                <w:rFonts w:ascii="Arial" w:cs="Arial" w:eastAsia="Arial" w:hAnsi="Arial"/>
                <w:sz w:val="18"/>
                <w:szCs w:val="18"/>
                <w:color w:val="auto"/>
              </w:rPr>
              <w:t>408</w:t>
            </w: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Municipals</w:t>
            </w:r>
          </w:p>
        </w:tc>
        <w:tc>
          <w:tcPr>
            <w:tcW w:w="3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920"/>
              <w:spacing w:after="0"/>
              <w:rPr>
                <w:sz w:val="20"/>
                <w:szCs w:val="20"/>
                <w:color w:val="auto"/>
              </w:rPr>
            </w:pPr>
            <w:r>
              <w:rPr>
                <w:rFonts w:ascii="Arial" w:cs="Arial" w:eastAsia="Arial" w:hAnsi="Arial"/>
                <w:sz w:val="18"/>
                <w:szCs w:val="18"/>
                <w:color w:val="auto"/>
              </w:rPr>
              <w:t>Total Retail and Municipals</w:t>
            </w:r>
          </w:p>
        </w:tc>
        <w:tc>
          <w:tcPr>
            <w:tcW w:w="3260" w:type="dxa"/>
            <w:vAlign w:val="bottom"/>
          </w:tcPr>
          <w:p>
            <w:pPr>
              <w:jc w:val="right"/>
              <w:ind w:right="90"/>
              <w:spacing w:after="0"/>
              <w:rPr>
                <w:sz w:val="20"/>
                <w:szCs w:val="20"/>
                <w:color w:val="auto"/>
              </w:rPr>
            </w:pPr>
            <w:r>
              <w:rPr>
                <w:rFonts w:ascii="Arial" w:cs="Arial" w:eastAsia="Arial" w:hAnsi="Arial"/>
                <w:sz w:val="18"/>
                <w:szCs w:val="18"/>
                <w:color w:val="auto"/>
              </w:rPr>
              <w:t>2,845</w:t>
            </w:r>
          </w:p>
        </w:tc>
        <w:tc>
          <w:tcPr>
            <w:tcW w:w="740" w:type="dxa"/>
            <w:vAlign w:val="bottom"/>
          </w:tcPr>
          <w:p>
            <w:pPr>
              <w:jc w:val="right"/>
              <w:spacing w:after="0"/>
              <w:rPr>
                <w:sz w:val="20"/>
                <w:szCs w:val="20"/>
                <w:color w:val="auto"/>
              </w:rPr>
            </w:pPr>
            <w:r>
              <w:rPr>
                <w:rFonts w:ascii="Arial" w:cs="Arial" w:eastAsia="Arial" w:hAnsi="Arial"/>
                <w:sz w:val="18"/>
                <w:szCs w:val="18"/>
                <w:color w:val="auto"/>
              </w:rPr>
              <w:t>2,423</w:t>
            </w:r>
          </w:p>
        </w:tc>
        <w:tc>
          <w:tcPr>
            <w:tcW w:w="840" w:type="dxa"/>
            <w:vAlign w:val="bottom"/>
          </w:tcPr>
          <w:p>
            <w:pPr>
              <w:jc w:val="right"/>
              <w:spacing w:after="0"/>
              <w:rPr>
                <w:sz w:val="20"/>
                <w:szCs w:val="20"/>
                <w:color w:val="auto"/>
              </w:rPr>
            </w:pPr>
            <w:r>
              <w:rPr>
                <w:rFonts w:ascii="Arial" w:cs="Arial" w:eastAsia="Arial" w:hAnsi="Arial"/>
                <w:sz w:val="18"/>
                <w:szCs w:val="18"/>
                <w:color w:val="auto"/>
              </w:rPr>
              <w:t>422</w:t>
            </w: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3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Regulated Utility Kilowatt-hours Sold</w:t>
            </w:r>
          </w:p>
        </w:tc>
        <w:tc>
          <w:tcPr>
            <w:tcW w:w="3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3,385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Revenue from electric sales to taconite customers accounted for 26 percent of consolidated operating revenue in 2011 (21 percent in 2010). The increase in revenue from our taconite customers was partially offset by a decrease in revenue from electric sales to Other Power Suppliers which accounted for 8 percent of consolidated operating revenue in 2011 (14 percent in 2010). Revenue from electric sales to paper and pulp mills accounted for 8 percent of consolidated operating revenue in 2011 (8 percent in 2010). Revenue from electric sales to pipelines and other industrials accounted for 6 percent of consolidated operating revenue in 2011 (6 percent in 2010).</w:t>
      </w:r>
    </w:p>
    <w:p>
      <w:pPr>
        <w:spacing w:after="0" w:line="21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$6.5 million, or 32 percent, primarily due to higher fuel and purchased power expense resulting from a 17.4 percent increase in kilowatt-hour sales to our retail and municipal customers. (See Operating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Transmission and renewable rider revenue increased by $2.8 million due to higher capital expenditures related to our Bison 1 and CapX2020 projects.</w:t>
      </w:r>
    </w:p>
    <w:p>
      <w:pPr>
        <w:spacing w:after="0" w:line="2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increased revenue from kilowatt-hour sales to retail and municipal customers was partially offset by decreased revenue from marketing power to Other Power Suppliers, which decreased $12.4 million in 2011. Sales to Other Power Suppliers are sold at market-based prices into the MISO market on a daily basis or through bilateral agreements of various durations.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$2.8 million, or 2 percent, from 2010.</w:t>
      </w:r>
    </w:p>
    <w:p>
      <w:pPr>
        <w:spacing w:after="0" w:line="25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$0.8 million, or 1 percent, from 2010 as a result of lower sales to Other Power Suppliers which were</w:t>
      </w:r>
      <w:r>
        <w:rPr>
          <w:rFonts w:ascii="Arial" w:cs="Arial" w:eastAsia="Arial" w:hAnsi="Arial"/>
          <w:sz w:val="17"/>
          <w:szCs w:val="17"/>
          <w:i w:val="1"/>
          <w:iCs w:val="1"/>
          <w:color w:val="auto"/>
        </w:rPr>
        <w:t xml:space="preserve"> </w:t>
      </w:r>
      <w:r>
        <w:rPr>
          <w:rFonts w:ascii="Arial" w:cs="Arial" w:eastAsia="Arial" w:hAnsi="Arial"/>
          <w:sz w:val="17"/>
          <w:szCs w:val="17"/>
          <w:color w:val="auto"/>
        </w:rPr>
        <w:t>mostly offset by increased sales to our retail and municipal customers. Fuel and purchased power expense related to our retail customers are recovered through the fuel adjustment clause (See Operating Revenue), and increased approximately $8 million over the first quarter of 2010.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COMPARISON OF THE QUARTERS ENDED MARCH 31, 2011 AND 2010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$1.4 million, or 2 percent, from 2010 primarily reflecting higher salaries, benefits and plant outage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$2.2 million, or 12 percent, from 2010 reflecting higher property, plant, and equipment in service.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$1.0 million, or 13 percent, from 2010 primarily due to higher long-term debt issuances in 2010.</w:t>
      </w:r>
    </w:p>
    <w:p>
      <w:pPr>
        <w:spacing w:after="0" w:line="25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$11.1 million, or 54 percent, from 2010 primarily due the reversal of a $6.2 million deferred tax liability related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receivable Minnesota Power agreed to forgo as part of a stipulation and settlement agreement in its 2010 rate case. Also contributing to the decrease were additional renewable tax credits in 2011, as well as a non-recurring income tax charge of $3.6 million resulting from PPACA in the first quarter of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$1.7 million, or 10 percent, from 2010 primarily due to a $1.3 million increase in revenue at BNI Coal, which operates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a cost-plus contract and recorded higher sales revenue as a result of higher expenses in 2011. (See Operating Expense.)</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at ALLETE Properties increased $0.4 million from 2010 primarily due to a land sale in March 2011, in which ALLETE Properties sold 3 acres of property for $0.4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212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2011</w:t>
            </w:r>
          </w:p>
        </w:tc>
        <w:tc>
          <w:tcPr>
            <w:tcW w:w="16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Quantity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Quantity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13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1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ALLETE Properties Revenue</w:t>
            </w: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i w:val="1"/>
                <w:iCs w:val="1"/>
                <w:color w:val="auto"/>
                <w:w w:val="98"/>
              </w:rPr>
              <w:t>(a)  Acreage amounts are shown on a gross basis, including wetlands and non-controlling interest.</w:t>
            </w: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$1.1 million, or 6 percent, from 2010 reflecting higher expenses at BNI Coal of $1.4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equipment repairs; these costs were recovered through the cost-plus contract. (See Operating Revenue.) This increase was offset by decreased expenses at ALLETE Properties of $0.3 million primarily due to reductions in operating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For the quarter ended March 31, 2011, the effective tax rate was 18.1 percent (46.6 percent for the quarter ended March 31, 2010). Excluding the reversal of a $6.2 million deferred tax liability related to a revenue receivable Minnesota Power agreed to forgo as part of a stipulation and settlement agreement in its 2010 rate case, the 2011 effective tax rate was 31.8 percent. Also, excluding the non-recurring tax expense recorded as a result of PPACA, the 2010 effective tax rate was 37.2 percent. The effective tax rate for both years, excluding the non-recurring items described, deviated from the statutory rate (approximately 41 percent) due to deductions for AFUDC-Equity, investment tax credits, renewable tax credits, and depletion. We expect the effective tax rate for the full year 2011 to be approximately 30 percent (see Note 9. Income Tax Expense).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2010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2010 Form 10-K.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average earnings per share growth of 5 percent per year and maintaining a competitive dividend payout. To accomplish this, we intend to take the actions necessary to earn our allowed rate of return in our regulated businesses, while we pursue growth initiatives in renewable energy, transmission and other energy-centric businesses.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over the long-term, less carbon intensive and more sustainable renewable energy sources will play an increasingly important role in our nation’s energy mix. We intend to develop additional renewable resources which will be used to meet the renewable supply requirements of our regulated businesses. In addition, we intend to establish a non-regulated renewable business to produce and sell renewable energy to others, subject to securing long-term power purchase agreements prior to construction of facilities. The establishment of a non-regulated renewable business will be subject to appropriate MPUC approvals.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wind development, we will capitalize on our existing presence in North Dakota through BNI Coal, our recently acquired DC transmission line and our Bison 1 and 2 wind projects. We have a long-term business presence and established landowner relationships in North Dakota. See Renewable Energy below for more discussion on the DC line acquisition and our Bison 1 and 2 wind projects.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plan to make investments in Upper Midwest transmission opportunities that strengthen or enhance the regional transmission grid, or take advantage of our geographical location between sources of renewable energy and end users. Minnesota Power is participating with other regional utilities in making regional transmission investments as a member of the CapX2020 initiative. In addition, we plan to make additional investments to fund our pro rata share of ATC’s future capital expansion program. Both the CapX2020 initiative and our investment in ATC are discussed in more detail under Transmission below.</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exploring investing in other energy-centric businesses that will complement our non-regulated renewable energy business, or leverage demand trends related to transmission, environmental control or energy efficiency.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ALLETE intends to sell its Florida land assets at reasonable prices, over time or in bulk transactions, and reinvest the proceeds in its growth initiatives.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does not intend to acquire additional real estate.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maintain its competitively priced production of energy, while complying with</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permit conditions and renewable requirements, and earn our allowed rate of return.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environmental proposals and may challenge those that add considerable cost with limited environmental benefit. Current economic conditions require a very careful balancing of the benefit of further environmental controls with the impacts of the costs of those controls on our customers as well as on the Company and its competitive position. We will pursue current cost recovery riders to recover environmental and renewable investments, and will work with our legislators and regulators to earn a fair return. We project that our Regulated Operations will not earn its allowed rate of return in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Entities within our Regulated Operations segment file for periodic rate revisions with the MPUC, the FERC or the PSCW.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On November 2, 2010, Minnesota Power received a written order from the MPUC approving a retail rate increase of approximately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10.38 percent return on common equity and a 54.29 percent equity ratio, subject to reconsideration. In an order dated January 20, 2011, the MPUC denied all reconsideration requests. Compliance filings were submitted in March 2011. Comments on the Company’s proposed rate implementation were received from the Minnesota Office of the Attorney General and the Office of Energy Security, and final action by the MPUC is expected in the second quarter of 2011. Minnesota Power will continue to collect interim rates from its customers until the new rates go into effect, currently estimated to be in June or July 2011. We expect no interim rate refunds will be issued.</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a stipulation and settlement agreement approved by the MPUC as part of this rate case, Minnesota Power agreed to forgo collection of $20.5 million in revenue receivable that it was entitled to under a prior rider for the Boswell Unit 3 environmental retrofit. The agreement required the Company to capitalize, as part of rate base, the $20.5 million to property, plant and equipment representing AFUDC. In conjunction with the settlement agreement, and upon receipt of the final rate order in February 2011, the Company reversed a $6.2 million deferred tax liability related to the revenue receivable Minnesota Power agreed to forgo. The $20.5 million revenue receivable was previously included in Regulatory Assets on the Company’s consolidated balance sheet.</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2011, Minnesota Power timely filed an appeal of the MPUC’s interim rate decision in the Company’s 2010 rate case with the Minnesota Court of Appeals. The Company is appealing the MPUC’s interim rate decision finding of exigent circumstances in the interim rate decision with the primary argument that the MPUC exceeded its statutory authority, made its decision without the support of a body of record evidence, and that the decision violated public policy. The Company desires to resolve whether the MPUC’s finding of exigent circumstances was lawful for the application in future rate cases. The Company’s initial brief was filed on April 25, 2011. If the appeal is successful, the Court of Appeals will remand the case to the MPUC for further action consistent with its decision. The Company cannot predict the outcome of the matter at this time.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Power’s non-affiliated municipal customers consist of 16 municipalities in Minnesota and 1 private utility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a wholly-owned subsidiary of ALLETE, is also a private utility in Wisconsin and a customer of Minnesota Power. In 2008, Minnesota Power entered into formula-based rate contracts with these customers. The rates included in these contracts are calculated using a cost-based formula methodology that is set at the beginning of the year using estimated costs, and provides for a true-up calculation for actual costs. The estimated true-up is recorded in the current year, then finalized and billed or paid to customers in the following year. The contracts include a termination clause requiring a 3 year notice to terminate. To date, no termination notices have been received.</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2010 Wisconsin Rate Increase. </w:t>
      </w:r>
      <w:r>
        <w:rPr>
          <w:rFonts w:ascii="Arial" w:cs="Arial" w:eastAsia="Arial" w:hAnsi="Arial"/>
          <w:sz w:val="18"/>
          <w:szCs w:val="18"/>
          <w:color w:val="auto"/>
        </w:rPr>
        <w:t>SWL&amp;P’s 2011 retail rates are based on a 2010 PSCW retail rate order, effective January 1, 2011, that allows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The new rates reflect a 2.4 percent average increase in retail utility rates for SWL&amp;P customers (a 12.8 percent increase in water rates, a 2.5 percent increase in natural gas rates and a 0.7 percent increase in electric rates). On an annualized basis, the rate increase will generate approximately $2 million in additional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paper production, and pipeline industries. Approximately 54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Regulated Utility kilowatt-hour sales in the quarter ended March 31, 2011 (44 percent in the quarter ended March 31, 2010) were made to our industrial customers, which include the taconite, paper and pulp, and pipeline industries.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2010, the domestic steel industry rebounded from the low levels of production seen in 2009. According to the American Iron and Steel Institute (AISI), an association of North American steel producers, United States raw steel production operated at approximately 70 percent of capacity in 2010. AISI projects that U.S. steel production levels will be at about 75 percent of capacity in 2011 (for the first quarter of 2011 steel production was 74 percent). There has been a general historical correlation between U.S. steel production and Minnesota taconite production. Based on these projections, 2011 taconite production levels in Minnesota are on track to exceed 2010 production levels (36 million tons). We will continue to market available power to Other Power Suppliers, when necessary, in an effort to mitigate the earnings impact of lower industrial sales. Other Power Supply sales are dependent upon the availability of generation and are sold at market-based prices into the MISO market on a daily basis or through bilateral agreements of various durations.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Renewable Energy. </w:t>
      </w:r>
      <w:r>
        <w:rPr>
          <w:rFonts w:ascii="Arial" w:cs="Arial" w:eastAsia="Arial" w:hAnsi="Arial"/>
          <w:sz w:val="18"/>
          <w:szCs w:val="18"/>
          <w:color w:val="auto"/>
        </w:rPr>
        <w:t>In February 2007, Minnesota enacted a law requiring 25 percent of Minnesota Power’s total retail energy sales in Minnesota to 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renewable 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approved April 7, 2011, by the MPUC.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We are currently on track to meet the 12 percent renewable energy sales milestone by 2012.</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taken several steps to begin executing its renewable energy strategy through key renewable projects that will ensure we meet the identified state mandate. We have executed two long-term power purchase agreements with NextEra Energy, Inc. for wind energy in North Dakota (Oliver Wind I and II). Other steps include Taconite Ridge, our wind facility located in northeastern Minnesota, our Bison 1 and 2 wind development projects and our Hibbard biomass upgrade project.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North Dakota Wind Development. </w:t>
      </w:r>
      <w:r>
        <w:rPr>
          <w:rFonts w:ascii="Arial" w:cs="Arial" w:eastAsia="Arial" w:hAnsi="Arial"/>
          <w:sz w:val="18"/>
          <w:szCs w:val="18"/>
          <w:color w:val="auto"/>
        </w:rPr>
        <w:t>On December 31, 2009, we purchased an existing 250 kV DC transmission line from Square Butte for $69.7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465-mile transmission line runs from Center, North Dakota, to Duluth, Minnesota. We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1 is a two phase, 82 MW wind project in North Dakota. All permitting has been received and the first phase was completed in 2010. Phase one included construction of a 22-mile, 230 kV transmission line and the installation of sixteen 2.3-MW wind turbines, all of which were in-service at the end of 2010. Phase two is expected to be completed in late 2011 and consists of the installation of fifteen 3.0-MW wind turbines. Bison 1 is expected to have a total capital cost of approximately $177 million, of which $132.9 million was spent through March 31, 2011. In 2009, the MPUC approved Minnesota Power’s petition seeking current cost recovery for investments and expenditures related to Bison 1, and in July 2010, the MPUC approved our petition establishing rates effective August 1, 2010. On March 31, 2011, Minnesota Power petitioned the MPUC to update the rates for additional investments and expenditures related to Bison 1.</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Bison 2 is a 105 MW wind project in North Dakota which, if approved by the MPUC, is expected to be completed by the end of 2012. Total project cost is estimated to be approximately $160 million, and construction would begin upon the receipt of all regulatory and permitting approvals. Request for approval of the project was filed with MPUC on March 24, 2011. On April 6, 2011, the request for site permit approval was submitted to the NDPSC. We will file for current cost recovery for Bison 2 from the MPUC once the project and related permitting have been approved.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expiring in 2015. In addition, in April 2010, Minnesota Power signed a</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agreement with Manitoba Hydro to purchase surplus energy beginning in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March 11, 2011, the MPUC approved this PPA with Manitoba Hydro.</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2009, Minnesota Power filed with the MPUC its 2010 Integrated Resource Plan, a comprehensive estimate of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needs within Minnesota Power’s service territory. Minnesota Power does not anticipate the need for new base load generation within the Minnesota Power service territory through 2025, and plans to meet estimated future customer demand while achieving:</w:t>
      </w:r>
    </w:p>
    <w:p>
      <w:pPr>
        <w:spacing w:after="0" w:line="208"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system flexibility to adapt to volatile business cycles and varied future industrial load scenarios;</w:t>
      </w:r>
    </w:p>
    <w:p>
      <w:pPr>
        <w:spacing w:after="0" w:line="23" w:lineRule="exact"/>
        <w:rPr>
          <w:rFonts w:ascii="Arial" w:cs="Arial" w:eastAsia="Arial" w:hAnsi="Arial"/>
          <w:sz w:val="18"/>
          <w:szCs w:val="18"/>
          <w:color w:val="auto"/>
        </w:rPr>
      </w:pPr>
    </w:p>
    <w:p>
      <w:pPr>
        <w:ind w:left="660" w:hanging="139"/>
        <w:spacing w:after="0" w:line="19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Reductions in the emission of GHGs (primarily CO</w:t>
      </w:r>
      <w:r>
        <w:rPr>
          <w:rFonts w:ascii="Arial" w:cs="Arial" w:eastAsia="Arial" w:hAnsi="Arial"/>
          <w:sz w:val="25"/>
          <w:szCs w:val="25"/>
          <w:color w:val="auto"/>
          <w:vertAlign w:val="subscript"/>
        </w:rPr>
        <w:t>2</w:t>
      </w:r>
      <w:r>
        <w:rPr>
          <w:rFonts w:ascii="Arial" w:cs="Arial" w:eastAsia="Arial" w:hAnsi="Arial"/>
          <w:sz w:val="18"/>
          <w:szCs w:val="18"/>
          <w:color w:val="auto"/>
        </w:rPr>
        <w:t>); and</w:t>
      </w: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mandated renewable energy standards.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achieve these objectives over the coming years, we plan to reshape our generation portfolio by adding approximately 300 MW of renewable energy to our generation mix, and exploring options to incorporate peaking or intermediate resources. The first phase of the Bison 1 wind project in North Dakota was put into service in 2010 and the second phase is expected to be in service in late 2011, increasing our renewable generation by a total of 82 MW. The Bison 2 105 MW wind project, if approved by the MPUC, along with the Hibbard Biomass Upgrade Project, will continue our expansion into renewable energy to meet our Integrated Resource Plan goals.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project average annual long-term growth, excluding prospective additional load from industrial and municipal customers, of approximately one percent in electric usage through 2025. We will also focus on conservation and demand side management to meet the energy savings goals established in Minnesota legislation. The MPUC approved our Integrated Resource Plan at its April 7, 2011 hearing. Minnesota Power is required to file a baseload diversification study within nine months of receiving the final order. Minnesota Power’s next Integrated Resource Plan must be filed with the MPUC no later than July 1, 2013.</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making investments in Upper Midwest transmission opportunities that strengthen or enhance the regional transmission grid.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include the CapX2020 initiative, investments in our transmission assets, and our investment in ATC.</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 As future CapX2020 projects are identified, Minnesota Power may elect to participate on a project–by-project basis.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is currently participating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$15.4 million was spent through March 31, 2011.</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2010, the MPUC granted a route permit for the 28-mile 345 kV transmission line between Monticello and St. Cloud. Construction of the project is expected to be complete in late 2011. The 210-mile 345 kV transmission line from St. Cloud to Fargo is expected to be complete by 2015. Construction for the Bemidji to Grand Rapids 230 kV line project commenced in January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approved cost recovery rider in place for certain transmission expenditures and our current billing factor was approved by the MPUC in June 2009. The billing factor allows us to charge our retail customers on a current basis for the costs of constructing certain transmission facilities plus a return on the capital invested.</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Investment in ATC. </w:t>
      </w:r>
      <w:r>
        <w:rPr>
          <w:rFonts w:ascii="Arial" w:cs="Arial" w:eastAsia="Arial" w:hAnsi="Arial"/>
          <w:sz w:val="17"/>
          <w:szCs w:val="17"/>
          <w:color w:val="auto"/>
        </w:rPr>
        <w:t>As of March 31, 2011, our equity investment in ATC was $94.8 million, representing an approximate 8 percent ownership interest. ATC</w:t>
      </w:r>
      <w:r>
        <w:rPr>
          <w:rFonts w:ascii="Arial" w:cs="Arial" w:eastAsia="Arial" w:hAnsi="Arial"/>
          <w:sz w:val="17"/>
          <w:szCs w:val="17"/>
          <w:i w:val="1"/>
          <w:iCs w:val="1"/>
          <w:color w:val="auto"/>
        </w:rPr>
        <w:t xml:space="preserve"> </w:t>
      </w:r>
      <w:r>
        <w:rPr>
          <w:rFonts w:ascii="Arial" w:cs="Arial" w:eastAsia="Arial" w:hAnsi="Arial"/>
          <w:sz w:val="17"/>
          <w:szCs w:val="17"/>
          <w:color w:val="auto"/>
        </w:rPr>
        <w:t>rates are based on a FERC approved 12.2 percent return on common equity dedicated to utility plant. ATC has identified $3.4 billion in future projects needed over the next 10 years to improve the adequacy and reliability of the electric transmission system as well as to meet regional needs based on economic benefits and public policy initiatives for renewable energy. This investment is expected to be funded through a combination of internally generated cash, debt, and investor contributions. As additional opportunities arise, we plan to make additional investments in ATC through general capital calls based upon our pro-rata ownership interest in ATC. In the first quarter of 2011, we invested $0.8 million in ATC and on April 29, 2011, we invested an additional $0.6 million. We expect to invest an additional $0.6 million in 2011 in ATC. (See Note 6. Investment in ATC.)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13, 2011, ATC and Duke Energy Corporation announced the creation of a joint venture that intends to build, own and operate new electric transmission infrastructure in the United States and Canada. The joint venture will be subject to the rules and regulations of FERC, MISO and various other independent system operators and state regulatory authorities. We are unable to predict how this joint venture will affect ATC operations. We intend to maintain our approximate 8 percent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2011 (3.8 million tons were sold in 2010) and has sold 1.0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March 31, 2011 (1.0 million tons were sold as of March 31,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does not intend to acquire additional Florida real estate.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Ormond Crossings is a third major project that is currently in the planning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3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Residential</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residential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Land Available-for-Sale</w:t>
            </w:r>
          </w:p>
        </w:tc>
        <w:tc>
          <w:tcPr>
            <w:tcW w:w="318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Ownership</w:t>
            </w: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0"/>
              </w:rPr>
              <w:t xml:space="preserve">Sq. Ft. </w:t>
            </w:r>
            <w:r>
              <w:rPr>
                <w:rFonts w:ascii="Arial" w:cs="Arial" w:eastAsia="Arial" w:hAnsi="Arial"/>
                <w:sz w:val="18"/>
                <w:szCs w:val="18"/>
                <w:b w:val="1"/>
                <w:bCs w:val="1"/>
                <w:i w:val="1"/>
                <w:iCs w:val="1"/>
                <w:color w:val="auto"/>
                <w:w w:val="90"/>
              </w:rPr>
              <w:t>(b,</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20" w:type="dxa"/>
            <w:vAlign w:val="bottom"/>
            <w:gridSpan w:val="2"/>
            <w:vMerge w:val="continue"/>
          </w:tcPr>
          <w:p>
            <w:pPr>
              <w:spacing w:after="0"/>
              <w:rPr>
                <w:sz w:val="20"/>
                <w:szCs w:val="20"/>
                <w:color w:val="auto"/>
              </w:rPr>
            </w:pPr>
          </w:p>
        </w:tc>
        <w:tc>
          <w:tcPr>
            <w:tcW w:w="3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i w:val="1"/>
                <w:iCs w:val="1"/>
                <w:color w:val="auto"/>
                <w:w w:val="87"/>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Development Projects</w:t>
            </w:r>
          </w:p>
        </w:tc>
        <w:tc>
          <w:tcPr>
            <w:tcW w:w="3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Town Center</w:t>
            </w:r>
          </w:p>
        </w:tc>
        <w:tc>
          <w:tcPr>
            <w:tcW w:w="3180" w:type="dxa"/>
            <w:vAlign w:val="bottom"/>
          </w:tcPr>
          <w:p>
            <w:pPr>
              <w:jc w:val="center"/>
              <w:ind w:left="1830"/>
              <w:spacing w:after="0"/>
              <w:rPr>
                <w:sz w:val="20"/>
                <w:szCs w:val="20"/>
                <w:color w:val="auto"/>
              </w:rPr>
            </w:pPr>
            <w:r>
              <w:rPr>
                <w:rFonts w:ascii="Arial" w:cs="Arial" w:eastAsia="Arial" w:hAnsi="Arial"/>
                <w:sz w:val="18"/>
                <w:szCs w:val="18"/>
                <w:color w:val="auto"/>
                <w:w w:val="94"/>
              </w:rPr>
              <w:t>80%</w:t>
            </w:r>
          </w:p>
        </w:tc>
        <w:tc>
          <w:tcPr>
            <w:tcW w:w="1040" w:type="dxa"/>
            <w:vAlign w:val="bottom"/>
          </w:tcPr>
          <w:p>
            <w:pPr>
              <w:jc w:val="right"/>
              <w:spacing w:after="0"/>
              <w:rPr>
                <w:sz w:val="20"/>
                <w:szCs w:val="20"/>
                <w:color w:val="auto"/>
              </w:rPr>
            </w:pPr>
            <w:r>
              <w:rPr>
                <w:rFonts w:ascii="Arial" w:cs="Arial" w:eastAsia="Arial" w:hAnsi="Arial"/>
                <w:sz w:val="18"/>
                <w:szCs w:val="18"/>
                <w:color w:val="auto"/>
              </w:rPr>
              <w:t>862</w:t>
            </w:r>
          </w:p>
        </w:tc>
        <w:tc>
          <w:tcPr>
            <w:tcW w:w="1000" w:type="dxa"/>
            <w:vAlign w:val="bottom"/>
          </w:tcPr>
          <w:p>
            <w:pPr>
              <w:jc w:val="right"/>
              <w:spacing w:after="0"/>
              <w:rPr>
                <w:sz w:val="20"/>
                <w:szCs w:val="20"/>
                <w:color w:val="auto"/>
              </w:rPr>
            </w:pPr>
            <w:r>
              <w:rPr>
                <w:rFonts w:ascii="Arial" w:cs="Arial" w:eastAsia="Arial" w:hAnsi="Arial"/>
                <w:sz w:val="18"/>
                <w:szCs w:val="18"/>
                <w:color w:val="auto"/>
              </w:rPr>
              <w:t>2,177</w:t>
            </w:r>
          </w:p>
        </w:tc>
        <w:tc>
          <w:tcPr>
            <w:tcW w:w="880" w:type="dxa"/>
            <w:vAlign w:val="bottom"/>
          </w:tcPr>
          <w:p>
            <w:pPr>
              <w:jc w:val="right"/>
              <w:spacing w:after="0"/>
              <w:rPr>
                <w:sz w:val="20"/>
                <w:szCs w:val="20"/>
                <w:color w:val="auto"/>
              </w:rPr>
            </w:pPr>
            <w:r>
              <w:rPr>
                <w:rFonts w:ascii="Arial" w:cs="Arial" w:eastAsia="Arial" w:hAnsi="Arial"/>
                <w:sz w:val="18"/>
                <w:szCs w:val="18"/>
                <w:color w:val="auto"/>
              </w:rPr>
              <w:t>2,225,200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Palm Coast Park</w:t>
            </w:r>
          </w:p>
        </w:tc>
        <w:tc>
          <w:tcPr>
            <w:tcW w:w="3180" w:type="dxa"/>
            <w:vAlign w:val="bottom"/>
            <w:tcBorders>
              <w:bottom w:val="single" w:sz="8" w:color="auto"/>
            </w:tcBorders>
            <w:shd w:val="clear" w:color="auto" w:fill="CCEEFF"/>
          </w:tcPr>
          <w:p>
            <w:pPr>
              <w:jc w:val="center"/>
              <w:ind w:left="1830"/>
              <w:spacing w:after="0"/>
              <w:rPr>
                <w:sz w:val="20"/>
                <w:szCs w:val="20"/>
                <w:color w:val="auto"/>
              </w:rPr>
            </w:pPr>
            <w:r>
              <w:rPr>
                <w:rFonts w:ascii="Arial" w:cs="Arial" w:eastAsia="Arial" w:hAnsi="Arial"/>
                <w:sz w:val="18"/>
                <w:szCs w:val="18"/>
                <w:color w:val="auto"/>
                <w:w w:val="91"/>
              </w:rPr>
              <w:t>100%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Current Development Projects</w:t>
            </w:r>
          </w:p>
        </w:tc>
        <w:tc>
          <w:tcPr>
            <w:tcW w:w="3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4,704</w:t>
            </w:r>
          </w:p>
        </w:tc>
        <w:tc>
          <w:tcPr>
            <w:tcW w:w="1000" w:type="dxa"/>
            <w:vAlign w:val="bottom"/>
          </w:tcPr>
          <w:p>
            <w:pPr>
              <w:jc w:val="right"/>
              <w:spacing w:after="0"/>
              <w:rPr>
                <w:sz w:val="20"/>
                <w:szCs w:val="20"/>
                <w:color w:val="auto"/>
              </w:rPr>
            </w:pPr>
            <w:r>
              <w:rPr>
                <w:rFonts w:ascii="Arial" w:cs="Arial" w:eastAsia="Arial" w:hAnsi="Arial"/>
                <w:sz w:val="18"/>
                <w:szCs w:val="18"/>
                <w:color w:val="auto"/>
              </w:rPr>
              <w:t>5,741</w:t>
            </w:r>
          </w:p>
        </w:tc>
        <w:tc>
          <w:tcPr>
            <w:tcW w:w="880" w:type="dxa"/>
            <w:vAlign w:val="bottom"/>
          </w:tcPr>
          <w:p>
            <w:pPr>
              <w:jc w:val="right"/>
              <w:spacing w:after="0"/>
              <w:rPr>
                <w:sz w:val="20"/>
                <w:szCs w:val="20"/>
                <w:color w:val="auto"/>
              </w:rPr>
            </w:pPr>
            <w:r>
              <w:rPr>
                <w:rFonts w:ascii="Arial" w:cs="Arial" w:eastAsia="Arial" w:hAnsi="Arial"/>
                <w:sz w:val="18"/>
                <w:szCs w:val="18"/>
                <w:color w:val="auto"/>
              </w:rPr>
              <w:t>5,282,000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Planned Development Project</w:t>
            </w:r>
          </w:p>
        </w:tc>
        <w:tc>
          <w:tcPr>
            <w:tcW w:w="3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Ormond Crossings</w:t>
            </w:r>
          </w:p>
        </w:tc>
        <w:tc>
          <w:tcPr>
            <w:tcW w:w="318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1"/>
              </w:rPr>
              <w:t>100%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Lake Swamp Wetland Mitigation Project</w:t>
            </w:r>
          </w:p>
        </w:tc>
        <w:tc>
          <w:tcPr>
            <w:tcW w:w="3180" w:type="dxa"/>
            <w:vAlign w:val="bottom"/>
            <w:tcBorders>
              <w:bottom w:val="single" w:sz="8" w:color="auto"/>
            </w:tcBorders>
            <w:shd w:val="clear" w:color="auto" w:fill="CCEEFF"/>
          </w:tcPr>
          <w:p>
            <w:pPr>
              <w:jc w:val="center"/>
              <w:ind w:left="1830"/>
              <w:spacing w:after="0"/>
              <w:rPr>
                <w:sz w:val="20"/>
                <w:szCs w:val="20"/>
                <w:color w:val="auto"/>
              </w:rPr>
            </w:pPr>
            <w:r>
              <w:rPr>
                <w:rFonts w:ascii="Arial" w:cs="Arial" w:eastAsia="Arial" w:hAnsi="Arial"/>
                <w:sz w:val="18"/>
                <w:szCs w:val="18"/>
                <w:color w:val="auto"/>
                <w:w w:val="91"/>
              </w:rPr>
              <w:t>100%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Total of Development Projects</w:t>
            </w:r>
          </w:p>
        </w:tc>
        <w:tc>
          <w:tcPr>
            <w:tcW w:w="3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10,677</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8,691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8,497,000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non-controlling interest.</w:t>
      </w:r>
    </w:p>
    <w:p>
      <w:pPr>
        <w:spacing w:after="0" w:line="17"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non-controlling interest.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Lake Swamp wetland mitigation bank is a regionally significant wetlands mitigation bank that was permitted by the St. Johns River Water Management District in 2008 and by the U.S. Army Corps of Engineers in December 2009. Wetland mitigation credits will be used at Ormond Crossings, and will also be available-for-sale to developers of other projects that are located in the bank’s service area.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also has 1,976 acres of other land available-for-sale outside of the three development projects.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intends to sell its Florida land assets at reasonable prices when opportunities arise. However, if weak market conditions continue for an extended period of time, the impact on our future operations would be the continuation of little or no sales while still incurring operating expenses such as community development district assessments and property taxes.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ALLETE’s aggregate federal and multi-state statutory tax rate is approximately 41 percent for 2011. On an ongoing basis, ALLETE has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tax credits and other tax adjustments that will reduce the statutory rate to the expected effective tax rate. These tax credits and adjustments historically have included items such as investment tax credits, renewable tax credits, AFUDC-Equity, domestic manufacturer’s deduction, depletion, as well as other items. The annual effective rate can also be impacted by such items as changes in income before non-controlling interest and income taxes, state and federal tax law changes that become effective during the year, business combinations and configuration changes, tax planning initiatives and resolution of prior years’ tax matters. We expect our 2011 effective tax rate to be approximately 30 percent.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immediate cash flow needs. As of March 31, 2011, we have a cash balance of $52.7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$153.5 million in available consolidated lines of credit which includes a committed, syndicated, unsecured revolving line of credit of $150 million, and a debt-to-capital ratio of 44 percent. As of March 31, 2011, we project sufficient capital availability.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December</w:t>
            </w:r>
          </w:p>
        </w:tc>
        <w:tc>
          <w:tcPr>
            <w:tcW w:w="8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3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7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w:t>
            </w:r>
          </w:p>
        </w:tc>
        <w:tc>
          <w:tcPr>
            <w:tcW w:w="8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ALLETE Equity</w:t>
            </w:r>
          </w:p>
        </w:tc>
        <w:tc>
          <w:tcPr>
            <w:tcW w:w="3080" w:type="dxa"/>
            <w:vAlign w:val="bottom"/>
          </w:tcPr>
          <w:p>
            <w:pPr>
              <w:jc w:val="right"/>
              <w:ind w:right="210"/>
              <w:spacing w:after="0"/>
              <w:rPr>
                <w:sz w:val="20"/>
                <w:szCs w:val="20"/>
                <w:color w:val="auto"/>
              </w:rPr>
            </w:pPr>
            <w:r>
              <w:rPr>
                <w:rFonts w:ascii="Arial" w:cs="Arial" w:eastAsia="Arial" w:hAnsi="Arial"/>
                <w:sz w:val="18"/>
                <w:szCs w:val="18"/>
                <w:color w:val="auto"/>
              </w:rPr>
              <w:t>$1,003.2</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89"/>
              </w:rPr>
              <w:t>56</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$976.0</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8.9</w:t>
            </w:r>
          </w:p>
        </w:tc>
        <w:tc>
          <w:tcPr>
            <w:tcW w:w="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Long-Term Debt (Including Current Maturities)</w:t>
            </w:r>
          </w:p>
        </w:tc>
        <w:tc>
          <w:tcPr>
            <w:tcW w:w="3080" w:type="dxa"/>
            <w:vAlign w:val="bottom"/>
          </w:tcPr>
          <w:p>
            <w:pPr>
              <w:jc w:val="right"/>
              <w:ind w:right="210"/>
              <w:spacing w:after="0"/>
              <w:rPr>
                <w:sz w:val="20"/>
                <w:szCs w:val="20"/>
                <w:color w:val="auto"/>
              </w:rPr>
            </w:pPr>
            <w:r>
              <w:rPr>
                <w:rFonts w:ascii="Arial" w:cs="Arial" w:eastAsia="Arial" w:hAnsi="Arial"/>
                <w:sz w:val="18"/>
                <w:szCs w:val="18"/>
                <w:color w:val="auto"/>
              </w:rPr>
              <w:t>784.0</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89"/>
              </w:rPr>
              <w:t>44</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785.0</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$1,796.6</w:t>
            </w:r>
          </w:p>
        </w:tc>
        <w:tc>
          <w:tcPr>
            <w:tcW w:w="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100</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$1,771.0</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3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$44.9</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$25.7</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Flows from (used for)</w:t>
            </w: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3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69.1</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56.7</w:t>
            </w:r>
          </w:p>
        </w:tc>
      </w:tr>
      <w:tr>
        <w:trPr>
          <w:trHeight w:val="216"/>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Investing Activities</w:t>
            </w:r>
          </w:p>
        </w:tc>
        <w:tc>
          <w:tcPr>
            <w:tcW w:w="3740" w:type="dxa"/>
            <w:vAlign w:val="bottom"/>
          </w:tcPr>
          <w:p>
            <w:pPr>
              <w:jc w:val="right"/>
              <w:ind w:right="130"/>
              <w:spacing w:after="0"/>
              <w:rPr>
                <w:sz w:val="20"/>
                <w:szCs w:val="20"/>
                <w:color w:val="auto"/>
              </w:rPr>
            </w:pPr>
            <w:r>
              <w:rPr>
                <w:rFonts w:ascii="Arial" w:cs="Arial" w:eastAsia="Arial" w:hAnsi="Arial"/>
                <w:sz w:val="18"/>
                <w:szCs w:val="18"/>
                <w:color w:val="auto"/>
              </w:rPr>
              <w:t>(45.7)</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(51.7)</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Financing Activities</w:t>
            </w:r>
          </w:p>
        </w:tc>
        <w:tc>
          <w:tcPr>
            <w:tcW w:w="3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3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7.8</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6.8</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$52.7</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$69.1 million for the quarter ended March 31, 2011 ($56.7 million for the quarter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Cash from operating activities was higher in 2011 primarily due to higher net income as a result of strong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$45.7 million for the quarter ended March 31, 2011 ($51.7 million for the quarter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In January 2011, our remaining $6.7 million of ARS were redeemed at carrying value. Cash used for investing activities was lower than 2010 primarily due to the redemption of 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$15.6 million for the quarter ended March 31, 2011 (cash from financing activities was $1.8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quarter ended March 31, 2010). Cash used for financing activities was higher in 2011 as there were no debt issuances in 2011. In 2010, cash from financing activities included $11 million of net proceeds from the issuance of long-term debt.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 paper. As of March 31, 2011, we have available consolidated bank lines of credit aggregating $153.5 million, the majority of which expire in January 2012. We expect to enter into new bank lines of credit during 2011 to replace the expiring facility. In addition, we have 1.8 million original issue shares of our common stock available for issuance through </w:t>
      </w:r>
      <w:r>
        <w:rPr>
          <w:rFonts w:ascii="Arial" w:cs="Arial" w:eastAsia="Arial" w:hAnsi="Arial"/>
          <w:sz w:val="18"/>
          <w:szCs w:val="18"/>
          <w:i w:val="1"/>
          <w:iCs w:val="1"/>
          <w:color w:val="auto"/>
        </w:rPr>
        <w:t>Invest Direct</w:t>
      </w:r>
      <w:r>
        <w:rPr>
          <w:rFonts w:ascii="Arial" w:cs="Arial" w:eastAsia="Arial" w:hAnsi="Arial"/>
          <w:sz w:val="18"/>
          <w:szCs w:val="18"/>
          <w:color w:val="auto"/>
        </w:rPr>
        <w:t>, our direct stock purchase and dividend reinvestment plan, and 3.1 million original issue shares of common stock available for issuance through a Distribution Agreement with KCCI, Inc. The amount and timing of future sales of our securities will depend upon market conditions and our specific needs.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KCCI, Inc., in February 2008, as amended, with respect to the issuance and sale of up to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6.6 million shares of our common stock, without par value. For the quarter ended March 31, 2011, no shares of common stock were issued under this agreement (0.1 million shares were issued for the quarter ended March 31, 2010, for net proceeds of $3.0 million). As of March 31, 2011, 3.1 million shares of common stock remain available for issuance pursuant to the amended distribution agreement. The shares issued in 2010 were offered for sale, from time to time, in accordance with the terms of the amended distribution agreement pursuant to Registration Statement No. 333-147965. The remaining shares may be offered for sale, from time to time, in accordance with the terms of the amended distribution agreement pursuant to Registration Statement No. 333-170289.</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2011, we issued 0.1 million shares of common stock through Invest Direct, the Employee Stock Purchase Plan and the Retirement Savings and Stock Ownership Plan resulting in net proceeds of $2.1 million. These shares of common stock were registered under Registration Statement Nos. 333-150681, 333-105225, and 333-124455,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7.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The funded status of the defined benefit pension plan and other postretirement benefit plan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refers to the difference between plan assets and estimated obligations under the plans. The funded status may change over time due to several factors, including contribution levels, assumed discount rates and actual and assumed rates of return on plan assets.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defined benefit pension plans. We expect to make approximately $2 million in contributions to our defined benefit pension plan and an additional $1 million to our other postretirement benefit plan in 2011. (See Note 12. Pension and Other Postretirement Benefit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arrangements are summarized in our 2010 Form 10-K, with additional disclosure in Note 13. Commitments, Guarantees and Contingencies of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2011 are expected to be approximately $250 million as disclosed in our 2010 Form 10-K. For the quarter ended March 31, 2011, capital expenditures totaled $35.9 million ($43.6 million for the quarter ended March 31, 2010). The expenditures were primarily made in the Regulated Operations segment. Internally generated funds were the primary sources of funding.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Environmental Matters are summarized in our 2010 Form 10-K, with additional disclosure in Note 13. Commitments, Guarantees and Contingencies of this Form 10-Q. We are unable to predict the outcome of the matters discussed.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Coal’s labor agreement with the International Brotherhood of Electrical Workers Local 1593 was accepted on March 1, 2011. The contract went into effect on April 1, 2011 and expires on March 31, 2014.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of March 31, 2011,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3. Investments.)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environment,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(in Minnesota) and natural gas (in Wisconsin).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Our power marketing activities consist of (1) purchasing energy in the wholesale market to serve our regulated service territory when</w:t>
      </w:r>
      <w:r>
        <w:rPr>
          <w:rFonts w:ascii="Arial" w:cs="Arial" w:eastAsia="Arial" w:hAnsi="Arial"/>
          <w:sz w:val="18"/>
          <w:szCs w:val="18"/>
          <w:b w:val="1"/>
          <w:bCs w:val="1"/>
          <w:color w:val="auto"/>
        </w:rPr>
        <w:t xml:space="preserve"> </w:t>
      </w:r>
      <w:r>
        <w:rPr>
          <w:rFonts w:ascii="Arial" w:cs="Arial" w:eastAsia="Arial" w:hAnsi="Arial"/>
          <w:sz w:val="18"/>
          <w:szCs w:val="18"/>
          <w:color w:val="auto"/>
        </w:rPr>
        <w:t>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to the wholesale market to optimize the value of our generating facilities.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prevailing market conditions. Based on the variable rate debt outstanding at March 31, 2011,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March 31, 2011.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2011,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 (Continued)</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Changes in Internal Controls. </w:t>
      </w:r>
      <w:r>
        <w:rPr>
          <w:rFonts w:ascii="Arial" w:cs="Arial" w:eastAsia="Arial" w:hAnsi="Arial"/>
          <w:sz w:val="17"/>
          <w:szCs w:val="17"/>
          <w:color w:val="auto"/>
        </w:rPr>
        <w:t>There has been no change in our internal control over financial reporting that occurred during our most recent fiscal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that has materially affected, or is reasonably likely to materially affect, our internal control over financial reporting. The Company is undertaking a project with the objective of improving business process and information systems. The focus of the project is the upgrade or addition of certain financial and supply-chain applications; these changes are not the result of any identified deficiencies in our internal control over financial reporting. The Company expects the project to result in greater efficiencies and enhance the processes used by employees to record financial transactions, purchase materials and service, process payments, and analyze data. Implementation is expected in the third quarter of 2011 to the first quarter of 2012.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22, 2011, Minnesota Power filed an appeal of the MPUC’s interim rate decision in the Company’s 2010 rate case with the Minnesota Court of Appeals. The Company is appealing the MPUC’s interim rate decision on application of exigent circumstances with the primary argument that the MPUC exceeded its statutory authority, made its decision without the support of a body of record evidence, and that the decision violated public policy. The Company desires to resolve whether the Commission’s action was lawful for application in future cases. The Company’s initial brief was filed on April 25, 2011. If the appeal is successful, the Minnesota Court of Appeals will remand the case to the MPUC for further action consistent with its decision. The Company cannot predict the outcome of the matter at this time.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2010 Form 10-K.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Mine Safety Disclosures – Required by the Dodd-Frank Wall Street Reform and Consumer Protection Act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Dodd-Frank Act requires issuers to include in periodic reports filed with the SEC certain information relating to citations or orders for violations of standards under the Federal Mine Safety and Health Act of 1977 (Mine Safety Act).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quarter ended March 31, 2011, there were no citations, orders or notices received under Sections 104, 104(a), 104(b), 104(d), 107(a) or 104(e) of the Mine Safety Act, no violations of Section 110(b)(2) of the Mine Safety Act, and there were no fatalities. In December 2010, BNI Coal received five citations under Section 104(a); as of March 31, 2011, we had received and paid the associated penalties of $600 for these citations.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0" w:lineRule="exact"/>
        <w:rPr>
          <w:sz w:val="20"/>
          <w:szCs w:val="20"/>
          <w:color w:val="auto"/>
        </w:rPr>
      </w:pPr>
    </w:p>
    <w:p>
      <w:pPr>
        <w:spacing w:after="0" w:line="281"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Rule 13a-14(a)/15d-14(a) Certification by the Chief Executive Officer Pursuant to Section 302 of the Sarbanes-Oxley Act of 2002.</w:t>
      </w:r>
    </w:p>
    <w:p>
      <w:pPr>
        <w:spacing w:after="0" w:line="252"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8"/>
          <w:szCs w:val="18"/>
          <w:color w:val="auto"/>
        </w:rPr>
        <w:t>Rule 13a-14(a)/15d-14(a) Certification by the Chief Financial Officer Pursuant to Section 302 of the Sarbanes-Oxley Act of 2002.</w:t>
      </w:r>
    </w:p>
    <w:p>
      <w:pPr>
        <w:spacing w:after="0" w:line="252" w:lineRule="exact"/>
        <w:rPr>
          <w:sz w:val="20"/>
          <w:szCs w:val="20"/>
          <w:color w:val="auto"/>
        </w:rPr>
      </w:pPr>
    </w:p>
    <w:p>
      <w:pPr>
        <w:ind w:left="960" w:right="680" w:hanging="709"/>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Chief Financial Officer Pursuant to Section 906 of the Sarbanes-Oxley Act of 2002.</w:t>
      </w:r>
    </w:p>
    <w:p>
      <w:pPr>
        <w:spacing w:after="0" w:line="197" w:lineRule="exact"/>
        <w:rPr>
          <w:sz w:val="20"/>
          <w:szCs w:val="20"/>
          <w:color w:val="auto"/>
        </w:rPr>
      </w:pPr>
    </w:p>
    <w:p>
      <w:pPr>
        <w:ind w:left="960" w:right="140" w:hanging="709"/>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ALLETE News Release dated April 29, 2011, announcing 2011 first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45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456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4560" w:type="dxa"/>
            <w:vAlign w:val="bottom"/>
          </w:tcPr>
          <w:p>
            <w:pPr>
              <w:ind w:left="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45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4560" w:type="dxa"/>
            <w:vAlign w:val="bottom"/>
          </w:tcPr>
          <w:p>
            <w:pPr>
              <w:ind w:left="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8680" w:val="left"/>
        </w:tabs>
        <w:rPr>
          <w:sz w:val="20"/>
          <w:szCs w:val="20"/>
          <w:color w:val="auto"/>
        </w:rPr>
      </w:pPr>
      <w:r>
        <w:rPr>
          <w:rFonts w:ascii="Arial" w:cs="Arial" w:eastAsia="Arial" w:hAnsi="Arial"/>
          <w:sz w:val="18"/>
          <w:szCs w:val="18"/>
          <w:color w:val="auto"/>
        </w:rPr>
        <w:t>April 29, 2011</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April 29, 2011</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Steven Q. DeVinck</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Controller and Vice President – Business Support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First Quarter 2011 Form 10-Q</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52" w:lineRule="exact"/>
        <w:rPr>
          <w:sz w:val="20"/>
          <w:szCs w:val="20"/>
          <w:color w:val="auto"/>
        </w:rPr>
      </w:pPr>
    </w:p>
    <w:p>
      <w:pPr>
        <w:ind w:left="340" w:hanging="23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2011, of ALLETE;</w:t>
      </w:r>
    </w:p>
    <w:p>
      <w:pPr>
        <w:spacing w:after="0" w:line="252" w:lineRule="exact"/>
        <w:rPr>
          <w:rFonts w:ascii="Arial" w:cs="Arial" w:eastAsia="Arial" w:hAnsi="Arial"/>
          <w:sz w:val="18"/>
          <w:szCs w:val="18"/>
          <w:color w:val="auto"/>
        </w:rPr>
      </w:pPr>
    </w:p>
    <w:p>
      <w:pPr>
        <w:ind w:left="340" w:hanging="233"/>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3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33"/>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3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April 29, 2011</w:t>
      </w:r>
      <w:r>
        <w:rPr>
          <w:sz w:val="20"/>
          <w:szCs w:val="20"/>
          <w:color w:val="auto"/>
        </w:rPr>
        <w:tab/>
      </w:r>
      <w:r>
        <w:rPr>
          <w:rFonts w:ascii="Arial" w:cs="Arial" w:eastAsia="Arial" w:hAnsi="Arial"/>
          <w:sz w:val="17"/>
          <w:szCs w:val="17"/>
          <w:u w:val="single" w:color="auto"/>
          <w:color w:val="auto"/>
        </w:rPr>
        <w:t>Alan R. Hodnik</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Alan R. Hodnik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2011,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29, 2011</w:t>
      </w:r>
      <w:r>
        <w:rPr>
          <w:sz w:val="20"/>
          <w:szCs w:val="20"/>
          <w:color w:val="auto"/>
        </w:rPr>
        <w:tab/>
      </w:r>
      <w:r>
        <w:rPr>
          <w:rFonts w:ascii="Arial" w:cs="Arial" w:eastAsia="Arial" w:hAnsi="Arial"/>
          <w:sz w:val="16"/>
          <w:szCs w:val="16"/>
          <w:u w:val="single" w:color="auto"/>
          <w:color w:val="auto"/>
        </w:rPr>
        <w:t>Mark A. Schober</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right="20" w:hanging="233"/>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March 31, 2011,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340" w:hanging="23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29, 2011</w:t>
      </w:r>
      <w:r>
        <w:rPr>
          <w:sz w:val="20"/>
          <w:szCs w:val="20"/>
          <w:color w:val="auto"/>
        </w:rPr>
        <w:tab/>
      </w:r>
      <w:r>
        <w:rPr>
          <w:rFonts w:ascii="Arial" w:cs="Arial" w:eastAsia="Arial" w:hAnsi="Arial"/>
          <w:sz w:val="17"/>
          <w:szCs w:val="17"/>
          <w:u w:val="single" w:color="auto"/>
          <w:color w:val="auto"/>
        </w:rPr>
        <w:t>Alan R. Hodnik</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R. Hodnik</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29, 2011</w:t>
      </w:r>
      <w:r>
        <w:rPr>
          <w:sz w:val="20"/>
          <w:szCs w:val="20"/>
          <w:color w:val="auto"/>
        </w:rPr>
        <w:tab/>
      </w:r>
      <w:r>
        <w:rPr>
          <w:rFonts w:ascii="Arial" w:cs="Arial" w:eastAsia="Arial" w:hAnsi="Arial"/>
          <w:sz w:val="16"/>
          <w:szCs w:val="16"/>
          <w:u w:val="single" w:color="auto"/>
          <w:color w:val="auto"/>
        </w:rPr>
        <w:t>Mark A. Schober</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0660"/>
        <w:spacing w:after="0"/>
        <w:rPr>
          <w:sz w:val="20"/>
          <w:szCs w:val="20"/>
          <w:color w:val="auto"/>
        </w:rPr>
      </w:pPr>
      <w:r>
        <w:rPr>
          <w:rFonts w:ascii="Arial" w:cs="Arial" w:eastAsia="Arial" w:hAnsi="Arial"/>
          <w:sz w:val="17"/>
          <w:szCs w:val="17"/>
          <w:color w:val="auto"/>
        </w:rPr>
        <w:t>Exhibit 99</w:t>
      </w:r>
    </w:p>
    <w:p>
      <w:pPr>
        <w:spacing w:after="0" w:line="35" w:lineRule="exact"/>
        <w:rPr>
          <w:sz w:val="20"/>
          <w:szCs w:val="20"/>
          <w:color w:val="auto"/>
        </w:rPr>
      </w:pPr>
    </w:p>
    <w:p>
      <w:pPr>
        <w:ind w:left="8960"/>
        <w:spacing w:after="0"/>
        <w:tabs>
          <w:tab w:leader="none" w:pos="1004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7"/>
          <w:szCs w:val="17"/>
          <w:color w:val="auto"/>
        </w:rPr>
        <w:t>April 29, 2011</w:t>
      </w:r>
    </w:p>
    <w:p>
      <w:pPr>
        <w:spacing w:after="0" w:line="9" w:lineRule="exact"/>
        <w:rPr>
          <w:sz w:val="20"/>
          <w:szCs w:val="20"/>
          <w:color w:val="auto"/>
        </w:rPr>
      </w:pPr>
    </w:p>
    <w:p>
      <w:pPr>
        <w:ind w:left="8960"/>
        <w:spacing w:after="0"/>
        <w:rPr>
          <w:sz w:val="20"/>
          <w:szCs w:val="20"/>
          <w:color w:val="auto"/>
        </w:rPr>
      </w:pPr>
      <w:r>
        <w:rPr>
          <w:rFonts w:ascii="Arial" w:cs="Arial" w:eastAsia="Arial" w:hAnsi="Arial"/>
          <w:sz w:val="18"/>
          <w:szCs w:val="18"/>
          <w:i w:val="1"/>
          <w:i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15135" cy="780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5135" cy="780415"/>
                    </a:xfrm>
                    <a:prstGeom prst="rect">
                      <a:avLst/>
                    </a:prstGeom>
                    <a:noFill/>
                  </pic:spPr>
                </pic:pic>
              </a:graphicData>
            </a:graphic>
          </wp:anchor>
        </w:drawing>
      </w:r>
    </w:p>
    <w:p>
      <w:pPr>
        <w:ind w:left="8960"/>
        <w:spacing w:after="0"/>
        <w:tabs>
          <w:tab w:leader="none" w:pos="10040" w:val="left"/>
        </w:tabs>
        <w:rPr>
          <w:sz w:val="20"/>
          <w:szCs w:val="20"/>
          <w:color w:val="auto"/>
        </w:rPr>
      </w:pPr>
      <w:r>
        <w:rPr>
          <w:rFonts w:ascii="Arial" w:cs="Arial" w:eastAsia="Arial" w:hAnsi="Arial"/>
          <w:sz w:val="18"/>
          <w:szCs w:val="18"/>
          <w:i w:val="1"/>
          <w:iCs w:val="1"/>
          <w:color w:val="auto"/>
        </w:rPr>
        <w:t>Contact:</w:t>
      </w:r>
      <w:r>
        <w:rPr>
          <w:sz w:val="20"/>
          <w:szCs w:val="20"/>
          <w:color w:val="auto"/>
        </w:rPr>
        <w:tab/>
      </w:r>
      <w:r>
        <w:rPr>
          <w:rFonts w:ascii="Arial" w:cs="Arial" w:eastAsia="Arial" w:hAnsi="Arial"/>
          <w:sz w:val="18"/>
          <w:szCs w:val="18"/>
          <w:color w:val="auto"/>
        </w:rPr>
        <w:t>Tim Thorp</w:t>
      </w:r>
    </w:p>
    <w:p>
      <w:pPr>
        <w:spacing w:after="0" w:line="9"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218-723-3953</w:t>
      </w:r>
    </w:p>
    <w:p>
      <w:pPr>
        <w:spacing w:after="0" w:line="9"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tthorp@allete.com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65"/>
          <w:szCs w:val="65"/>
          <w:b w:val="1"/>
          <w:bCs w:val="1"/>
          <w:i w:val="1"/>
          <w:iCs w:val="1"/>
          <w:color w:val="auto"/>
        </w:rPr>
        <w:t>NEWS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Higher electric sales boost ALLETE, Inc. first quarter results</w:t>
      </w:r>
    </w:p>
    <w:p>
      <w:pPr>
        <w:spacing w:after="0" w:line="21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ALLETE, Inc. (NYSE: ALE) today reported first quarter 2011 earnings of $1.07 per share on net income of $37.2 million and operating revenue of $242.2 million. This compares to earnings of 68 cents per share, net income of $23 million and operating revenue of $233.6 million recorded in the first quarter of 2010.</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Year-over-year comparisons were affected by two non-recurring items. This year’s quarterly results included the reversal of a $6.2 million, or 18 cents per share, deferred tax liability from a settlement agreement approved as part of Minnesota Power’s 2010 rate case. 2010 results included a $4.0 million, or 12 cents per share, charge due to the Patient Protection and Affordable Care Act.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amount of electricity sold by our regulated utilities improved about five percent, a solid indicator of continued economic improvement in the Upper Midwest,” said ALLETE President and Chief Executive, Alan R. Hodnik. “Demand for power is ahead of what we anticipated, and we’re encouraged by the prospect for new industrial customer growth in our region.”</w:t>
      </w:r>
    </w:p>
    <w:p>
      <w:pPr>
        <w:spacing w:after="0" w:line="17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at ALLETE recorded $38.4 million of income in 2011’s first quarter, highlighted by a five percent increase in electricity sold.</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income increased year-over-year in the first quarter, as did income at Superior Water, Light &amp; Power Co. in Wisconsin. Income from ALLETE’s investment in the American Transmission Co. remained steady.</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trimmed its loss in the first quarter of 2011, compared to the same period a year ago, by $700,000. Financial results from ALLETE Properties showed year-over-year improvement, and North Dakota’s BNI Coal recorded similar earnings in the first quarters of both 2010 and 2011.</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Hodnik said that because of expectations for increased electric sales, the company now projects 2011 earnings to be between $2.40 and $2.60 per share.</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host a conference call and webcast at 10:00 a.m. Eastern time today to discuss details of its performance for the year. Interested parties may listen live by calling (877) 303-5852, or by accessing the webcast at www.allete.com. A replay of the call will be available through May 2, 2011 by dialing (800) 642-1687, pass code 58584640.</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ALLETE’s corporate headquarters are in Duluth, Minnesota. In addition to its electric utilities, Minnesota Power in northeast Minnesota and Superior, Water, Light &amp; Power Co. in northwest Wisconsin, ALLETE owns BNI Coal in Center, N. D. and has an eight percent equity interest in American Transmission Co. More information about the company is available on ALLETE’s Web site at www.allete.com.</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center"/>
        <w:ind w:left="98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4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Fuel and Purchased Power</w:t>
            </w:r>
          </w:p>
        </w:tc>
        <w:tc>
          <w:tcPr>
            <w:tcW w:w="346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and Maintenance</w:t>
            </w:r>
          </w:p>
        </w:tc>
        <w:tc>
          <w:tcPr>
            <w:tcW w:w="3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Depreciation</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4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Earnings in ATC</w:t>
            </w:r>
          </w:p>
        </w:tc>
        <w:tc>
          <w:tcPr>
            <w:tcW w:w="3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3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Income Tax Expense</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Less: Non-Controlling Interest in Subsidiaries</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ALLETE</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of Common Stock</w:t>
            </w:r>
          </w:p>
        </w:tc>
        <w:tc>
          <w:tcPr>
            <w:tcW w:w="3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Basic</w:t>
            </w:r>
          </w:p>
        </w:tc>
        <w:tc>
          <w:tcPr>
            <w:tcW w:w="34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68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 of Common Stock</w:t>
            </w:r>
          </w:p>
        </w:tc>
        <w:tc>
          <w:tcPr>
            <w:tcW w:w="3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$0.445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140" w:type="dxa"/>
            <w:vAlign w:val="bottom"/>
            <w:gridSpan w:val="2"/>
          </w:tcPr>
          <w:p>
            <w:pPr>
              <w:jc w:val="center"/>
              <w:ind w:right="2110"/>
              <w:spacing w:after="0"/>
              <w:rPr>
                <w:sz w:val="20"/>
                <w:szCs w:val="20"/>
                <w:color w:val="auto"/>
              </w:rPr>
            </w:pPr>
            <w:r>
              <w:rPr>
                <w:rFonts w:ascii="Arial" w:cs="Arial" w:eastAsia="Arial" w:hAnsi="Arial"/>
                <w:sz w:val="18"/>
                <w:szCs w:val="18"/>
                <w:b w:val="1"/>
                <w:bCs w:val="1"/>
                <w:color w:val="auto"/>
                <w:w w:val="88"/>
              </w:rPr>
              <w:t>Consolidated Balance Sheet</w:t>
            </w: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140" w:type="dxa"/>
            <w:vAlign w:val="bottom"/>
            <w:gridSpan w:val="2"/>
          </w:tcPr>
          <w:p>
            <w:pPr>
              <w:jc w:val="center"/>
              <w:ind w:right="2110"/>
              <w:spacing w:after="0"/>
              <w:rPr>
                <w:sz w:val="20"/>
                <w:szCs w:val="20"/>
                <w:color w:val="auto"/>
              </w:rPr>
            </w:pPr>
            <w:r>
              <w:rPr>
                <w:rFonts w:ascii="Arial" w:cs="Arial" w:eastAsia="Arial" w:hAnsi="Arial"/>
                <w:sz w:val="18"/>
                <w:szCs w:val="18"/>
                <w:color w:val="auto"/>
                <w:w w:val="94"/>
              </w:rPr>
              <w:t>Millions – Unaudited</w:t>
            </w: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Mar. 31,</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6"/>
              </w:rPr>
              <w:t>Dec. 31,</w:t>
            </w:r>
          </w:p>
        </w:tc>
        <w:tc>
          <w:tcPr>
            <w:tcW w:w="4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Mar. 31,</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Dec.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4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320" w:type="dxa"/>
            <w:vAlign w:val="bottom"/>
          </w:tcPr>
          <w:p>
            <w:pPr>
              <w:jc w:val="right"/>
              <w:spacing w:after="0"/>
              <w:rPr>
                <w:sz w:val="20"/>
                <w:szCs w:val="20"/>
                <w:color w:val="auto"/>
              </w:rPr>
            </w:pPr>
            <w:r>
              <w:rPr>
                <w:rFonts w:ascii="Arial" w:cs="Arial" w:eastAsia="Arial" w:hAnsi="Arial"/>
                <w:sz w:val="18"/>
                <w:szCs w:val="18"/>
                <w:color w:val="auto"/>
              </w:rPr>
              <w:t>$52.7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420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jc w:val="right"/>
              <w:spacing w:after="0"/>
              <w:rPr>
                <w:sz w:val="20"/>
                <w:szCs w:val="20"/>
                <w:color w:val="auto"/>
              </w:rPr>
            </w:pPr>
            <w:r>
              <w:rPr>
                <w:rFonts w:ascii="Arial" w:cs="Arial" w:eastAsia="Arial" w:hAnsi="Arial"/>
                <w:sz w:val="18"/>
                <w:szCs w:val="18"/>
                <w:color w:val="auto"/>
              </w:rPr>
              <w:t>$125.7</w:t>
            </w:r>
          </w:p>
        </w:tc>
        <w:tc>
          <w:tcPr>
            <w:tcW w:w="760" w:type="dxa"/>
            <w:vAlign w:val="bottom"/>
          </w:tcPr>
          <w:p>
            <w:pPr>
              <w:jc w:val="right"/>
              <w:spacing w:after="0"/>
              <w:rPr>
                <w:sz w:val="20"/>
                <w:szCs w:val="20"/>
                <w:color w:val="auto"/>
              </w:rPr>
            </w:pPr>
            <w:r>
              <w:rPr>
                <w:rFonts w:ascii="Arial" w:cs="Arial" w:eastAsia="Arial" w:hAnsi="Arial"/>
                <w:sz w:val="18"/>
                <w:szCs w:val="18"/>
                <w:color w:val="auto"/>
              </w:rPr>
              <w:t>$158.9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320" w:type="dxa"/>
            <w:vAlign w:val="bottom"/>
          </w:tcPr>
          <w:p>
            <w:pPr>
              <w:jc w:val="right"/>
              <w:spacing w:after="0"/>
              <w:rPr>
                <w:sz w:val="20"/>
                <w:szCs w:val="20"/>
                <w:color w:val="auto"/>
              </w:rPr>
            </w:pPr>
            <w:r>
              <w:rPr>
                <w:rFonts w:ascii="Arial" w:cs="Arial" w:eastAsia="Arial" w:hAnsi="Arial"/>
                <w:sz w:val="18"/>
                <w:szCs w:val="18"/>
                <w:color w:val="auto"/>
              </w:rPr>
              <w:t>1,841.3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1,805.6</w:t>
            </w:r>
          </w:p>
        </w:tc>
        <w:tc>
          <w:tcPr>
            <w:tcW w:w="420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280" w:type="dxa"/>
            <w:vAlign w:val="bottom"/>
          </w:tcPr>
          <w:p>
            <w:pPr>
              <w:jc w:val="right"/>
              <w:spacing w:after="0"/>
              <w:rPr>
                <w:sz w:val="20"/>
                <w:szCs w:val="20"/>
                <w:color w:val="auto"/>
              </w:rPr>
            </w:pPr>
            <w:r>
              <w:rPr>
                <w:rFonts w:ascii="Arial" w:cs="Arial" w:eastAsia="Arial" w:hAnsi="Arial"/>
                <w:sz w:val="18"/>
                <w:szCs w:val="18"/>
                <w:color w:val="auto"/>
              </w:rPr>
              <w:t>317.3</w:t>
            </w:r>
          </w:p>
        </w:tc>
        <w:tc>
          <w:tcPr>
            <w:tcW w:w="760" w:type="dxa"/>
            <w:vAlign w:val="bottom"/>
          </w:tcPr>
          <w:p>
            <w:pPr>
              <w:jc w:val="right"/>
              <w:spacing w:after="0"/>
              <w:rPr>
                <w:sz w:val="20"/>
                <w:szCs w:val="20"/>
                <w:color w:val="auto"/>
              </w:rPr>
            </w:pPr>
            <w:r>
              <w:rPr>
                <w:rFonts w:ascii="Arial" w:cs="Arial" w:eastAsia="Arial" w:hAnsi="Arial"/>
                <w:sz w:val="18"/>
                <w:szCs w:val="18"/>
                <w:color w:val="auto"/>
              </w:rPr>
              <w:t>324.8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Regulatory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Liabilities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spacing w:after="0"/>
              <w:rPr>
                <w:sz w:val="20"/>
                <w:szCs w:val="20"/>
                <w:color w:val="auto"/>
              </w:rPr>
            </w:pPr>
            <w:r>
              <w:rPr>
                <w:rFonts w:ascii="Arial" w:cs="Arial" w:eastAsia="Arial" w:hAnsi="Arial"/>
                <w:sz w:val="18"/>
                <w:szCs w:val="18"/>
                <w:color w:val="auto"/>
              </w:rPr>
              <w:t>94.8</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4200" w:type="dxa"/>
            <w:vAlign w:val="bottom"/>
          </w:tcPr>
          <w:p>
            <w:pPr>
              <w:ind w:left="100"/>
              <w:spacing w:after="0"/>
              <w:rPr>
                <w:sz w:val="20"/>
                <w:szCs w:val="20"/>
                <w:color w:val="auto"/>
              </w:rPr>
            </w:pPr>
            <w:r>
              <w:rPr>
                <w:rFonts w:ascii="Arial" w:cs="Arial" w:eastAsia="Arial" w:hAnsi="Arial"/>
                <w:sz w:val="18"/>
                <w:szCs w:val="18"/>
                <w:color w:val="auto"/>
              </w:rPr>
              <w:t>Deferred Income Taxes &amp; Investment Tax Credits</w:t>
            </w:r>
          </w:p>
        </w:tc>
        <w:tc>
          <w:tcPr>
            <w:tcW w:w="1280" w:type="dxa"/>
            <w:vAlign w:val="bottom"/>
          </w:tcPr>
          <w:p>
            <w:pPr>
              <w:jc w:val="right"/>
              <w:spacing w:after="0"/>
              <w:rPr>
                <w:sz w:val="20"/>
                <w:szCs w:val="20"/>
                <w:color w:val="auto"/>
              </w:rPr>
            </w:pPr>
            <w:r>
              <w:rPr>
                <w:rFonts w:ascii="Arial" w:cs="Arial" w:eastAsia="Arial" w:hAnsi="Arial"/>
                <w:sz w:val="18"/>
                <w:szCs w:val="18"/>
                <w:color w:val="auto"/>
              </w:rPr>
              <w:t>341.9</w:t>
            </w:r>
          </w:p>
        </w:tc>
        <w:tc>
          <w:tcPr>
            <w:tcW w:w="760" w:type="dxa"/>
            <w:vAlign w:val="bottom"/>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4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$2,609.1</w:t>
            </w:r>
          </w:p>
        </w:tc>
        <w:tc>
          <w:tcPr>
            <w:tcW w:w="4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20" w:type="dxa"/>
            <w:vAlign w:val="bottom"/>
          </w:tcPr>
          <w:p>
            <w:pPr>
              <w:spacing w:after="0"/>
              <w:rPr>
                <w:sz w:val="19"/>
                <w:szCs w:val="19"/>
                <w:color w:val="auto"/>
              </w:rPr>
            </w:pPr>
          </w:p>
        </w:tc>
      </w:tr>
      <w:tr>
        <w:trPr>
          <w:trHeight w:val="659"/>
        </w:trPr>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40" w:type="dxa"/>
            <w:vAlign w:val="bottom"/>
            <w:tcBorders>
              <w:top w:val="single" w:sz="8" w:color="auto"/>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6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Inc.</w:t>
            </w:r>
          </w:p>
        </w:tc>
        <w:tc>
          <w:tcPr>
            <w:tcW w:w="29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Income (Loss)</w:t>
            </w:r>
          </w:p>
        </w:tc>
        <w:tc>
          <w:tcPr>
            <w:tcW w:w="2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900"/>
              <w:spacing w:after="0"/>
              <w:rPr>
                <w:sz w:val="20"/>
                <w:szCs w:val="20"/>
                <w:color w:val="auto"/>
              </w:rPr>
            </w:pPr>
            <w:r>
              <w:rPr>
                <w:rFonts w:ascii="Arial" w:cs="Arial" w:eastAsia="Arial" w:hAnsi="Arial"/>
                <w:sz w:val="18"/>
                <w:szCs w:val="18"/>
                <w:color w:val="auto"/>
              </w:rPr>
              <w:t>Regulated Operations</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Investments and Other</w:t>
            </w:r>
          </w:p>
        </w:tc>
        <w:tc>
          <w:tcPr>
            <w:tcW w:w="2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Net Income Attributable to ALLETE</w:t>
            </w:r>
          </w:p>
        </w:tc>
        <w:tc>
          <w:tcPr>
            <w:tcW w:w="2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7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Statistical Data</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Corporate</w:t>
            </w: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Common Stock</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0"/>
              <w:spacing w:after="0"/>
              <w:rPr>
                <w:sz w:val="20"/>
                <w:szCs w:val="20"/>
                <w:color w:val="auto"/>
              </w:rPr>
            </w:pPr>
            <w:r>
              <w:rPr>
                <w:rFonts w:ascii="Arial" w:cs="Arial" w:eastAsia="Arial" w:hAnsi="Arial"/>
                <w:sz w:val="18"/>
                <w:szCs w:val="18"/>
                <w:color w:val="auto"/>
              </w:rPr>
              <w:t>High</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$39.36</w:t>
            </w:r>
          </w:p>
        </w:tc>
        <w:tc>
          <w:tcPr>
            <w:tcW w:w="680" w:type="dxa"/>
            <w:vAlign w:val="bottom"/>
          </w:tcPr>
          <w:p>
            <w:pPr>
              <w:jc w:val="right"/>
              <w:spacing w:after="0"/>
              <w:rPr>
                <w:sz w:val="20"/>
                <w:szCs w:val="20"/>
                <w:color w:val="auto"/>
              </w:rPr>
            </w:pPr>
            <w:r>
              <w:rPr>
                <w:rFonts w:ascii="Arial" w:cs="Arial" w:eastAsia="Arial" w:hAnsi="Arial"/>
                <w:sz w:val="18"/>
                <w:szCs w:val="18"/>
                <w:color w:val="auto"/>
              </w:rPr>
              <w:t>$34.00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Low</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0"/>
              <w:spacing w:after="0"/>
              <w:rPr>
                <w:sz w:val="20"/>
                <w:szCs w:val="20"/>
                <w:color w:val="auto"/>
              </w:rPr>
            </w:pPr>
            <w:r>
              <w:rPr>
                <w:rFonts w:ascii="Arial" w:cs="Arial" w:eastAsia="Arial" w:hAnsi="Arial"/>
                <w:sz w:val="18"/>
                <w:szCs w:val="18"/>
                <w:color w:val="auto"/>
              </w:rPr>
              <w:t>Close</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$38.97</w:t>
            </w:r>
          </w:p>
        </w:tc>
        <w:tc>
          <w:tcPr>
            <w:tcW w:w="680" w:type="dxa"/>
            <w:vAlign w:val="bottom"/>
          </w:tcPr>
          <w:p>
            <w:pPr>
              <w:jc w:val="right"/>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Book Value</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7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Millions</w:t>
            </w: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Regulated Utility</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0"/>
              <w:spacing w:after="0"/>
              <w:rPr>
                <w:sz w:val="20"/>
                <w:szCs w:val="20"/>
                <w:color w:val="auto"/>
              </w:rPr>
            </w:pPr>
            <w:r>
              <w:rPr>
                <w:rFonts w:ascii="Arial" w:cs="Arial" w:eastAsia="Arial" w:hAnsi="Arial"/>
                <w:sz w:val="18"/>
                <w:szCs w:val="18"/>
                <w:color w:val="auto"/>
              </w:rPr>
              <w:t>Retail and Municipals</w:t>
            </w: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Residential</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280"/>
              <w:spacing w:after="0"/>
              <w:rPr>
                <w:sz w:val="20"/>
                <w:szCs w:val="20"/>
                <w:color w:val="auto"/>
              </w:rPr>
            </w:pPr>
            <w:r>
              <w:rPr>
                <w:rFonts w:ascii="Arial" w:cs="Arial" w:eastAsia="Arial" w:hAnsi="Arial"/>
                <w:sz w:val="18"/>
                <w:szCs w:val="18"/>
                <w:color w:val="auto"/>
              </w:rPr>
              <w:t>Commercial</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Municipals</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Industrial</w:t>
            </w:r>
          </w:p>
        </w:tc>
        <w:tc>
          <w:tcPr>
            <w:tcW w:w="2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Retail and Municipal</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Other Power Suppliers</w:t>
            </w:r>
          </w:p>
        </w:tc>
        <w:tc>
          <w:tcPr>
            <w:tcW w:w="2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Regulated Utility</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Non-regulated Energy Operations</w:t>
            </w:r>
          </w:p>
        </w:tc>
        <w:tc>
          <w:tcPr>
            <w:tcW w:w="2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shd w:val="clear" w:color="auto" w:fill="CCEEFF"/>
          </w:tcPr>
          <w:p>
            <w:pPr>
              <w:ind w:left="3540"/>
              <w:spacing w:after="0"/>
              <w:rPr>
                <w:sz w:val="20"/>
                <w:szCs w:val="20"/>
                <w:color w:val="auto"/>
              </w:rPr>
            </w:pPr>
            <w:r>
              <w:rPr>
                <w:rFonts w:ascii="Arial" w:cs="Arial" w:eastAsia="Arial" w:hAnsi="Arial"/>
                <w:sz w:val="18"/>
                <w:szCs w:val="18"/>
                <w:color w:val="auto"/>
              </w:rPr>
              <w:t>Total Kilowatt-hours Sold</w:t>
            </w:r>
          </w:p>
        </w:tc>
        <w:tc>
          <w:tcPr>
            <w:tcW w:w="2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3" w:right="2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T"/>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99"/>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2019-12-10T02:07:55Z</dcterms:created>
  <dcterms:modified xsi:type="dcterms:W3CDTF">2019-12-10T02:07:55Z</dcterms:modified>
</cp:coreProperties>
</file>