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660" w:right="4140" w:hanging="634"/>
        <w:spacing w:after="0" w:line="29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ALLETE,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13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7"/>
          <w:szCs w:val="17"/>
          <w:color w:val="auto"/>
        </w:rPr>
        <w:t>(IRS Employer Identification No.)</w:t>
      </w:r>
    </w:p>
    <w:p>
      <w:pPr>
        <w:spacing w:after="0" w:line="124" w:lineRule="exact"/>
        <w:rPr>
          <w:sz w:val="24"/>
          <w:szCs w:val="24"/>
          <w:color w:val="auto"/>
        </w:rPr>
      </w:pPr>
    </w:p>
    <w:p>
      <w:pPr>
        <w:sectPr>
          <w:pgSz w:w="11900" w:h="16838" w:orient="portrait"/>
          <w:cols w:equalWidth="0" w:num="2">
            <w:col w:w="6360" w:space="720"/>
            <w:col w:w="4160"/>
          </w:cols>
          <w:pgMar w:left="320" w:top="1039"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ectPr>
          <w:pgSz w:w="11900" w:h="16838" w:orient="portrait"/>
          <w:cols w:equalWidth="0" w:num="1">
            <w:col w:w="11240"/>
          </w:cols>
          <w:pgMar w:left="320" w:top="1039" w:right="3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39" w:right="339" w:bottom="1440" w:gutter="0" w:footer="0" w:header="0"/>
          <w:type w:val="continuous"/>
        </w:sectPr>
      </w:pPr>
    </w:p>
    <w:p>
      <w:pPr>
        <w:spacing w:after="0" w:line="73" w:lineRule="exact"/>
        <w:rPr>
          <w:sz w:val="24"/>
          <w:szCs w:val="24"/>
          <w:color w:val="auto"/>
        </w:rPr>
      </w:pPr>
    </w:p>
    <w:p>
      <w:pPr>
        <w:jc w:val="center"/>
        <w:ind w:left="2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00"/>
        <w:spacing w:after="0"/>
        <w:rPr>
          <w:sz w:val="20"/>
          <w:szCs w:val="20"/>
          <w:color w:val="auto"/>
        </w:rPr>
      </w:pPr>
      <w:r>
        <w:rPr>
          <w:rFonts w:ascii="Arial" w:cs="Arial" w:eastAsia="Arial" w:hAnsi="Arial"/>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New York Stock Exchange</w:t>
      </w:r>
    </w:p>
    <w:p>
      <w:pPr>
        <w:spacing w:after="0" w:line="116" w:lineRule="exact"/>
        <w:rPr>
          <w:sz w:val="24"/>
          <w:szCs w:val="24"/>
          <w:color w:val="auto"/>
        </w:rPr>
      </w:pPr>
    </w:p>
    <w:p>
      <w:pPr>
        <w:sectPr>
          <w:pgSz w:w="11900" w:h="16838" w:orient="portrait"/>
          <w:cols w:equalWidth="0" w:num="3">
            <w:col w:w="4320" w:space="720"/>
            <w:col w:w="1620" w:space="720"/>
            <w:col w:w="3860"/>
          </w:cols>
          <w:pgMar w:left="320" w:top="1039"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9" w:right="339" w:bottom="1440" w:gutter="0" w:footer="0" w:header="0"/>
          <w:type w:val="continuous"/>
        </w:sectPr>
      </w:pPr>
    </w:p>
    <w:p>
      <w:pPr>
        <w:spacing w:after="0" w:line="43" w:lineRule="exact"/>
        <w:rPr>
          <w:sz w:val="24"/>
          <w:szCs w:val="24"/>
          <w:color w:val="auto"/>
        </w:rPr>
      </w:pPr>
    </w:p>
    <w:p>
      <w:pPr>
        <w:ind w:left="420"/>
        <w:spacing w:after="0" w:line="25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4880" w:space="180"/>
            <w:col w:w="6180"/>
          </w:cols>
          <w:pgMar w:left="320" w:top="1039" w:right="339" w:bottom="1440" w:gutter="0" w:footer="0" w:header="0"/>
          <w:type w:val="continuous"/>
        </w:sectPr>
      </w:pPr>
    </w:p>
    <w:p>
      <w:pPr>
        <w:ind w:left="1320"/>
        <w:spacing w:after="0" w:line="196" w:lineRule="exact"/>
        <w:tabs>
          <w:tab w:leader="none" w:pos="35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57,316,155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March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6"/>
          </w:tcPr>
          <w:p>
            <w:pPr>
              <w:ind w:left="120"/>
              <w:spacing w:after="0"/>
              <w:rPr>
                <w:sz w:val="20"/>
                <w:szCs w:val="20"/>
                <w:color w:val="auto"/>
              </w:rPr>
            </w:pPr>
            <w:r>
              <w:rPr>
                <w:rFonts w:ascii="Arial" w:cs="Arial" w:eastAsia="Arial" w:hAnsi="Arial"/>
                <w:sz w:val="18"/>
                <w:szCs w:val="18"/>
                <w:b w:val="1"/>
                <w:bCs w:val="1"/>
                <w:color w:val="auto"/>
              </w:rPr>
              <w:t>Index</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97"/>
              </w:rPr>
              <w:t>Definitions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gridSpan w:val="3"/>
          </w:tcPr>
          <w:p>
            <w:pPr>
              <w:jc w:val="right"/>
              <w:ind w:right="20"/>
              <w:spacing w:after="0"/>
              <w:rPr>
                <w:sz w:val="20"/>
                <w:szCs w:val="20"/>
                <w:color w:val="auto"/>
              </w:rPr>
            </w:pPr>
            <w:r>
              <w:rPr>
                <w:rFonts w:ascii="Arial" w:cs="Arial" w:eastAsia="Arial" w:hAnsi="Arial"/>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0"/>
              </w:rPr>
              <w:t>Forward-Looking Statements</w:t>
            </w:r>
          </w:p>
        </w:tc>
        <w:tc>
          <w:tcPr>
            <w:tcW w:w="6200" w:type="dxa"/>
            <w:vAlign w:val="bottom"/>
            <w:gridSpan w:val="27"/>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sz w:val="20"/>
                <w:szCs w:val="20"/>
                <w:color w:val="auto"/>
              </w:rPr>
            </w:pPr>
            <w:r>
              <w:rPr>
                <w:rFonts w:ascii="Arial" w:cs="Arial" w:eastAsia="Arial" w:hAnsi="Arial"/>
                <w:sz w:val="18"/>
                <w:szCs w:val="18"/>
                <w:color w:val="0000FF"/>
              </w:rPr>
              <w:t>Part I.</w:t>
            </w:r>
          </w:p>
        </w:tc>
        <w:tc>
          <w:tcPr>
            <w:tcW w:w="7460" w:type="dxa"/>
            <w:vAlign w:val="bottom"/>
            <w:gridSpan w:val="33"/>
          </w:tcPr>
          <w:p>
            <w:pPr>
              <w:ind w:left="20"/>
              <w:spacing w:after="0" w:line="189" w:lineRule="exact"/>
              <w:rPr>
                <w:sz w:val="20"/>
                <w:szCs w:val="20"/>
                <w:color w:val="auto"/>
              </w:rPr>
            </w:pPr>
            <w:r>
              <w:rPr>
                <w:rFonts w:ascii="Arial" w:cs="Arial" w:eastAsia="Arial" w:hAnsi="Arial"/>
                <w:sz w:val="18"/>
                <w:szCs w:val="18"/>
                <w:color w:val="0000FF"/>
              </w:rPr>
              <w:t>Financial Information</w:t>
            </w: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1.</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Arial" w:cs="Arial" w:eastAsia="Arial" w:hAnsi="Arial"/>
                <w:sz w:val="18"/>
                <w:szCs w:val="18"/>
                <w:color w:val="0000FF"/>
              </w:rPr>
              <w:t>Consolidated Financial Statements - Unaudited</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22"/>
          </w:tcPr>
          <w:p>
            <w:pPr>
              <w:spacing w:after="0" w:line="189" w:lineRule="exact"/>
              <w:rPr>
                <w:sz w:val="20"/>
                <w:szCs w:val="20"/>
                <w:color w:val="auto"/>
              </w:rPr>
            </w:pPr>
            <w:r>
              <w:rPr>
                <w:rFonts w:ascii="Arial" w:cs="Arial" w:eastAsia="Arial" w:hAnsi="Arial"/>
                <w:sz w:val="18"/>
                <w:szCs w:val="18"/>
                <w:color w:val="0000FF"/>
              </w:rPr>
              <w:t>Consolidated Balance Sheet</w:t>
            </w:r>
          </w:p>
        </w:tc>
        <w:tc>
          <w:tcPr>
            <w:tcW w:w="3060" w:type="dxa"/>
            <w:vAlign w:val="bottom"/>
            <w:gridSpan w:val="6"/>
          </w:tcPr>
          <w:p>
            <w:pPr>
              <w:spacing w:after="0"/>
              <w:rPr>
                <w:sz w:val="16"/>
                <w:szCs w:val="16"/>
                <w:color w:val="auto"/>
              </w:rPr>
            </w:pP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0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FF"/>
                <w:w w:val="89"/>
              </w:rPr>
              <w:t>Consolidated Statement of Income</w:t>
            </w:r>
          </w:p>
        </w:tc>
        <w:tc>
          <w:tcPr>
            <w:tcW w:w="3760" w:type="dxa"/>
            <w:vAlign w:val="bottom"/>
            <w:gridSpan w:val="10"/>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sz w:val="20"/>
                <w:szCs w:val="20"/>
                <w:color w:val="auto"/>
              </w:rPr>
            </w:pPr>
            <w:r>
              <w:rPr>
                <w:rFonts w:ascii="Arial" w:cs="Arial" w:eastAsia="Arial" w:hAnsi="Arial"/>
                <w:sz w:val="18"/>
                <w:szCs w:val="18"/>
                <w:color w:val="0000FF"/>
              </w:rPr>
              <w:t>Consolidated Statement of Comprehensive Income</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89"/>
              </w:rPr>
              <w:t>Consolidated Statement of Cash Flows</w:t>
            </w:r>
          </w:p>
        </w:tc>
        <w:tc>
          <w:tcPr>
            <w:tcW w:w="3460" w:type="dxa"/>
            <w:vAlign w:val="bottom"/>
            <w:gridSpan w:val="9"/>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19"/>
          </w:tcPr>
          <w:p>
            <w:pPr>
              <w:spacing w:after="0" w:line="189" w:lineRule="exact"/>
              <w:rPr>
                <w:sz w:val="20"/>
                <w:szCs w:val="20"/>
                <w:color w:val="auto"/>
              </w:rPr>
            </w:pPr>
            <w:r>
              <w:rPr>
                <w:rFonts w:ascii="Arial" w:cs="Arial" w:eastAsia="Arial" w:hAnsi="Arial"/>
                <w:sz w:val="18"/>
                <w:szCs w:val="18"/>
                <w:color w:val="0000FF"/>
              </w:rPr>
              <w:t>Consolidated Statement of Equity</w:t>
            </w:r>
          </w:p>
        </w:tc>
        <w:tc>
          <w:tcPr>
            <w:tcW w:w="3460" w:type="dxa"/>
            <w:vAlign w:val="bottom"/>
            <w:gridSpan w:val="9"/>
          </w:tcPr>
          <w:p>
            <w:pPr>
              <w:spacing w:after="0"/>
              <w:rPr>
                <w:sz w:val="16"/>
                <w:szCs w:val="16"/>
                <w:color w:val="auto"/>
              </w:rPr>
            </w:pP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10</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Arial" w:cs="Arial" w:eastAsia="Arial" w:hAnsi="Arial"/>
                <w:sz w:val="18"/>
                <w:szCs w:val="18"/>
                <w:color w:val="0000FF"/>
              </w:rPr>
              <w:t>Note 1. Operations and Significant Accounting Policies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Note 2. Regulatory Matters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Arial" w:cs="Arial" w:eastAsia="Arial" w:hAnsi="Arial"/>
                <w:sz w:val="18"/>
                <w:szCs w:val="18"/>
                <w:color w:val="0000FF"/>
              </w:rPr>
              <w:t>Note 3. Equity Investments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16</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w w:val="89"/>
              </w:rPr>
              <w:t>Note 4. Fair Value</w:t>
            </w:r>
          </w:p>
        </w:tc>
        <w:tc>
          <w:tcPr>
            <w:tcW w:w="4700" w:type="dxa"/>
            <w:vAlign w:val="bottom"/>
            <w:gridSpan w:val="18"/>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16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Arial" w:cs="Arial" w:eastAsia="Arial" w:hAnsi="Arial"/>
                <w:sz w:val="18"/>
                <w:szCs w:val="18"/>
                <w:color w:val="0000FF"/>
              </w:rPr>
              <w:t>Note 5. Short-Term and Long-Term Debt</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18</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w w:val="89"/>
              </w:rPr>
              <w:t>Note 6. Commitments, Guarantees and Contingencies</w:t>
            </w:r>
          </w:p>
        </w:tc>
        <w:tc>
          <w:tcPr>
            <w:tcW w:w="2140" w:type="dxa"/>
            <w:vAlign w:val="bottom"/>
            <w:gridSpan w:val="3"/>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19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22"/>
          </w:tcPr>
          <w:p>
            <w:pPr>
              <w:spacing w:after="0" w:line="189" w:lineRule="exact"/>
              <w:rPr>
                <w:sz w:val="20"/>
                <w:szCs w:val="20"/>
                <w:color w:val="auto"/>
              </w:rPr>
            </w:pPr>
            <w:r>
              <w:rPr>
                <w:rFonts w:ascii="Arial" w:cs="Arial" w:eastAsia="Arial" w:hAnsi="Arial"/>
                <w:sz w:val="18"/>
                <w:szCs w:val="18"/>
                <w:color w:val="0000FF"/>
              </w:rPr>
              <w:t>Note 7. Earnings Per Share and Common Stock</w:t>
            </w:r>
          </w:p>
        </w:tc>
        <w:tc>
          <w:tcPr>
            <w:tcW w:w="2140" w:type="dxa"/>
            <w:vAlign w:val="bottom"/>
            <w:gridSpan w:val="3"/>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26</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Note 8. Income Tax Expense</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Arial" w:cs="Arial" w:eastAsia="Arial" w:hAnsi="Arial"/>
                <w:sz w:val="18"/>
                <w:szCs w:val="18"/>
                <w:color w:val="0000FF"/>
              </w:rPr>
              <w:t>Note 9. Pension and Other Postretirement Benefit Plans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28</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Note 10. Business Segments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Item 2.</w:t>
            </w: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30</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0000FF"/>
              </w:rPr>
              <w:t>Comparison of the Three Months Ended</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20"/>
          </w:tcPr>
          <w:p>
            <w:pPr>
              <w:spacing w:after="0" w:line="189" w:lineRule="exact"/>
              <w:rPr>
                <w:sz w:val="20"/>
                <w:szCs w:val="20"/>
                <w:color w:val="auto"/>
              </w:rPr>
            </w:pPr>
            <w:r>
              <w:rPr>
                <w:rFonts w:ascii="Arial" w:cs="Arial" w:eastAsia="Arial" w:hAnsi="Arial"/>
                <w:sz w:val="18"/>
                <w:szCs w:val="18"/>
                <w:color w:val="0000FF"/>
              </w:rPr>
              <w:t>Critical Accounting Policies</w:t>
            </w:r>
          </w:p>
        </w:tc>
        <w:tc>
          <w:tcPr>
            <w:tcW w:w="3360" w:type="dxa"/>
            <w:vAlign w:val="bottom"/>
            <w:gridSpan w:val="8"/>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34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0000FF"/>
              </w:rPr>
              <w:t>Outlook</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sz w:val="20"/>
                <w:szCs w:val="20"/>
                <w:color w:val="auto"/>
              </w:rPr>
            </w:pPr>
            <w:r>
              <w:rPr>
                <w:rFonts w:ascii="Arial" w:cs="Arial" w:eastAsia="Arial" w:hAnsi="Arial"/>
                <w:sz w:val="18"/>
                <w:szCs w:val="18"/>
                <w:color w:val="0000FF"/>
              </w:rPr>
              <w:t>Liquidity and Capital Resources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37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0000FF"/>
              </w:rPr>
              <w:t>Other</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Item 3.</w:t>
            </w: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39</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4.</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Arial" w:cs="Arial" w:eastAsia="Arial" w:hAnsi="Arial"/>
                <w:sz w:val="18"/>
                <w:szCs w:val="18"/>
                <w:color w:val="0000FF"/>
              </w:rPr>
              <w:t>Controls and Procedures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40</w:t>
            </w:r>
          </w:p>
        </w:tc>
      </w:tr>
      <w:tr>
        <w:trPr>
          <w:trHeight w:val="20"/>
        </w:trPr>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CCEEFF"/>
            </w:tcBorders>
            <w:shd w:val="clear" w:color="auto" w:fill="0000FF"/>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0000FF"/>
              </w:rPr>
              <w:t>Part II.</w:t>
            </w:r>
          </w:p>
        </w:tc>
        <w:tc>
          <w:tcPr>
            <w:tcW w:w="7460" w:type="dxa"/>
            <w:vAlign w:val="bottom"/>
            <w:gridSpan w:val="33"/>
            <w:shd w:val="clear" w:color="auto" w:fill="CCEEFF"/>
          </w:tcPr>
          <w:p>
            <w:pPr>
              <w:ind w:left="20"/>
              <w:spacing w:after="0"/>
              <w:rPr>
                <w:sz w:val="20"/>
                <w:szCs w:val="20"/>
                <w:color w:val="auto"/>
              </w:rPr>
            </w:pPr>
            <w:r>
              <w:rPr>
                <w:rFonts w:ascii="Arial" w:cs="Arial" w:eastAsia="Arial" w:hAnsi="Arial"/>
                <w:sz w:val="18"/>
                <w:szCs w:val="18"/>
                <w:color w:val="0000FF"/>
              </w:rPr>
              <w:t>Other Information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Item 1.</w:t>
            </w: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rPr>
              <w:t>Legal Proceedings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40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Item 1A.</w:t>
            </w:r>
          </w:p>
        </w:tc>
        <w:tc>
          <w:tcPr>
            <w:tcW w:w="6640" w:type="dxa"/>
            <w:vAlign w:val="bottom"/>
            <w:gridSpan w:val="30"/>
            <w:shd w:val="clear" w:color="auto" w:fill="CCEEFF"/>
          </w:tcPr>
          <w:p>
            <w:pPr>
              <w:ind w:left="180"/>
              <w:spacing w:after="0" w:line="189" w:lineRule="exact"/>
              <w:rPr>
                <w:sz w:val="20"/>
                <w:szCs w:val="20"/>
                <w:color w:val="auto"/>
              </w:rPr>
            </w:pPr>
            <w:r>
              <w:rPr>
                <w:rFonts w:ascii="Arial" w:cs="Arial" w:eastAsia="Arial" w:hAnsi="Arial"/>
                <w:sz w:val="18"/>
                <w:szCs w:val="18"/>
                <w:color w:val="0000FF"/>
              </w:rPr>
              <w:t>Risk Factors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20"/>
              <w:spacing w:after="0" w:line="189" w:lineRule="exact"/>
              <w:rPr>
                <w:sz w:val="20"/>
                <w:szCs w:val="20"/>
                <w:color w:val="auto"/>
              </w:rPr>
            </w:pPr>
            <w:r>
              <w:rPr>
                <w:rFonts w:ascii="Arial" w:cs="Arial" w:eastAsia="Arial" w:hAnsi="Arial"/>
                <w:sz w:val="18"/>
                <w:szCs w:val="18"/>
                <w:color w:val="0000FF"/>
              </w:rPr>
              <w:t>Item 2.</w:t>
            </w:r>
          </w:p>
        </w:tc>
        <w:tc>
          <w:tcPr>
            <w:tcW w:w="180" w:type="dxa"/>
            <w:vAlign w:val="bottom"/>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41</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3.</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Arial" w:cs="Arial" w:eastAsia="Arial" w:hAnsi="Arial"/>
                <w:sz w:val="18"/>
                <w:szCs w:val="18"/>
                <w:color w:val="0000FF"/>
              </w:rPr>
              <w:t>Defaults Upon Senior Securities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Arial" w:cs="Arial" w:eastAsia="Arial" w:hAnsi="Arial"/>
                <w:sz w:val="18"/>
                <w:szCs w:val="18"/>
                <w:color w:val="0000FF"/>
                <w:w w:val="87"/>
              </w:rPr>
              <w:t>Item 4.</w:t>
            </w:r>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rPr>
              <w:t>Mine Safety Disclosures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41</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5.</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Arial" w:cs="Arial" w:eastAsia="Arial" w:hAnsi="Arial"/>
                <w:sz w:val="18"/>
                <w:szCs w:val="18"/>
                <w:color w:val="0000FF"/>
              </w:rPr>
              <w:t>Other Information</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Arial" w:cs="Arial" w:eastAsia="Arial" w:hAnsi="Arial"/>
                <w:sz w:val="18"/>
                <w:szCs w:val="18"/>
                <w:color w:val="0000FF"/>
                <w:w w:val="87"/>
              </w:rPr>
              <w:t>Item 6.</w:t>
            </w:r>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rPr>
              <w:t>Exhibits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41</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5"/>
              </w:rPr>
              <w:t>Signatures</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Abbreviation or Acronym</w:t>
            </w:r>
          </w:p>
        </w:tc>
        <w:tc>
          <w:tcPr>
            <w:tcW w:w="814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Allowance for Funds Used During Construction – the cost of both debt and equity funds used to 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Transmission Holdings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Bison</w:t>
            </w:r>
          </w:p>
        </w:tc>
        <w:tc>
          <w:tcPr>
            <w:tcW w:w="812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Boswell</w:t>
            </w:r>
          </w:p>
        </w:tc>
        <w:tc>
          <w:tcPr>
            <w:tcW w:w="8120" w:type="dxa"/>
            <w:vAlign w:val="bottom"/>
            <w:gridSpan w:val="2"/>
          </w:tcPr>
          <w:p>
            <w:pPr>
              <w:spacing w:after="0"/>
              <w:rPr>
                <w:sz w:val="20"/>
                <w:szCs w:val="20"/>
                <w:color w:val="auto"/>
              </w:rPr>
            </w:pPr>
            <w:r>
              <w:rPr>
                <w:rFonts w:ascii="Arial" w:cs="Arial" w:eastAsia="Arial" w:hAnsi="Arial"/>
                <w:sz w:val="18"/>
                <w:szCs w:val="18"/>
                <w:color w:val="auto"/>
              </w:rPr>
              <w:t>Boswell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Cliffs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COVID-19</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novel coronavirus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CSAPR</w:t>
            </w:r>
          </w:p>
        </w:tc>
        <w:tc>
          <w:tcPr>
            <w:tcW w:w="812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ESOP</w:t>
            </w:r>
          </w:p>
        </w:tc>
        <w:tc>
          <w:tcPr>
            <w:tcW w:w="812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Form 10-K</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10-Q</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GAAP</w:t>
            </w:r>
          </w:p>
        </w:tc>
        <w:tc>
          <w:tcPr>
            <w:tcW w:w="812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GHG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Invest Direct</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kWh</w:t>
            </w:r>
          </w:p>
        </w:tc>
        <w:tc>
          <w:tcPr>
            <w:tcW w:w="8120" w:type="dxa"/>
            <w:vAlign w:val="bottom"/>
            <w:gridSpan w:val="2"/>
          </w:tcPr>
          <w:p>
            <w:pPr>
              <w:spacing w:after="0"/>
              <w:rPr>
                <w:sz w:val="20"/>
                <w:szCs w:val="20"/>
                <w:color w:val="auto"/>
              </w:rPr>
            </w:pPr>
            <w:r>
              <w:rPr>
                <w:rFonts w:ascii="Arial" w:cs="Arial" w:eastAsia="Arial" w:hAnsi="Arial"/>
                <w:sz w:val="18"/>
                <w:szCs w:val="18"/>
                <w:color w:val="auto"/>
              </w:rPr>
              <w:t>Kilowatt-hour(s)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Lampert Capital Markets</w:t>
            </w:r>
          </w:p>
        </w:tc>
        <w:tc>
          <w:tcPr>
            <w:tcW w:w="8120" w:type="dxa"/>
            <w:vAlign w:val="bottom"/>
            <w:gridSpan w:val="2"/>
          </w:tcPr>
          <w:p>
            <w:pPr>
              <w:spacing w:after="0"/>
              <w:rPr>
                <w:sz w:val="20"/>
                <w:szCs w:val="20"/>
                <w:color w:val="auto"/>
              </w:rPr>
            </w:pPr>
            <w:r>
              <w:rPr>
                <w:rFonts w:ascii="Arial" w:cs="Arial" w:eastAsia="Arial" w:hAnsi="Arial"/>
                <w:sz w:val="18"/>
                <w:szCs w:val="18"/>
                <w:color w:val="auto"/>
              </w:rPr>
              <w:t>Lampert Capital Markets,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Minnkota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MISO</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Moody’s</w:t>
            </w:r>
          </w:p>
        </w:tc>
        <w:tc>
          <w:tcPr>
            <w:tcW w:w="8120" w:type="dxa"/>
            <w:vAlign w:val="bottom"/>
            <w:gridSpan w:val="2"/>
          </w:tcPr>
          <w:p>
            <w:pPr>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MPCA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MPUC</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Megawatt(s)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NAAQS</w:t>
            </w:r>
          </w:p>
        </w:tc>
        <w:tc>
          <w:tcPr>
            <w:tcW w:w="8120" w:type="dxa"/>
            <w:vAlign w:val="bottom"/>
            <w:gridSpan w:val="2"/>
          </w:tcPr>
          <w:p>
            <w:pPr>
              <w:spacing w:after="0"/>
              <w:rPr>
                <w:sz w:val="20"/>
                <w:szCs w:val="20"/>
                <w:color w:val="auto"/>
              </w:rPr>
            </w:pPr>
            <w:r>
              <w:rPr>
                <w:rFonts w:ascii="Arial" w:cs="Arial" w:eastAsia="Arial" w:hAnsi="Arial"/>
                <w:sz w:val="18"/>
                <w:szCs w:val="18"/>
                <w:color w:val="auto"/>
              </w:rPr>
              <w:t>National Ambient Air Quality Standards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NDPSC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Dakota Public Service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New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New Energy Equity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 Power Partners,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NOL</w:t>
            </w:r>
          </w:p>
        </w:tc>
        <w:tc>
          <w:tcPr>
            <w:tcW w:w="8120" w:type="dxa"/>
            <w:vAlign w:val="bottom"/>
            <w:gridSpan w:val="2"/>
          </w:tcPr>
          <w:p>
            <w:pPr>
              <w:spacing w:after="0"/>
              <w:rPr>
                <w:sz w:val="20"/>
                <w:szCs w:val="20"/>
                <w:color w:val="auto"/>
              </w:rPr>
            </w:pPr>
            <w:r>
              <w:rPr>
                <w:rFonts w:ascii="Arial" w:cs="Arial" w:eastAsia="Arial" w:hAnsi="Arial"/>
                <w:sz w:val="18"/>
                <w:szCs w:val="18"/>
                <w:color w:val="auto"/>
              </w:rPr>
              <w:t>Net Operating Loss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Northshore Mining</w:t>
            </w:r>
          </w:p>
        </w:tc>
        <w:tc>
          <w:tcPr>
            <w:tcW w:w="812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NPDES</w:t>
            </w:r>
          </w:p>
        </w:tc>
        <w:tc>
          <w:tcPr>
            <w:tcW w:w="812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20" w:type="dxa"/>
            <w:vAlign w:val="bottom"/>
            <w:gridSpan w:val="2"/>
          </w:tcPr>
          <w:p>
            <w:pPr>
              <w:ind w:left="800"/>
              <w:spacing w:after="0"/>
              <w:rPr>
                <w:sz w:val="20"/>
                <w:szCs w:val="20"/>
                <w:color w:val="auto"/>
              </w:rPr>
            </w:pPr>
            <w:r>
              <w:rPr>
                <w:rFonts w:ascii="Arial" w:cs="Arial" w:eastAsia="Arial" w:hAnsi="Arial"/>
                <w:sz w:val="14"/>
                <w:szCs w:val="14"/>
                <w:color w:val="auto"/>
              </w:rPr>
              <w:t>ALLETE, Inc. First Quarter 2023 Form 10-Q</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120" w:type="dxa"/>
            <w:vAlign w:val="bottom"/>
            <w:gridSpan w:val="2"/>
          </w:tcPr>
          <w:p>
            <w:pPr>
              <w:ind w:left="24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9A9A9A"/>
            </w:tcBorders>
          </w:tcPr>
          <w:p>
            <w:pPr>
              <w:spacing w:after="0"/>
              <w:rPr>
                <w:sz w:val="11"/>
                <w:szCs w:val="11"/>
                <w:color w:val="auto"/>
              </w:rPr>
            </w:pPr>
          </w:p>
        </w:tc>
        <w:tc>
          <w:tcPr>
            <w:tcW w:w="20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7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NTEC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Nemadji Trail Energy Center</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PPA / PSA</w:t>
            </w:r>
          </w:p>
        </w:tc>
        <w:tc>
          <w:tcPr>
            <w:tcW w:w="812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PPACA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PSCW</w:t>
            </w:r>
          </w:p>
        </w:tc>
        <w:tc>
          <w:tcPr>
            <w:tcW w:w="812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Silver Bay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Square Butte</w:t>
            </w:r>
          </w:p>
        </w:tc>
        <w:tc>
          <w:tcPr>
            <w:tcW w:w="8120" w:type="dxa"/>
            <w:vAlign w:val="bottom"/>
            <w:gridSpan w:val="2"/>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Shore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Shore Energy, LLC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ST Paper</w:t>
            </w:r>
          </w:p>
        </w:tc>
        <w:tc>
          <w:tcPr>
            <w:tcW w:w="8120" w:type="dxa"/>
            <w:vAlign w:val="bottom"/>
            <w:gridSpan w:val="2"/>
          </w:tcPr>
          <w:p>
            <w:pPr>
              <w:spacing w:after="0"/>
              <w:rPr>
                <w:sz w:val="20"/>
                <w:szCs w:val="20"/>
                <w:color w:val="auto"/>
              </w:rPr>
            </w:pPr>
            <w:r>
              <w:rPr>
                <w:rFonts w:ascii="Arial" w:cs="Arial" w:eastAsia="Arial" w:hAnsi="Arial"/>
                <w:sz w:val="18"/>
                <w:szCs w:val="18"/>
                <w:color w:val="auto"/>
              </w:rPr>
              <w:t>ST Paper LLC</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SWL&amp;P</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Taconite Harbor</w:t>
            </w:r>
          </w:p>
        </w:tc>
        <w:tc>
          <w:tcPr>
            <w:tcW w:w="812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USS Corporation</w:t>
            </w:r>
          </w:p>
        </w:tc>
        <w:tc>
          <w:tcPr>
            <w:tcW w:w="812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line="23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ind w:left="320" w:hanging="312"/>
        <w:spacing w:after="0" w:line="23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 or changes in tax rates or policies;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rates of inflation or availability of key materials and supplies;</w:t>
      </w:r>
    </w:p>
    <w:p>
      <w:pPr>
        <w:spacing w:after="0" w:line="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deteriorate;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I, Item 1A. Risk Factors of our 2022 Form 10-K and Part II, Item 1A. Risk Factors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26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rPr>
              <w:t>ALLETE</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260" w:type="dxa"/>
            <w:vAlign w:val="bottom"/>
          </w:tcPr>
          <w:p>
            <w:pPr>
              <w:jc w:val="center"/>
              <w:ind w:left="2910"/>
              <w:spacing w:after="0"/>
              <w:rPr>
                <w:sz w:val="20"/>
                <w:szCs w:val="20"/>
                <w:color w:val="auto"/>
              </w:rPr>
            </w:pPr>
            <w:r>
              <w:rPr>
                <w:rFonts w:ascii="Arial" w:cs="Arial" w:eastAsia="Arial" w:hAnsi="Arial"/>
                <w:sz w:val="18"/>
                <w:szCs w:val="18"/>
                <w:b w:val="1"/>
                <w:bCs w:val="1"/>
                <w:color w:val="auto"/>
                <w:w w:val="99"/>
              </w:rPr>
              <w:t>CONSOLIDATED BALANCE SHEET</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w w:val="90"/>
              </w:rPr>
              <w:t>Unaudited</w:t>
            </w: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260" w:type="dxa"/>
            <w:vAlign w:val="bottom"/>
          </w:tcPr>
          <w:p>
            <w:pPr>
              <w:spacing w:after="0"/>
              <w:rPr>
                <w:sz w:val="24"/>
                <w:szCs w:val="24"/>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8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Accounts Receivable (Less Allowance of $1.7 and $1.6)</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120.3</w:t>
            </w:r>
          </w:p>
        </w:tc>
        <w:tc>
          <w:tcPr>
            <w:tcW w:w="1360" w:type="dxa"/>
            <w:vAlign w:val="bottom"/>
          </w:tcPr>
          <w:p>
            <w:pPr>
              <w:jc w:val="right"/>
              <w:spacing w:after="0"/>
              <w:rPr>
                <w:sz w:val="20"/>
                <w:szCs w:val="20"/>
                <w:color w:val="auto"/>
              </w:rPr>
            </w:pPr>
            <w:r>
              <w:rPr>
                <w:rFonts w:ascii="Arial" w:cs="Arial" w:eastAsia="Arial" w:hAnsi="Arial"/>
                <w:sz w:val="18"/>
                <w:szCs w:val="18"/>
                <w:color w:val="auto"/>
              </w:rPr>
              <w:t>137.9</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346.9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r>
      <w:tr>
        <w:trPr>
          <w:trHeight w:val="230"/>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Prepayments and Other</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72.6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569.7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4,979.3</w:t>
            </w:r>
          </w:p>
        </w:tc>
        <w:tc>
          <w:tcPr>
            <w:tcW w:w="1360" w:type="dxa"/>
            <w:vAlign w:val="bottom"/>
          </w:tcPr>
          <w:p>
            <w:pPr>
              <w:jc w:val="right"/>
              <w:spacing w:after="0"/>
              <w:rPr>
                <w:sz w:val="20"/>
                <w:szCs w:val="20"/>
                <w:color w:val="auto"/>
              </w:rPr>
            </w:pPr>
            <w:r>
              <w:rPr>
                <w:rFonts w:ascii="Arial" w:cs="Arial" w:eastAsia="Arial" w:hAnsi="Arial"/>
                <w:sz w:val="18"/>
                <w:szCs w:val="18"/>
                <w:color w:val="auto"/>
              </w:rPr>
              <w:t>5,004.0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469.1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323.9</w:t>
            </w:r>
          </w:p>
        </w:tc>
        <w:tc>
          <w:tcPr>
            <w:tcW w:w="1360" w:type="dxa"/>
            <w:vAlign w:val="bottom"/>
          </w:tcPr>
          <w:p>
            <w:pPr>
              <w:jc w:val="right"/>
              <w:spacing w:after="0"/>
              <w:rPr>
                <w:sz w:val="20"/>
                <w:szCs w:val="20"/>
                <w:color w:val="auto"/>
              </w:rPr>
            </w:pPr>
            <w:r>
              <w:rPr>
                <w:rFonts w:ascii="Arial" w:cs="Arial" w:eastAsia="Arial" w:hAnsi="Arial"/>
                <w:sz w:val="18"/>
                <w:szCs w:val="18"/>
                <w:color w:val="auto"/>
              </w:rPr>
              <w:t>322.7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 Net</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155.5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29"/>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207.0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$6,704.5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$84.9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81.4</w:t>
            </w:r>
          </w:p>
        </w:tc>
        <w:tc>
          <w:tcPr>
            <w:tcW w:w="136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Long-Term Debt Due Within One Year</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176.4</w:t>
            </w:r>
          </w:p>
        </w:tc>
        <w:tc>
          <w:tcPr>
            <w:tcW w:w="136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30"/>
        </w:trPr>
        <w:tc>
          <w:tcPr>
            <w:tcW w:w="8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106.8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464.4</w:t>
            </w:r>
          </w:p>
        </w:tc>
        <w:tc>
          <w:tcPr>
            <w:tcW w:w="1360" w:type="dxa"/>
            <w:vAlign w:val="bottom"/>
          </w:tcPr>
          <w:p>
            <w:pPr>
              <w:jc w:val="right"/>
              <w:spacing w:after="0"/>
              <w:rPr>
                <w:sz w:val="20"/>
                <w:szCs w:val="20"/>
                <w:color w:val="auto"/>
              </w:rPr>
            </w:pPr>
            <w:r>
              <w:rPr>
                <w:rFonts w:ascii="Arial" w:cs="Arial" w:eastAsia="Arial" w:hAnsi="Arial"/>
                <w:sz w:val="18"/>
                <w:szCs w:val="18"/>
                <w:color w:val="auto"/>
              </w:rPr>
              <w:t>716.2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1,755.5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156.3</w:t>
            </w:r>
          </w:p>
        </w:tc>
        <w:tc>
          <w:tcPr>
            <w:tcW w:w="136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Liabilities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526.4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173.8</w:t>
            </w:r>
          </w:p>
        </w:tc>
        <w:tc>
          <w:tcPr>
            <w:tcW w:w="1360" w:type="dxa"/>
            <w:vAlign w:val="bottom"/>
          </w:tcPr>
          <w:p>
            <w:pPr>
              <w:jc w:val="right"/>
              <w:spacing w:after="0"/>
              <w:rPr>
                <w:sz w:val="20"/>
                <w:szCs w:val="20"/>
                <w:color w:val="auto"/>
              </w:rPr>
            </w:pPr>
            <w:r>
              <w:rPr>
                <w:rFonts w:ascii="Arial" w:cs="Arial" w:eastAsia="Arial" w:hAnsi="Arial"/>
                <w:sz w:val="18"/>
                <w:szCs w:val="18"/>
                <w:color w:val="auto"/>
              </w:rPr>
              <w:t>179.7</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270.4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23"/>
        </w:trPr>
        <w:tc>
          <w:tcPr>
            <w:tcW w:w="82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Liabilities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3,346.8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3,497.3</w:t>
            </w: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Guarantees and Contingencies (Note 6)</w:t>
            </w:r>
          </w:p>
        </w:tc>
        <w:tc>
          <w:tcPr>
            <w:tcW w:w="15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w w:val="94"/>
              </w:rPr>
              <w:t>Common Stock Without Par Value, 80.0 Shares Authorized, 57.3 and 57.2 Shares Issued and Outstanding</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1,785.6</w:t>
            </w:r>
          </w:p>
        </w:tc>
        <w:tc>
          <w:tcPr>
            <w:tcW w:w="1360" w:type="dxa"/>
            <w:vAlign w:val="bottom"/>
          </w:tcPr>
          <w:p>
            <w:pPr>
              <w:jc w:val="right"/>
              <w:spacing w:after="0"/>
              <w:rPr>
                <w:sz w:val="20"/>
                <w:szCs w:val="20"/>
                <w:color w:val="auto"/>
              </w:rPr>
            </w:pPr>
            <w:r>
              <w:rPr>
                <w:rFonts w:ascii="Arial" w:cs="Arial" w:eastAsia="Arial" w:hAnsi="Arial"/>
                <w:sz w:val="18"/>
                <w:szCs w:val="18"/>
                <w:color w:val="auto"/>
              </w:rPr>
              <w:t>1,781.5</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Retained Earnings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954.2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w:t>
            </w: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ALLETE Equity</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2,715.5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2,691.9</w:t>
            </w: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642.2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r>
      <w:tr>
        <w:trPr>
          <w:trHeight w:val="223"/>
        </w:trPr>
        <w:tc>
          <w:tcPr>
            <w:tcW w:w="82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Equity</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3,357.7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3,348.3</w:t>
            </w: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$6,704.5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$6,845.6</w:t>
            </w: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19"/>
                <w:szCs w:val="19"/>
                <w:color w:val="auto"/>
              </w:rPr>
            </w:pPr>
          </w:p>
        </w:tc>
        <w:tc>
          <w:tcPr>
            <w:tcW w:w="45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6720" w:type="dxa"/>
            <w:vAlign w:val="bottom"/>
          </w:tcPr>
          <w:p>
            <w:pPr>
              <w:spacing w:after="0"/>
              <w:rPr>
                <w:sz w:val="19"/>
                <w:szCs w:val="19"/>
                <w:color w:val="auto"/>
              </w:rPr>
            </w:pPr>
          </w:p>
        </w:tc>
        <w:tc>
          <w:tcPr>
            <w:tcW w:w="45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7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3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Contracts with Customers – Utility</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$312.6</w:t>
            </w:r>
          </w:p>
        </w:tc>
        <w:tc>
          <w:tcPr>
            <w:tcW w:w="860" w:type="dxa"/>
            <w:vAlign w:val="bottom"/>
          </w:tcPr>
          <w:p>
            <w:pPr>
              <w:jc w:val="right"/>
              <w:spacing w:after="0"/>
              <w:rPr>
                <w:sz w:val="20"/>
                <w:szCs w:val="20"/>
                <w:color w:val="auto"/>
              </w:rPr>
            </w:pPr>
            <w:r>
              <w:rPr>
                <w:rFonts w:ascii="Arial" w:cs="Arial" w:eastAsia="Arial" w:hAnsi="Arial"/>
                <w:sz w:val="18"/>
                <w:szCs w:val="18"/>
                <w:color w:val="auto"/>
              </w:rPr>
              <w:t>$329.0</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Non-utility</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9"/>
        </w:trPr>
        <w:tc>
          <w:tcPr>
            <w:tcW w:w="6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 Non-utility</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Revenue</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564.9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Purchased Power and Gas – Utility</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Transmission Services – Utility</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20.1</w:t>
            </w: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Non-utility</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85.7</w:t>
            </w:r>
          </w:p>
        </w:tc>
        <w:tc>
          <w:tcPr>
            <w:tcW w:w="86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6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Taxes Other than Income Taxes</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516.6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660" w:type="dxa"/>
            <w:vAlign w:val="bottom"/>
          </w:tcPr>
          <w:p>
            <w:pPr>
              <w:jc w:val="right"/>
              <w:ind w:right="90"/>
              <w:spacing w:after="0"/>
              <w:rPr>
                <w:sz w:val="20"/>
                <w:szCs w:val="20"/>
                <w:color w:val="auto"/>
              </w:rPr>
            </w:pPr>
            <w:r>
              <w:rPr>
                <w:rFonts w:ascii="Arial" w:cs="Arial" w:eastAsia="Arial" w:hAnsi="Arial"/>
                <w:sz w:val="18"/>
                <w:szCs w:val="18"/>
                <w:color w:val="auto"/>
              </w:rPr>
              <w:t>(19.3)</w:t>
            </w:r>
          </w:p>
        </w:tc>
        <w:tc>
          <w:tcPr>
            <w:tcW w:w="8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Other Expense</w:t>
            </w:r>
          </w:p>
        </w:tc>
        <w:tc>
          <w:tcPr>
            <w:tcW w:w="3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39.1</w:t>
            </w:r>
          </w:p>
        </w:tc>
        <w:tc>
          <w:tcPr>
            <w:tcW w:w="86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6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3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Basic</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57.3</w:t>
            </w:r>
          </w:p>
        </w:tc>
        <w:tc>
          <w:tcPr>
            <w:tcW w:w="86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6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41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70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Pr>
          <w:p>
            <w:pPr>
              <w:spacing w:after="0"/>
              <w:rPr>
                <w:sz w:val="19"/>
                <w:szCs w:val="19"/>
                <w:color w:val="auto"/>
              </w:rPr>
            </w:pPr>
          </w:p>
        </w:tc>
      </w:tr>
      <w:tr>
        <w:trPr>
          <w:trHeight w:val="234"/>
        </w:trPr>
        <w:tc>
          <w:tcPr>
            <w:tcW w:w="70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2022</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4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$37.6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Securities</w:t>
            </w:r>
          </w:p>
        </w:tc>
        <w:tc>
          <w:tcPr>
            <w:tcW w:w="3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Net of Income Tax Expense of $0.1 and $–</w:t>
            </w:r>
          </w:p>
        </w:tc>
        <w:tc>
          <w:tcPr>
            <w:tcW w:w="3480" w:type="dxa"/>
            <w:vAlign w:val="bottom"/>
          </w:tcPr>
          <w:p>
            <w:pPr>
              <w:jc w:val="right"/>
              <w:ind w:right="430"/>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Pension and Other Postretirement Benefit Plans</w:t>
            </w:r>
          </w:p>
        </w:tc>
        <w:tc>
          <w:tcPr>
            <w:tcW w:w="3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of Income Tax Expense of $– and $0.1</w:t>
            </w:r>
          </w:p>
        </w:tc>
        <w:tc>
          <w:tcPr>
            <w:tcW w:w="3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0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 (Loss)</w:t>
            </w:r>
          </w:p>
        </w:tc>
        <w:tc>
          <w:tcPr>
            <w:tcW w:w="34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480" w:type="dxa"/>
            <w:vAlign w:val="bottom"/>
          </w:tcPr>
          <w:p>
            <w:pPr>
              <w:jc w:val="right"/>
              <w:ind w:right="430"/>
              <w:spacing w:after="0"/>
              <w:rPr>
                <w:sz w:val="20"/>
                <w:szCs w:val="20"/>
                <w:color w:val="auto"/>
              </w:rPr>
            </w:pPr>
            <w:r>
              <w:rPr>
                <w:rFonts w:ascii="Arial" w:cs="Arial" w:eastAsia="Arial" w:hAnsi="Arial"/>
                <w:sz w:val="18"/>
                <w:szCs w:val="18"/>
                <w:color w:val="auto"/>
              </w:rPr>
              <w:t>37.7</w:t>
            </w:r>
          </w:p>
        </w:tc>
        <w:tc>
          <w:tcPr>
            <w:tcW w:w="70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29"/>
        </w:trPr>
        <w:tc>
          <w:tcPr>
            <w:tcW w:w="70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34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(20.6)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3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$58.3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80" w:type="dxa"/>
            <w:vAlign w:val="bottom"/>
          </w:tcPr>
          <w:p>
            <w:pPr>
              <w:spacing w:after="0"/>
              <w:rPr>
                <w:sz w:val="19"/>
                <w:szCs w:val="19"/>
                <w:color w:val="auto"/>
              </w:rPr>
            </w:pPr>
          </w:p>
        </w:tc>
        <w:tc>
          <w:tcPr>
            <w:tcW w:w="3320" w:type="dxa"/>
            <w:vAlign w:val="bottom"/>
            <w:gridSpan w:val="2"/>
          </w:tcPr>
          <w:p>
            <w:pPr>
              <w:jc w:val="right"/>
              <w:ind w:right="155"/>
              <w:spacing w:after="0"/>
              <w:rPr>
                <w:sz w:val="20"/>
                <w:szCs w:val="20"/>
                <w:color w:val="auto"/>
              </w:rPr>
            </w:pPr>
            <w:r>
              <w:rPr>
                <w:rFonts w:ascii="Arial" w:cs="Arial" w:eastAsia="Arial" w:hAnsi="Arial"/>
                <w:sz w:val="17"/>
                <w:szCs w:val="17"/>
                <w:b w:val="1"/>
                <w:bCs w:val="1"/>
                <w:color w:val="auto"/>
              </w:rPr>
              <w:t>Three Months Ended</w:t>
            </w:r>
          </w:p>
        </w:tc>
      </w:tr>
      <w:tr>
        <w:trPr>
          <w:trHeight w:val="229"/>
        </w:trPr>
        <w:tc>
          <w:tcPr>
            <w:tcW w:w="78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b w:val="1"/>
                <w:bCs w:val="1"/>
                <w:color w:val="auto"/>
              </w:rPr>
              <w:t>March 31</w:t>
            </w:r>
          </w:p>
        </w:tc>
        <w:tc>
          <w:tcPr>
            <w:tcW w:w="660" w:type="dxa"/>
            <w:vAlign w:val="bottom"/>
          </w:tcPr>
          <w:p>
            <w:pPr>
              <w:spacing w:after="0"/>
              <w:rPr>
                <w:sz w:val="19"/>
                <w:szCs w:val="19"/>
                <w:color w:val="auto"/>
              </w:rPr>
            </w:pPr>
          </w:p>
        </w:tc>
      </w:tr>
      <w:tr>
        <w:trPr>
          <w:trHeight w:val="241"/>
        </w:trPr>
        <w:tc>
          <w:tcPr>
            <w:tcW w:w="78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2023</w:t>
            </w: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84"/>
              </w:rPr>
              <w:t>2022</w:t>
            </w:r>
          </w:p>
        </w:tc>
      </w:tr>
      <w:tr>
        <w:trPr>
          <w:trHeight w:val="225"/>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Millions</w:t>
            </w:r>
          </w:p>
        </w:tc>
        <w:tc>
          <w:tcPr>
            <w:tcW w:w="26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4"/>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660" w:type="dxa"/>
            <w:vAlign w:val="bottom"/>
          </w:tcPr>
          <w:p>
            <w:pPr>
              <w:jc w:val="right"/>
              <w:ind w:right="415"/>
              <w:spacing w:after="0"/>
              <w:rPr>
                <w:sz w:val="20"/>
                <w:szCs w:val="20"/>
                <w:color w:val="auto"/>
              </w:rPr>
            </w:pPr>
            <w:r>
              <w:rPr>
                <w:rFonts w:ascii="Arial" w:cs="Arial" w:eastAsia="Arial" w:hAnsi="Arial"/>
                <w:sz w:val="17"/>
                <w:szCs w:val="17"/>
                <w:color w:val="auto"/>
              </w:rPr>
              <w:t>$37.6</w:t>
            </w:r>
          </w:p>
        </w:tc>
        <w:tc>
          <w:tcPr>
            <w:tcW w:w="660" w:type="dxa"/>
            <w:vAlign w:val="bottom"/>
          </w:tcPr>
          <w:p>
            <w:pPr>
              <w:jc w:val="right"/>
              <w:spacing w:after="0"/>
              <w:rPr>
                <w:sz w:val="20"/>
                <w:szCs w:val="20"/>
                <w:color w:val="auto"/>
              </w:rPr>
            </w:pPr>
            <w:r>
              <w:rPr>
                <w:rFonts w:ascii="Arial" w:cs="Arial" w:eastAsia="Arial" w:hAnsi="Arial"/>
                <w:sz w:val="17"/>
                <w:szCs w:val="17"/>
                <w:color w:val="auto"/>
              </w:rPr>
              <w:t>$46.5</w:t>
            </w: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Cash provided by (used in) Operating Activities:</w:t>
            </w:r>
          </w:p>
        </w:tc>
        <w:tc>
          <w:tcPr>
            <w:tcW w:w="2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AFUDC – Equity</w:t>
            </w:r>
          </w:p>
        </w:tc>
        <w:tc>
          <w:tcPr>
            <w:tcW w:w="2660" w:type="dxa"/>
            <w:vAlign w:val="bottom"/>
          </w:tcPr>
          <w:p>
            <w:pPr>
              <w:jc w:val="right"/>
              <w:ind w:right="375"/>
              <w:spacing w:after="0"/>
              <w:rPr>
                <w:sz w:val="20"/>
                <w:szCs w:val="20"/>
                <w:color w:val="auto"/>
              </w:rPr>
            </w:pPr>
            <w:r>
              <w:rPr>
                <w:rFonts w:ascii="Arial" w:cs="Arial" w:eastAsia="Arial" w:hAnsi="Arial"/>
                <w:sz w:val="17"/>
                <w:szCs w:val="17"/>
                <w:color w:val="auto"/>
              </w:rPr>
              <w:t>(0.5)</w:t>
            </w:r>
          </w:p>
        </w:tc>
        <w:tc>
          <w:tcPr>
            <w:tcW w:w="66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from Equity Investments – Net of Dividends</w:t>
            </w:r>
          </w:p>
        </w:tc>
        <w:tc>
          <w:tcPr>
            <w:tcW w:w="26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Loss on Investments and Property, Plant and Equipment</w:t>
            </w:r>
          </w:p>
        </w:tc>
        <w:tc>
          <w:tcPr>
            <w:tcW w:w="2660" w:type="dxa"/>
            <w:vAlign w:val="bottom"/>
          </w:tcPr>
          <w:p>
            <w:pPr>
              <w:jc w:val="right"/>
              <w:ind w:right="415"/>
              <w:spacing w:after="0"/>
              <w:rPr>
                <w:sz w:val="20"/>
                <w:szCs w:val="20"/>
                <w:color w:val="auto"/>
              </w:rPr>
            </w:pPr>
            <w:r>
              <w:rPr>
                <w:rFonts w:ascii="Arial" w:cs="Arial" w:eastAsia="Arial" w:hAnsi="Arial"/>
                <w:sz w:val="17"/>
                <w:szCs w:val="17"/>
                <w:color w:val="auto"/>
              </w:rPr>
              <w:t>0.4</w:t>
            </w:r>
          </w:p>
        </w:tc>
        <w:tc>
          <w:tcPr>
            <w:tcW w:w="66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Expense</w:t>
            </w:r>
          </w:p>
        </w:tc>
        <w:tc>
          <w:tcPr>
            <w:tcW w:w="26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62.3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Amortization of PSAs</w:t>
            </w:r>
          </w:p>
        </w:tc>
        <w:tc>
          <w:tcPr>
            <w:tcW w:w="2660" w:type="dxa"/>
            <w:vAlign w:val="bottom"/>
          </w:tcPr>
          <w:p>
            <w:pPr>
              <w:jc w:val="right"/>
              <w:ind w:right="375"/>
              <w:spacing w:after="0"/>
              <w:rPr>
                <w:sz w:val="20"/>
                <w:szCs w:val="20"/>
                <w:color w:val="auto"/>
              </w:rPr>
            </w:pPr>
            <w:r>
              <w:rPr>
                <w:rFonts w:ascii="Arial" w:cs="Arial" w:eastAsia="Arial" w:hAnsi="Arial"/>
                <w:sz w:val="17"/>
                <w:szCs w:val="17"/>
                <w:color w:val="auto"/>
              </w:rPr>
              <w:t>(1.3)</w:t>
            </w:r>
          </w:p>
        </w:tc>
        <w:tc>
          <w:tcPr>
            <w:tcW w:w="6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Other Intangible Assets and Other Assets</w:t>
            </w:r>
          </w:p>
        </w:tc>
        <w:tc>
          <w:tcPr>
            <w:tcW w:w="26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1.9</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Deferred Income Tax Benefit</w:t>
            </w:r>
          </w:p>
        </w:tc>
        <w:tc>
          <w:tcPr>
            <w:tcW w:w="2660" w:type="dxa"/>
            <w:vAlign w:val="bottom"/>
          </w:tcPr>
          <w:p>
            <w:pPr>
              <w:jc w:val="right"/>
              <w:ind w:right="375"/>
              <w:spacing w:after="0"/>
              <w:rPr>
                <w:sz w:val="20"/>
                <w:szCs w:val="20"/>
                <w:color w:val="auto"/>
              </w:rPr>
            </w:pPr>
            <w:r>
              <w:rPr>
                <w:rFonts w:ascii="Arial" w:cs="Arial" w:eastAsia="Arial" w:hAnsi="Arial"/>
                <w:sz w:val="17"/>
                <w:szCs w:val="17"/>
                <w:color w:val="auto"/>
              </w:rPr>
              <w:t>(6.3)</w:t>
            </w:r>
          </w:p>
        </w:tc>
        <w:tc>
          <w:tcPr>
            <w:tcW w:w="66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and ESOP Compensation Expense</w:t>
            </w:r>
          </w:p>
        </w:tc>
        <w:tc>
          <w:tcPr>
            <w:tcW w:w="26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0.8</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Defined Benefit Pension and Postretirement Benefit</w:t>
            </w:r>
          </w:p>
        </w:tc>
        <w:tc>
          <w:tcPr>
            <w:tcW w:w="2660" w:type="dxa"/>
            <w:vAlign w:val="bottom"/>
          </w:tcPr>
          <w:p>
            <w:pPr>
              <w:jc w:val="right"/>
              <w:ind w:right="375"/>
              <w:spacing w:after="0"/>
              <w:rPr>
                <w:sz w:val="20"/>
                <w:szCs w:val="20"/>
                <w:color w:val="auto"/>
              </w:rPr>
            </w:pPr>
            <w:r>
              <w:rPr>
                <w:rFonts w:ascii="Arial" w:cs="Arial" w:eastAsia="Arial" w:hAnsi="Arial"/>
                <w:sz w:val="17"/>
                <w:szCs w:val="17"/>
                <w:color w:val="auto"/>
              </w:rPr>
              <w:t>(0.8)</w:t>
            </w:r>
          </w:p>
        </w:tc>
        <w:tc>
          <w:tcPr>
            <w:tcW w:w="66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Fuel Adjustment Clause</w:t>
            </w:r>
          </w:p>
        </w:tc>
        <w:tc>
          <w:tcPr>
            <w:tcW w:w="26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15.3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Bad Debt Expense</w:t>
            </w:r>
          </w:p>
        </w:tc>
        <w:tc>
          <w:tcPr>
            <w:tcW w:w="2660" w:type="dxa"/>
            <w:vAlign w:val="bottom"/>
          </w:tcPr>
          <w:p>
            <w:pPr>
              <w:jc w:val="right"/>
              <w:ind w:right="415"/>
              <w:spacing w:after="0"/>
              <w:rPr>
                <w:sz w:val="20"/>
                <w:szCs w:val="20"/>
                <w:color w:val="auto"/>
              </w:rPr>
            </w:pPr>
            <w:r>
              <w:rPr>
                <w:rFonts w:ascii="Arial" w:cs="Arial" w:eastAsia="Arial" w:hAnsi="Arial"/>
                <w:sz w:val="17"/>
                <w:szCs w:val="17"/>
                <w:color w:val="auto"/>
              </w:rPr>
              <w:t>0.3</w:t>
            </w:r>
          </w:p>
        </w:tc>
        <w:tc>
          <w:tcPr>
            <w:tcW w:w="66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Interim Rate Refund</w:t>
            </w:r>
          </w:p>
        </w:tc>
        <w:tc>
          <w:tcPr>
            <w:tcW w:w="26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5.1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26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6"/>
        </w:trPr>
        <w:tc>
          <w:tcPr>
            <w:tcW w:w="78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Receivable</w:t>
            </w:r>
          </w:p>
        </w:tc>
        <w:tc>
          <w:tcPr>
            <w:tcW w:w="26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17.3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23"/>
        </w:trPr>
        <w:tc>
          <w:tcPr>
            <w:tcW w:w="7880" w:type="dxa"/>
            <w:vAlign w:val="bottom"/>
          </w:tcPr>
          <w:p>
            <w:pPr>
              <w:ind w:left="460"/>
              <w:spacing w:after="0"/>
              <w:rPr>
                <w:sz w:val="20"/>
                <w:szCs w:val="20"/>
                <w:color w:val="auto"/>
              </w:rPr>
            </w:pPr>
            <w:r>
              <w:rPr>
                <w:rFonts w:ascii="Arial" w:cs="Arial" w:eastAsia="Arial" w:hAnsi="Arial"/>
                <w:sz w:val="17"/>
                <w:szCs w:val="17"/>
                <w:color w:val="auto"/>
              </w:rPr>
              <w:t>Inventories</w:t>
            </w:r>
          </w:p>
        </w:tc>
        <w:tc>
          <w:tcPr>
            <w:tcW w:w="2660" w:type="dxa"/>
            <w:vAlign w:val="bottom"/>
          </w:tcPr>
          <w:p>
            <w:pPr>
              <w:jc w:val="right"/>
              <w:ind w:right="415"/>
              <w:spacing w:after="0"/>
              <w:rPr>
                <w:sz w:val="20"/>
                <w:szCs w:val="20"/>
                <w:color w:val="auto"/>
              </w:rPr>
            </w:pPr>
            <w:r>
              <w:rPr>
                <w:rFonts w:ascii="Arial" w:cs="Arial" w:eastAsia="Arial" w:hAnsi="Arial"/>
                <w:sz w:val="17"/>
                <w:szCs w:val="17"/>
                <w:color w:val="auto"/>
              </w:rPr>
              <w:t>109.0</w:t>
            </w:r>
          </w:p>
        </w:tc>
        <w:tc>
          <w:tcPr>
            <w:tcW w:w="660" w:type="dxa"/>
            <w:vAlign w:val="bottom"/>
          </w:tcPr>
          <w:p>
            <w:pPr>
              <w:jc w:val="right"/>
              <w:spacing w:after="0"/>
              <w:rPr>
                <w:sz w:val="20"/>
                <w:szCs w:val="20"/>
                <w:color w:val="auto"/>
              </w:rPr>
            </w:pPr>
            <w:r>
              <w:rPr>
                <w:rFonts w:ascii="Arial" w:cs="Arial" w:eastAsia="Arial" w:hAnsi="Arial"/>
                <w:sz w:val="17"/>
                <w:szCs w:val="17"/>
                <w:color w:val="auto"/>
              </w:rPr>
              <w:t>(98.9)</w:t>
            </w:r>
          </w:p>
        </w:tc>
      </w:tr>
      <w:tr>
        <w:trPr>
          <w:trHeight w:val="236"/>
        </w:trPr>
        <w:tc>
          <w:tcPr>
            <w:tcW w:w="78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Prepayments and Other</w:t>
            </w:r>
          </w:p>
        </w:tc>
        <w:tc>
          <w:tcPr>
            <w:tcW w:w="26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11.0</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23"/>
        </w:trPr>
        <w:tc>
          <w:tcPr>
            <w:tcW w:w="7880" w:type="dxa"/>
            <w:vAlign w:val="bottom"/>
          </w:tcPr>
          <w:p>
            <w:pPr>
              <w:ind w:left="460"/>
              <w:spacing w:after="0"/>
              <w:rPr>
                <w:sz w:val="20"/>
                <w:szCs w:val="20"/>
                <w:color w:val="auto"/>
              </w:rPr>
            </w:pPr>
            <w:r>
              <w:rPr>
                <w:rFonts w:ascii="Arial" w:cs="Arial" w:eastAsia="Arial" w:hAnsi="Arial"/>
                <w:sz w:val="17"/>
                <w:szCs w:val="17"/>
                <w:color w:val="auto"/>
              </w:rPr>
              <w:t>Accounts Payable</w:t>
            </w:r>
          </w:p>
        </w:tc>
        <w:tc>
          <w:tcPr>
            <w:tcW w:w="2660" w:type="dxa"/>
            <w:vAlign w:val="bottom"/>
          </w:tcPr>
          <w:p>
            <w:pPr>
              <w:jc w:val="right"/>
              <w:ind w:right="375"/>
              <w:spacing w:after="0"/>
              <w:rPr>
                <w:sz w:val="20"/>
                <w:szCs w:val="20"/>
                <w:color w:val="auto"/>
              </w:rPr>
            </w:pPr>
            <w:r>
              <w:rPr>
                <w:rFonts w:ascii="Arial" w:cs="Arial" w:eastAsia="Arial" w:hAnsi="Arial"/>
                <w:sz w:val="17"/>
                <w:szCs w:val="17"/>
                <w:color w:val="auto"/>
              </w:rPr>
              <w:t>(10.7)</w:t>
            </w:r>
          </w:p>
        </w:tc>
        <w:tc>
          <w:tcPr>
            <w:tcW w:w="66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36"/>
        </w:trPr>
        <w:tc>
          <w:tcPr>
            <w:tcW w:w="78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Current Liabilities</w:t>
            </w:r>
          </w:p>
        </w:tc>
        <w:tc>
          <w:tcPr>
            <w:tcW w:w="26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(142.2)</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Cash Contributions to Defined Benefit Pension Plans</w:t>
            </w:r>
          </w:p>
        </w:tc>
        <w:tc>
          <w:tcPr>
            <w:tcW w:w="2660" w:type="dxa"/>
            <w:vAlign w:val="bottom"/>
          </w:tcPr>
          <w:p>
            <w:pPr>
              <w:jc w:val="right"/>
              <w:ind w:right="375"/>
              <w:spacing w:after="0"/>
              <w:rPr>
                <w:sz w:val="20"/>
                <w:szCs w:val="20"/>
                <w:color w:val="auto"/>
              </w:rPr>
            </w:pPr>
            <w:r>
              <w:rPr>
                <w:rFonts w:ascii="Arial" w:cs="Arial" w:eastAsia="Arial" w:hAnsi="Arial"/>
                <w:sz w:val="17"/>
                <w:szCs w:val="17"/>
                <w:color w:val="auto"/>
              </w:rPr>
              <w:t>(6.5)</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Regulatory and Other Non-Current Assets</w:t>
            </w:r>
          </w:p>
        </w:tc>
        <w:tc>
          <w:tcPr>
            <w:tcW w:w="26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(0.7)</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23"/>
        </w:trPr>
        <w:tc>
          <w:tcPr>
            <w:tcW w:w="78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Changes in Regulatory and Other Non-Current Liabilities</w:t>
            </w:r>
          </w:p>
        </w:tc>
        <w:tc>
          <w:tcPr>
            <w:tcW w:w="26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0.4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23"/>
        </w:trPr>
        <w:tc>
          <w:tcPr>
            <w:tcW w:w="78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provided by (used in) Operating Activities</w:t>
            </w:r>
          </w:p>
        </w:tc>
        <w:tc>
          <w:tcPr>
            <w:tcW w:w="266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7"/>
                <w:szCs w:val="17"/>
                <w:color w:val="auto"/>
              </w:rPr>
              <w:t>92.4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25"/>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6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4"/>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Sale of Available-for-sale Securities</w:t>
            </w:r>
          </w:p>
        </w:tc>
        <w:tc>
          <w:tcPr>
            <w:tcW w:w="26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Payments for Purchase of Available-for-sale Securities</w:t>
            </w:r>
          </w:p>
        </w:tc>
        <w:tc>
          <w:tcPr>
            <w:tcW w:w="26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Equity Method Investments</w:t>
            </w:r>
          </w:p>
        </w:tc>
        <w:tc>
          <w:tcPr>
            <w:tcW w:w="26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(0.8)</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Additions to Property, Plant and Equipment</w:t>
            </w:r>
          </w:p>
        </w:tc>
        <w:tc>
          <w:tcPr>
            <w:tcW w:w="2660" w:type="dxa"/>
            <w:vAlign w:val="bottom"/>
          </w:tcPr>
          <w:p>
            <w:pPr>
              <w:jc w:val="right"/>
              <w:ind w:right="375"/>
              <w:spacing w:after="0"/>
              <w:rPr>
                <w:sz w:val="20"/>
                <w:szCs w:val="20"/>
                <w:color w:val="auto"/>
              </w:rPr>
            </w:pPr>
            <w:r>
              <w:rPr>
                <w:rFonts w:ascii="Arial" w:cs="Arial" w:eastAsia="Arial" w:hAnsi="Arial"/>
                <w:sz w:val="17"/>
                <w:szCs w:val="17"/>
                <w:color w:val="auto"/>
              </w:rPr>
              <w:t>(70.0)</w:t>
            </w:r>
          </w:p>
        </w:tc>
        <w:tc>
          <w:tcPr>
            <w:tcW w:w="660" w:type="dxa"/>
            <w:vAlign w:val="bottom"/>
          </w:tcPr>
          <w:p>
            <w:pPr>
              <w:jc w:val="right"/>
              <w:spacing w:after="0"/>
              <w:rPr>
                <w:sz w:val="20"/>
                <w:szCs w:val="20"/>
                <w:color w:val="auto"/>
              </w:rPr>
            </w:pPr>
            <w:r>
              <w:rPr>
                <w:rFonts w:ascii="Arial" w:cs="Arial" w:eastAsia="Arial" w:hAnsi="Arial"/>
                <w:sz w:val="17"/>
                <w:szCs w:val="17"/>
                <w:color w:val="auto"/>
              </w:rPr>
              <w:t>(57.7)</w:t>
            </w:r>
          </w:p>
        </w:tc>
      </w:tr>
      <w:tr>
        <w:trPr>
          <w:trHeight w:val="230"/>
        </w:trPr>
        <w:tc>
          <w:tcPr>
            <w:tcW w:w="7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Investing Activities</w:t>
            </w:r>
          </w:p>
        </w:tc>
        <w:tc>
          <w:tcPr>
            <w:tcW w:w="266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(3.9)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3"/>
        </w:trPr>
        <w:tc>
          <w:tcPr>
            <w:tcW w:w="788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used in Investing Activities</w:t>
            </w:r>
          </w:p>
        </w:tc>
        <w:tc>
          <w:tcPr>
            <w:tcW w:w="26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(74.7)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Proceeds from Issuance of Common Stock</w:t>
            </w:r>
          </w:p>
        </w:tc>
        <w:tc>
          <w:tcPr>
            <w:tcW w:w="2660" w:type="dxa"/>
            <w:vAlign w:val="bottom"/>
          </w:tcPr>
          <w:p>
            <w:pPr>
              <w:jc w:val="right"/>
              <w:ind w:right="415"/>
              <w:spacing w:after="0"/>
              <w:rPr>
                <w:sz w:val="20"/>
                <w:szCs w:val="20"/>
                <w:color w:val="auto"/>
              </w:rPr>
            </w:pPr>
            <w:r>
              <w:rPr>
                <w:rFonts w:ascii="Arial" w:cs="Arial" w:eastAsia="Arial" w:hAnsi="Arial"/>
                <w:sz w:val="17"/>
                <w:szCs w:val="17"/>
                <w:color w:val="auto"/>
              </w:rPr>
              <w:t>3.3</w:t>
            </w:r>
          </w:p>
        </w:tc>
        <w:tc>
          <w:tcPr>
            <w:tcW w:w="6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Short-Term and Long-Term Debt</w:t>
            </w:r>
          </w:p>
        </w:tc>
        <w:tc>
          <w:tcPr>
            <w:tcW w:w="26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238.5</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w:t>
            </w: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Repayments of Short-Term and Long-Term Debt</w:t>
            </w:r>
          </w:p>
        </w:tc>
        <w:tc>
          <w:tcPr>
            <w:tcW w:w="2660" w:type="dxa"/>
            <w:vAlign w:val="bottom"/>
          </w:tcPr>
          <w:p>
            <w:pPr>
              <w:jc w:val="right"/>
              <w:ind w:right="375"/>
              <w:spacing w:after="0"/>
              <w:rPr>
                <w:sz w:val="20"/>
                <w:szCs w:val="20"/>
                <w:color w:val="auto"/>
              </w:rPr>
            </w:pPr>
            <w:r>
              <w:rPr>
                <w:rFonts w:ascii="Arial" w:cs="Arial" w:eastAsia="Arial" w:hAnsi="Arial"/>
                <w:sz w:val="17"/>
                <w:szCs w:val="17"/>
                <w:color w:val="auto"/>
              </w:rPr>
              <w:t>(227.8)</w:t>
            </w:r>
          </w:p>
        </w:tc>
        <w:tc>
          <w:tcPr>
            <w:tcW w:w="660" w:type="dxa"/>
            <w:vAlign w:val="bottom"/>
          </w:tcPr>
          <w:p>
            <w:pPr>
              <w:jc w:val="right"/>
              <w:spacing w:after="0"/>
              <w:rPr>
                <w:sz w:val="20"/>
                <w:szCs w:val="20"/>
                <w:color w:val="auto"/>
              </w:rPr>
            </w:pPr>
            <w:r>
              <w:rPr>
                <w:rFonts w:ascii="Arial" w:cs="Arial" w:eastAsia="Arial" w:hAnsi="Arial"/>
                <w:sz w:val="17"/>
                <w:szCs w:val="17"/>
                <w:color w:val="auto"/>
              </w:rPr>
              <w:t>(259.2)</w:t>
            </w: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Non-Controlling Interest in Subsidiaries – Net</w:t>
            </w:r>
          </w:p>
        </w:tc>
        <w:tc>
          <w:tcPr>
            <w:tcW w:w="26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6.7</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w:t>
            </w:r>
          </w:p>
        </w:tc>
      </w:tr>
      <w:tr>
        <w:trPr>
          <w:trHeight w:val="223"/>
        </w:trPr>
        <w:tc>
          <w:tcPr>
            <w:tcW w:w="7880" w:type="dxa"/>
            <w:vAlign w:val="bottom"/>
          </w:tcPr>
          <w:p>
            <w:pPr>
              <w:ind w:left="220"/>
              <w:spacing w:after="0"/>
              <w:rPr>
                <w:sz w:val="20"/>
                <w:szCs w:val="20"/>
                <w:color w:val="auto"/>
              </w:rPr>
            </w:pPr>
            <w:r>
              <w:rPr>
                <w:rFonts w:ascii="Arial" w:cs="Arial" w:eastAsia="Arial" w:hAnsi="Arial"/>
                <w:sz w:val="17"/>
                <w:szCs w:val="17"/>
                <w:color w:val="auto"/>
              </w:rPr>
              <w:t>Dividends on Common Stock</w:t>
            </w:r>
          </w:p>
        </w:tc>
        <w:tc>
          <w:tcPr>
            <w:tcW w:w="2660" w:type="dxa"/>
            <w:vAlign w:val="bottom"/>
          </w:tcPr>
          <w:p>
            <w:pPr>
              <w:jc w:val="right"/>
              <w:ind w:right="375"/>
              <w:spacing w:after="0"/>
              <w:rPr>
                <w:sz w:val="20"/>
                <w:szCs w:val="20"/>
                <w:color w:val="auto"/>
              </w:rPr>
            </w:pPr>
            <w:r>
              <w:rPr>
                <w:rFonts w:ascii="Arial" w:cs="Arial" w:eastAsia="Arial" w:hAnsi="Arial"/>
                <w:sz w:val="17"/>
                <w:szCs w:val="17"/>
                <w:color w:val="auto"/>
              </w:rPr>
              <w:t>(38.8)</w:t>
            </w:r>
          </w:p>
        </w:tc>
        <w:tc>
          <w:tcPr>
            <w:tcW w:w="66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30"/>
        </w:trPr>
        <w:tc>
          <w:tcPr>
            <w:tcW w:w="7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Financing Activities</w:t>
            </w:r>
          </w:p>
        </w:tc>
        <w:tc>
          <w:tcPr>
            <w:tcW w:w="266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(0.2)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23"/>
        </w:trPr>
        <w:tc>
          <w:tcPr>
            <w:tcW w:w="788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provided by (used in) Financing Activities</w:t>
            </w:r>
          </w:p>
        </w:tc>
        <w:tc>
          <w:tcPr>
            <w:tcW w:w="26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(18.3)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26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(0.6)</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r>
      <w:tr>
        <w:trPr>
          <w:trHeight w:val="225"/>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26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40.2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w:t>
            </w:r>
          </w:p>
        </w:tc>
      </w:tr>
      <w:tr>
        <w:trPr>
          <w:trHeight w:val="223"/>
        </w:trPr>
        <w:tc>
          <w:tcPr>
            <w:tcW w:w="7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66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7"/>
                <w:szCs w:val="17"/>
                <w:color w:val="auto"/>
              </w:rPr>
              <w:t>$39.6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00"/>
          </w:cols>
          <w:pgMar w:left="340" w:top="891"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2023 Form 10-Q</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tcPr>
          <w:p>
            <w:pPr>
              <w:spacing w:after="0"/>
              <w:rPr>
                <w:sz w:val="19"/>
                <w:szCs w:val="19"/>
                <w:color w:val="auto"/>
              </w:rPr>
            </w:pPr>
          </w:p>
        </w:tc>
        <w:tc>
          <w:tcPr>
            <w:tcW w:w="24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8180" w:type="dxa"/>
            <w:vAlign w:val="bottom"/>
          </w:tcPr>
          <w:p>
            <w:pPr>
              <w:spacing w:after="0"/>
              <w:rPr>
                <w:sz w:val="19"/>
                <w:szCs w:val="19"/>
                <w:color w:val="auto"/>
              </w:rPr>
            </w:pPr>
          </w:p>
        </w:tc>
        <w:tc>
          <w:tcPr>
            <w:tcW w:w="24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$1,781.5</w:t>
            </w:r>
          </w:p>
        </w:tc>
        <w:tc>
          <w:tcPr>
            <w:tcW w:w="920" w:type="dxa"/>
            <w:vAlign w:val="bottom"/>
          </w:tcPr>
          <w:p>
            <w:pPr>
              <w:jc w:val="right"/>
              <w:spacing w:after="0"/>
              <w:rPr>
                <w:sz w:val="20"/>
                <w:szCs w:val="20"/>
                <w:color w:val="auto"/>
              </w:rPr>
            </w:pPr>
            <w:r>
              <w:rPr>
                <w:rFonts w:ascii="Arial" w:cs="Arial" w:eastAsia="Arial" w:hAnsi="Arial"/>
                <w:sz w:val="18"/>
                <w:szCs w:val="18"/>
                <w:color w:val="auto"/>
              </w:rPr>
              <w:t>$1,536.7</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8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1,785.6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1,541.3</w:t>
            </w:r>
          </w:p>
        </w:tc>
      </w:tr>
      <w:tr>
        <w:trPr>
          <w:trHeight w:val="250"/>
        </w:trPr>
        <w:tc>
          <w:tcPr>
            <w:tcW w:w="8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Debt Securities</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50"/>
        </w:trPr>
        <w:tc>
          <w:tcPr>
            <w:tcW w:w="8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1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934.8</w:t>
            </w:r>
          </w:p>
        </w:tc>
        <w:tc>
          <w:tcPr>
            <w:tcW w:w="920" w:type="dxa"/>
            <w:vAlign w:val="bottom"/>
          </w:tcPr>
          <w:p>
            <w:pPr>
              <w:jc w:val="right"/>
              <w:spacing w:after="0"/>
              <w:rPr>
                <w:sz w:val="20"/>
                <w:szCs w:val="20"/>
                <w:color w:val="auto"/>
              </w:rPr>
            </w:pPr>
            <w:r>
              <w:rPr>
                <w:rFonts w:ascii="Arial" w:cs="Arial" w:eastAsia="Arial" w:hAnsi="Arial"/>
                <w:sz w:val="18"/>
                <w:szCs w:val="18"/>
                <w:color w:val="auto"/>
              </w:rPr>
              <w:t>900.2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Dividends</w:t>
            </w: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23"/>
        </w:trPr>
        <w:tc>
          <w:tcPr>
            <w:tcW w:w="8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954.2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w:t>
            </w:r>
          </w:p>
        </w:tc>
      </w:tr>
      <w:tr>
        <w:trPr>
          <w:trHeight w:val="250"/>
        </w:trPr>
        <w:tc>
          <w:tcPr>
            <w:tcW w:w="8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1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656.4</w:t>
            </w:r>
          </w:p>
        </w:tc>
        <w:tc>
          <w:tcPr>
            <w:tcW w:w="920" w:type="dxa"/>
            <w:vAlign w:val="bottom"/>
          </w:tcPr>
          <w:p>
            <w:pPr>
              <w:jc w:val="right"/>
              <w:spacing w:after="0"/>
              <w:rPr>
                <w:sz w:val="20"/>
                <w:szCs w:val="20"/>
                <w:color w:val="auto"/>
              </w:rPr>
            </w:pPr>
            <w:r>
              <w:rPr>
                <w:rFonts w:ascii="Arial" w:cs="Arial" w:eastAsia="Arial" w:hAnsi="Arial"/>
                <w:sz w:val="18"/>
                <w:szCs w:val="18"/>
                <w:color w:val="auto"/>
              </w:rPr>
              <w:t>533.2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Non-Controlling Interest in Subsidiaries – Net</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(20.6)</w:t>
            </w: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642.2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w:t>
            </w:r>
          </w:p>
        </w:tc>
      </w:tr>
      <w:tr>
        <w:trPr>
          <w:trHeight w:val="250"/>
        </w:trPr>
        <w:tc>
          <w:tcPr>
            <w:tcW w:w="8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$3,357.7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$3,143.5</w:t>
            </w:r>
          </w:p>
        </w:tc>
      </w:tr>
      <w:tr>
        <w:trPr>
          <w:trHeight w:val="250"/>
        </w:trPr>
        <w:tc>
          <w:tcPr>
            <w:tcW w:w="8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Dividends Per Share of Common Stock</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$0.6775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r>
      <w:tr>
        <w:trPr>
          <w:trHeight w:val="318"/>
        </w:trPr>
        <w:tc>
          <w:tcPr>
            <w:tcW w:w="8180" w:type="dxa"/>
            <w:vAlign w:val="bottom"/>
          </w:tcPr>
          <w:p>
            <w:pPr>
              <w:ind w:left="300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620" w:top="891" w:right="6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2022, Consolidated Balance Sheet was derived from audited financial statements, but does not include all disclosures required by GAAP. The presentation of certain prior period amounts on the Consolidated Financial Statements have been adjusted for comparative purposes. In management’s opinion, these unaudited financial statements include all adjustments necessary for a fair statement of financial results. All adjustments are of a normal, recurring nature, except as otherwise disclosed. Operating results for the three months ended March 31, 2023, are not necessarily indicative of results that may be expected for any other interim period or for the year ending December 31, 2023. For further information, refer to the Consolidated Financial Statements and notes included in our 2022 Form 10-K.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Cash, Cash Equivalents and Restricted Cash. </w:t>
      </w:r>
      <w:r>
        <w:rPr>
          <w:rFonts w:ascii="Arial" w:cs="Arial" w:eastAsia="Arial" w:hAnsi="Arial"/>
          <w:sz w:val="16"/>
          <w:szCs w:val="16"/>
          <w:color w:val="auto"/>
        </w:rPr>
        <w:t>We consider all investments purchased with original maturities of three months or less to be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As of March 31, 2023, restricted cash amounts included in Prepayments and Other on the Consolidated Balance Sheet include collateral deposits required under an ALLETE Clean Energy loan. The restricted cash amounts included in Other Non-Current Assets represent collateral deposits required under an ALLETE Clean Energy loan agreement as well as PSAs. The following table provides a reconciliation of cash, cash equivalents and restricted cash reported within the Consolidated Balance Sheet that aggregate to the amounts presented in the Consolidated Statement of Cash Flows.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$29.9</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$36.4</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7.4</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1.5</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7.1</w:t>
            </w: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w:t>
            </w:r>
          </w:p>
        </w:tc>
        <w:tc>
          <w:tcPr>
            <w:tcW w:w="17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2.3</w:t>
            </w: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169"/>
        </w:trPr>
        <w:tc>
          <w:tcPr>
            <w:tcW w:w="5200" w:type="dxa"/>
            <w:vAlign w:val="bottom"/>
          </w:tcPr>
          <w:p>
            <w:pPr>
              <w:ind w:left="20"/>
              <w:spacing w:after="0" w:line="169" w:lineRule="exact"/>
              <w:rPr>
                <w:sz w:val="20"/>
                <w:szCs w:val="20"/>
                <w:color w:val="auto"/>
              </w:rPr>
            </w:pPr>
            <w:r>
              <w:rPr>
                <w:rFonts w:ascii="Arial" w:cs="Arial" w:eastAsia="Arial" w:hAnsi="Arial"/>
                <w:sz w:val="18"/>
                <w:szCs w:val="18"/>
                <w:color w:val="auto"/>
                <w:w w:val="98"/>
              </w:rPr>
              <w:t>Cash, Cash Equivalents and Restricted Cash on the Consolidated</w:t>
            </w: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Statement of Cash Flows</w:t>
            </w: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$39.6</w:t>
            </w:r>
          </w:p>
        </w:tc>
        <w:tc>
          <w:tcPr>
            <w:tcW w:w="17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$40.2</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$75.0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bl>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8"/>
                <w:szCs w:val="18"/>
                <w:color w:val="auto"/>
              </w:rPr>
            </w:pPr>
          </w:p>
        </w:tc>
        <w:tc>
          <w:tcPr>
            <w:tcW w:w="354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Inventories – Net</w:t>
            </w:r>
          </w:p>
        </w:tc>
        <w:tc>
          <w:tcPr>
            <w:tcW w:w="3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540" w:type="dxa"/>
            <w:vAlign w:val="bottom"/>
          </w:tcPr>
          <w:p>
            <w:pPr>
              <w:jc w:val="right"/>
              <w:ind w:right="210"/>
              <w:spacing w:after="0"/>
              <w:rPr>
                <w:sz w:val="20"/>
                <w:szCs w:val="20"/>
                <w:color w:val="auto"/>
              </w:rPr>
            </w:pPr>
            <w:r>
              <w:rPr>
                <w:rFonts w:ascii="Arial" w:cs="Arial" w:eastAsia="Arial" w:hAnsi="Arial"/>
                <w:sz w:val="18"/>
                <w:szCs w:val="18"/>
                <w:color w:val="auto"/>
              </w:rPr>
              <w:t>119.2</w:t>
            </w:r>
          </w:p>
        </w:tc>
        <w:tc>
          <w:tcPr>
            <w:tcW w:w="13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Facilities Under Development </w:t>
            </w:r>
            <w:r>
              <w:rPr>
                <w:rFonts w:ascii="Arial" w:cs="Arial" w:eastAsia="Arial" w:hAnsi="Arial"/>
                <w:sz w:val="16"/>
                <w:szCs w:val="16"/>
                <w:i w:val="1"/>
                <w:iCs w:val="1"/>
                <w:color w:val="auto"/>
              </w:rPr>
              <w:t>(b)</w:t>
            </w:r>
          </w:p>
        </w:tc>
        <w:tc>
          <w:tcPr>
            <w:tcW w:w="3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188.1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r>
      <w:tr>
        <w:trPr>
          <w:trHeight w:val="22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Inventories – Net</w:t>
            </w:r>
          </w:p>
        </w:tc>
        <w:tc>
          <w:tcPr>
            <w:tcW w:w="3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$346.9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w:t>
            </w:r>
          </w:p>
        </w:tc>
      </w:tr>
    </w:tbl>
    <w:p>
      <w:pPr>
        <w:spacing w:after="0" w:line="7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22" w:lineRule="exact"/>
        <w:rPr>
          <w:rFonts w:ascii="Arial" w:cs="Arial" w:eastAsia="Arial" w:hAnsi="Arial"/>
          <w:sz w:val="16"/>
          <w:szCs w:val="16"/>
          <w:i w:val="1"/>
          <w:iCs w:val="1"/>
          <w:color w:val="auto"/>
        </w:rPr>
      </w:pPr>
    </w:p>
    <w:p>
      <w:pPr>
        <w:ind w:left="340" w:hanging="332"/>
        <w:spacing w:after="0" w:line="251" w:lineRule="auto"/>
        <w:tabs>
          <w:tab w:leader="none" w:pos="381"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Renewable Energy Facilities Under Development consists primarily of project costs related to ALLETE Clean Energy’s Northern Wind project sold in the first quarter of 2023 and Red Barn wind project sold in April 2023. (See Other Current Liabilities.)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aggregate carrying amount of goodwill was $154.9 million as of March 31, 2023 ($154.9 million as of December 31, 2022). There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no changes to goodwill by reportable segment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9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45"/>
        </w:trPr>
        <w:tc>
          <w:tcPr>
            <w:tcW w:w="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40" w:type="dxa"/>
            <w:vAlign w:val="bottom"/>
          </w:tcPr>
          <w:p>
            <w:pPr>
              <w:spacing w:after="0"/>
              <w:rPr>
                <w:sz w:val="21"/>
                <w:szCs w:val="21"/>
                <w:color w:val="auto"/>
              </w:rPr>
            </w:pPr>
          </w:p>
        </w:tc>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Non-Current Assets</w:t>
            </w: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1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11.8</w:t>
            </w: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ALLETE Properties</w:t>
            </w:r>
          </w:p>
        </w:tc>
        <w:tc>
          <w:tcPr>
            <w:tcW w:w="1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Restricted Cash</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Postretirement Benefit Plans</w:t>
            </w:r>
          </w:p>
        </w:tc>
        <w:tc>
          <w:tcPr>
            <w:tcW w:w="1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59.6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29"/>
        </w:trPr>
        <w:tc>
          <w:tcPr>
            <w:tcW w:w="40" w:type="dxa"/>
            <w:vAlign w:val="bottom"/>
          </w:tcPr>
          <w:p>
            <w:pPr>
              <w:spacing w:after="0"/>
              <w:rPr>
                <w:sz w:val="19"/>
                <w:szCs w:val="19"/>
                <w:color w:val="auto"/>
              </w:rPr>
            </w:pPr>
          </w:p>
        </w:tc>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93.5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r>
      <w:tr>
        <w:trPr>
          <w:trHeight w:val="223"/>
        </w:trPr>
        <w:tc>
          <w:tcPr>
            <w:tcW w:w="40" w:type="dxa"/>
            <w:vAlign w:val="bottom"/>
          </w:tcPr>
          <w:p>
            <w:pPr>
              <w:spacing w:after="0"/>
              <w:rPr>
                <w:sz w:val="19"/>
                <w:szCs w:val="19"/>
                <w:color w:val="auto"/>
              </w:rPr>
            </w:pPr>
          </w:p>
        </w:tc>
        <w:tc>
          <w:tcPr>
            <w:tcW w:w="7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Non-Current Assets</w:t>
            </w:r>
          </w:p>
        </w:tc>
        <w:tc>
          <w:tcPr>
            <w:tcW w:w="1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$207.0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r>
    </w:tbl>
    <w:p>
      <w:pPr>
        <w:spacing w:after="0" w:line="85" w:lineRule="exact"/>
        <w:rPr>
          <w:sz w:val="20"/>
          <w:szCs w:val="20"/>
          <w:color w:val="auto"/>
        </w:rPr>
      </w:pPr>
    </w:p>
    <w:p>
      <w:pPr>
        <w:ind w:left="340" w:hanging="332"/>
        <w:spacing w:after="0" w:line="275" w:lineRule="auto"/>
        <w:tabs>
          <w:tab w:leader="none" w:pos="394"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406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4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Customer Deposits </w:t>
            </w:r>
            <w:r>
              <w:rPr>
                <w:rFonts w:ascii="Arial" w:cs="Arial" w:eastAsia="Arial" w:hAnsi="Arial"/>
                <w:sz w:val="16"/>
                <w:szCs w:val="16"/>
                <w:i w:val="1"/>
                <w:iCs w:val="1"/>
                <w:color w:val="auto"/>
              </w:rPr>
              <w:t>(a)</w:t>
            </w:r>
          </w:p>
        </w:tc>
        <w:tc>
          <w:tcPr>
            <w:tcW w:w="4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PSAs</w:t>
            </w:r>
          </w:p>
        </w:tc>
        <w:tc>
          <w:tcPr>
            <w:tcW w:w="4060" w:type="dxa"/>
            <w:vAlign w:val="bottom"/>
          </w:tcPr>
          <w:p>
            <w:pPr>
              <w:jc w:val="right"/>
              <w:ind w:right="190"/>
              <w:spacing w:after="0"/>
              <w:rPr>
                <w:sz w:val="20"/>
                <w:szCs w:val="20"/>
                <w:color w:val="auto"/>
              </w:rPr>
            </w:pPr>
            <w:r>
              <w:rPr>
                <w:rFonts w:ascii="Arial" w:cs="Arial" w:eastAsia="Arial" w:hAnsi="Arial"/>
                <w:sz w:val="18"/>
                <w:szCs w:val="18"/>
                <w:color w:val="auto"/>
              </w:rPr>
              <w:t>6.1</w:t>
            </w: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Interim Rate Refund</w:t>
            </w:r>
          </w:p>
        </w:tc>
        <w:tc>
          <w:tcPr>
            <w:tcW w:w="4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6"/>
                <w:szCs w:val="16"/>
                <w:i w:val="1"/>
                <w:iCs w:val="1"/>
                <w:color w:val="auto"/>
              </w:rPr>
              <w:t>(b)</w:t>
            </w:r>
          </w:p>
        </w:tc>
        <w:tc>
          <w:tcPr>
            <w:tcW w:w="4060" w:type="dxa"/>
            <w:vAlign w:val="bottom"/>
          </w:tcPr>
          <w:p>
            <w:pPr>
              <w:jc w:val="right"/>
              <w:ind w:right="190"/>
              <w:spacing w:after="0"/>
              <w:rPr>
                <w:sz w:val="20"/>
                <w:szCs w:val="20"/>
                <w:color w:val="auto"/>
              </w:rPr>
            </w:pPr>
            <w:r>
              <w:rPr>
                <w:rFonts w:ascii="Arial" w:cs="Arial" w:eastAsia="Arial" w:hAnsi="Arial"/>
                <w:sz w:val="18"/>
                <w:szCs w:val="18"/>
                <w:color w:val="auto"/>
              </w:rPr>
              <w:t>14.5</w:t>
            </w: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49.4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r>
      <w:tr>
        <w:trPr>
          <w:trHeight w:val="223"/>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Liabilities</w:t>
            </w:r>
          </w:p>
        </w:tc>
        <w:tc>
          <w:tcPr>
            <w:tcW w:w="4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$106.8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bl>
    <w:p>
      <w:pPr>
        <w:spacing w:after="0" w:line="85" w:lineRule="exact"/>
        <w:rPr>
          <w:sz w:val="20"/>
          <w:szCs w:val="20"/>
          <w:color w:val="auto"/>
        </w:rPr>
      </w:pPr>
    </w:p>
    <w:p>
      <w:pPr>
        <w:ind w:left="340" w:right="20" w:hanging="332"/>
        <w:spacing w:after="0" w:line="257" w:lineRule="auto"/>
        <w:tabs>
          <w:tab w:leader="none" w:pos="24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Primarily related to deposits received by ALLETE Clean Energy for the Northern Wind and Red Barn wind projects sold in the first quarter of 2023 and April 2023, respectively. (See Inventories – Net.)</w:t>
      </w:r>
    </w:p>
    <w:p>
      <w:pPr>
        <w:spacing w:after="0" w:line="1" w:lineRule="exact"/>
        <w:rPr>
          <w:rFonts w:ascii="Arial" w:cs="Arial" w:eastAsia="Arial" w:hAnsi="Arial"/>
          <w:sz w:val="16"/>
          <w:szCs w:val="16"/>
          <w:i w:val="1"/>
          <w:iCs w:val="1"/>
          <w:color w:val="auto"/>
        </w:rPr>
      </w:pPr>
    </w:p>
    <w:p>
      <w:pPr>
        <w:ind w:left="340" w:hanging="332"/>
        <w:spacing w:after="0" w:line="270" w:lineRule="auto"/>
        <w:tabs>
          <w:tab w:leader="none" w:pos="25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represents the current liability for remediation of a former manufactured gas plant site located in Superior, Wisconsin, and formerly operated by SWL&amp;P.</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8"/>
                <w:szCs w:val="18"/>
                <w:color w:val="auto"/>
              </w:rPr>
            </w:pPr>
          </w:p>
        </w:tc>
        <w:tc>
          <w:tcPr>
            <w:tcW w:w="418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Retirement Obligation </w:t>
            </w:r>
            <w:r>
              <w:rPr>
                <w:rFonts w:ascii="Arial" w:cs="Arial" w:eastAsia="Arial" w:hAnsi="Arial"/>
                <w:sz w:val="16"/>
                <w:szCs w:val="16"/>
                <w:i w:val="1"/>
                <w:iCs w:val="1"/>
                <w:color w:val="auto"/>
              </w:rPr>
              <w:t>(a)</w:t>
            </w:r>
          </w:p>
        </w:tc>
        <w:tc>
          <w:tcPr>
            <w:tcW w:w="4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$204.4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PSAs</w:t>
            </w:r>
          </w:p>
        </w:tc>
        <w:tc>
          <w:tcPr>
            <w:tcW w:w="4180" w:type="dxa"/>
            <w:vAlign w:val="bottom"/>
          </w:tcPr>
          <w:p>
            <w:pPr>
              <w:jc w:val="right"/>
              <w:ind w:right="210"/>
              <w:spacing w:after="0"/>
              <w:rPr>
                <w:sz w:val="20"/>
                <w:szCs w:val="20"/>
                <w:color w:val="auto"/>
              </w:rPr>
            </w:pPr>
            <w:r>
              <w:rPr>
                <w:rFonts w:ascii="Arial" w:cs="Arial" w:eastAsia="Arial" w:hAnsi="Arial"/>
                <w:sz w:val="18"/>
                <w:szCs w:val="18"/>
                <w:color w:val="auto"/>
              </w:rPr>
              <w:t>25.4</w:t>
            </w:r>
          </w:p>
        </w:tc>
        <w:tc>
          <w:tcPr>
            <w:tcW w:w="13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31.8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Liabilities</w:t>
            </w:r>
          </w:p>
        </w:tc>
        <w:tc>
          <w:tcPr>
            <w:tcW w:w="4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$270.4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r>
    </w:tbl>
    <w:p>
      <w:pPr>
        <w:spacing w:after="0" w:line="71" w:lineRule="exact"/>
        <w:rPr>
          <w:sz w:val="20"/>
          <w:szCs w:val="20"/>
          <w:color w:val="auto"/>
        </w:rPr>
      </w:pPr>
    </w:p>
    <w:p>
      <w:pPr>
        <w:jc w:val="both"/>
        <w:ind w:left="340" w:hanging="332"/>
        <w:spacing w:after="0" w:line="269"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$32.4 million in Other Non-Current Assets on the Consolidated Balance Sheet as of March 31, 2023, ($32.4 million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6"/>
        </w:trPr>
        <w:tc>
          <w:tcPr>
            <w:tcW w:w="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32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8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19"/>
                <w:szCs w:val="19"/>
                <w:color w:val="auto"/>
              </w:rPr>
            </w:pPr>
          </w:p>
        </w:tc>
      </w:tr>
      <w:tr>
        <w:trPr>
          <w:trHeight w:val="234"/>
        </w:trPr>
        <w:tc>
          <w:tcPr>
            <w:tcW w:w="80" w:type="dxa"/>
            <w:vAlign w:val="bottom"/>
          </w:tcPr>
          <w:p>
            <w:pPr>
              <w:spacing w:after="0"/>
              <w:rPr>
                <w:sz w:val="20"/>
                <w:szCs w:val="20"/>
                <w:color w:val="auto"/>
              </w:rPr>
            </w:pPr>
          </w:p>
        </w:tc>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Income</w:t>
            </w:r>
          </w:p>
        </w:tc>
        <w:tc>
          <w:tcPr>
            <w:tcW w:w="24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r>
      <w:tr>
        <w:trPr>
          <w:trHeight w:val="223"/>
        </w:trPr>
        <w:tc>
          <w:tcPr>
            <w:tcW w:w="8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Credits </w:t>
            </w:r>
            <w:r>
              <w:rPr>
                <w:rFonts w:ascii="Arial" w:cs="Arial" w:eastAsia="Arial" w:hAnsi="Arial"/>
                <w:sz w:val="16"/>
                <w:szCs w:val="16"/>
                <w:i w:val="1"/>
                <w:iCs w:val="1"/>
                <w:color w:val="auto"/>
              </w:rPr>
              <w:t>(a)</w:t>
            </w:r>
          </w:p>
        </w:tc>
        <w:tc>
          <w:tcPr>
            <w:tcW w:w="2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auto"/>
              </w:rPr>
              <w:t>Interest and Investment Income</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0" w:type="dxa"/>
            <w:vAlign w:val="bottom"/>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2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80" w:type="dxa"/>
            <w:vAlign w:val="bottom"/>
          </w:tcPr>
          <w:p>
            <w:pPr>
              <w:spacing w:after="0"/>
              <w:rPr>
                <w:sz w:val="19"/>
                <w:szCs w:val="19"/>
                <w:color w:val="auto"/>
              </w:rPr>
            </w:pPr>
          </w:p>
        </w:tc>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0" w:type="dxa"/>
            <w:vAlign w:val="bottom"/>
          </w:tcPr>
          <w:p>
            <w:pPr>
              <w:spacing w:after="0"/>
              <w:rPr>
                <w:sz w:val="19"/>
                <w:szCs w:val="19"/>
                <w:color w:val="auto"/>
              </w:rPr>
            </w:pPr>
          </w:p>
        </w:tc>
        <w:tc>
          <w:tcPr>
            <w:tcW w:w="7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2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71" w:lineRule="exact"/>
        <w:rPr>
          <w:sz w:val="20"/>
          <w:szCs w:val="20"/>
          <w:color w:val="auto"/>
        </w:rPr>
      </w:pPr>
    </w:p>
    <w:p>
      <w:pPr>
        <w:ind w:left="340" w:hanging="332"/>
        <w:spacing w:after="0" w:line="293"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9. Pension and Other Postretirement Benefit Plans.)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 Net of Amounts Capitalized</w:t>
            </w:r>
          </w:p>
        </w:tc>
        <w:tc>
          <w:tcPr>
            <w:tcW w:w="2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$24.6</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$22.4</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23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$0.3</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380" w:type="dxa"/>
            <w:vAlign w:val="bottom"/>
          </w:tcPr>
          <w:p>
            <w:pPr>
              <w:jc w:val="right"/>
              <w:ind w:right="250"/>
              <w:spacing w:after="0"/>
              <w:rPr>
                <w:sz w:val="20"/>
                <w:szCs w:val="20"/>
                <w:color w:val="auto"/>
              </w:rPr>
            </w:pPr>
            <w:r>
              <w:rPr>
                <w:rFonts w:ascii="Arial" w:cs="Arial" w:eastAsia="Arial" w:hAnsi="Arial"/>
                <w:sz w:val="18"/>
                <w:szCs w:val="18"/>
                <w:color w:val="auto"/>
              </w:rPr>
              <w:t>$(7.1)</w:t>
            </w: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Asset Retirement Costs</w:t>
            </w:r>
          </w:p>
        </w:tc>
        <w:tc>
          <w:tcPr>
            <w:tcW w:w="2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r>
      <w:tr>
        <w:trPr>
          <w:trHeight w:val="229"/>
        </w:trPr>
        <w:tc>
          <w:tcPr>
            <w:tcW w:w="7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AFUDC–Equity</w:t>
            </w:r>
          </w:p>
        </w:tc>
        <w:tc>
          <w:tcPr>
            <w:tcW w:w="2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$0.5</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w:t>
            </w:r>
          </w:p>
        </w:tc>
      </w:tr>
    </w:tbl>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are primarily related to the tax equity financing structures for ALLETE Clean Energy’s 106 MW Glen Ullin, 80 MW South Peak, 303 MW Diamond Spring and 303 MW Caddo wind energy facilities as well as ALLETE’s equity investment in the 250 MW Nobles 2 wind energy facility.</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On April 5, 2023, ALLETE Clean Energy closed on the sale of the Red Barn wind project and received cash proceeds of approximately $160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REGULATORY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2022 Form 10-K, with additional disclosure provided in the following paragraphs.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MPUC, Minnesota Power also recognizes revenue under cost recovery riders for transmission, renewable, and environmental investments and expenditures. Revenue from cost recovery riders was $16.4 million for the three months ended March 31, 2023 ($6.5 million for the three months ended March 31, 2022).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2022 Minnesota General Rate Case. </w:t>
      </w:r>
      <w:r>
        <w:rPr>
          <w:rFonts w:ascii="Arial" w:cs="Arial" w:eastAsia="Arial" w:hAnsi="Arial"/>
          <w:sz w:val="17"/>
          <w:szCs w:val="17"/>
          <w:color w:val="auto"/>
        </w:rPr>
        <w:t>On November 1, 2021, Minnesota Power filed a retail rate increase request with the MPUC seeking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18 percent for retail customers. The rate filing sought a return on equity of 10.25 percent and a 53.81 percent equity ratio. On an annualized basis, the requested final rate increase would generate approximately $108 million in additional revenue.</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an order dated February 28, 2023, the MPUC made determinations regarding Minnesota Power’s general rate case including allowing a return on common equity of 9.65 percent and a 52.50 percent equity ratio. Upon commencement of final rates, we expect additional revenue from base rates of approximately $60 million and an additional $10 million in revenue recognized under cost recovery riders on an annualized basis, subject to final written order and reconsideration. On March 20, 2023, Minnesota Power filed a petition for reconsideration with the MPUC requesting reconsideration and clarification of certain decisions in the MPUC’s order. Minnesota Power’s petition included requesting reconsideration of the ratemaking treatment of the Taconite Harbor Energy Center and the Company’s prepaid pension asset as well as clarification on interim rate treatment for sales to certain customers that did not operate during 2022. The MPUC denied the requests for reconsideration at a hearing on April 27, 2023, and provided clarification in support of Minnesota Power’s treatment of certain customers that did not operate during 2022. Final rates are expected to commence in the third quarter of 2023; interim rates will be collected through this period with reserves recorded as necessary. Minnesota Power has recorded a reserve for an interim rate refund of $23.5 million pre-tax as of March 31, 2023 ($18.4 million as of December 31, 2022), which is subject to MPUC approval of Minnesota Power’s refund calculation.</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Renewable Cost Recovery Rider. </w:t>
      </w:r>
      <w:r>
        <w:rPr>
          <w:rFonts w:ascii="Arial" w:cs="Arial" w:eastAsia="Arial" w:hAnsi="Arial"/>
          <w:sz w:val="17"/>
          <w:szCs w:val="17"/>
          <w:color w:val="auto"/>
        </w:rPr>
        <w:t>Minnesota Power has an approved cost recovery rider in place to charge retail customers on a current basis for the costs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renewable investments and expenditures, including a return on the capital invested. Current customer billing rates for the renewable cost recovery rider were approved by the MPUC in an order dated January 24, 2023. On March 29, 2023, Minnesota Power submitted its latest renewable factor filing. If the filing is approved, Minnesota Power would be authorized to include updated billing rates on customer bills.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Fuel Adjustment Clause. </w:t>
      </w:r>
      <w:r>
        <w:rPr>
          <w:rFonts w:ascii="Arial" w:cs="Arial" w:eastAsia="Arial" w:hAnsi="Arial"/>
          <w:sz w:val="17"/>
          <w:szCs w:val="17"/>
          <w:color w:val="auto"/>
        </w:rPr>
        <w:t>Minnesota Power incurred higher fuel and purchased power costs in 2022 than those factored in its fuel adjustment forecast filed</w:t>
      </w:r>
      <w:r>
        <w:rPr>
          <w:rFonts w:ascii="Arial" w:cs="Arial" w:eastAsia="Arial" w:hAnsi="Arial"/>
          <w:sz w:val="17"/>
          <w:szCs w:val="17"/>
          <w:i w:val="1"/>
          <w:iCs w:val="1"/>
          <w:color w:val="auto"/>
        </w:rPr>
        <w:t xml:space="preserve"> </w:t>
      </w:r>
      <w:r>
        <w:rPr>
          <w:rFonts w:ascii="Arial" w:cs="Arial" w:eastAsia="Arial" w:hAnsi="Arial"/>
          <w:sz w:val="17"/>
          <w:szCs w:val="17"/>
          <w:color w:val="auto"/>
        </w:rPr>
        <w:t>in May 2021 for 2022, which resulted in the recognition of an approximately $13 million regulatory asset as of March 31, 2023, and December 31, 2022. Minnesota Power requested recovery of the regulatory asset as part of its annual true-up filing submitted to the MPUC on March 1, 2023.</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Conservation Improvement Program. </w:t>
      </w:r>
      <w:r>
        <w:rPr>
          <w:rFonts w:ascii="Arial" w:cs="Arial" w:eastAsia="Arial" w:hAnsi="Arial"/>
          <w:sz w:val="17"/>
          <w:szCs w:val="17"/>
          <w:color w:val="auto"/>
        </w:rPr>
        <w:t>On April 3, 2023, Minnesota Power submitted its 2022 consolidated filing detailing Minnesota Power’s CIP</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results and requesting a CIP financial incentive of $2.2 million based upon MPUC procedures, which will be recognized upon approval by the MPUC. In 2022, a CIP financial incentive of $1.9 million was recognized in the second quarter upon approval by the MPUC of Minnesota Power’s 2021 CIP consolidated filing. CIP financial incentives are recognized in the period in which the MPUC approves the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standards for the effects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The recovery, refund or credit to rates for these regulatory assets and liabilities will occur over the periods either specified by the applicable regulatory authority or over the corresponding period related to the asset or liability.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tcPr>
          <w:p>
            <w:pPr>
              <w:spacing w:after="0"/>
              <w:rPr>
                <w:sz w:val="17"/>
                <w:szCs w:val="17"/>
                <w:color w:val="auto"/>
              </w:rPr>
            </w:pPr>
          </w:p>
        </w:tc>
        <w:tc>
          <w:tcPr>
            <w:tcW w:w="30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3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6"/>
                <w:szCs w:val="16"/>
                <w:i w:val="1"/>
                <w:iCs w:val="1"/>
                <w:color w:val="auto"/>
              </w:rPr>
              <w:t>(a)</w:t>
            </w:r>
          </w:p>
        </w:tc>
        <w:tc>
          <w:tcPr>
            <w:tcW w:w="3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Fuel Adjustment Clause</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$15.3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6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Assets</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$15.3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30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$225.2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95.3</w:t>
            </w:r>
          </w:p>
        </w:tc>
        <w:tc>
          <w:tcPr>
            <w:tcW w:w="146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Recovery Riders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Asset Retirement Obligations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36.1</w:t>
            </w:r>
          </w:p>
        </w:tc>
        <w:tc>
          <w:tcPr>
            <w:tcW w:w="146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Taconite Harbor Energy Center </w:t>
            </w:r>
            <w:r>
              <w:rPr>
                <w:rFonts w:ascii="Arial" w:cs="Arial" w:eastAsia="Arial" w:hAnsi="Arial"/>
                <w:sz w:val="16"/>
                <w:szCs w:val="16"/>
                <w:i w:val="1"/>
                <w:iCs w:val="1"/>
                <w:color w:val="auto"/>
              </w:rPr>
              <w:t>(b)</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Fuel Adjustment Clause</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15.5</w:t>
            </w:r>
          </w:p>
        </w:tc>
        <w:tc>
          <w:tcPr>
            <w:tcW w:w="14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Manufactured Gas Plant</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PPACA Income Tax Deferral</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6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Non-Current Regulatory Assets</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$469.1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r>
      <w:tr>
        <w:trPr>
          <w:trHeight w:val="196"/>
        </w:trPr>
        <w:tc>
          <w:tcPr>
            <w:tcW w:w="67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(c)</w:t>
            </w:r>
          </w:p>
        </w:tc>
        <w:tc>
          <w:tcPr>
            <w:tcW w:w="30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(d)</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$23.5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Transmission Formula Rates Refund</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1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Regulatory Liabilities</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3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$326.2</w:t>
            </w:r>
          </w:p>
        </w:tc>
        <w:tc>
          <w:tcPr>
            <w:tcW w:w="1460" w:type="dxa"/>
            <w:vAlign w:val="bottom"/>
          </w:tcPr>
          <w:p>
            <w:pPr>
              <w:jc w:val="right"/>
              <w:spacing w:after="0"/>
              <w:rPr>
                <w:sz w:val="20"/>
                <w:szCs w:val="20"/>
                <w:color w:val="auto"/>
              </w:rPr>
            </w:pPr>
            <w:r>
              <w:rPr>
                <w:rFonts w:ascii="Arial" w:cs="Arial" w:eastAsia="Arial" w:hAnsi="Arial"/>
                <w:sz w:val="18"/>
                <w:szCs w:val="18"/>
                <w:color w:val="auto"/>
              </w:rPr>
              <w:t>$332.5</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Wholesale and Retail Contra AFUDC</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Plant Removal Obligations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61.6</w:t>
            </w:r>
          </w:p>
        </w:tc>
        <w:tc>
          <w:tcPr>
            <w:tcW w:w="14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Dakota Investment Tax Credits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14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Adjustment Clause</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Boswell Units 1 and 2 Net Plant and Equipment</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6.7</w:t>
            </w:r>
          </w:p>
        </w:tc>
        <w:tc>
          <w:tcPr>
            <w:tcW w:w="1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Non-Jurisdictional Land Sales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Non-Current Regulatory Liabilities</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$526.4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r>
    </w:tbl>
    <w:p>
      <w:pPr>
        <w:spacing w:after="0" w:line="7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presented within Prepayments and Other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 the first quarter of 2023, Minnesota Power retired Taconite Harbor Units 1 and 2. The remaining net book value was reclassified from property, plant and equipment to a regulatory asset on the Consolidated Balance Sheet when the units were retired. Minnesota Power expects to receive recovery of the remaining net book value from customers.</w:t>
      </w: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8"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See 2022 Minnesota General Rate Case.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EQUITY INVESTMENTS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ATC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2022</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36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ATC Earnings</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Distributed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March 31, 2023</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r>
    </w:tbl>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ATC’s authorized return on equity was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In August 2022, the U.S. Court of Appeals for the District of Columbia Circuit vacated and remanded the 2020 FERC order back to FERC. We cannot predict the return on equity the FERC will ultimately authorize in the remanded proceeding.</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FERC issued a Notice of Proposed Rulemaking in 2021 proposing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subsidiary, ALLETE South Wind, owns 49 percent of Nobles 2, the entity that owns and operates a 250 MW wind energy</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in southwestern Minnesota pursuant to a 20-year PPA with Minnesota Power. We account for our investment in Nobles 2 under the equity method of accounting.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Nobles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000" w:type="dxa"/>
            <w:vAlign w:val="bottom"/>
            <w:tcBorders>
              <w:top w:val="single" w:sz="8" w:color="auto"/>
            </w:tcBorders>
          </w:tcPr>
          <w:p>
            <w:pPr>
              <w:spacing w:after="0"/>
              <w:rPr>
                <w:sz w:val="19"/>
                <w:szCs w:val="19"/>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2022</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Equity in Nobles 2 Earnings </w:t>
            </w:r>
            <w:r>
              <w:rPr>
                <w:rFonts w:ascii="Arial" w:cs="Arial" w:eastAsia="Arial" w:hAnsi="Arial"/>
                <w:sz w:val="16"/>
                <w:szCs w:val="16"/>
                <w:i w:val="1"/>
                <w:iCs w:val="1"/>
                <w:color w:val="auto"/>
              </w:rPr>
              <w:t>(a)</w:t>
            </w:r>
          </w:p>
        </w:tc>
        <w:tc>
          <w:tcPr>
            <w:tcW w:w="4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Distributed Nobles 2 Earnings</w:t>
            </w:r>
          </w:p>
        </w:tc>
        <w:tc>
          <w:tcPr>
            <w:tcW w:w="4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March 31, 2023</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Company also recorded earnings from net loss attributable to non-controlling interest of $3.3 million related to its investment in Nobles 2.</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FAIR VALUE (Continued)</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March 31, 2023, and December 31, 2022.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on the Consolidated Balance Sheet approximates the carrying amount and therefore is excluded from the recurring fair value measures in the following tables.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w w:val="99"/>
              </w:rPr>
              <w:t>Fair Value as of March 31, 2023</w:t>
            </w:r>
          </w:p>
        </w:tc>
        <w:tc>
          <w:tcPr>
            <w:tcW w:w="740" w:type="dxa"/>
            <w:vAlign w:val="bottom"/>
          </w:tcPr>
          <w:p>
            <w:pPr>
              <w:spacing w:after="0"/>
              <w:rPr>
                <w:sz w:val="19"/>
                <w:szCs w:val="19"/>
                <w:color w:val="auto"/>
              </w:rPr>
            </w:pPr>
          </w:p>
        </w:tc>
      </w:tr>
      <w:tr>
        <w:trPr>
          <w:trHeight w:val="23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$5.7</w:t>
            </w:r>
          </w:p>
        </w:tc>
        <w:tc>
          <w:tcPr>
            <w:tcW w:w="1220" w:type="dxa"/>
            <w:vAlign w:val="bottom"/>
          </w:tcPr>
          <w:p>
            <w:pPr>
              <w:ind w:left="6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$5.7</w:t>
            </w: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196"/>
        </w:trPr>
        <w:tc>
          <w:tcPr>
            <w:tcW w:w="6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$15.0</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$15.0</w:t>
            </w: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4460" w:type="dxa"/>
            <w:vAlign w:val="bottom"/>
            <w:gridSpan w:val="3"/>
          </w:tcPr>
          <w:p>
            <w:pPr>
              <w:ind w:left="1560"/>
              <w:spacing w:after="0"/>
              <w:rPr>
                <w:sz w:val="20"/>
                <w:szCs w:val="20"/>
                <w:color w:val="auto"/>
              </w:rPr>
            </w:pPr>
            <w:r>
              <w:rPr>
                <w:rFonts w:ascii="Arial" w:cs="Arial" w:eastAsia="Arial" w:hAnsi="Arial"/>
                <w:sz w:val="18"/>
                <w:szCs w:val="18"/>
                <w:b w:val="1"/>
                <w:bCs w:val="1"/>
                <w:color w:val="auto"/>
                <w:w w:val="95"/>
              </w:rPr>
              <w:t>Fair Value as of December 31, 2022</w:t>
            </w:r>
          </w:p>
        </w:tc>
        <w:tc>
          <w:tcPr>
            <w:tcW w:w="660" w:type="dxa"/>
            <w:vAlign w:val="bottom"/>
          </w:tcPr>
          <w:p>
            <w:pPr>
              <w:spacing w:after="0"/>
              <w:rPr>
                <w:sz w:val="19"/>
                <w:szCs w:val="19"/>
                <w:color w:val="auto"/>
              </w:rPr>
            </w:pPr>
          </w:p>
        </w:tc>
      </w:tr>
      <w:tr>
        <w:trPr>
          <w:trHeight w:val="234"/>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$7.7</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$5.7</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4.2</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$11.9</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$5.7</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196"/>
        </w:trPr>
        <w:tc>
          <w:tcPr>
            <w:tcW w:w="6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$15.0</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$15.0</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bl>
    <w:p>
      <w:pPr>
        <w:spacing w:after="0" w:line="7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hanging="332"/>
        <w:spacing w:after="0" w:line="265" w:lineRule="auto"/>
        <w:tabs>
          <w:tab w:leader="none" w:pos="34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As of March 31, 2023, the aggregate amount of available-for-sale corporate and governmental debt securities maturing in one year or less was $1.2 million, in one year to less than three years was $2.4 million, in three years to less than five years was $1.7 million and in five or more years was $0.4 million.</w:t>
      </w:r>
    </w:p>
    <w:p>
      <w:pPr>
        <w:ind w:left="320" w:hanging="312"/>
        <w:spacing w:after="0"/>
        <w:tabs>
          <w:tab w:leader="none" w:pos="3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of the item listed in the following table was based on quoted market prices for the same or similar instruments (Level 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March 31, 2023</w:t>
            </w:r>
          </w:p>
        </w:tc>
        <w:tc>
          <w:tcPr>
            <w:tcW w:w="4420" w:type="dxa"/>
            <w:vAlign w:val="bottom"/>
          </w:tcPr>
          <w:p>
            <w:pPr>
              <w:jc w:val="right"/>
              <w:ind w:right="230"/>
              <w:spacing w:after="0"/>
              <w:rPr>
                <w:sz w:val="20"/>
                <w:szCs w:val="20"/>
                <w:color w:val="auto"/>
              </w:rPr>
            </w:pPr>
            <w:r>
              <w:rPr>
                <w:rFonts w:ascii="Arial" w:cs="Arial" w:eastAsia="Arial" w:hAnsi="Arial"/>
                <w:sz w:val="18"/>
                <w:szCs w:val="18"/>
                <w:color w:val="auto"/>
              </w:rPr>
              <w:t>$1,939.9</w:t>
            </w:r>
          </w:p>
        </w:tc>
        <w:tc>
          <w:tcPr>
            <w:tcW w:w="1660" w:type="dxa"/>
            <w:vAlign w:val="bottom"/>
          </w:tcPr>
          <w:p>
            <w:pPr>
              <w:jc w:val="right"/>
              <w:spacing w:after="0"/>
              <w:rPr>
                <w:sz w:val="20"/>
                <w:szCs w:val="20"/>
                <w:color w:val="auto"/>
              </w:rPr>
            </w:pPr>
            <w:r>
              <w:rPr>
                <w:rFonts w:ascii="Arial" w:cs="Arial" w:eastAsia="Arial" w:hAnsi="Arial"/>
                <w:sz w:val="18"/>
                <w:szCs w:val="18"/>
                <w:color w:val="auto"/>
              </w:rPr>
              <w:t>$1,835.9</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December 31, 2022</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$1,929.1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$1,782.7</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Excludes unamortized debt issuance costs.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three months ended March 31, 2023, and the year ended December 31, 2022, there were no indicators of impairment for these non-financial assets.</w:t>
      </w:r>
    </w:p>
    <w:p>
      <w:pPr>
        <w:sectPr>
          <w:pgSz w:w="11900" w:h="16838" w:orient="portrait"/>
          <w:cols w:equalWidth="0" w:num="1">
            <w:col w:w="11240"/>
          </w:cols>
          <w:pgMar w:left="320" w:top="891"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2023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4. FAIR VALUE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monitor changes in the broader energy markets along with wind resource expectations that could indicate impairment at ALLETE Clean Energy wind energy facilities upon contract expirations or for facilities without long-term contracts for their entire output. A continued decline in energy prices or lower wind resource expectations could result in a future impairment.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SHORT-TERM AND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short-term and long-term debt as of March 31, 2023, and December 31,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tcPr>
          <w:p>
            <w:pPr>
              <w:spacing w:after="0"/>
              <w:rPr>
                <w:sz w:val="17"/>
                <w:szCs w:val="17"/>
                <w:color w:val="auto"/>
              </w:rPr>
            </w:pPr>
          </w:p>
        </w:tc>
      </w:tr>
      <w:tr>
        <w:trPr>
          <w:trHeight w:val="243"/>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March 31, 2023</w:t>
            </w:r>
          </w:p>
        </w:tc>
        <w:tc>
          <w:tcPr>
            <w:tcW w:w="3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$176.5</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30"/>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3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1,763.4</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(7.9)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1,755.5</w:t>
            </w:r>
          </w:p>
        </w:tc>
      </w:tr>
      <w:tr>
        <w:trPr>
          <w:trHeight w:val="223"/>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$1,939.9</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$1,931.9</w:t>
            </w: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tcPr>
          <w:p>
            <w:pPr>
              <w:spacing w:after="0"/>
              <w:rPr>
                <w:sz w:val="17"/>
                <w:szCs w:val="17"/>
                <w:color w:val="auto"/>
              </w:rPr>
            </w:pPr>
          </w:p>
        </w:tc>
      </w:tr>
      <w:tr>
        <w:trPr>
          <w:trHeight w:val="24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2022</w:t>
            </w:r>
          </w:p>
        </w:tc>
        <w:tc>
          <w:tcPr>
            <w:tcW w:w="3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$272.7</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1,656.4</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1,648.2</w:t>
            </w: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$1,929.1</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$1,920.8</w:t>
            </w: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$25.3 million outstanding in standby letters of credit and $211.2 million outstanding draws under our lines of credit as of March 31, 2023 ($32.8 million in standby letters of credit and $31.3 million outstanding draws as of December 31, 2022). We also have standby letters of credit outstanding under other letter of credit facilities. (See Note 6. Commitments, Guarantees and Contingencies.)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27, 2023, ALLETE issued $125 million of its First Mortgage Bonds (Bonds) to certain institutional buyers in the private placement market. The Bonds, which bear interest at 4.98 percent, will mature in April 2033 and pay interest semi-annually in May and November of each year, commencing on November 1, 2023. ALLETE has the option to prepay all or a portion of the Bonds at its discretion, subject to a make-whole provision. The Bonds are subject to additional terms and conditions which are customary for these types of transactions. Proceeds from the sale of the Bonds were used to refinance existing indebtedness and for general corporate purposes. The Bonds were sold in reliance on an exemption from registration under Section 4(a)(2) of the Securities Act of 1933, as amended, to institutional accredited investors.</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2023, our ratio was approximately 0.38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March 31, 2023,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9. Commitments, Guarantees and Contingencies to the Consolidated Financial Statements in our 2022 Form 10-K, with additional disclosure provided in the following paragraphs.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March 31, 2023, Square Butte had total debt outstanding of $187.0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three months ended March 31, 2023, was $22.1 million ($20.3 million for the same period in 2022). This reflects Minnesota Power’s pro rata share of total Square Butte costs based on the 50 percent output entitlement. Included in this amount was Minnesota Power’s pro rata share of interest expense of $1.3 million ($1.0 million for the same period in 2022). Minnesota Power’s payments to Square Butte are approved as a purchased power expense for ratemaking purposes by both the MPUC and the FERC.</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37 percent in 2023 and 32 percent in 2022.</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2023. Minnesota Power also has coal transportation agreements in place for the delivery of a significant portion of its coal requirements through December 2024. The costs of fuel and related transportation costs for Minnesota Power’s generation are recoverable from Minnesota Power’s retail and municipal utility customers through the fuel adjustment clause.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The EPA’s CSAPR Update Rule issued in March 2021 revising the 2016 CSAPR Update does not apply to the state of Minnesota and is therefore not currently projected to affect Minnesota Power’s CSAPR compliance. Minnesota Power will continue to monitor ongoing CSAPR rulemakings and compliance implementation, including the EPA’s new Good Neighbor Rule finalized on March 15, 2023, to modify certain aspects of the CSAPR’s program scope and extent.</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National Ambient Air Quality Standards (NAAQS). </w:t>
      </w:r>
      <w:r>
        <w:rPr>
          <w:rFonts w:ascii="Arial" w:cs="Arial" w:eastAsia="Arial" w:hAnsi="Arial"/>
          <w:sz w:val="17"/>
          <w:szCs w:val="17"/>
          <w:color w:val="auto"/>
        </w:rPr>
        <w:t>The EPA is required to review the NAAQS every five years. If the EPA determines that a state’s air</w:t>
      </w:r>
      <w:r>
        <w:rPr>
          <w:rFonts w:ascii="Arial" w:cs="Arial" w:eastAsia="Arial" w:hAnsi="Arial"/>
          <w:sz w:val="17"/>
          <w:szCs w:val="17"/>
          <w:i w:val="1"/>
          <w:iCs w:val="1"/>
          <w:color w:val="auto"/>
        </w:rPr>
        <w:t xml:space="preserve"> </w:t>
      </w:r>
      <w:r>
        <w:rPr>
          <w:rFonts w:ascii="Arial" w:cs="Arial" w:eastAsia="Arial" w:hAnsi="Arial"/>
          <w:sz w:val="17"/>
          <w:szCs w:val="17"/>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currently expected to be material. The EPA is currently reviewing the secondary NAAQS for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as well as particulate matter. In June 2021, the EPA announced it would reconsider the December 2020 final rule retaining the 2012 particulate matter NAAQS. On January 6, 2023, the EPA announced a proposed rule to revise the primary annual particulate matter NAAQS from its current level while retaining the other primary and secondary particulate matter NAAQS. A final rule is expected by the end of 2023. The EPA also announced in October 2021 that it was reconsidering the 2020 Ozone NAAQS rule finalized in December 2020, and issued an initial draft policy assessment on April 28, 2022, recommending retention of the current standard. A second version of the draft policy assessment was then published for public comment, and a proposed ozone NAAQS rule is expected in the first half of 2023. Anticipated compliance costs related to the proposed and expected NAAQS revisions cannot yet be estimated; however, costs could be material. Minnesota Power would seek recovery of additional costs through a rate proceeding.</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EPA Good Neighbor Plan for 2015 Ozone NAAQS</w:t>
      </w:r>
      <w:r>
        <w:rPr>
          <w:rFonts w:ascii="Arial" w:cs="Arial" w:eastAsia="Arial" w:hAnsi="Arial"/>
          <w:sz w:val="17"/>
          <w:szCs w:val="17"/>
          <w:color w:val="auto"/>
        </w:rPr>
        <w:t>. On March 15, 2023, the EPA published a final rule, the Good Neighbor Plan, to address regional ozone</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 for the 2015 Ozone NAAQS by reducing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emissions during the period of May 1 through September 30 (ozone season). This rule addresses certain good neighbor or interstate transport provisions of the Clean Air Act relative to the 2015 Ozone NAAQS. In the justification for the final rule, the EPA asserts that 23 states, including Minnesota, are modeled as significant contributors to downwind states’ challenges in attaining or maintaining ozone NAAQS compliance within their state borders. The Good Neighbor Plan is designed to resolve this interstate transport issue by implementing a variety of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reduction strategies, including federal implementation plan requirements,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emission limitations, and ozone season allowance program requirements, beginning during the 2023 ozone season and sixty days after the final rule is published in the Federal Register. The final rule imposes restrictions on fossil-fuel fired power plants in 22 states and on certain industrial sources in 20 states. Implementation of the rule will occur in part through changes to the existing CSAPR program for power plants.</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Minnesota Power previously submitted public comments to the EPA on the April 2022 proposed Good Neighbor Rule. Concerns noted by Minnesota Power and other entities included the technical accuracy of the EPA’s assumptions and methods used to identify Minnesota as a significant contributor state, as well as the proposed rule’s intended timeline. The Company is now reviewing the EPA’s final rule in light of previously expressed concerns with the draft rule, while preparing to comply when the rule becomes effective during the 2023 ozone season. Anticipated compliance costs related to the final Good Neighbor Rule cannot yet be estimated due to uncertainties about allowance costs and facility emissions during the ozone season; however, the costs could be material, including costs of additional NOx controls, emission allowance program participation, or operational changes, if any are required. Minnesota Power would seek recovery of additional costs through a rate proceeding. On February 13, 2023, the EPA also published its final rule to partially disapprove the Good Neighbor State Implementation Plans (SIPs) for the states of Minnesota and Wisconsin, and to disapprove 19 other SIP submissions. The SIP final action subjects Minnesota to the final Good Neighbor Plan and associated compliance costs will be known when the final SIP rule evaluation and implementation has been completed. On April 14, 2023, Minnesota Power and a coalition of other Minnesota utilities and industry (“the parties”) co-filed challenges to the EPA’s final Minnesota SIP disapproval, submitting a petition for reconsideration and stay to the EPA and a petition for judicial review to the United States Court of Appeals for the Eighth Circuit. The parties are challenging and requesting reconsideration of certain technical components of the EPA’s review and subsequent partial disapproval of the state of Minnesota’s SIP, including the rulemaking process, air modeling practices and other emissions inventory aspects.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 (Industrial Boiler MACT) Rule</w:t>
      </w:r>
      <w:r>
        <w:rPr>
          <w:rFonts w:ascii="Arial" w:cs="Arial" w:eastAsia="Arial" w:hAnsi="Arial"/>
          <w:sz w:val="17"/>
          <w:szCs w:val="17"/>
          <w:color w:val="auto"/>
        </w:rPr>
        <w:t>. A final rule issued by the EPA for Industrial Boiler MACT became effective in 2013 with compliance required at major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sources in 2016. Minnesota Power’s Hibbard Renewable Energy Center and Rapids Energy Center are subject to this rule. Compliance with the Industrial Boiler MACT Rule consisted largely of adjustments to fuels and operating practices and compliance costs were not material. Subsequent to this initial rulemaking, litigation from 2016 through 2018 resulted in court orders directing that the EPA reconsider certain aspects of the regulation including the basis for and numerical value of several different emission limits. On October 6, 2022, the EPA published a final rule in the Federal Register incorporating these changes. The rule became effective on December 5, 2022, imposing a 3-year compliance deadline of October 6, 2025. Minnesota Power’s initial review of this new rule indicates that the revisions should not significantly impact the Company’s affected units. As such, compliance costs associated with the new Industrial Boiler MACT Rule are not currently expected to be material; however, Minnesota Power would seek recovery of additional costs through a rate proceeding.</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EPA Mercury and Air Toxics Standards (MATS) Rule</w:t>
      </w:r>
      <w:r>
        <w:rPr>
          <w:rFonts w:ascii="Arial" w:cs="Arial" w:eastAsia="Arial" w:hAnsi="Arial"/>
          <w:sz w:val="18"/>
          <w:szCs w:val="18"/>
          <w:color w:val="auto"/>
        </w:rPr>
        <w:t>. On April 5, 2023, the EPA released a proposed revision to the existing MATS Rule as part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2020 MATS review. In this proposed rule, the EPA is proposing to alter certain compliance and operational requirements, and to lower several emission limits including filterable particulate matter as well as mercury for lignite units. Compliance would be due in the 2026 to 2027 timeframe. The MATS regulation applies at Minnesota Power’s Boswell Energy Center, which is currently well-controlled for these emissions and is in full compliance with existing requirements. The Company is currently reviewing the proposed rule. Compliance costs cannot yet be estimated; however, recovery of any additional costs would be sought through a rate proceeding.</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line="196" w:lineRule="exact"/>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w:t>
      </w:r>
      <w:r>
        <w:rPr>
          <w:rFonts w:ascii="MS PGothic" w:cs="MS PGothic" w:eastAsia="MS PGothic" w:hAnsi="MS PGothic"/>
          <w:sz w:val="17"/>
          <w:szCs w:val="17"/>
          <w:color w:val="auto"/>
        </w:rPr>
        <w:t>‑</w:t>
      </w:r>
      <w:r>
        <w:rPr>
          <w:rFonts w:ascii="Arial" w:cs="Arial" w:eastAsia="Arial" w:hAnsi="Arial"/>
          <w:sz w:val="17"/>
          <w:szCs w:val="17"/>
          <w:color w:val="auto"/>
        </w:rPr>
        <w:t>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2019, the EPA finalized several separate rulemakings regarding regulating carbon emissions from electric utility</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units. These rulemakings included repealing the Clean Power Plan (CPP) and adopting the Affordable Clean Energy Rule under Section 111(d) of the Clean Air Act (CAA) to regulate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at existing coal-fired power plants. The CPP was first announced as a proposed rule under Section 111(d) of the CAA for existing power plants entitled “Carbon Pollution Emission Guidelines for Existing Stationary Sources: Electric Generating Units”. The Affordable Clean Energy Rule established emissions guidelines for states to use when developing plans to limit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from coal-fired power plants. The EPA also published regulations for the state implementation of the Affordable Clean Energy Rule and other Section 111(d) rules. Affected facilities for Minnesota Power included Boswell Units 3 and 4, Hibbard Units 3 and 4, and Taconite Harbor Units 1 and 2; however, Taconite Harbor Units 1 and 2 are now retired.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2021, the United States Court of Appeals for the District of Columbia Circuit (D.C. Circuit) issued an opinion vacating the Affordable Clean Energy Rule and remanded the Affordable Clean Energy Rule back to the EPA for further consideration, consistent with the D.C. Circuit’s finding that the EPA erred in interpreting the CAA, pending rehearing or appeal. Four petitions for review of the D.C. Circuit’s opinion were subsequently granted by the U.S. Supreme Court in October 2021, consolidated under West Virginia v. EPA et al. On June 30, 2022, the U.S. Supreme Court released its opinion in favor of West Virginia and aligned parties. The Supreme Court found the EPA’s CPP structure of generation shifting to be disallowed under Section 111(d) of the CCA on grounds of the major questions doctrine. The court did not opine upon the regulatory approach the EPA proposed in the Affordable Clean Energy Rule. The petitions were remanded to the D.C. Circuit. The EPA has indicated that it intends to issue a proposed rule in the first half of 2023 with a new set of emission guidelines for states to follow in submitting state plans to establish and implement standards of performance for GHG emissions from existing fossil fuel-fired electric generating units. Minnesota Power will continue to monitor any related guidelines and rulemakings issued by the EPA or state regulatory authorities.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2021, the Biden Administration announced a goal to reach 100 percent carbon pollution-free electricity by 2035 as part of the Nationally Determined Contributions pledge, which is part of an international effort to limit global warming. At this time, no specific regulatory pathway to achieve these reductions has been proposed. Minnesota Power will continue to monitor these developments.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Minnesota had already initiated several measures consistent with those called for under the now repealed CPP and vacated Affordable Clean Energy Rule. Minnesota Power continues implementing its Energy</w:t>
      </w:r>
      <w:r>
        <w:rPr>
          <w:rFonts w:ascii="Arial" w:cs="Arial" w:eastAsia="Arial" w:hAnsi="Arial"/>
          <w:sz w:val="17"/>
          <w:szCs w:val="17"/>
          <w:i w:val="1"/>
          <w:iCs w:val="1"/>
          <w:color w:val="auto"/>
        </w:rPr>
        <w:t>Forward</w:t>
      </w:r>
      <w:r>
        <w:rPr>
          <w:rFonts w:ascii="Arial" w:cs="Arial" w:eastAsia="Arial" w:hAnsi="Arial"/>
          <w:sz w:val="17"/>
          <w:szCs w:val="17"/>
          <w:color w:val="auto"/>
        </w:rPr>
        <w:t xml:space="preserve"> strategic plan that provides for significant emission reductions and diversifying its electricity generation mix to include more renewable and natural gas energy. We are unable to predict the GHG emission compliance costs we might incur as a result of a replacement for the Affordable Clean Energy Rule or other future laws, regulations or administrative policies; however, the costs could be material. Minnesota Power would seek recovery of additional costs through a rate proceeding.</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Additionally in January 2021, the EPA issued a rulemaking to apply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 New Source Performance Standards (NSPS) to new, modified and reconstructed fossil fuel-fired electric generating units under Section 111(b) of the CAA. Currently, the EPA is a performing a comprehensive review of the Section 111(b) GHG NSPS for electric generating units. Minnesota Power is monitoring the NSPS final rule and any further Section 111(b) developments including their potential impact to the Company. The proposed combined-cycle natural gas-fired generating facility, NTEC, is expected to meet these NSPS requirements.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15, 2023, the EPA sent a proposed new CAA Section 111 regulation to the United States Office of Management and Budget (OMB) for interagency review, where OMB documentation now indicates this proposal may include proposed regulations for both new, modified and reconstructed sources (Section 111(b) of the CCA) as well as existing (Section 111(d) of the CCA) sources). The EPA’s Fall 2022 unified agenda identified the EPA’s goal of issuing draft regulations in April 2023 and final regulations by June 2024. Minnesota Power will continue to closely track this GHG rulemaking and analyze its potential impacts to our existing and proposed thermal generating facilities.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Steam Electric Power Generating Effluent Limitations Guidelines. </w:t>
      </w:r>
      <w:r>
        <w:rPr>
          <w:rFonts w:ascii="Arial" w:cs="Arial" w:eastAsia="Arial" w:hAnsi="Arial"/>
          <w:sz w:val="16"/>
          <w:szCs w:val="16"/>
          <w:color w:val="auto"/>
        </w:rPr>
        <w:t>In 2015, the EPA issued revised federal effluent limitation guidelines (ELG) for steam</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(BATW)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 The rule also established new subcategories for retiring high-flow and low-utilization units, and established a voluntary incentives program for FGD wastewater. In accordance with the January 2021 Executive Order 13990, the EPA was mandated to conduct a review of actions and polices taken during the prior administration, including the 2020 ELG Rule. On September 14, 2021, the EPA published a notice of availability for its preliminary effluent guidelines program plan. In the plan, the EPA confirmed the agency is initiating a rulemaking process to strengthen wastewater pollution limitations from FGD and bottom ash transport water discharges while the 2020 ELG Rule remains in effect.</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29, 2023, the EPA published a proposed new ELG rule in the Federal Register to update the 2020 ELGs; the public comment period is open until May 30, 2023. In the proposed rule, the EPA is revising ELGs for existing sources, including establishing zero discharge limitations for BATW and FGD wastewater; new limits for combustion residual leachate; and allowing states to set discharge limits for legacy wastewater in surface impoundments based on best professional judgement. The rule proposes to preserve flexibility and maintain exemptions for units permanently ceasing coal combustion by 2028, and adds a new category for units that have already complied with the 2020 ELG rule and which will retire by 2032. Additionally, the EPA is encouraging state permitting authorities to conduct functional equivalency tests for facilities with landfills or CCR surface impoundments to identify groundwater to surface water point source discharges. More stringent limitations would apply where point source discharges occur.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Bottom ash transport and FGD wastewater ELGs are not expected to have a significant impact on Minnesota Power operations. Boswell Energy Center, where these ELGs are applicable, completed conversion to dry bottom ash handling and installed a FGD dewatering system in September 2022. The dry conversion projects eliminated bottom ash transport water and minimized wastewater from the FGD system. Re-use and onsite consumption is planned for the remaining FGD waste stream and for dewatering legacy wastewater from Boswell’s existing impoundments.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EPA’s reconsideration of legacy wastewater and leachate discharge requirements has the potential to impact dewatering associated with the closed impoundment at Laskin Energy Center and the closed Taconite Harbor Energy Center dry ash landfill.</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this time, 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Permitted Water Discharges – Sulfate</w:t>
      </w:r>
      <w:r>
        <w:rPr>
          <w:rFonts w:ascii="Arial" w:cs="Arial" w:eastAsia="Arial" w:hAnsi="Arial"/>
          <w:sz w:val="16"/>
          <w:szCs w:val="16"/>
          <w:color w:val="auto"/>
        </w:rPr>
        <w:t>. In 2017, the MPCA released a draft water quality standard in an attempt to update Minnesota’s existing 10 mg/L</w:t>
      </w:r>
      <w:r>
        <w:rPr>
          <w:rFonts w:ascii="Arial" w:cs="Arial" w:eastAsia="Arial" w:hAnsi="Arial"/>
          <w:sz w:val="16"/>
          <w:szCs w:val="16"/>
          <w:i w:val="1"/>
          <w:iCs w:val="1"/>
          <w:color w:val="auto"/>
        </w:rPr>
        <w:t xml:space="preserve"> </w:t>
      </w:r>
      <w:r>
        <w:rPr>
          <w:rFonts w:ascii="Arial" w:cs="Arial" w:eastAsia="Arial" w:hAnsi="Arial"/>
          <w:sz w:val="16"/>
          <w:szCs w:val="16"/>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April 2021, the MPCA’s proposed list of impaired waters submitted pursuant to the Clean Water Act was partially rejected by the EPA due to the absence of wild rice waters listed for sulfate impairment. The EPA transmitted a final list of 32 EPA-added wild rice waters to the MPCA in November 2021. This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if any. Minnesota Power would seek recovery of additional costs through a rate proceeding.</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produces the majority of its coal ash at Boswell, with small amounts of ash generated at Hibbard</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Coal Combustion Residuals from Electric Utilities (CCR). </w:t>
      </w:r>
      <w:r>
        <w:rPr>
          <w:rFonts w:ascii="Arial" w:cs="Arial" w:eastAsia="Arial" w:hAnsi="Arial"/>
          <w:sz w:val="16"/>
          <w:szCs w:val="16"/>
          <w:color w:val="auto"/>
        </w:rPr>
        <w:t>In 2015, the EPA published the final rule (2015 Rule) regulating CCR as nonhazardous waste</w:t>
      </w:r>
      <w:r>
        <w:rPr>
          <w:rFonts w:ascii="Arial" w:cs="Arial" w:eastAsia="Arial" w:hAnsi="Arial"/>
          <w:sz w:val="16"/>
          <w:szCs w:val="16"/>
          <w:i w:val="1"/>
          <w:iCs w:val="1"/>
          <w:color w:val="auto"/>
        </w:rPr>
        <w:t xml:space="preserve"> </w:t>
      </w:r>
      <w:r>
        <w:rPr>
          <w:rFonts w:ascii="Arial" w:cs="Arial" w:eastAsia="Arial" w:hAnsi="Arial"/>
          <w:sz w:val="16"/>
          <w:szCs w:val="16"/>
          <w:color w:val="auto"/>
        </w:rPr>
        <w:t>under Subtitle 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be incurred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2018, the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2019 to address outstanding issues from litigation and closure timelines for unlined impoundments, respectively. The first of these rules, CCR Part A Rule, was finalized in September 2020. The Part A Rule revision requires unlined impoundments to cease disposal of waste as soon as technically feasible but no later than April 11, 2021. Minnesota Power sought EPA approval under the Part A Rule to extend the closure date for two active Boswell impoundments in November 2020. Upon completion of dry ash conversion activities, Boswell ceased disposal in both impoundments on September 17, 2022 and formally withdrew the CCR Part A Application. The EPA acknowledged the Part A variance application withdrawal on September 20, 2022, and indicated that no further EPA review of Boswell’s Part A variance application will occur. Both impoundments are now inactive and have initiated closure.</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EPA released a proposed Part B rulemaking in February 2020 addressing options for beneficial reuse of CCR materials, alternative liner demonstrations, and other CCR regulatory revisions. Portions of the Part B Rule addressing alternative liner equivalency standards were finalized in November 2020. According to the EPA’s updated fall 2022 regulatory agenda, finalization of the remainder of the proposed Part B Rule is expected in late 2023. Two additional rulemakings are also expected in mid-2023, the proposed Legacy Impoundment Rule and the Final Federal Permit Rule. The Legacy Impoundment Rule will include a revised definition for legacy CCR impoundments which could regulate impoundments that had closed prior to the effective date of the 2015 Rule. The Final Federal Permit Rule will finalize procedures for implementing a CCR Federal Permit Program. Expected compliance costs at Boswell due to the 2018 court decision and subsequent rule revisions are reflected in our estimate of compliance costs for the CCR rule noted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Manufactured Gas Plant Site. </w:t>
      </w:r>
      <w:r>
        <w:rPr>
          <w:rFonts w:ascii="Arial" w:cs="Arial" w:eastAsia="Arial" w:hAnsi="Arial"/>
          <w:sz w:val="17"/>
          <w:szCs w:val="17"/>
          <w:color w:val="auto"/>
        </w:rPr>
        <w:t>We are reviewing and addressing environmental conditions at a former manufactured gas plant site located in Superior,</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and formerly operated by SWL&amp;P. SWL&amp;P has been working with the Wisconsin Department of Natural Resources (WDNR) in determining the extent and location of contamination at the site and surrounding properties. As of March 31, 2023, we have recorded a liability of approximately $15 million for remediation costs at this site. SWL&amp;P has recorded the site as an associated regulatory asset as we expect recovery of these remediation costs to be allowed by the PSCW. Remediation costs are expected to be incurred through 2024.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Surety Bonds.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contractual security requirements across our businesses. As of March 31, 2023, we had $178.3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Regulated Operations. </w:t>
      </w:r>
      <w:r>
        <w:rPr>
          <w:rFonts w:ascii="Arial" w:cs="Arial" w:eastAsia="Arial" w:hAnsi="Arial"/>
          <w:sz w:val="18"/>
          <w:szCs w:val="18"/>
          <w:color w:val="auto"/>
        </w:rPr>
        <w:t>As of March 31, 2023, we had $28.2 million outstanding in standby letters of credit at our Regulated Operations which are pledged</w:t>
      </w:r>
      <w:r>
        <w:rPr>
          <w:rFonts w:ascii="Arial" w:cs="Arial" w:eastAsia="Arial" w:hAnsi="Arial"/>
          <w:sz w:val="18"/>
          <w:szCs w:val="18"/>
          <w:i w:val="1"/>
          <w:iCs w:val="1"/>
          <w:color w:val="auto"/>
        </w:rPr>
        <w:t xml:space="preserve"> </w:t>
      </w:r>
      <w:r>
        <w:rPr>
          <w:rFonts w:ascii="Arial" w:cs="Arial" w:eastAsia="Arial" w:hAnsi="Arial"/>
          <w:sz w:val="18"/>
          <w:szCs w:val="18"/>
          <w:color w:val="auto"/>
        </w:rPr>
        <w:t>as security to MISO, the NDPSC and a state agency.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Energy’s wind energy facilities have various PSAs in place for some or all of their output that expire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years between 2024 and 2039. As of March 31, 2023, ALLETE Clean Energy has $110.3 million outstanding in standby letters of credit, the majority of which are pledged as security under these PSAs and PSAs for wind energy facilities under development. ALLETE Clean Energy does not believe it is likely that any of these outstanding letters of credit will be drawn upon.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New Energy</w:t>
      </w:r>
      <w:r>
        <w:rPr>
          <w:rFonts w:ascii="Arial" w:cs="Arial" w:eastAsia="Arial" w:hAnsi="Arial"/>
          <w:sz w:val="18"/>
          <w:szCs w:val="18"/>
          <w:color w:val="auto"/>
        </w:rPr>
        <w:t>. As of March 31, 2023, New Energy had $4.2 million outstanding in standby letters of credit pledged as security in connection with the acquisition of solar equipment for projects under development. New Energy does not believe it is likely that any of these outstanding letters of credit will be drawn upon.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BNI Energy</w:t>
      </w:r>
      <w:r>
        <w:rPr>
          <w:rFonts w:ascii="Arial" w:cs="Arial" w:eastAsia="Arial" w:hAnsi="Arial"/>
          <w:sz w:val="18"/>
          <w:szCs w:val="18"/>
          <w:color w:val="auto"/>
        </w:rPr>
        <w:t>. As of March 31, 2023, BNI Energy had surety bonds outstanding of $82.4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Investment in Nobles 2</w:t>
      </w:r>
      <w:r>
        <w:rPr>
          <w:rFonts w:ascii="Arial" w:cs="Arial" w:eastAsia="Arial" w:hAnsi="Arial"/>
          <w:sz w:val="17"/>
          <w:szCs w:val="17"/>
          <w:color w:val="auto"/>
        </w:rPr>
        <w:t>. The Nobles 2 wind energy facility requires standby letters of credit as security for certain contractual obligations. As of March 31, 2023, ALLETE South Wind has $11.7 million outstanding in standby letters of credit, related to its portion of the security requirements relative to its ownership in Nobles 2. We do not believe it is likely that any of these outstanding letters of credit will be drawn upon.</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South Shore Energy</w:t>
      </w:r>
      <w:r>
        <w:rPr>
          <w:rFonts w:ascii="Arial" w:cs="Arial" w:eastAsia="Arial" w:hAnsi="Arial"/>
          <w:sz w:val="16"/>
          <w:szCs w:val="16"/>
          <w:color w:val="auto"/>
        </w:rPr>
        <w:t>. As of March 31, 2023, South Shore Energy had $23.9 million outstanding in standby letters of credit pledged as security in connection with the development of NTEC. South Shore Energy does not believe it is likely that any of these outstanding letters of credit will be drawn upon.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2023 Form 10-Q</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2023, an ALLETE Clean Energy subsidiary initiated arbitration proceedings seeking damages against a counterparty for non-performance under a contract. Arbitration hearings are expected to be held in the second quarter of 2023 with a decision expected in the third quarter of 2023. We are unable to predict the outcome of the arbitration proceedings.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 AND COMMON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Dilutive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Diluted</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Securities</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$58.2</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$66.3</w:t>
            </w:r>
          </w:p>
        </w:tc>
        <w:tc>
          <w:tcPr>
            <w:tcW w:w="1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57.3</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53.3</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$1.02</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$1.24</w:t>
            </w:r>
          </w:p>
        </w:tc>
        <w:tc>
          <w:tcPr>
            <w:tcW w:w="1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804"/>
        </w:trPr>
        <w:tc>
          <w:tcPr>
            <w:tcW w:w="4080" w:type="dxa"/>
            <w:vAlign w:val="bottom"/>
          </w:tcPr>
          <w:p>
            <w:pPr>
              <w:spacing w:after="0"/>
              <w:rPr>
                <w:sz w:val="20"/>
                <w:szCs w:val="20"/>
                <w:color w:val="auto"/>
              </w:rPr>
            </w:pPr>
            <w:r>
              <w:rPr>
                <w:rFonts w:ascii="Arial" w:cs="Arial" w:eastAsia="Arial" w:hAnsi="Arial"/>
                <w:sz w:val="18"/>
                <w:szCs w:val="18"/>
                <w:b w:val="1"/>
                <w:bCs w:val="1"/>
                <w:color w:val="auto"/>
              </w:rPr>
              <w:t>NOTE 8. INCOME TAX EXPENSE</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Income Tax Expense</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2.1</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 Amortization</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Income Tax Benefit</w:t>
            </w:r>
          </w:p>
        </w:tc>
        <w:tc>
          <w:tcPr>
            <w:tcW w:w="1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Income Tax Expense (Benefit)</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line="282" w:lineRule="auto"/>
        <w:tabs>
          <w:tab w:leader="none" w:pos="340"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For the three months ended March 31, 2022, the federal and state current tax expense was minimal due to NOLs which resulted from the bonus depreciation provisions of certain tax legislation. For the three months ended March 31, 2023, the federal current tax expense was partially offset by production tax credits.</w:t>
      </w: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months ended March 31, 2023 and 2022, the federal income tax benefit is primarily due to production tax credits.</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NOTE 8. INCOME TAX EXPENSE (Continued)</w:t>
            </w: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95"/>
        </w:trPr>
        <w:tc>
          <w:tcPr>
            <w:tcW w:w="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42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4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Rate to Total Income Tax Expense</w:t>
            </w:r>
          </w:p>
        </w:tc>
        <w:tc>
          <w:tcPr>
            <w:tcW w:w="3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4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3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$39.1</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$42.6</w:t>
            </w:r>
          </w:p>
        </w:tc>
      </w:tr>
      <w:tr>
        <w:trPr>
          <w:trHeight w:val="230"/>
        </w:trPr>
        <w:tc>
          <w:tcPr>
            <w:tcW w:w="40" w:type="dxa"/>
            <w:vAlign w:val="bottom"/>
          </w:tcPr>
          <w:p>
            <w:pPr>
              <w:spacing w:after="0"/>
              <w:rPr>
                <w:sz w:val="19"/>
                <w:szCs w:val="19"/>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Federal Income Tax Rate</w:t>
            </w:r>
          </w:p>
        </w:tc>
        <w:tc>
          <w:tcPr>
            <w:tcW w:w="3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21 %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4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Taxes Computed at Statutory Federal Rate</w:t>
            </w:r>
          </w:p>
        </w:tc>
        <w:tc>
          <w:tcPr>
            <w:tcW w:w="33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$8.2</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r>
      <w:tr>
        <w:trPr>
          <w:trHeight w:val="230"/>
        </w:trPr>
        <w:tc>
          <w:tcPr>
            <w:tcW w:w="4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Increase (Decrease) in Income Tax Due to:</w:t>
            </w:r>
          </w:p>
        </w:tc>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Income Taxes (Credit) – Net of Federal Income Tax Benefit</w:t>
            </w:r>
          </w:p>
        </w:tc>
        <w:tc>
          <w:tcPr>
            <w:tcW w:w="33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3.4</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r>
      <w:tr>
        <w:trPr>
          <w:trHeight w:val="230"/>
        </w:trPr>
        <w:tc>
          <w:tcPr>
            <w:tcW w:w="40" w:type="dxa"/>
            <w:vAlign w:val="bottom"/>
          </w:tcPr>
          <w:p>
            <w:pPr>
              <w:spacing w:after="0"/>
              <w:rPr>
                <w:sz w:val="19"/>
                <w:szCs w:val="19"/>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 xml:space="preserve">Production Tax Credits </w:t>
            </w:r>
            <w:r>
              <w:rPr>
                <w:rFonts w:ascii="Arial" w:cs="Arial" w:eastAsia="Arial" w:hAnsi="Arial"/>
                <w:sz w:val="16"/>
                <w:szCs w:val="16"/>
                <w:i w:val="1"/>
                <w:iCs w:val="1"/>
                <w:color w:val="auto"/>
              </w:rPr>
              <w:t>(a)</w:t>
            </w:r>
          </w:p>
        </w:tc>
        <w:tc>
          <w:tcPr>
            <w:tcW w:w="3340" w:type="dxa"/>
            <w:vAlign w:val="bottom"/>
          </w:tcPr>
          <w:p>
            <w:pPr>
              <w:jc w:val="right"/>
              <w:ind w:right="570"/>
              <w:spacing w:after="0"/>
              <w:rPr>
                <w:sz w:val="20"/>
                <w:szCs w:val="20"/>
                <w:color w:val="auto"/>
              </w:rPr>
            </w:pPr>
            <w:r>
              <w:rPr>
                <w:rFonts w:ascii="Arial" w:cs="Arial" w:eastAsia="Arial" w:hAnsi="Arial"/>
                <w:sz w:val="18"/>
                <w:szCs w:val="18"/>
                <w:color w:val="auto"/>
              </w:rPr>
              <w:t>(10.4)</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(17.6)</w:t>
            </w:r>
          </w:p>
        </w:tc>
      </w:tr>
      <w:tr>
        <w:trPr>
          <w:trHeight w:val="229"/>
        </w:trPr>
        <w:tc>
          <w:tcPr>
            <w:tcW w:w="40" w:type="dxa"/>
            <w:vAlign w:val="bottom"/>
          </w:tcPr>
          <w:p>
            <w:pPr>
              <w:spacing w:after="0"/>
              <w:rPr>
                <w:sz w:val="19"/>
                <w:szCs w:val="19"/>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Investment Tax Credits </w:t>
            </w:r>
            <w:r>
              <w:rPr>
                <w:rFonts w:ascii="Arial" w:cs="Arial" w:eastAsia="Arial" w:hAnsi="Arial"/>
                <w:sz w:val="16"/>
                <w:szCs w:val="16"/>
                <w:i w:val="1"/>
                <w:iCs w:val="1"/>
                <w:color w:val="auto"/>
              </w:rPr>
              <w:t>(a)</w:t>
            </w:r>
          </w:p>
        </w:tc>
        <w:tc>
          <w:tcPr>
            <w:tcW w:w="3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(2.2)</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Regulatory Differences – Excess Deferred Tax</w:t>
            </w:r>
          </w:p>
        </w:tc>
        <w:tc>
          <w:tcPr>
            <w:tcW w:w="3340" w:type="dxa"/>
            <w:vAlign w:val="bottom"/>
          </w:tcPr>
          <w:p>
            <w:pPr>
              <w:jc w:val="right"/>
              <w:ind w:right="570"/>
              <w:spacing w:after="0"/>
              <w:rPr>
                <w:sz w:val="20"/>
                <w:szCs w:val="20"/>
                <w:color w:val="auto"/>
              </w:rPr>
            </w:pPr>
            <w:r>
              <w:rPr>
                <w:rFonts w:ascii="Arial" w:cs="Arial" w:eastAsia="Arial" w:hAnsi="Arial"/>
                <w:sz w:val="18"/>
                <w:szCs w:val="18"/>
                <w:color w:val="auto"/>
              </w:rPr>
              <w:t>(2.8)</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(3.8)</w:t>
            </w:r>
          </w:p>
        </w:tc>
      </w:tr>
      <w:tr>
        <w:trPr>
          <w:trHeight w:val="230"/>
        </w:trPr>
        <w:tc>
          <w:tcPr>
            <w:tcW w:w="40" w:type="dxa"/>
            <w:vAlign w:val="bottom"/>
          </w:tcPr>
          <w:p>
            <w:pPr>
              <w:spacing w:after="0"/>
              <w:rPr>
                <w:sz w:val="19"/>
                <w:szCs w:val="19"/>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 in Subsidiaries</w:t>
            </w:r>
          </w:p>
        </w:tc>
        <w:tc>
          <w:tcPr>
            <w:tcW w:w="33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3.8</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r>
      <w:tr>
        <w:trPr>
          <w:trHeight w:val="229"/>
        </w:trPr>
        <w:tc>
          <w:tcPr>
            <w:tcW w:w="40" w:type="dxa"/>
            <w:vAlign w:val="bottom"/>
          </w:tcPr>
          <w:p>
            <w:pPr>
              <w:spacing w:after="0"/>
              <w:rPr>
                <w:sz w:val="19"/>
                <w:szCs w:val="19"/>
                <w:color w:val="auto"/>
              </w:rPr>
            </w:pPr>
          </w:p>
        </w:tc>
        <w:tc>
          <w:tcPr>
            <w:tcW w:w="6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3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1.5</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0.9</w:t>
            </w:r>
          </w:p>
        </w:tc>
      </w:tr>
      <w:tr>
        <w:trPr>
          <w:trHeight w:val="223"/>
        </w:trPr>
        <w:tc>
          <w:tcPr>
            <w:tcW w:w="4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33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$1.5</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For the three months ended March 31, 2023, the credits are presented net of any estimated discount on the sale of certain credits.</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three months ended March 31, 2023, the effective tax rate was an expense of 3.8 percent (benefit of 9.2 percent for the three months ended March 31, 2022). The effective tax rate for 2023 and 2022 was primarily impacted by production tax credits.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March 31, 2023, we had gross unrecognized tax benefits of $1.1 million ($1.3 million as of December 31, 2022).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gross unrecognized tax benefits, $0.6 million represents the amount of unrecognized tax benefits included on the Consolidated Balance Sheet that, if recognized, would favorably impact the effective income tax rate. The unrecognized tax benefit amounts have been presented as an increase to the net deferred tax liability on the Consolidated Balance Sheet.</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ALLETE and its subsidiaries file a consolidated federal income tax return as well as combined and separate state income tax returns in various jurisdictions. The examination by the state of Wisconsin for the tax years 2018 through 2020 has been closed with no findings. ALLETE has no open federal or state audits, and is no longer subject to federal examination for years before 2019, or state examination for years before 2018. Additionally, the statute of limitations related to the federal tax credit carryforwards will remain open until those credits are utilized in subsequent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9. PENSION AND OTHER POSTRETIREMENT BENEFIT PLANS</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6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40" w:type="dxa"/>
            <w:vAlign w:val="bottom"/>
          </w:tcPr>
          <w:p>
            <w:pPr>
              <w:spacing w:after="0"/>
              <w:rPr>
                <w:sz w:val="24"/>
                <w:szCs w:val="24"/>
                <w:color w:val="auto"/>
              </w:rPr>
            </w:pPr>
          </w:p>
        </w:tc>
      </w:tr>
      <w:tr>
        <w:trPr>
          <w:trHeight w:val="238"/>
        </w:trPr>
        <w:tc>
          <w:tcPr>
            <w:tcW w:w="65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20"/>
                <w:szCs w:val="20"/>
                <w:color w:val="auto"/>
              </w:rPr>
            </w:pPr>
          </w:p>
        </w:tc>
        <w:tc>
          <w:tcPr>
            <w:tcW w:w="2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$1.6</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$2.4</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$0.6</w:t>
            </w: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10.1</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6.7</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(10.9)</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(1.8)</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1.4</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$2.2</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three months ended March 31, 2023, we contributed $6.5 million in cash to the defined benefit pension plans (none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ended March 31, 2022); we expect to contribute an additional approximately $10 million to our defined benefit pension plans in 2023. For the three months ended March 31, 2023 and 2022, we made no contributions to our other postretirement benefit plans; we do not expect to make any contributions to our other postretirement benefit plans in 2023.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two reportable segments: Regulated Operations and ALLETE Clean Energy.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New Energy, a renewable energy development company, BNI Energy, our coal mining operations in North Dakota,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NOTE 10. BUSINESS SEGMENTS (Continued)</w:t>
            </w:r>
          </w:p>
        </w:tc>
        <w:tc>
          <w:tcPr>
            <w:tcW w:w="3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5"/>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90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w w:val="92"/>
              </w:rPr>
              <w:t>Three Months Ended</w:t>
            </w:r>
          </w:p>
        </w:tc>
      </w:tr>
      <w:tr>
        <w:trPr>
          <w:trHeight w:val="229"/>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90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w w:val="97"/>
              </w:rPr>
              <w:t>March 31</w:t>
            </w:r>
          </w:p>
        </w:tc>
      </w:tr>
      <w:tr>
        <w:trPr>
          <w:trHeight w:val="234"/>
        </w:trPr>
        <w:tc>
          <w:tcPr>
            <w:tcW w:w="20" w:type="dxa"/>
            <w:vAlign w:val="bottom"/>
          </w:tcPr>
          <w:p>
            <w:pPr>
              <w:spacing w:after="0"/>
              <w:rPr>
                <w:sz w:val="20"/>
                <w:szCs w:val="20"/>
                <w:color w:val="auto"/>
              </w:rPr>
            </w:pPr>
          </w:p>
        </w:tc>
        <w:tc>
          <w:tcPr>
            <w:tcW w:w="63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Regulated Operations</w:t>
            </w:r>
          </w:p>
        </w:tc>
        <w:tc>
          <w:tcPr>
            <w:tcW w:w="3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3800" w:type="dxa"/>
            <w:vAlign w:val="bottom"/>
          </w:tcPr>
          <w:p>
            <w:pPr>
              <w:jc w:val="right"/>
              <w:spacing w:after="0"/>
              <w:rPr>
                <w:sz w:val="20"/>
                <w:szCs w:val="20"/>
                <w:color w:val="auto"/>
              </w:rPr>
            </w:pPr>
            <w:r>
              <w:rPr>
                <w:rFonts w:ascii="Arial" w:cs="Arial" w:eastAsia="Arial" w:hAnsi="Arial"/>
                <w:sz w:val="18"/>
                <w:szCs w:val="18"/>
                <w:color w:val="auto"/>
              </w:rPr>
              <w:t>47.7</w:t>
            </w:r>
          </w:p>
        </w:tc>
        <w:tc>
          <w:tcPr>
            <w:tcW w:w="108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3800" w:type="dxa"/>
            <w:vAlign w:val="bottom"/>
          </w:tcPr>
          <w:p>
            <w:pPr>
              <w:jc w:val="right"/>
              <w:spacing w:after="0"/>
              <w:rPr>
                <w:sz w:val="20"/>
                <w:szCs w:val="20"/>
                <w:color w:val="auto"/>
              </w:rPr>
            </w:pPr>
            <w:r>
              <w:rPr>
                <w:rFonts w:ascii="Arial" w:cs="Arial" w:eastAsia="Arial" w:hAnsi="Arial"/>
                <w:sz w:val="18"/>
                <w:szCs w:val="18"/>
                <w:color w:val="auto"/>
              </w:rPr>
              <w:t>144.9</w:t>
            </w: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Power Suppliers</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Regulated Operations</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20" w:type="dxa"/>
            <w:vAlign w:val="bottom"/>
            <w:tcBorders>
              <w:bottom w:val="single" w:sz="8" w:color="auto"/>
            </w:tcBorders>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ALLETE Clean Energy</w:t>
            </w:r>
          </w:p>
        </w:tc>
        <w:tc>
          <w:tcPr>
            <w:tcW w:w="3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Long-term PSA</w:t>
            </w:r>
          </w:p>
        </w:tc>
        <w:tc>
          <w:tcPr>
            <w:tcW w:w="3800" w:type="dxa"/>
            <w:vAlign w:val="bottom"/>
          </w:tcPr>
          <w:p>
            <w:pPr>
              <w:jc w:val="right"/>
              <w:spacing w:after="0"/>
              <w:rPr>
                <w:sz w:val="20"/>
                <w:szCs w:val="20"/>
                <w:color w:val="auto"/>
              </w:rPr>
            </w:pPr>
            <w:r>
              <w:rPr>
                <w:rFonts w:ascii="Arial" w:cs="Arial" w:eastAsia="Arial" w:hAnsi="Arial"/>
                <w:sz w:val="18"/>
                <w:szCs w:val="18"/>
                <w:color w:val="auto"/>
              </w:rPr>
              <w:t>18.4</w:t>
            </w: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 of Wind Energy Facility</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ALLETE Clean Energy</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Borders>
              <w:bottom w:val="single" w:sz="8" w:color="auto"/>
            </w:tcBorders>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Long-term Contract</w:t>
            </w:r>
          </w:p>
        </w:tc>
        <w:tc>
          <w:tcPr>
            <w:tcW w:w="3800" w:type="dxa"/>
            <w:vAlign w:val="bottom"/>
          </w:tcPr>
          <w:p>
            <w:pPr>
              <w:jc w:val="right"/>
              <w:spacing w:after="0"/>
              <w:rPr>
                <w:sz w:val="20"/>
                <w:szCs w:val="20"/>
                <w:color w:val="auto"/>
              </w:rPr>
            </w:pPr>
            <w:r>
              <w:rPr>
                <w:rFonts w:ascii="Arial" w:cs="Arial" w:eastAsia="Arial" w:hAnsi="Arial"/>
                <w:sz w:val="18"/>
                <w:szCs w:val="18"/>
                <w:color w:val="auto"/>
              </w:rPr>
              <w:t>25.5</w:t>
            </w:r>
          </w:p>
        </w:tc>
        <w:tc>
          <w:tcPr>
            <w:tcW w:w="108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 of Renewable Development Projects</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Corporate and Other</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Total Operating Revenue</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ALLETE</w:t>
            </w:r>
          </w:p>
        </w:tc>
        <w:tc>
          <w:tcPr>
            <w:tcW w:w="3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3800" w:type="dxa"/>
            <w:vAlign w:val="bottom"/>
          </w:tcPr>
          <w:p>
            <w:pPr>
              <w:jc w:val="right"/>
              <w:spacing w:after="0"/>
              <w:rPr>
                <w:sz w:val="20"/>
                <w:szCs w:val="20"/>
                <w:color w:val="auto"/>
              </w:rPr>
            </w:pPr>
            <w:r>
              <w:rPr>
                <w:rFonts w:ascii="Arial" w:cs="Arial" w:eastAsia="Arial" w:hAnsi="Arial"/>
                <w:sz w:val="18"/>
                <w:szCs w:val="18"/>
                <w:color w:val="auto"/>
              </w:rPr>
              <w:t>$40.6</w:t>
            </w:r>
          </w:p>
        </w:tc>
        <w:tc>
          <w:tcPr>
            <w:tcW w:w="1080" w:type="dxa"/>
            <w:vAlign w:val="bottom"/>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3800" w:type="dxa"/>
            <w:vAlign w:val="bottom"/>
          </w:tcPr>
          <w:p>
            <w:pPr>
              <w:jc w:val="right"/>
              <w:spacing w:after="0"/>
              <w:rPr>
                <w:sz w:val="20"/>
                <w:szCs w:val="20"/>
                <w:color w:val="auto"/>
              </w:rPr>
            </w:pPr>
            <w:r>
              <w:rPr>
                <w:rFonts w:ascii="Arial" w:cs="Arial" w:eastAsia="Arial" w:hAnsi="Arial"/>
                <w:sz w:val="18"/>
                <w:szCs w:val="18"/>
                <w:color w:val="auto"/>
              </w:rPr>
              <w:t>8.5</w:t>
            </w:r>
          </w:p>
        </w:tc>
        <w:tc>
          <w:tcPr>
            <w:tcW w:w="108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Corporate and Other</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Net Income Attributable to ALLETE</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 w:type="dxa"/>
            <w:vAlign w:val="bottom"/>
            <w:tcBorders>
              <w:bottom w:val="single" w:sz="8" w:color="auto"/>
            </w:tcBorders>
            <w:shd w:val="clear" w:color="auto" w:fill="CCEEFF"/>
          </w:tcPr>
          <w:p>
            <w:pPr>
              <w:spacing w:after="0"/>
              <w:rPr>
                <w:sz w:val="19"/>
                <w:szCs w:val="19"/>
                <w:color w:val="auto"/>
              </w:rPr>
            </w:pPr>
          </w:p>
        </w:tc>
      </w:tr>
      <w:tr>
        <w:trPr>
          <w:trHeight w:val="520"/>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80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8"/>
              </w:rPr>
              <w:t>December 31,</w:t>
            </w:r>
          </w:p>
        </w:tc>
      </w:tr>
      <w:tr>
        <w:trPr>
          <w:trHeight w:val="239"/>
        </w:trPr>
        <w:tc>
          <w:tcPr>
            <w:tcW w:w="2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Regulated Operations</w:t>
            </w:r>
          </w:p>
        </w:tc>
        <w:tc>
          <w:tcPr>
            <w:tcW w:w="3800" w:type="dxa"/>
            <w:vAlign w:val="bottom"/>
          </w:tcPr>
          <w:p>
            <w:pPr>
              <w:jc w:val="right"/>
              <w:ind w:right="370"/>
              <w:spacing w:after="0"/>
              <w:rPr>
                <w:sz w:val="20"/>
                <w:szCs w:val="20"/>
                <w:color w:val="auto"/>
              </w:rPr>
            </w:pPr>
            <w:r>
              <w:rPr>
                <w:rFonts w:ascii="Arial" w:cs="Arial" w:eastAsia="Arial" w:hAnsi="Arial"/>
                <w:sz w:val="18"/>
                <w:szCs w:val="18"/>
                <w:color w:val="auto"/>
              </w:rPr>
              <w:t>$4,268.8</w:t>
            </w:r>
          </w:p>
        </w:tc>
        <w:tc>
          <w:tcPr>
            <w:tcW w:w="1080" w:type="dxa"/>
            <w:vAlign w:val="bottom"/>
          </w:tcPr>
          <w:p>
            <w:pPr>
              <w:jc w:val="right"/>
              <w:spacing w:after="0"/>
              <w:rPr>
                <w:sz w:val="20"/>
                <w:szCs w:val="20"/>
                <w:color w:val="auto"/>
              </w:rPr>
            </w:pPr>
            <w:r>
              <w:rPr>
                <w:rFonts w:ascii="Arial" w:cs="Arial" w:eastAsia="Arial" w:hAnsi="Arial"/>
                <w:sz w:val="18"/>
                <w:szCs w:val="18"/>
                <w:color w:val="auto"/>
              </w:rPr>
              <w:t>$4,291.4</w:t>
            </w:r>
          </w:p>
        </w:tc>
        <w:tc>
          <w:tcPr>
            <w:tcW w:w="20" w:type="dxa"/>
            <w:vAlign w:val="bottom"/>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ALLETE Clean Energy</w:t>
            </w:r>
          </w:p>
        </w:tc>
        <w:tc>
          <w:tcPr>
            <w:tcW w:w="3800" w:type="dxa"/>
            <w:vAlign w:val="bottom"/>
          </w:tcPr>
          <w:p>
            <w:pPr>
              <w:jc w:val="right"/>
              <w:ind w:right="370"/>
              <w:spacing w:after="0"/>
              <w:rPr>
                <w:sz w:val="20"/>
                <w:szCs w:val="20"/>
                <w:color w:val="auto"/>
              </w:rPr>
            </w:pPr>
            <w:r>
              <w:rPr>
                <w:rFonts w:ascii="Arial" w:cs="Arial" w:eastAsia="Arial" w:hAnsi="Arial"/>
                <w:sz w:val="18"/>
                <w:szCs w:val="18"/>
                <w:color w:val="auto"/>
              </w:rPr>
              <w:t>1,697.3</w:t>
            </w:r>
          </w:p>
        </w:tc>
        <w:tc>
          <w:tcPr>
            <w:tcW w:w="1080" w:type="dxa"/>
            <w:vAlign w:val="bottom"/>
          </w:tcPr>
          <w:p>
            <w:pPr>
              <w:jc w:val="right"/>
              <w:spacing w:after="0"/>
              <w:rPr>
                <w:sz w:val="20"/>
                <w:szCs w:val="20"/>
                <w:color w:val="auto"/>
              </w:rPr>
            </w:pPr>
            <w:r>
              <w:rPr>
                <w:rFonts w:ascii="Arial" w:cs="Arial" w:eastAsia="Arial" w:hAnsi="Arial"/>
                <w:sz w:val="18"/>
                <w:szCs w:val="18"/>
                <w:color w:val="auto"/>
              </w:rPr>
              <w:t>1,873.3</w:t>
            </w:r>
          </w:p>
        </w:tc>
        <w:tc>
          <w:tcPr>
            <w:tcW w:w="20" w:type="dxa"/>
            <w:vAlign w:val="bottom"/>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6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Corporate and Other</w:t>
            </w:r>
          </w:p>
        </w:tc>
        <w:tc>
          <w:tcPr>
            <w:tcW w:w="3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738.4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63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38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$6,704.5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$6,845.6</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our 2022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including Part II, Item 1A Risk Factors, and our 2022 Form 10-K under the headings: “Forward-Looking Statements” located on page 6 and “Risk Factors” located in Part I, Item 1A, beginning on page 24 of our 2022 Form 10-K. The risks and uncertainties described in this Form 10-Q and our 2022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Regulatory Matters.)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seven states, more than 1,200 MW of nameplate capacity wind energy generation with a majority contracted under PSAs of various durations. In addition, ALLETE Clean Energy also engages in the development of wind energy facilities to operate under long-term PSAs or for sale to others upon completion.</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is comprised of New Energy, a renewable development company; our investment in Nobles 2, an entity that owns and operates a</w:t>
      </w:r>
      <w:r>
        <w:rPr>
          <w:rFonts w:ascii="Arial" w:cs="Arial" w:eastAsia="Arial" w:hAnsi="Arial"/>
          <w:sz w:val="17"/>
          <w:szCs w:val="17"/>
          <w:b w:val="1"/>
          <w:bCs w:val="1"/>
          <w:color w:val="auto"/>
        </w:rPr>
        <w:t xml:space="preserve"> </w:t>
      </w:r>
      <w:r>
        <w:rPr>
          <w:rFonts w:ascii="Arial" w:cs="Arial" w:eastAsia="Arial" w:hAnsi="Arial"/>
          <w:sz w:val="17"/>
          <w:szCs w:val="17"/>
          <w:color w:val="auto"/>
        </w:rPr>
        <w:t>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2023, unless otherwise indicated. All subsidiaries are wholly-owned unless otherwise specifically indicated. References in this report to “we,” “us” and “our” are to ALLETE and its subsidiaries, collectively.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three months ended March 31, 2023, to the three months ended March 31, 2022.</w:t>
      </w:r>
    </w:p>
    <w:p>
      <w:pPr>
        <w:spacing w:after="0" w:line="2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income attributable to ALLETE for the three months ended March 31, 2023, was $58.2 million, or $1.02 per diluted share, compared to $66.3 million, or $1.24 per diluted share, for the same period in 2022. Earnings per share dilution in 2023 was $0.08 due to additional shares of common stock outstanding as of March 31, 2023.</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$40.6 million for the three months ended March 31, 2023, compared to $51.5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2022. Net income at Minnesota Power was lower than 2022 primarily due to lower kWh sales to retail and municipal customers, interim rate refund reserves recognized during 2023 as result of Minnesota Power’s 2022 general rate case, and higher operating and maintenance expense. Net income at SWL&amp;P was lower than 2022 primarily due to higher operating and maintenance expense. Our after-tax equity earnings in ATC were similar to 2022. (See Note 3. Equity Investments.)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$8.5 million for the three months ended March 31, 2023, compared to $16.5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2022. Net income in 2023 reflected lower wind resources and availability, and higher operating and maintenance expense compared to 2022. Net income in 2022 included earnings from the legacy Northern Wind facilities, which were decommissioned in April 2022 as part of ALLETE Clean Energy’s project to repower and sell the Northern Wind project.</w:t>
      </w:r>
    </w:p>
    <w:p>
      <w:pPr>
        <w:spacing w:after="0" w:line="208"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auto"/>
        </w:rPr>
        <w:t xml:space="preserve">Corporate and Other </w:t>
      </w:r>
      <w:r>
        <w:rPr>
          <w:rFonts w:ascii="Arial" w:cs="Arial" w:eastAsia="Arial" w:hAnsi="Arial"/>
          <w:sz w:val="16"/>
          <w:szCs w:val="16"/>
          <w:color w:val="auto"/>
        </w:rPr>
        <w:t>net income attributable to ALLETE was $9.1 million for the three months ended March 31, 2023, compared to a net loss of</w:t>
      </w:r>
      <w:r>
        <w:rPr>
          <w:rFonts w:ascii="Arial" w:cs="Arial" w:eastAsia="Arial" w:hAnsi="Arial"/>
          <w:sz w:val="16"/>
          <w:szCs w:val="16"/>
          <w:b w:val="1"/>
          <w:bCs w:val="1"/>
          <w:color w:val="auto"/>
        </w:rPr>
        <w:t xml:space="preserve"> </w:t>
      </w:r>
      <w:r>
        <w:rPr>
          <w:rFonts w:ascii="Arial" w:cs="Arial" w:eastAsia="Arial" w:hAnsi="Arial"/>
          <w:sz w:val="16"/>
          <w:szCs w:val="16"/>
          <w:color w:val="auto"/>
        </w:rPr>
        <w:t>$1.7 million for the same period in 2022. Net income in 2023 reflects net income from New Energy of $4.1 million, which was acquired in April 2022, and lower income taxes compared to 2022. The net loss in 2022 includes transaction costs of $1.4 million after-tax related to the acquisition of New Energy.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MARCH 31, 2023 AND 2022</w:t>
            </w:r>
          </w:p>
        </w:tc>
        <w:tc>
          <w:tcPr>
            <w:tcW w:w="2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00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29"/>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118.6</w:t>
            </w:r>
          </w:p>
        </w:tc>
        <w:tc>
          <w:tcPr>
            <w:tcW w:w="84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29"/>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61.9</w:t>
            </w:r>
          </w:p>
        </w:tc>
        <w:tc>
          <w:tcPr>
            <w:tcW w:w="84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9"/>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440" w:type="dxa"/>
            <w:vAlign w:val="bottom"/>
          </w:tcPr>
          <w:p>
            <w:pPr>
              <w:spacing w:after="0"/>
              <w:rPr>
                <w:sz w:val="19"/>
                <w:szCs w:val="19"/>
                <w:color w:val="auto"/>
              </w:rPr>
            </w:pP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(15.5)</w:t>
            </w: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40" w:type="dxa"/>
            <w:vAlign w:val="bottom"/>
          </w:tcPr>
          <w:p>
            <w:pPr>
              <w:spacing w:after="0"/>
              <w:rPr>
                <w:sz w:val="19"/>
                <w:szCs w:val="19"/>
                <w:color w:val="auto"/>
              </w:rPr>
            </w:pP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44.6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440" w:type="dxa"/>
            <w:vAlign w:val="bottom"/>
          </w:tcPr>
          <w:p>
            <w:pPr>
              <w:spacing w:after="0"/>
              <w:rPr>
                <w:sz w:val="19"/>
                <w:szCs w:val="19"/>
                <w:color w:val="auto"/>
              </w:rPr>
            </w:pPr>
          </w:p>
        </w:tc>
        <w:tc>
          <w:tcPr>
            <w:tcW w:w="7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$40.6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bl>
    <w:p>
      <w:pPr>
        <w:spacing w:after="0" w:line="333"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decreased $16.4 million from 2022 primarily due to lower kWh sales, interim rate revenue and fuel adjustment clause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recoveries, partially offset by higher cost recovery rider revenue.</w:t>
      </w:r>
    </w:p>
    <w:p>
      <w:pPr>
        <w:spacing w:after="0" w:line="19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 xml:space="preserve">Lower kWh sales reduced revenue $19.3 million from 2022 reflecting lower sales to residential, commercial, municipal and industrial customers as well as lower sales to other power suppliers. Sales to residential, commercial and municipal customers decreased from 2022 primarily due to warmer weather in 2023 compared to 2022. Sales to municipal customers also decreased as a result of a new contract entered into with Hibbing Public Utilities in April 2022 with sales under the new contract classified under other power suppliers. Sales to industrial customers decreased primarily due to lower sales to taconite customers reflecting Cliffs’ Northshore mine being idled in 2023. (See </w:t>
      </w:r>
      <w:r>
        <w:rPr>
          <w:rFonts w:ascii="Arial" w:cs="Arial" w:eastAsia="Arial" w:hAnsi="Arial"/>
          <w:sz w:val="17"/>
          <w:szCs w:val="17"/>
          <w:i w:val="1"/>
          <w:iCs w:val="1"/>
          <w:color w:val="auto"/>
        </w:rPr>
        <w:t>Outlook - Customers - Northshore Mining.</w:t>
      </w:r>
      <w:r>
        <w:rPr>
          <w:rFonts w:ascii="Arial" w:cs="Arial" w:eastAsia="Arial" w:hAnsi="Arial"/>
          <w:sz w:val="17"/>
          <w:szCs w:val="17"/>
          <w:color w:val="auto"/>
        </w:rPr>
        <w:t>) Sales to other power suppliers, which are sold at market-based prices into the MISO market on a daily basis or through PSAs of various durations, decreased in 2023 compared to 2022 primarily due to fewer market sales and lower market prices in 2023 compared to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THREE MONTHS ENDED MARCH 31, 2023 AND 2022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321</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355</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347</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360</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(13)</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1,658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1,766</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128</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158</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2,454</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2,639</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696</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981</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(285)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3,150</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3,620</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(470)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electric sales to taconite customers accounted for 30 percent of regulated operating revenue in 2023 (31 percent in 2022). Revenue from electric sales to paper, pulp and secondary wood product customers accounted for 4 percent of regulated operating revenue in 2023 (4 percent in 2022). Revenue from electric sales to pipelines and other industrial customers accounted for 11 percent of regulated operating revenue in 2023 (9 percent in 2022).</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Interim retail rate revenue for Minnesota Power, subject to refund, decreased $6.5 million from 2022 primarily due to interim refund reserves recognized during 2023 as a result of Minnesota Power’s 2022 general rate case. (See Note 2. Regulatory Matters.)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Fuel adjustment clause revenue decreased $4.7 million due to lower fuel and purchased power costs attributable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recovery rider revenue increased $9.8 million primarily due to fewer production tax credits recognized by Minnesota Power. If production tax credits are recognized at a level below those assumed in Minnesota Power’s retail rates, an increase in cost recovery rider revenue is recognized to offset the impact of lower production tax credits on income tax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$13.3 million, or 5 percent, from 2022.</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$18.8 million, or 14 percent, from 2022 primarily due to lower kWh sales,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prices and fuel costs.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$3.5 million, or 6 percent, from 2022 primarily due to higher salaries and wages, vegetation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costs, software maintenance and materials purchased for use in generation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expense increased $1.1 million, or 3 percent, from 2022 primarily due to a higher plant in service balance in 2023.</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$7.5 million from 2022 primarily due to lower production tax credits. We expect our annual effective tax rate in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an income tax expense compared to a benefit in 2022 primarily due to lower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64135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MARCH 31, 2023 AND 2022 (Continued)</w:t>
            </w:r>
          </w:p>
        </w:tc>
        <w:tc>
          <w:tcPr>
            <w:tcW w:w="19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760" w:type="dxa"/>
            <w:vAlign w:val="bottom"/>
          </w:tcPr>
          <w:p>
            <w:pPr>
              <w:spacing w:after="0"/>
              <w:rPr>
                <w:sz w:val="24"/>
                <w:szCs w:val="24"/>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w:t>
            </w:r>
          </w:p>
        </w:tc>
        <w:tc>
          <w:tcPr>
            <w:tcW w:w="1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76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$200.2</w:t>
            </w: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760" w:type="dxa"/>
            <w:vAlign w:val="bottom"/>
          </w:tcPr>
          <w:p>
            <w:pPr>
              <w:spacing w:after="0"/>
              <w:rPr>
                <w:sz w:val="19"/>
                <w:szCs w:val="19"/>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1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6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Cost of Sales – Non-utility</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181.6</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1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76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14.4</w:t>
            </w: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760" w:type="dxa"/>
            <w:vAlign w:val="bottom"/>
          </w:tcPr>
          <w:p>
            <w:pPr>
              <w:spacing w:after="0"/>
              <w:rPr>
                <w:sz w:val="19"/>
                <w:szCs w:val="19"/>
                <w:color w:val="auto"/>
              </w:rPr>
            </w:pPr>
          </w:p>
        </w:tc>
        <w:tc>
          <w:tcPr>
            <w:tcW w:w="7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Taxes Other than Income Taxes</w:t>
            </w:r>
          </w:p>
        </w:tc>
        <w:tc>
          <w:tcPr>
            <w:tcW w:w="1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6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(11.7)</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6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60" w:type="dxa"/>
            <w:vAlign w:val="bottom"/>
          </w:tcPr>
          <w:p>
            <w:pPr>
              <w:spacing w:after="0"/>
              <w:rPr>
                <w:sz w:val="19"/>
                <w:szCs w:val="19"/>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1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60" w:type="dxa"/>
            <w:vAlign w:val="bottom"/>
          </w:tcPr>
          <w:p>
            <w:pPr>
              <w:spacing w:after="0"/>
              <w:rPr>
                <w:sz w:val="19"/>
                <w:szCs w:val="19"/>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1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60" w:type="dxa"/>
            <w:vAlign w:val="bottom"/>
          </w:tcPr>
          <w:p>
            <w:pPr>
              <w:spacing w:after="0"/>
              <w:rPr>
                <w:sz w:val="19"/>
                <w:szCs w:val="19"/>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w:t>
            </w:r>
          </w:p>
        </w:tc>
        <w:tc>
          <w:tcPr>
            <w:tcW w:w="1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60" w:type="dxa"/>
            <w:vAlign w:val="bottom"/>
          </w:tcPr>
          <w:p>
            <w:pPr>
              <w:spacing w:after="0"/>
              <w:rPr>
                <w:sz w:val="19"/>
                <w:szCs w:val="19"/>
                <w:color w:val="auto"/>
              </w:rPr>
            </w:pPr>
          </w:p>
        </w:tc>
        <w:tc>
          <w:tcPr>
            <w:tcW w:w="77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9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60" w:type="dxa"/>
            <w:vAlign w:val="bottom"/>
          </w:tcPr>
          <w:p>
            <w:pPr>
              <w:spacing w:after="0"/>
              <w:rPr>
                <w:sz w:val="19"/>
                <w:szCs w:val="19"/>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1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760" w:type="dxa"/>
            <w:vAlign w:val="bottom"/>
          </w:tcPr>
          <w:p>
            <w:pPr>
              <w:spacing w:after="0"/>
              <w:rPr>
                <w:sz w:val="19"/>
                <w:szCs w:val="19"/>
                <w:color w:val="auto"/>
              </w:rPr>
            </w:pPr>
          </w:p>
        </w:tc>
        <w:tc>
          <w:tcPr>
            <w:tcW w:w="77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1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$173.3 million from 2022 primarily due to the sale of ALLETE Clean Energy’s Northern Wind project. This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partially offset by lower wind resources and availability at other wind energy facilities in our East, Midwest and West regions. In 2022, operating revenue included revenue from the legacy Northern Wind facilities, which were decommissioned in April 2022 as part of ALLETE Clean Energy’s Northern Wind project.</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92"/>
              </w:rPr>
              <w:t>Three Months Ended March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kWh</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200" w:type="dxa"/>
            <w:vAlign w:val="bottom"/>
          </w:tcPr>
          <w:p>
            <w:pPr>
              <w:jc w:val="right"/>
              <w:spacing w:after="0"/>
              <w:rPr>
                <w:sz w:val="20"/>
                <w:szCs w:val="20"/>
                <w:color w:val="auto"/>
              </w:rPr>
            </w:pPr>
            <w:r>
              <w:rPr>
                <w:rFonts w:ascii="Arial" w:cs="Arial" w:eastAsia="Arial" w:hAnsi="Arial"/>
                <w:sz w:val="18"/>
                <w:szCs w:val="18"/>
                <w:color w:val="auto"/>
              </w:rPr>
              <w:t>79.4</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$7.4</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87.3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287.6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200" w:type="dxa"/>
            <w:vAlign w:val="bottom"/>
          </w:tcPr>
          <w:p>
            <w:pPr>
              <w:jc w:val="right"/>
              <w:spacing w:after="0"/>
              <w:rPr>
                <w:sz w:val="20"/>
                <w:szCs w:val="20"/>
                <w:color w:val="auto"/>
              </w:rPr>
            </w:pPr>
            <w:r>
              <w:rPr>
                <w:rFonts w:ascii="Arial" w:cs="Arial" w:eastAsia="Arial" w:hAnsi="Arial"/>
                <w:sz w:val="18"/>
                <w:szCs w:val="18"/>
                <w:color w:val="auto"/>
              </w:rPr>
              <w:t>618.9</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602.9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258.3</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 of Wind Energy Facility</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181.8</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$201.5</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1,236.1</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Cost of Sales – Non-utility </w:t>
      </w:r>
      <w:r>
        <w:rPr>
          <w:rFonts w:ascii="Arial" w:cs="Arial" w:eastAsia="Arial" w:hAnsi="Arial"/>
          <w:sz w:val="18"/>
          <w:szCs w:val="18"/>
          <w:color w:val="auto"/>
        </w:rPr>
        <w:t>increased $181.6 million from 2022 reflecting the sale of ALLETE Clean Energy’s Northern Wind project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2023.</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Operating and Maintenance </w:t>
      </w:r>
      <w:r>
        <w:rPr>
          <w:rFonts w:ascii="Arial" w:cs="Arial" w:eastAsia="Arial" w:hAnsi="Arial"/>
          <w:sz w:val="16"/>
          <w:szCs w:val="16"/>
          <w:color w:val="auto"/>
        </w:rPr>
        <w:t>expense increased $2.9 million, or 25 percent, from 2022 primarily due to higher contract and professional services.</w:t>
      </w:r>
    </w:p>
    <w:p>
      <w:pPr>
        <w:spacing w:after="0" w:line="27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decreased $1.0 million, or 6 percent, from 2022 reflecting the decommissioning of the legacy Northern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in April 2022 as part of ALLETE Clean Energy’s project to repower and sell the Northern Wind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THE THREE MONTHS ENDED MARCH 31, 2023 AND 2022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$24.5 million, or 93 percent, from 2022 reflecting revenue from New Energy, which was acquired in April 2022,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revenue at BNI Energy, which operates under cost-plus fixed fee contracts, as a result of higher expenses and more tons sold in 2023 compared to 2022.</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was $9.1 million in 2023 compared to a net loss of $1.7 million in 2022. Net income in 2023 reflects net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New Energy of $4.1 million, which was acquired in April 2022, and lower income taxes compared to 2022. The net loss in 2022 includes transaction costs of $1.4 million after-tax related to the acquisition of New Energy.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For the three months ended March 31, 2023, the effective tax rate was an expense of 3.8 percent (benefit of 9.2 percent for the three months ended March 31, 2022). The effective tax rate for 2023 was an expense primarily due to lower production tax credits.</w:t>
      </w:r>
    </w:p>
    <w:p>
      <w:pPr>
        <w:spacing w:after="0" w:line="198"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color w:val="auto"/>
        </w:rPr>
        <w:t>We expect our annual effective tax rate in 2023 to be an expense primarily due to lower production tax credits and higher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goodwill, impairment of long-lived assets, and taxation. These policies are reviewed with the Audit Committee of our Board of Directors on a regular basis and summarized in Part II, Item 7. Management’s Discussion and Analysis of Financial Condition and Results of Operations of our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2022 Form 10-K.</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2023. ALLETE expects its businesses to generally provide regulated, contracted or recurring revenues, and to support sustained growth in net income and cash flow.</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 xml:space="preserve">Minnesota Carbon-Free Legislation. </w:t>
      </w:r>
      <w:r>
        <w:rPr>
          <w:rFonts w:ascii="Arial" w:cs="Arial" w:eastAsia="Arial" w:hAnsi="Arial"/>
          <w:sz w:val="18"/>
          <w:szCs w:val="18"/>
          <w:color w:val="auto"/>
        </w:rPr>
        <w:t>On February 7, 2023, the Minnesota Governor signed into law legislation that updates the state’s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The Company is evaluating the law to identify challenges and opportunities it could present.</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has a goal of delivering 100 percent carbon-free energy by 2050. (See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2022 Minnesota General Rate Case. </w:t>
      </w:r>
      <w:r>
        <w:rPr>
          <w:rFonts w:ascii="Arial" w:cs="Arial" w:eastAsia="Arial" w:hAnsi="Arial"/>
          <w:sz w:val="17"/>
          <w:szCs w:val="17"/>
          <w:color w:val="auto"/>
        </w:rPr>
        <w:t>On November 1, 2021, Minnesota Power filed a retail rate increase request with the MPUC seeking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18 percent for retail customers. The rate filing sought a return on equity of 10.25 percent and a 53.81 percent equity ratio. On an annualized basis, the requested final rate increase would generate approximately $108 million in additional revenue.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an order dated February 28, 2023, the MPUC made determinations regarding Minnesota Power’s general rate case including allowing a return on common equity of 9.65 percent and a 52.50 percent equity ratio. Upon commencement of final rates, we expect additional revenue from base rates of approximately $60 million and an additional $10 million in revenue recognized under cost recovery riders on an annualized basis, subject to final written order and reconsideration. On March 20, 2023, Minnesota Power filed a petition for reconsideration with the MPUC requesting reconsideration and clarification of certain decisions in the MPUC’s order. Minnesota Power’s petition included requesting reconsideration of the ratemaking treatment of the Taconite Harbor Energy Center and the Company’s prepaid pension asset as well as clarification on interim rate treatment for sales to certain customers that did not operate during 2022. The MPUC denied the requests for reconsideration at a hearing on April 27, 2023, and provided clarification in support of Minnesota Power’s treatment of certain customers that did not operate during 2022. Final rates are expected to commence in the third quarter of 2023; interim rates will be collected through this period with reserves recorded as necessary. Minnesota Power has recorded a reserve for an interim rate refund of $23.5 million pre-tax as of March 31, 2023 ($18.4 million as of December 31, 2022), which is subject to MPUC approval of Minnesota Power’s refund calculation. Minnesota Power plans to file its next rate case in the fourth quarter of 2023.</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 (Continued)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and Municipal Customers and Prospective Additional Load.</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53 percent of our regulated utility kWh sales in the three months ended March 31, 2023, were made to our industrial customers (49 percent in the three months ended March 31, 2022).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Taconite</w:t>
      </w:r>
      <w:r>
        <w:rPr>
          <w:rFonts w:ascii="Arial" w:cs="Arial" w:eastAsia="Arial" w:hAnsi="Arial"/>
          <w:sz w:val="18"/>
          <w:szCs w:val="18"/>
          <w:color w:val="auto"/>
        </w:rPr>
        <w: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Northshore Mining</w:t>
      </w:r>
      <w:r>
        <w:rPr>
          <w:rFonts w:ascii="Arial" w:cs="Arial" w:eastAsia="Arial" w:hAnsi="Arial"/>
          <w:sz w:val="18"/>
          <w:szCs w:val="18"/>
          <w:i w:val="1"/>
          <w:iCs w:val="1"/>
          <w:color w:val="auto"/>
        </w:rPr>
        <w:t xml:space="preserve">. </w:t>
      </w:r>
      <w:r>
        <w:rPr>
          <w:rFonts w:ascii="Arial" w:cs="Arial" w:eastAsia="Arial" w:hAnsi="Arial"/>
          <w:sz w:val="18"/>
          <w:szCs w:val="18"/>
          <w:color w:val="auto"/>
        </w:rPr>
        <w:t>Cliffs idled all production at its Northshore mine in 2022. Northshore Mining resumed partial pellet plant production in April 2023.</w:t>
      </w:r>
      <w:r>
        <w:rPr>
          <w:rFonts w:ascii="Arial" w:cs="Arial" w:eastAsia="Arial" w:hAnsi="Arial"/>
          <w:sz w:val="18"/>
          <w:szCs w:val="18"/>
          <w:i w:val="1"/>
          <w:iCs w:val="1"/>
          <w:color w:val="auto"/>
        </w:rPr>
        <w:t xml:space="preserve"> </w:t>
      </w:r>
      <w:r>
        <w:rPr>
          <w:rFonts w:ascii="Arial" w:cs="Arial" w:eastAsia="Arial" w:hAnsi="Arial"/>
          <w:sz w:val="18"/>
          <w:szCs w:val="18"/>
          <w:color w:val="auto"/>
        </w:rPr>
        <w:t>Cliffs indicated it will continue to utilize Northshore Mining as a swing facility and does not expect it to operate at full production in 2023. Northshore Mining has the capability to produce approximately 6 million tons annually. Minnesota Power has a PSA through 2031 with Silver Bay Power, which provides the majority of the electric service requirements for Northshore Mining.</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USS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USS Corporation has announced plans to invest approximately $150 million to construct a system dedicated to producing direct reduced-grade (DR-grade) pellets at its Keetac plant. USS Corporation broke ground on the project in the third quarter of 2022, which is expected to be completed in late 2023. This will enable the existing pelletizing plant to not only create DR-grade pellets for use as a feedstock for a direct reduced iron (DRI) or hot briquetted iron (HBI) process that ultimately supplies electric arc furnace steelmaking but also maintains the optionality to continue producing blast furnace-grade pellets. USS Corporation’s Minntac and Keetac plants are large power industrial customers of Minnesota Power. USS Corporation has the capability to produce approximately 15 million and 5 million tons annually at its Minntac and Keetac plants,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ST Paper</w:t>
      </w:r>
      <w:r>
        <w:rPr>
          <w:rFonts w:ascii="Arial" w:cs="Arial" w:eastAsia="Arial" w:hAnsi="Arial"/>
          <w:sz w:val="18"/>
          <w:szCs w:val="18"/>
          <w:color w:val="auto"/>
        </w:rPr>
        <w:t>. In May 2021, ST Paper announced it had completed the purchase of the Duluth Mill from Verso Corporation. ST Paper completed a project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Duluth Mill to produce tissue and began production early in 2023. In January 2022, Minnesota Power entered into an electric service agreement with ST Paper that would begin Large Power Customer service with a minimum term of six years upon start-up of operations Upon start-up of operations, ST Paper became a Large Power Customer.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r>
        <w:rPr>
          <w:rFonts w:ascii="Arial" w:cs="Arial" w:eastAsia="Arial" w:hAnsi="Arial"/>
          <w:sz w:val="18"/>
          <w:szCs w:val="18"/>
          <w:color w:val="auto"/>
        </w:rPr>
        <w: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Cenovus Energy</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a fire at Cenovus Energy’s refinery in Superior, Wisconsin, which was owned by Husky Energy at that time, disrupted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facility. Under normal operating conditions, SWL&amp;P provides approximately 14 MW of average monthly demand to the refinery in addition to water service. The Company announced in April 2023 that it had commenced restart of the facility, and the refinery is expected to resume normal operations in the second quarter of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Transmission.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Duluth Loop Reliability Project. </w:t>
      </w:r>
      <w:r>
        <w:rPr>
          <w:rFonts w:ascii="Arial" w:cs="Arial" w:eastAsia="Arial" w:hAnsi="Arial"/>
          <w:sz w:val="18"/>
          <w:szCs w:val="18"/>
          <w:color w:val="auto"/>
        </w:rPr>
        <w:t>In October 2021, Minnesota Power submitted an application for a certificate of need for the Duluth Loop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This transmission project was proposed to enhance reliability in and around Duluth, Minnesota. The project includes the construction of a new 115-kV transmission line; construction of an approximately one-mile extension of an existing 230-kV transmission line; and upgrades to several substations. A certificate of need was granted and a route permit was issued by the MPUC on April 3, 2023. The Duluth Loop Reliability Project is expected to be completed and in service by 2025, with an estimated cost of $50 million to $70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2021, ALLETE Clean Energy announced that it acquired the rights to the approximately 92 MW Red Barn wind development project and the approximately 68 MW Whitetail renewable development project in southwestern Wisconsin. ALLETE Clean Energy also signed an asset sale agreement for the completed Red Barn wind project with Wisconsin Public Service Corporation and Madison Gas and Electric Company. The PSCW approved the sale of the Red Barn wind project, which closed in April 2023 at which time ALLETE Clean Energy received cash proceeds of approximately $160 million. We expect to record a gain on the sale in the second quarter of 2023.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and Other includes New Energy, a renewable energy development company,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March 31, 2023,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$29.9 million, $231.6 million in available consolidated lines of credit, 2.1 million original issue shares of common stock available for issuance through a distribution agreement with Lampert Capital Markets and a debt-to-capital ratio of 37 percent. In addition, ALLETE Clean Energy received approximately $160 million in proceeds from the sale of its Red Barn project and ALLETE issued $125 million in first mortgage bonds in April 2023. (See </w:t>
      </w:r>
      <w:r>
        <w:rPr>
          <w:rFonts w:ascii="Arial" w:cs="Arial" w:eastAsia="Arial" w:hAnsi="Arial"/>
          <w:sz w:val="18"/>
          <w:szCs w:val="18"/>
          <w:i w:val="1"/>
          <w:iCs w:val="1"/>
          <w:color w:val="auto"/>
        </w:rPr>
        <w:t>Working</w:t>
      </w:r>
      <w:r>
        <w:rPr>
          <w:rFonts w:ascii="Arial" w:cs="Arial" w:eastAsia="Arial" w:hAnsi="Arial"/>
          <w:sz w:val="18"/>
          <w:szCs w:val="18"/>
          <w:color w:val="auto"/>
        </w:rPr>
        <w:t xml:space="preserve"> </w:t>
      </w:r>
      <w:r>
        <w:rPr>
          <w:rFonts w:ascii="Arial" w:cs="Arial" w:eastAsia="Arial" w:hAnsi="Arial"/>
          <w:sz w:val="18"/>
          <w:szCs w:val="18"/>
          <w:i w:val="1"/>
          <w:iCs w:val="1"/>
          <w:color w:val="auto"/>
        </w:rPr>
        <w:t>Capital</w:t>
      </w:r>
      <w:r>
        <w:rPr>
          <w:rFonts w:ascii="Arial" w:cs="Arial" w:eastAsia="Arial" w:hAnsi="Arial"/>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92"/>
        </w:trPr>
        <w:tc>
          <w:tcPr>
            <w:tcW w:w="5660" w:type="dxa"/>
            <w:vAlign w:val="bottom"/>
          </w:tcPr>
          <w:p>
            <w:pPr>
              <w:spacing w:after="0"/>
              <w:rPr>
                <w:sz w:val="24"/>
                <w:szCs w:val="24"/>
                <w:color w:val="auto"/>
              </w:rPr>
            </w:pPr>
          </w:p>
        </w:tc>
        <w:tc>
          <w:tcPr>
            <w:tcW w:w="228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4"/>
                <w:szCs w:val="24"/>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640" w:type="dxa"/>
            <w:vAlign w:val="bottom"/>
          </w:tcPr>
          <w:p>
            <w:pPr>
              <w:spacing w:after="0"/>
              <w:rPr>
                <w:sz w:val="24"/>
                <w:szCs w:val="24"/>
                <w:color w:val="auto"/>
              </w:rPr>
            </w:pPr>
          </w:p>
        </w:tc>
      </w:tr>
      <w:tr>
        <w:trPr>
          <w:trHeight w:val="234"/>
        </w:trPr>
        <w:tc>
          <w:tcPr>
            <w:tcW w:w="56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2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$2,715.5</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51</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$2,691.9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280" w:type="dxa"/>
            <w:vAlign w:val="bottom"/>
          </w:tcPr>
          <w:p>
            <w:pPr>
              <w:jc w:val="right"/>
              <w:ind w:right="250"/>
              <w:spacing w:after="0"/>
              <w:rPr>
                <w:sz w:val="20"/>
                <w:szCs w:val="20"/>
                <w:color w:val="auto"/>
              </w:rPr>
            </w:pPr>
            <w:r>
              <w:rPr>
                <w:rFonts w:ascii="Arial" w:cs="Arial" w:eastAsia="Arial" w:hAnsi="Arial"/>
                <w:sz w:val="18"/>
                <w:szCs w:val="18"/>
                <w:color w:val="auto"/>
              </w:rPr>
              <w:t>642.2</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12</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656.4</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2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1,939.9</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37</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1,929.1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56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$5,297.6</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$5,277.4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40" w:type="dxa"/>
            <w:vAlign w:val="bottom"/>
          </w:tcPr>
          <w:p>
            <w:pPr>
              <w:spacing w:after="0"/>
              <w:rPr>
                <w:sz w:val="20"/>
                <w:szCs w:val="20"/>
                <w:color w:val="auto"/>
              </w:rPr>
            </w:pPr>
            <w:r>
              <w:rPr>
                <w:rFonts w:ascii="Arial" w:cs="Arial" w:eastAsia="Arial" w:hAnsi="Arial"/>
                <w:sz w:val="16"/>
                <w:szCs w:val="16"/>
                <w:i w:val="1"/>
                <w:iCs w:val="1"/>
                <w:color w:val="auto"/>
              </w:rPr>
              <w:t>(a)  Excludes unamortized debt issuance costs.</w:t>
            </w:r>
          </w:p>
        </w:tc>
        <w:tc>
          <w:tcPr>
            <w:tcW w:w="2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65"/>
        </w:trPr>
        <w:tc>
          <w:tcPr>
            <w:tcW w:w="814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2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1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$40.2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Cash Flows provided by (used in)</w:t>
            </w:r>
          </w:p>
        </w:tc>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1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92.4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14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(74.7)</w:t>
            </w:r>
          </w:p>
        </w:tc>
        <w:tc>
          <w:tcPr>
            <w:tcW w:w="96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30"/>
        </w:trPr>
        <w:tc>
          <w:tcPr>
            <w:tcW w:w="8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(18.3)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23"/>
        </w:trPr>
        <w:tc>
          <w:tcPr>
            <w:tcW w:w="81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Change in Cash, Cash Equivalents and Restricted Cash</w:t>
            </w:r>
          </w:p>
        </w:tc>
        <w:tc>
          <w:tcPr>
            <w:tcW w:w="2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23"/>
        </w:trPr>
        <w:tc>
          <w:tcPr>
            <w:tcW w:w="8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1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$39.6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was higher in 2023 compared to 2022. Cash provided by operating activities in 2023 reflected</w:t>
      </w:r>
      <w:r>
        <w:rPr>
          <w:rFonts w:ascii="Arial" w:cs="Arial" w:eastAsia="Arial" w:hAnsi="Arial"/>
          <w:sz w:val="18"/>
          <w:szCs w:val="18"/>
          <w:i w:val="1"/>
          <w:iCs w:val="1"/>
          <w:color w:val="auto"/>
        </w:rPr>
        <w:t xml:space="preserve"> </w:t>
      </w:r>
      <w:r>
        <w:rPr>
          <w:rFonts w:ascii="Arial" w:cs="Arial" w:eastAsia="Arial" w:hAnsi="Arial"/>
          <w:sz w:val="18"/>
          <w:szCs w:val="18"/>
          <w:color w:val="auto"/>
        </w:rPr>
        <w:t>lower payments for inventories compared to 2022 primarily related to fewer payments for ALLETE Clean Energy’s Northern Wind and Red Barn projects which were sold to third parties in the first quarter of 2023 and April 2023, respectively. Cash provided by operating activities in 2023 also increased due to the timing of recovery under Minnesota Power’s fuel adjustment clause.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was higher in 2023 compared to 2022. Cash used in investing activities in 2023 reflected higher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for additions to property, plant and equipment compared to 2022.</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2023 Form 10-Q</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in financing activities in 2023 was higher compared to 2022. Cash used in financing activities in 2023 reflected lower</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non-controlling interest in subsidiaries compared to 2022.</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Working Capital. </w:t>
      </w:r>
      <w:r>
        <w:rPr>
          <w:rFonts w:ascii="Arial" w:cs="Arial" w:eastAsia="Arial" w:hAnsi="Arial"/>
          <w:sz w:val="16"/>
          <w:szCs w:val="16"/>
          <w:color w:val="auto"/>
        </w:rPr>
        <w:t>Additional working capital, if and when needed, generally is provided by consolidated bank lines of credit and the issuance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long-term debt, common stock and commercial paper. As of March 31, 2023, we had consolidated bank lines of credit aggregating $468.1 million ($475.7 million as of December 31, 2022), the majority of which expire in January 2026. We had $25.3 million outstanding in standby letters of credit and $211.2 million outstanding draws under our lines of credit as of March 31, 2023 ($32.8 million in standby letters of credit and $31.3 million outstanding draws as of December 31, 2022). We also have other credit facility agreements in place that provide the ability to issue up to $264.0 million in standby letters of credit. As of March 31, 2023, we had $153.0 million outstanding in standby letters of credit under these agreements.</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ALLETE Clean Energy also received approximately $160 million in proceeds from the sale of its Red Barn project in April 2023, which was primarily used to repay a portion of outstanding draws under our consolidated bank lines of credit.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of March 31, 2023, we had 2.8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Securities.) The amount and timing of future sales of our securities will depend upon market conditions and our specific needs.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three months ended March 31, 2023, we issued 0.1 million shares of common stock through Invest Direct, the Employee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and the Retirement Savings and Stock Ownership Plan, resulting in net proceeds of $3.3 million (0.1 million shares were issued for the three months ended March 31, 2022, resulting in net proceeds of $3.3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5. Short-Term and Long-Term Debt for information regarding our financial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2022 Form 10-K, with additional disclosure in Note 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4280" w:type="dxa"/>
            <w:vAlign w:val="bottom"/>
          </w:tcPr>
          <w:p>
            <w:pPr>
              <w:jc w:val="center"/>
              <w:ind w:left="2732"/>
              <w:spacing w:after="0"/>
              <w:rPr>
                <w:sz w:val="20"/>
                <w:szCs w:val="20"/>
                <w:color w:val="auto"/>
              </w:rPr>
            </w:pPr>
            <w:r>
              <w:rPr>
                <w:rFonts w:ascii="Arial" w:cs="Arial" w:eastAsia="Arial" w:hAnsi="Arial"/>
                <w:sz w:val="18"/>
                <w:szCs w:val="18"/>
                <w:b w:val="1"/>
                <w:bCs w:val="1"/>
                <w:color w:val="auto"/>
                <w:w w:val="95"/>
              </w:rPr>
              <w:t>S&amp;P Global</w:t>
            </w:r>
          </w:p>
        </w:tc>
        <w:tc>
          <w:tcPr>
            <w:tcW w:w="1260" w:type="dxa"/>
            <w:vAlign w:val="bottom"/>
          </w:tcPr>
          <w:p>
            <w:pPr>
              <w:spacing w:after="0"/>
              <w:rPr>
                <w:sz w:val="18"/>
                <w:szCs w:val="18"/>
                <w:color w:val="auto"/>
              </w:rPr>
            </w:pPr>
          </w:p>
        </w:tc>
      </w:tr>
      <w:tr>
        <w:trPr>
          <w:trHeight w:val="24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Credit Ratings</w:t>
            </w:r>
          </w:p>
        </w:tc>
        <w:tc>
          <w:tcPr>
            <w:tcW w:w="4280" w:type="dxa"/>
            <w:vAlign w:val="bottom"/>
            <w:tcBorders>
              <w:bottom w:val="single" w:sz="8" w:color="auto"/>
            </w:tcBorders>
          </w:tcPr>
          <w:p>
            <w:pPr>
              <w:jc w:val="center"/>
              <w:ind w:left="2732"/>
              <w:spacing w:after="0"/>
              <w:rPr>
                <w:sz w:val="20"/>
                <w:szCs w:val="20"/>
                <w:color w:val="auto"/>
              </w:rPr>
            </w:pPr>
            <w:r>
              <w:rPr>
                <w:rFonts w:ascii="Arial" w:cs="Arial" w:eastAsia="Arial" w:hAnsi="Arial"/>
                <w:sz w:val="18"/>
                <w:szCs w:val="18"/>
                <w:b w:val="1"/>
                <w:bCs w:val="1"/>
                <w:color w:val="auto"/>
                <w:w w:val="87"/>
              </w:rPr>
              <w:t>Ratings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280" w:type="dxa"/>
            <w:vAlign w:val="bottom"/>
            <w:shd w:val="clear" w:color="auto" w:fill="CCEEFF"/>
          </w:tcPr>
          <w:p>
            <w:pPr>
              <w:jc w:val="center"/>
              <w:ind w:left="2712"/>
              <w:spacing w:after="0"/>
              <w:rPr>
                <w:sz w:val="20"/>
                <w:szCs w:val="20"/>
                <w:color w:val="auto"/>
              </w:rPr>
            </w:pPr>
            <w:r>
              <w:rPr>
                <w:rFonts w:ascii="Arial" w:cs="Arial" w:eastAsia="Arial" w:hAnsi="Arial"/>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280" w:type="dxa"/>
            <w:vAlign w:val="bottom"/>
          </w:tcPr>
          <w:p>
            <w:pPr>
              <w:jc w:val="center"/>
              <w:ind w:left="2712"/>
              <w:spacing w:after="0"/>
              <w:rPr>
                <w:sz w:val="20"/>
                <w:szCs w:val="20"/>
                <w:color w:val="auto"/>
              </w:rPr>
            </w:pPr>
            <w:r>
              <w:rPr>
                <w:rFonts w:ascii="Arial" w:cs="Arial" w:eastAsia="Arial" w:hAnsi="Arial"/>
                <w:sz w:val="18"/>
                <w:szCs w:val="18"/>
                <w:color w:val="auto"/>
                <w:w w:val="99"/>
              </w:rPr>
              <w:t>A-2</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P-2</w:t>
            </w:r>
          </w:p>
        </w:tc>
      </w:tr>
      <w:tr>
        <w:trPr>
          <w:trHeight w:val="23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280" w:type="dxa"/>
            <w:vAlign w:val="bottom"/>
            <w:tcBorders>
              <w:bottom w:val="single" w:sz="8" w:color="auto"/>
            </w:tcBorders>
            <w:shd w:val="clear" w:color="auto" w:fill="CCEEFF"/>
          </w:tcPr>
          <w:p>
            <w:pPr>
              <w:jc w:val="center"/>
              <w:ind w:left="2732"/>
              <w:spacing w:after="0"/>
              <w:rPr>
                <w:sz w:val="20"/>
                <w:szCs w:val="20"/>
                <w:color w:val="auto"/>
              </w:rPr>
            </w:pPr>
            <w:r>
              <w:rPr>
                <w:rFonts w:ascii="Arial" w:cs="Arial" w:eastAsia="Arial" w:hAnsi="Arial"/>
                <w:sz w:val="16"/>
                <w:szCs w:val="16"/>
                <w:i w:val="1"/>
                <w:iCs w:val="1"/>
                <w:color w:val="auto"/>
                <w:w w:val="91"/>
              </w:rPr>
              <w:t>(a)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98"/>
        </w:trPr>
        <w:tc>
          <w:tcPr>
            <w:tcW w:w="5680" w:type="dxa"/>
            <w:vAlign w:val="bottom"/>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2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For the three months ended March 31, 2023, capital expenditures totaled $58.4 million ($34.2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2022). The expenditures were primarily made in the Regulated Operations segment.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ALLETE had 1,514 employees, of which 1,482 were full-time.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and SWL&amp;P have an aggregate of 487 employees covered under collective bargaining agreements, of which most are members of International Brotherhood of Electrical Workers (IBEW) Local 31. The current labor agreement with IBEW Local 31 expires on January 31, 2024, for SWL&amp;P. The labor agreement with IBEW Local 31 expired on April 30, 2023, for Minnesota Power. Minnesota Power and IBEW Local 31 have reached a tentative agreement that is expected to be ratified and expire on April 30, 2026.</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170 employees, of which 126 are subject to a labor agreement with IBEW Local 1593. The current labor agreement with IBEW Local 1593 expires on March 31, 2026.</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March 31, 2023,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March 31, 2023, an increase of 100 basis points in interest rates would impact the amount of pre-tax interest expense by $2.3 million. This amount was determined by considering the impact of a hypothetical 100 basis point increase to the average variable interest rate on the variable rate debt outstanding as of March 31, 2023.</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2023, evaluations were performed, under the supervision and with the 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9. Commitments, Guarantees and Contingencies to the Consolidated Financial Statements in our 2022 Form 10-K and Note 2. Regulatory Matters and Note 6. Commitments, Guarantees and Contingencies herein.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2022 Form 10-K.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214745"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14745" cy="265430"/>
                    </a:xfrm>
                    <a:prstGeom prst="rect">
                      <a:avLst/>
                    </a:prstGeom>
                    <a:noFill/>
                  </pic:spPr>
                </pic:pic>
              </a:graphicData>
            </a:graphic>
          </wp:anchor>
        </w:drawing>
      </w:r>
    </w:p>
    <w:p>
      <w:pPr>
        <w:ind w:left="1080" w:right="1480" w:hanging="1059"/>
        <w:spacing w:after="0" w:line="242" w:lineRule="auto"/>
        <w:tabs>
          <w:tab w:leader="none" w:pos="1060" w:val="left"/>
        </w:tabs>
        <w:rPr>
          <w:sz w:val="20"/>
          <w:szCs w:val="20"/>
          <w:color w:val="auto"/>
        </w:rPr>
      </w:pPr>
      <w:r>
        <w:rPr>
          <w:rFonts w:ascii="Arial" w:cs="Arial" w:eastAsia="Arial" w:hAnsi="Arial"/>
          <w:sz w:val="18"/>
          <w:szCs w:val="18"/>
          <w:u w:val="single" w:color="auto"/>
          <w:color w:val="0000FF"/>
        </w:rPr>
        <w:t>31(a)</w:t>
      </w:r>
      <w:r>
        <w:rPr>
          <w:sz w:val="20"/>
          <w:szCs w:val="20"/>
          <w:color w:val="auto"/>
        </w:rPr>
        <w:tab/>
      </w:r>
      <w:r>
        <w:rPr>
          <w:rFonts w:ascii="Arial" w:cs="Arial" w:eastAsia="Arial" w:hAnsi="Arial"/>
          <w:sz w:val="18"/>
          <w:szCs w:val="18"/>
          <w:u w:val="single" w:color="auto"/>
          <w:color w:val="0000FF"/>
        </w:rPr>
        <w:t>Rule 13a-14(a)/15d-14(a) Certification by the Chief Executive Officer Pursuant to Section 302 of the Sarbanes-Oxley Act of 2002.</w:t>
      </w:r>
    </w:p>
    <w:p>
      <w:pPr>
        <w:spacing w:after="0" w:line="1" w:lineRule="exact"/>
        <w:rPr>
          <w:sz w:val="20"/>
          <w:szCs w:val="20"/>
          <w:color w:val="auto"/>
        </w:rPr>
      </w:pPr>
    </w:p>
    <w:p>
      <w:pPr>
        <w:ind w:left="1080" w:right="1460" w:hanging="1059"/>
        <w:spacing w:after="0" w:line="242" w:lineRule="auto"/>
        <w:tabs>
          <w:tab w:leader="none" w:pos="1060" w:val="left"/>
        </w:tabs>
        <w:rPr>
          <w:sz w:val="20"/>
          <w:szCs w:val="20"/>
          <w:color w:val="auto"/>
        </w:rPr>
      </w:pPr>
      <w:r>
        <w:rPr>
          <w:rFonts w:ascii="Arial" w:cs="Arial" w:eastAsia="Arial" w:hAnsi="Arial"/>
          <w:sz w:val="18"/>
          <w:szCs w:val="18"/>
          <w:u w:val="single" w:color="auto"/>
          <w:color w:val="0000FF"/>
        </w:rPr>
        <w:t>31(b)</w:t>
      </w:r>
      <w:r>
        <w:rPr>
          <w:sz w:val="20"/>
          <w:szCs w:val="20"/>
          <w:color w:val="auto"/>
        </w:rPr>
        <w:tab/>
      </w:r>
      <w:r>
        <w:rPr>
          <w:rFonts w:ascii="Arial" w:cs="Arial" w:eastAsia="Arial" w:hAnsi="Arial"/>
          <w:sz w:val="18"/>
          <w:szCs w:val="18"/>
          <w:u w:val="single" w:color="auto"/>
          <w:color w:val="0000FF"/>
        </w:rPr>
        <w:t>Rule 13a-14(a)/15d-14(a) Certification by the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14745" cy="265430"/>
                    </a:xfrm>
                    <a:prstGeom prst="rect">
                      <a:avLst/>
                    </a:prstGeom>
                    <a:noFill/>
                  </pic:spPr>
                </pic:pic>
              </a:graphicData>
            </a:graphic>
          </wp:anchor>
        </w:drawing>
      </w:r>
    </w:p>
    <w:p>
      <w:pPr>
        <w:ind w:left="1080" w:right="1460" w:hanging="1054"/>
        <w:spacing w:after="0" w:line="242" w:lineRule="auto"/>
        <w:tabs>
          <w:tab w:leader="none" w:pos="1080" w:val="left"/>
        </w:tabs>
        <w:numPr>
          <w:ilvl w:val="0"/>
          <w:numId w:val="1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Section 1350 Certification of Periodic Report by the Chief Executive Officer and the Chief Financial Officer Pursuant to Section 906 of the Sarbanes-Oxley Act of 2002.</w:t>
      </w:r>
    </w:p>
    <w:p>
      <w:pPr>
        <w:spacing w:after="0" w:line="1"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u w:val="single" w:color="auto"/>
          <w:color w:val="0000FF"/>
        </w:rPr>
        <w:t>95</w:t>
      </w:r>
      <w:r>
        <w:rPr>
          <w:sz w:val="20"/>
          <w:szCs w:val="20"/>
          <w:color w:val="auto"/>
        </w:rPr>
        <w:tab/>
      </w:r>
      <w:r>
        <w:rPr>
          <w:rFonts w:ascii="Arial" w:cs="Arial" w:eastAsia="Arial" w:hAnsi="Arial"/>
          <w:sz w:val="18"/>
          <w:szCs w:val="18"/>
          <w:u w:val="single" w:color="auto"/>
          <w:color w:val="0000FF"/>
        </w:rPr>
        <w:t>Mine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14745" cy="488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14745" cy="488315"/>
                    </a:xfrm>
                    <a:prstGeom prst="rect">
                      <a:avLst/>
                    </a:prstGeom>
                    <a:noFill/>
                  </pic:spPr>
                </pic:pic>
              </a:graphicData>
            </a:graphic>
          </wp:anchor>
        </w:drawing>
      </w:r>
    </w:p>
    <w:p>
      <w:pPr>
        <w:spacing w:after="0" w:line="3" w:lineRule="exact"/>
        <w:rPr>
          <w:sz w:val="20"/>
          <w:szCs w:val="20"/>
          <w:color w:val="auto"/>
        </w:rPr>
      </w:pPr>
    </w:p>
    <w:p>
      <w:pPr>
        <w:jc w:val="both"/>
        <w:ind w:left="1080" w:right="1460" w:hanging="1054"/>
        <w:spacing w:after="0" w:line="223" w:lineRule="auto"/>
        <w:tabs>
          <w:tab w:leader="none" w:pos="1080" w:val="left"/>
        </w:tabs>
        <w:numPr>
          <w:ilvl w:val="0"/>
          <w:numId w:val="1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ALLETE News Release dated May 3, 2023, announcing 2023 first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188"/>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101.INS</w:t>
            </w:r>
          </w:p>
        </w:tc>
        <w:tc>
          <w:tcPr>
            <w:tcW w:w="8920" w:type="dxa"/>
            <w:vAlign w:val="bottom"/>
          </w:tcPr>
          <w:p>
            <w:pPr>
              <w:ind w:left="200"/>
              <w:spacing w:after="0" w:line="189"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w:t>
            </w:r>
          </w:p>
        </w:tc>
      </w:tr>
      <w:tr>
        <w:trPr>
          <w:trHeight w:val="230"/>
        </w:trPr>
        <w:tc>
          <w:tcPr>
            <w:tcW w:w="880" w:type="dxa"/>
            <w:vAlign w:val="bottom"/>
          </w:tcPr>
          <w:p>
            <w:pPr>
              <w:spacing w:after="0"/>
              <w:rPr>
                <w:sz w:val="20"/>
                <w:szCs w:val="20"/>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Schema</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101.CAL</w:t>
            </w:r>
          </w:p>
        </w:tc>
        <w:tc>
          <w:tcPr>
            <w:tcW w:w="8920" w:type="dxa"/>
            <w:vAlign w:val="bottom"/>
          </w:tcPr>
          <w:p>
            <w:pPr>
              <w:ind w:left="200"/>
              <w:spacing w:after="0"/>
              <w:rPr>
                <w:sz w:val="20"/>
                <w:szCs w:val="20"/>
                <w:color w:val="auto"/>
              </w:rPr>
            </w:pPr>
            <w:r>
              <w:rPr>
                <w:rFonts w:ascii="Arial" w:cs="Arial" w:eastAsia="Arial" w:hAnsi="Arial"/>
                <w:sz w:val="18"/>
                <w:szCs w:val="18"/>
                <w:color w:val="auto"/>
              </w:rPr>
              <w:t>XBRL Calculation</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Definition</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101.LAB</w:t>
            </w:r>
          </w:p>
        </w:tc>
        <w:tc>
          <w:tcPr>
            <w:tcW w:w="8920" w:type="dxa"/>
            <w:vAlign w:val="bottom"/>
          </w:tcPr>
          <w:p>
            <w:pPr>
              <w:ind w:left="200"/>
              <w:spacing w:after="0"/>
              <w:rPr>
                <w:sz w:val="20"/>
                <w:szCs w:val="20"/>
                <w:color w:val="auto"/>
              </w:rPr>
            </w:pPr>
            <w:r>
              <w:rPr>
                <w:rFonts w:ascii="Arial" w:cs="Arial" w:eastAsia="Arial" w:hAnsi="Arial"/>
                <w:sz w:val="18"/>
                <w:szCs w:val="18"/>
                <w:color w:val="auto"/>
              </w:rPr>
              <w:t>XBRL Label</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Presentation</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8920" w:type="dxa"/>
            <w:vAlign w:val="bottom"/>
          </w:tcPr>
          <w:p>
            <w:pPr>
              <w:ind w:left="2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ALLETE agrees to furnish to the SEC upon request any instrument with respect to long-term debt that ALLETE has not filed as an exhibit pursuant to the exemption provided by Item 601(b)(4)(iii)(A) of Regulation S-K.</w:t>
      </w:r>
    </w:p>
    <w:p>
      <w:pPr>
        <w:sectPr>
          <w:pgSz w:w="11900" w:h="16838" w:orient="portrait"/>
          <w:cols w:equalWidth="0" w:num="1">
            <w:col w:w="11240"/>
          </w:cols>
          <w:pgMar w:left="320" w:top="891"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2023 Form 10-Q</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7600" w:val="left"/>
        </w:tabs>
        <w:rPr>
          <w:sz w:val="20"/>
          <w:szCs w:val="20"/>
          <w:color w:val="auto"/>
        </w:rPr>
      </w:pPr>
      <w:r>
        <w:rPr>
          <w:rFonts w:ascii="Arial" w:cs="Arial" w:eastAsia="Arial" w:hAnsi="Arial"/>
          <w:sz w:val="18"/>
          <w:szCs w:val="18"/>
          <w:color w:val="auto"/>
        </w:rPr>
        <w:t>May 3, 2023</w:t>
      </w:r>
      <w:r>
        <w:rPr>
          <w:sz w:val="20"/>
          <w:szCs w:val="20"/>
          <w:color w:val="auto"/>
        </w:rPr>
        <w:tab/>
      </w:r>
      <w:r>
        <w:rPr>
          <w:rFonts w:ascii="Arial" w:cs="Arial" w:eastAsia="Arial" w:hAnsi="Arial"/>
          <w:sz w:val="16"/>
          <w:szCs w:val="16"/>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17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6"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Steven W. Morris</w:t>
      </w:r>
    </w:p>
    <w:p>
      <w:pPr>
        <w:spacing w:after="0" w:line="23"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2023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2023,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May 3, 2023</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44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W. Morris, of ALLETE, Inc. (ALLETE), certify that:</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2023,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May 3, 2023</w:t>
            </w: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W. Morris</w:t>
            </w:r>
          </w:p>
        </w:tc>
      </w:tr>
      <w:tr>
        <w:trPr>
          <w:trHeight w:val="222"/>
        </w:trPr>
        <w:tc>
          <w:tcPr>
            <w:tcW w:w="40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Steven W. Morris</w:t>
            </w:r>
          </w:p>
        </w:tc>
      </w:tr>
      <w:tr>
        <w:trPr>
          <w:trHeight w:val="230"/>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March 31, 2023,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 2023</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Bethany M. Owen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 2023</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W. Morris</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562"/>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Notice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Received</w:t>
            </w: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Pattern of</w:t>
            </w:r>
          </w:p>
        </w:tc>
        <w:tc>
          <w:tcPr>
            <w:tcW w:w="9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4"/>
              </w:rPr>
              <w:t>Section</w:t>
            </w: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Total</w:t>
            </w: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Violation</w:t>
            </w:r>
          </w:p>
        </w:tc>
        <w:tc>
          <w:tcPr>
            <w:tcW w:w="9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Notice of</w:t>
            </w:r>
          </w:p>
        </w:tc>
        <w:tc>
          <w:tcPr>
            <w:tcW w:w="8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Legal</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Resolved</w:t>
            </w: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104(e)</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 Section</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Last Day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0" w:type="dxa"/>
            <w:vAlign w:val="bottom"/>
          </w:tcPr>
          <w:p>
            <w:pPr>
              <w:spacing w:after="0"/>
              <w:rPr>
                <w:sz w:val="1"/>
                <w:szCs w:val="1"/>
                <w:color w:val="auto"/>
              </w:rPr>
            </w:pPr>
          </w:p>
        </w:tc>
      </w:tr>
      <w:tr>
        <w:trPr>
          <w:trHeight w:val="19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2023, BNI Energy, owner of Center Mine, received no citations under Section 104(a) of the Mine Safety Act. For the three months ended March 31, 2023, BNI Energy paid $288 in penalties for citations closed during the period. For the three months ended March 31, 2023, there were no citations, orders, violations or notices under Sections 104(b), 104(d), 107(a), 104(e) or 110(b)(2) of the Mine Safety Act and there were no fatalities.</w:t>
      </w:r>
    </w:p>
    <w:p>
      <w:pPr>
        <w:sectPr>
          <w:pgSz w:w="11900" w:h="16838" w:orient="portrait"/>
          <w:cols w:equalWidth="0" w:num="1">
            <w:col w:w="11240"/>
          </w:cols>
          <w:pgMar w:left="320" w:top="891"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1371600" cy="626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auto"/>
        </w:rPr>
        <w:t>Exhibit 99</w:t>
      </w:r>
    </w:p>
    <w:p>
      <w:pPr>
        <w:spacing w:after="0" w:line="3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May 3, 2023</w:t>
      </w:r>
    </w:p>
    <w:p>
      <w:pPr>
        <w:spacing w:after="0" w:line="27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218-723-3952</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vmeyer@allete.com</w:t>
      </w:r>
    </w:p>
    <w:p>
      <w:pPr>
        <w:spacing w:after="0" w:line="794" w:lineRule="exact"/>
        <w:rPr>
          <w:sz w:val="20"/>
          <w:szCs w:val="20"/>
          <w:color w:val="auto"/>
        </w:rPr>
      </w:pPr>
    </w:p>
    <w:p>
      <w:pPr>
        <w:sectPr>
          <w:pgSz w:w="11900" w:h="16838" w:orient="portrait"/>
          <w:cols w:equalWidth="0" w:num="2">
            <w:col w:w="6460" w:space="720"/>
            <w:col w:w="4060"/>
          </w:cols>
          <w:pgMar w:left="320" w:top="1003" w:right="3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first quarter earnings of $1.02 per share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Reaffirms 2023 earnings guidance range of $3.55 to $3.85 per share</w:t>
      </w:r>
    </w:p>
    <w:p>
      <w:pPr>
        <w:ind w:right="640"/>
        <w:spacing w:after="0" w:line="258" w:lineRule="auto"/>
        <w:rPr>
          <w:sz w:val="20"/>
          <w:szCs w:val="20"/>
          <w:color w:val="auto"/>
        </w:rPr>
      </w:pPr>
      <w:r>
        <w:rPr>
          <w:rFonts w:ascii="Arial" w:cs="Arial" w:eastAsia="Arial" w:hAnsi="Arial"/>
          <w:sz w:val="20"/>
          <w:szCs w:val="20"/>
          <w:color w:val="auto"/>
        </w:rPr>
        <w:t>DULUTH, Minn. - ALLETE, Inc. (NYSE: ALE) today reported first quarter 2023 earnings of $1.02 per share on net income of $58.2 million. Last year’s first quarter results were $1.24 per share on net income of $66.3 million.</w:t>
      </w:r>
    </w:p>
    <w:p>
      <w:pPr>
        <w:spacing w:after="0" w:line="219"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auto"/>
        </w:rPr>
        <w:t>“The entire ALLETE team’s execution of our Sustainability in Action strategy was excellent throughout the quarter, and we are excited about the year ahead,” said ALLETE Chair, President and Chief Executive Officer Bethany Owen. “New Energy is starting the first full year under ALLETE ownership with strong financial results in the quarter; ALLETE Clean Energy closed on two projects – Northern Wind in January and Red Barn in April; and our assets operated well in spite of challenging weather conditions, while Minnesota Power’s taconite customers</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are operating at near-full production levels. And just recently we were pleased that two large power customers, that had been idled for some time, announced plans to restart operations.”</w:t>
      </w:r>
    </w:p>
    <w:p>
      <w:pPr>
        <w:spacing w:after="0" w:line="217"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“Our results for the first quarter 2023 were lower than last year’s first quarter due to timing of reserves for interim rates resulting from Minnesota Power’s February rate case order, and overall weather conditions in the quarter impacting consolidated earnings by approximately 10 cents per share versus last year.” said ALLETE Senior Vice President and Chief Financial Officer Steve Morris. “However, our regulated operations are in line with internal expectations, as higher taconite margins offset negative weather impacts on other regulated retail sales. In addition, New Energy had a record first quarter with approximately 30 megawatts of project closings and is on track to achieve full year earnings projections. Although ALLETE Clean Energy was below our expectations for the quarter due to weather impacts causing lower wind resources and availability across much of the fleet, the profitable sale of the Red Barn project will be a positive impact to our second quarter financial results. We are reaffirming our 2023 guidance as we remain confident in our earnings range of $3.55 to $3.85 per share.”</w:t>
      </w:r>
    </w:p>
    <w:p>
      <w:pPr>
        <w:spacing w:after="0" w:line="178"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ALLETE’s Regulated Operations segment, which includes Minnesota Power, Superior Water, Light and Power (SWL&amp;P) and the Company’s investment in the American Transmission Company (ATC), recorded first quarter 2023 net income of $40.6 million, compared to $51.5 million in the first quarter a year ago. Earnings at Minnesota Power were down primarily due to warmer weather compared to the first quarter of 2022 resulting in lower sales to retail and municipal customers, as well as interim rate refund reserves recognized in 2023, as a result of Minnesota Power’s 2022 general rate case outcome; the full interim rate reserve was recorded in the fourth quarter of 2022. Also reflected in the first quarter of 2023 are higher operating and maintenance expense. Net income at SWL&amp;P was lower during the first quarter of 2023 primarily due to warmer weather and higher operating and maintenance expense.</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ALLETE Clean Energy recorded first quarter 2023 net income of $8.5 million compared to $16.5 million in 2022. Earnings in 2023 reflect lower wind resources and availability across much of its fleet as well as higher operating and maintenance expense. Net income in 2022 also included earnings from the Northern Wind facilities which were decommissioned in April 2022 as part of ALLETE Clean Energy’s project to repower and sell the Northern Wind project.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4</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40"/>
          </w:cols>
          <w:pgMar w:left="320" w:top="1003" w:right="339" w:bottom="1440" w:gutter="0" w:footer="0" w:header="0"/>
          <w:type w:val="continuous"/>
        </w:sectPr>
      </w:pPr>
    </w:p>
    <w:bookmarkStart w:id="47" w:name="page48"/>
    <w:bookmarkEnd w:id="47"/>
    <w:p>
      <w:pPr>
        <w:ind w:right="40"/>
        <w:spacing w:after="0" w:line="251" w:lineRule="auto"/>
        <w:rPr>
          <w:sz w:val="20"/>
          <w:szCs w:val="20"/>
          <w:color w:val="auto"/>
        </w:rPr>
      </w:pPr>
      <w:r>
        <w:rPr>
          <w:rFonts w:ascii="Arial" w:cs="Arial" w:eastAsia="Arial" w:hAnsi="Arial"/>
          <w:sz w:val="20"/>
          <w:szCs w:val="20"/>
          <w:color w:val="auto"/>
        </w:rPr>
        <w:t>Corporate and Other businesses, which include New Energy, BNI Energy, ALLETE Properties and our investments in renewable energy facilities, recorded net income of $9.1 million in the first quarter of 2023, compared to a net loss of $1.7 million in 2022. Net income in 2023 reflects New Energy’s earnings of $4.1 million; 2022 net income included $1.4 million of transaction costs related to the New Energy acquisition which closed in April last year.</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dilution in 2023 was approximately 8 cents due to additional shares of common stock outstanding as of March 31, 2023.</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May 3, 2023; 2023 first quarter slides posted on company website</w:t>
      </w:r>
    </w:p>
    <w:p>
      <w:pPr>
        <w:spacing w:after="0" w:line="262" w:lineRule="exact"/>
        <w:rPr>
          <w:sz w:val="20"/>
          <w:szCs w:val="20"/>
          <w:color w:val="auto"/>
        </w:rPr>
      </w:pPr>
    </w:p>
    <w:p>
      <w:pPr>
        <w:ind w:right="340"/>
        <w:spacing w:after="0" w:line="273" w:lineRule="auto"/>
        <w:rPr>
          <w:sz w:val="20"/>
          <w:szCs w:val="20"/>
          <w:color w:val="auto"/>
        </w:rPr>
      </w:pPr>
      <w:r>
        <w:rPr>
          <w:rFonts w:ascii="Arial" w:cs="Arial" w:eastAsia="Arial" w:hAnsi="Arial"/>
          <w:sz w:val="19"/>
          <w:szCs w:val="19"/>
          <w:color w:val="auto"/>
        </w:rPr>
        <w:t>ALLETE’s earnings conference call will be at 10:00 a.m. (EST), May 3, 2023, at which time management will discuss the first quarter of 2023 financial results. Interested parties may participate live by registering for the call at allete.com/earnings call or may listen to the live audio-only webcast accompanied by supporting slides, which will be available on ALLETE’s Investor Relations website investor.allete.com/events-presentations. The webcast will be accessible for one year at allete.com.</w:t>
      </w:r>
    </w:p>
    <w:p>
      <w:pPr>
        <w:spacing w:after="0" w:line="194" w:lineRule="exact"/>
        <w:rPr>
          <w:sz w:val="20"/>
          <w:szCs w:val="20"/>
          <w:color w:val="auto"/>
        </w:rPr>
      </w:pPr>
    </w:p>
    <w:p>
      <w:pPr>
        <w:spacing w:after="0" w:line="263" w:lineRule="auto"/>
        <w:rPr>
          <w:sz w:val="20"/>
          <w:szCs w:val="20"/>
          <w:color w:val="auto"/>
        </w:rPr>
      </w:pPr>
      <w:r>
        <w:rPr>
          <w:rFonts w:ascii="Arial" w:cs="Arial" w:eastAsia="Arial" w:hAnsi="Arial"/>
          <w:sz w:val="20"/>
          <w:szCs w:val="20"/>
          <w:color w:val="auto"/>
        </w:rPr>
        <w:t xml:space="preserve">ALLETE is an energy company headquartered in Duluth, Minn. In addition to its electric utilities, Minnesota Power and Superior Water, Light and Power of Wisconsin, ALLETE owns ALLETE Clean Energy, based in Duluth, BNI Energy in Bismarck, N.D., New Energy Equity in Annapolis, MD, and has an eight percent equity interest in the American Transmission Co. More information about ALLETE is available at www.allete.com. </w:t>
      </w:r>
      <w:r>
        <w:rPr>
          <w:rFonts w:ascii="Arial" w:cs="Arial" w:eastAsia="Arial" w:hAnsi="Arial"/>
          <w:sz w:val="21"/>
          <w:szCs w:val="21"/>
          <w:i w:val="1"/>
          <w:iCs w:val="1"/>
          <w:color w:val="auto"/>
        </w:rPr>
        <w:t>ALE-CORP</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Page 2 of 4</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20"/>
          </w:cols>
          <w:pgMar w:left="320" w:top="1176" w:right="3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spacing w:after="0"/>
              <w:rPr>
                <w:sz w:val="19"/>
                <w:szCs w:val="19"/>
                <w:color w:val="auto"/>
              </w:rPr>
            </w:pPr>
          </w:p>
        </w:tc>
        <w:tc>
          <w:tcPr>
            <w:tcW w:w="45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6680" w:type="dxa"/>
            <w:vAlign w:val="bottom"/>
          </w:tcPr>
          <w:p>
            <w:pPr>
              <w:spacing w:after="0"/>
              <w:rPr>
                <w:sz w:val="19"/>
                <w:szCs w:val="19"/>
                <w:color w:val="auto"/>
              </w:rPr>
            </w:pPr>
          </w:p>
        </w:tc>
        <w:tc>
          <w:tcPr>
            <w:tcW w:w="45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6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3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Contracts with Customers – Utility</w:t>
            </w:r>
          </w:p>
        </w:tc>
        <w:tc>
          <w:tcPr>
            <w:tcW w:w="3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$312.6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29"/>
        </w:trPr>
        <w:tc>
          <w:tcPr>
            <w:tcW w:w="6680" w:type="dxa"/>
            <w:vAlign w:val="bottom"/>
          </w:tcPr>
          <w:p>
            <w:pPr>
              <w:ind w:left="340"/>
              <w:spacing w:after="0"/>
              <w:rPr>
                <w:sz w:val="20"/>
                <w:szCs w:val="20"/>
                <w:color w:val="auto"/>
              </w:rPr>
            </w:pPr>
            <w:r>
              <w:rPr>
                <w:rFonts w:ascii="Arial" w:cs="Arial" w:eastAsia="Arial" w:hAnsi="Arial"/>
                <w:sz w:val="18"/>
                <w:szCs w:val="18"/>
                <w:color w:val="auto"/>
              </w:rPr>
              <w:t>Contracts with Customers – Non-utility</w:t>
            </w:r>
          </w:p>
        </w:tc>
        <w:tc>
          <w:tcPr>
            <w:tcW w:w="3620" w:type="dxa"/>
            <w:vAlign w:val="bottom"/>
          </w:tcPr>
          <w:p>
            <w:pPr>
              <w:jc w:val="right"/>
              <w:ind w:right="150"/>
              <w:spacing w:after="0"/>
              <w:rPr>
                <w:sz w:val="20"/>
                <w:szCs w:val="20"/>
                <w:color w:val="auto"/>
              </w:rPr>
            </w:pPr>
            <w:r>
              <w:rPr>
                <w:rFonts w:ascii="Arial" w:cs="Arial" w:eastAsia="Arial" w:hAnsi="Arial"/>
                <w:sz w:val="18"/>
                <w:szCs w:val="18"/>
                <w:color w:val="auto"/>
              </w:rPr>
              <w:t>251.0</w:t>
            </w:r>
          </w:p>
        </w:tc>
        <w:tc>
          <w:tcPr>
            <w:tcW w:w="90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29"/>
        </w:trPr>
        <w:tc>
          <w:tcPr>
            <w:tcW w:w="6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 Non-utility</w:t>
            </w:r>
          </w:p>
        </w:tc>
        <w:tc>
          <w:tcPr>
            <w:tcW w:w="3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Operating Revenue</w:t>
            </w:r>
          </w:p>
        </w:tc>
        <w:tc>
          <w:tcPr>
            <w:tcW w:w="3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564.9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680" w:type="dxa"/>
            <w:vAlign w:val="bottom"/>
          </w:tcPr>
          <w:p>
            <w:pPr>
              <w:ind w:left="340"/>
              <w:spacing w:after="0"/>
              <w:rPr>
                <w:sz w:val="20"/>
                <w:szCs w:val="20"/>
                <w:color w:val="auto"/>
              </w:rPr>
            </w:pPr>
            <w:r>
              <w:rPr>
                <w:rFonts w:ascii="Arial" w:cs="Arial" w:eastAsia="Arial" w:hAnsi="Arial"/>
                <w:sz w:val="18"/>
                <w:szCs w:val="18"/>
                <w:color w:val="auto"/>
              </w:rPr>
              <w:t>Fuel, Purchased Power and Gas – Utility</w:t>
            </w:r>
          </w:p>
        </w:tc>
        <w:tc>
          <w:tcPr>
            <w:tcW w:w="3620" w:type="dxa"/>
            <w:vAlign w:val="bottom"/>
          </w:tcPr>
          <w:p>
            <w:pPr>
              <w:jc w:val="right"/>
              <w:ind w:right="150"/>
              <w:spacing w:after="0"/>
              <w:rPr>
                <w:sz w:val="20"/>
                <w:szCs w:val="20"/>
                <w:color w:val="auto"/>
              </w:rPr>
            </w:pPr>
            <w:r>
              <w:rPr>
                <w:rFonts w:ascii="Arial" w:cs="Arial" w:eastAsia="Arial" w:hAnsi="Arial"/>
                <w:sz w:val="18"/>
                <w:szCs w:val="18"/>
                <w:color w:val="auto"/>
              </w:rPr>
              <w:t>118.6</w:t>
            </w:r>
          </w:p>
        </w:tc>
        <w:tc>
          <w:tcPr>
            <w:tcW w:w="90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29"/>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Transmission Services – Utility</w:t>
            </w:r>
          </w:p>
        </w:tc>
        <w:tc>
          <w:tcPr>
            <w:tcW w:w="3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6680" w:type="dxa"/>
            <w:vAlign w:val="bottom"/>
          </w:tcPr>
          <w:p>
            <w:pPr>
              <w:ind w:left="340"/>
              <w:spacing w:after="0"/>
              <w:rPr>
                <w:sz w:val="20"/>
                <w:szCs w:val="20"/>
                <w:color w:val="auto"/>
              </w:rPr>
            </w:pPr>
            <w:r>
              <w:rPr>
                <w:rFonts w:ascii="Arial" w:cs="Arial" w:eastAsia="Arial" w:hAnsi="Arial"/>
                <w:sz w:val="18"/>
                <w:szCs w:val="18"/>
                <w:color w:val="auto"/>
              </w:rPr>
              <w:t>Cost of Sales – Non-utility</w:t>
            </w:r>
          </w:p>
        </w:tc>
        <w:tc>
          <w:tcPr>
            <w:tcW w:w="3620" w:type="dxa"/>
            <w:vAlign w:val="bottom"/>
          </w:tcPr>
          <w:p>
            <w:pPr>
              <w:jc w:val="right"/>
              <w:ind w:right="150"/>
              <w:spacing w:after="0"/>
              <w:rPr>
                <w:sz w:val="20"/>
                <w:szCs w:val="20"/>
                <w:color w:val="auto"/>
              </w:rPr>
            </w:pPr>
            <w:r>
              <w:rPr>
                <w:rFonts w:ascii="Arial" w:cs="Arial" w:eastAsia="Arial" w:hAnsi="Arial"/>
                <w:sz w:val="18"/>
                <w:szCs w:val="18"/>
                <w:color w:val="auto"/>
              </w:rPr>
              <w:t>210.5</w:t>
            </w: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and Maintenance</w:t>
            </w:r>
          </w:p>
        </w:tc>
        <w:tc>
          <w:tcPr>
            <w:tcW w:w="3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29"/>
        </w:trPr>
        <w:tc>
          <w:tcPr>
            <w:tcW w:w="6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20" w:type="dxa"/>
            <w:vAlign w:val="bottom"/>
          </w:tcPr>
          <w:p>
            <w:pPr>
              <w:jc w:val="right"/>
              <w:ind w:right="150"/>
              <w:spacing w:after="0"/>
              <w:rPr>
                <w:sz w:val="20"/>
                <w:szCs w:val="20"/>
                <w:color w:val="auto"/>
              </w:rPr>
            </w:pPr>
            <w:r>
              <w:rPr>
                <w:rFonts w:ascii="Arial" w:cs="Arial" w:eastAsia="Arial" w:hAnsi="Arial"/>
                <w:sz w:val="18"/>
                <w:szCs w:val="18"/>
                <w:color w:val="auto"/>
              </w:rPr>
              <w:t>62.3</w:t>
            </w: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6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3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6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Operating Expenses</w:t>
            </w:r>
          </w:p>
        </w:tc>
        <w:tc>
          <w:tcPr>
            <w:tcW w:w="3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516.6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r>
      <w:tr>
        <w:trPr>
          <w:trHeight w:val="223"/>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6680" w:type="dxa"/>
            <w:vAlign w:val="bottom"/>
          </w:tcPr>
          <w:p>
            <w:pPr>
              <w:ind w:left="340"/>
              <w:spacing w:after="0"/>
              <w:rPr>
                <w:sz w:val="20"/>
                <w:szCs w:val="20"/>
                <w:color w:val="auto"/>
              </w:rPr>
            </w:pPr>
            <w:r>
              <w:rPr>
                <w:rFonts w:ascii="Arial" w:cs="Arial" w:eastAsia="Arial" w:hAnsi="Arial"/>
                <w:sz w:val="18"/>
                <w:szCs w:val="18"/>
                <w:color w:val="auto"/>
              </w:rPr>
              <w:t>Equity Earnings</w:t>
            </w:r>
          </w:p>
        </w:tc>
        <w:tc>
          <w:tcPr>
            <w:tcW w:w="362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Other Expense</w:t>
            </w:r>
          </w:p>
        </w:tc>
        <w:tc>
          <w:tcPr>
            <w:tcW w:w="3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3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6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Net Loss Attributable to Non-Controlling Interest</w:t>
            </w:r>
          </w:p>
        </w:tc>
        <w:tc>
          <w:tcPr>
            <w:tcW w:w="3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3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$58.2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3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66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Diluted</w:t>
            </w:r>
          </w:p>
        </w:tc>
        <w:tc>
          <w:tcPr>
            <w:tcW w:w="3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57.3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3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362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3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$0.6775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 31</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Dec. 31,</w:t>
            </w:r>
          </w:p>
        </w:tc>
        <w:tc>
          <w:tcPr>
            <w:tcW w:w="398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Mar. 31</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3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539.8</w:t>
            </w:r>
          </w:p>
        </w:tc>
        <w:tc>
          <w:tcPr>
            <w:tcW w:w="900" w:type="dxa"/>
            <w:vAlign w:val="bottom"/>
          </w:tcPr>
          <w:p>
            <w:pPr>
              <w:jc w:val="right"/>
              <w:spacing w:after="0"/>
              <w:rPr>
                <w:sz w:val="20"/>
                <w:szCs w:val="20"/>
                <w:color w:val="auto"/>
              </w:rPr>
            </w:pPr>
            <w:r>
              <w:rPr>
                <w:rFonts w:ascii="Arial" w:cs="Arial" w:eastAsia="Arial" w:hAnsi="Arial"/>
                <w:sz w:val="18"/>
                <w:szCs w:val="18"/>
                <w:color w:val="auto"/>
              </w:rPr>
              <w:t>681.6</w:t>
            </w:r>
          </w:p>
        </w:tc>
        <w:tc>
          <w:tcPr>
            <w:tcW w:w="398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40" w:type="dxa"/>
            <w:vAlign w:val="bottom"/>
          </w:tcPr>
          <w:p>
            <w:pPr>
              <w:jc w:val="right"/>
              <w:spacing w:after="0"/>
              <w:rPr>
                <w:sz w:val="20"/>
                <w:szCs w:val="20"/>
                <w:color w:val="auto"/>
              </w:rPr>
            </w:pPr>
            <w:r>
              <w:rPr>
                <w:rFonts w:ascii="Arial" w:cs="Arial" w:eastAsia="Arial" w:hAnsi="Arial"/>
                <w:sz w:val="18"/>
                <w:szCs w:val="18"/>
                <w:color w:val="auto"/>
              </w:rPr>
              <w:t>1,755.5</w:t>
            </w:r>
          </w:p>
        </w:tc>
        <w:tc>
          <w:tcPr>
            <w:tcW w:w="840" w:type="dxa"/>
            <w:vAlign w:val="bottom"/>
          </w:tcPr>
          <w:p>
            <w:pPr>
              <w:jc w:val="right"/>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4,979.3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5,004.0</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469.1</w:t>
            </w:r>
          </w:p>
        </w:tc>
        <w:tc>
          <w:tcPr>
            <w:tcW w:w="900" w:type="dxa"/>
            <w:vAlign w:val="bottom"/>
          </w:tcPr>
          <w:p>
            <w:pPr>
              <w:jc w:val="right"/>
              <w:spacing w:after="0"/>
              <w:rPr>
                <w:sz w:val="20"/>
                <w:szCs w:val="20"/>
                <w:color w:val="auto"/>
              </w:rPr>
            </w:pPr>
            <w:r>
              <w:rPr>
                <w:rFonts w:ascii="Arial" w:cs="Arial" w:eastAsia="Arial" w:hAnsi="Arial"/>
                <w:sz w:val="18"/>
                <w:szCs w:val="18"/>
                <w:color w:val="auto"/>
              </w:rPr>
              <w:t>441.0</w:t>
            </w:r>
          </w:p>
        </w:tc>
        <w:tc>
          <w:tcPr>
            <w:tcW w:w="398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526.4</w:t>
            </w:r>
          </w:p>
        </w:tc>
        <w:tc>
          <w:tcPr>
            <w:tcW w:w="840" w:type="dxa"/>
            <w:vAlign w:val="bottom"/>
          </w:tcPr>
          <w:p>
            <w:pPr>
              <w:jc w:val="right"/>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176"/>
        </w:trPr>
        <w:tc>
          <w:tcPr>
            <w:tcW w:w="30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39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6"/>
              </w:rPr>
              <w:t>Defined Benefit Pension and Other Postretirement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43"/>
        </w:trPr>
        <w:tc>
          <w:tcPr>
            <w:tcW w:w="300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 Plans</w:t>
            </w:r>
          </w:p>
        </w:tc>
        <w:tc>
          <w:tcPr>
            <w:tcW w:w="1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155.5</w:t>
            </w:r>
          </w:p>
        </w:tc>
        <w:tc>
          <w:tcPr>
            <w:tcW w:w="900" w:type="dxa"/>
            <w:vAlign w:val="bottom"/>
          </w:tcPr>
          <w:p>
            <w:pPr>
              <w:jc w:val="right"/>
              <w:spacing w:after="0"/>
              <w:rPr>
                <w:sz w:val="20"/>
                <w:szCs w:val="20"/>
                <w:color w:val="auto"/>
              </w:rPr>
            </w:pPr>
            <w:r>
              <w:rPr>
                <w:rFonts w:ascii="Arial" w:cs="Arial" w:eastAsia="Arial" w:hAnsi="Arial"/>
                <w:sz w:val="18"/>
                <w:szCs w:val="18"/>
                <w:color w:val="auto"/>
              </w:rPr>
              <w:t>155.6</w:t>
            </w:r>
          </w:p>
        </w:tc>
        <w:tc>
          <w:tcPr>
            <w:tcW w:w="398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270.4</w:t>
            </w:r>
          </w:p>
        </w:tc>
        <w:tc>
          <w:tcPr>
            <w:tcW w:w="840" w:type="dxa"/>
            <w:vAlign w:val="bottom"/>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3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3,348.3</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$6,704.5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$6,845.6</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931" w:right="35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4</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 30 West Superior Street, Duluth, Minnesota 55802</w:t>
      </w:r>
    </w:p>
    <w:p>
      <w:pPr>
        <w:sectPr>
          <w:pgSz w:w="11900" w:h="16838" w:orient="portrait"/>
          <w:cols w:equalWidth="0" w:num="1">
            <w:col w:w="11200"/>
          </w:cols>
          <w:pgMar w:left="340" w:top="931" w:right="359" w:bottom="1440" w:gutter="0" w:footer="0" w:header="0"/>
          <w:type w:val="continuous"/>
        </w:sectPr>
      </w:pPr>
    </w:p>
    <w:bookmarkStart w:id="49" w:name="page50"/>
    <w:bookmarkEnd w:id="49"/>
    <w:tbl>
      <w:tblPr>
        <w:tblLayout w:type="fixed"/>
        <w:tblInd w:w="20" w:type="dxa"/>
        <w:tblCellMar>
          <w:top w:w="0" w:type="dxa"/>
          <w:left w:w="0" w:type="dxa"/>
          <w:bottom w:w="0" w:type="dxa"/>
          <w:right w:w="0" w:type="dxa"/>
        </w:tblCellMar>
      </w:tblPr>
      <w:tr>
        <w:trPr>
          <w:trHeight w:val="229"/>
        </w:trPr>
        <w:tc>
          <w:tcPr>
            <w:tcW w:w="6240" w:type="dxa"/>
            <w:vAlign w:val="bottom"/>
          </w:tcPr>
          <w:p>
            <w:pPr>
              <w:spacing w:after="0"/>
              <w:rPr>
                <w:sz w:val="19"/>
                <w:szCs w:val="19"/>
                <w:color w:val="auto"/>
              </w:rPr>
            </w:pPr>
          </w:p>
        </w:tc>
        <w:tc>
          <w:tcPr>
            <w:tcW w:w="49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392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9"/>
                <w:szCs w:val="19"/>
                <w:color w:val="auto"/>
              </w:rPr>
            </w:pPr>
          </w:p>
        </w:tc>
      </w:tr>
      <w:tr>
        <w:trPr>
          <w:trHeight w:val="234"/>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39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Millions</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Regulated Operations</w:t>
            </w:r>
          </w:p>
        </w:tc>
        <w:tc>
          <w:tcPr>
            <w:tcW w:w="3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29"/>
        </w:trPr>
        <w:tc>
          <w:tcPr>
            <w:tcW w:w="6240" w:type="dxa"/>
            <w:vAlign w:val="bottom"/>
          </w:tcPr>
          <w:p>
            <w:pPr>
              <w:ind w:left="340"/>
              <w:spacing w:after="0"/>
              <w:rPr>
                <w:sz w:val="20"/>
                <w:szCs w:val="20"/>
                <w:color w:val="auto"/>
              </w:rPr>
            </w:pPr>
            <w:r>
              <w:rPr>
                <w:rFonts w:ascii="Arial" w:cs="Arial" w:eastAsia="Arial" w:hAnsi="Arial"/>
                <w:sz w:val="18"/>
                <w:szCs w:val="18"/>
                <w:color w:val="auto"/>
              </w:rPr>
              <w:t>ALLETE Clean Energy</w:t>
            </w:r>
          </w:p>
        </w:tc>
        <w:tc>
          <w:tcPr>
            <w:tcW w:w="3920" w:type="dxa"/>
            <w:vAlign w:val="bottom"/>
          </w:tcPr>
          <w:p>
            <w:pPr>
              <w:jc w:val="right"/>
              <w:ind w:right="470"/>
              <w:spacing w:after="0"/>
              <w:rPr>
                <w:sz w:val="20"/>
                <w:szCs w:val="20"/>
                <w:color w:val="auto"/>
              </w:rPr>
            </w:pPr>
            <w:r>
              <w:rPr>
                <w:rFonts w:ascii="Arial" w:cs="Arial" w:eastAsia="Arial" w:hAnsi="Arial"/>
                <w:sz w:val="18"/>
                <w:szCs w:val="18"/>
                <w:color w:val="auto"/>
              </w:rPr>
              <w:t>8.5</w:t>
            </w: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6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Corporate and Other</w:t>
            </w:r>
          </w:p>
        </w:tc>
        <w:tc>
          <w:tcPr>
            <w:tcW w:w="39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9.1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2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Net Income Attributable to ALLETE</w:t>
            </w:r>
          </w:p>
        </w:tc>
        <w:tc>
          <w:tcPr>
            <w:tcW w:w="3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23"/>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9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$1.02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601"/>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Statistical Data</w:t>
            </w:r>
          </w:p>
        </w:tc>
        <w:tc>
          <w:tcPr>
            <w:tcW w:w="3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3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240" w:type="dxa"/>
            <w:vAlign w:val="bottom"/>
          </w:tcPr>
          <w:p>
            <w:pPr>
              <w:ind w:left="540"/>
              <w:spacing w:after="0"/>
              <w:rPr>
                <w:sz w:val="20"/>
                <w:szCs w:val="20"/>
                <w:color w:val="auto"/>
              </w:rPr>
            </w:pPr>
            <w:r>
              <w:rPr>
                <w:rFonts w:ascii="Arial" w:cs="Arial" w:eastAsia="Arial" w:hAnsi="Arial"/>
                <w:sz w:val="18"/>
                <w:szCs w:val="18"/>
                <w:color w:val="auto"/>
              </w:rPr>
              <w:t>High</w:t>
            </w:r>
          </w:p>
        </w:tc>
        <w:tc>
          <w:tcPr>
            <w:tcW w:w="3920" w:type="dxa"/>
            <w:vAlign w:val="bottom"/>
          </w:tcPr>
          <w:p>
            <w:pPr>
              <w:jc w:val="right"/>
              <w:ind w:right="410"/>
              <w:spacing w:after="0"/>
              <w:rPr>
                <w:sz w:val="20"/>
                <w:szCs w:val="20"/>
                <w:color w:val="auto"/>
              </w:rPr>
            </w:pPr>
            <w:r>
              <w:rPr>
                <w:rFonts w:ascii="Arial" w:cs="Arial" w:eastAsia="Arial" w:hAnsi="Arial"/>
                <w:sz w:val="18"/>
                <w:szCs w:val="18"/>
                <w:color w:val="auto"/>
              </w:rPr>
              <w:t>$66.64</w:t>
            </w:r>
          </w:p>
        </w:tc>
        <w:tc>
          <w:tcPr>
            <w:tcW w:w="1040" w:type="dxa"/>
            <w:vAlign w:val="bottom"/>
          </w:tcPr>
          <w:p>
            <w:pPr>
              <w:jc w:val="right"/>
              <w:spacing w:after="0"/>
              <w:rPr>
                <w:sz w:val="20"/>
                <w:szCs w:val="20"/>
                <w:color w:val="auto"/>
              </w:rPr>
            </w:pPr>
            <w:r>
              <w:rPr>
                <w:rFonts w:ascii="Arial" w:cs="Arial" w:eastAsia="Arial" w:hAnsi="Arial"/>
                <w:sz w:val="18"/>
                <w:szCs w:val="18"/>
                <w:color w:val="auto"/>
              </w:rPr>
              <w:t>$68.61</w:t>
            </w:r>
          </w:p>
        </w:tc>
      </w:tr>
      <w:tr>
        <w:trPr>
          <w:trHeight w:val="230"/>
        </w:trPr>
        <w:tc>
          <w:tcPr>
            <w:tcW w:w="6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Low</w:t>
            </w:r>
          </w:p>
        </w:tc>
        <w:tc>
          <w:tcPr>
            <w:tcW w:w="3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$57.88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w:t>
            </w:r>
          </w:p>
        </w:tc>
      </w:tr>
      <w:tr>
        <w:trPr>
          <w:trHeight w:val="229"/>
        </w:trPr>
        <w:tc>
          <w:tcPr>
            <w:tcW w:w="6240" w:type="dxa"/>
            <w:vAlign w:val="bottom"/>
          </w:tcPr>
          <w:p>
            <w:pPr>
              <w:ind w:left="540"/>
              <w:spacing w:after="0"/>
              <w:rPr>
                <w:sz w:val="20"/>
                <w:szCs w:val="20"/>
                <w:color w:val="auto"/>
              </w:rPr>
            </w:pPr>
            <w:r>
              <w:rPr>
                <w:rFonts w:ascii="Arial" w:cs="Arial" w:eastAsia="Arial" w:hAnsi="Arial"/>
                <w:sz w:val="18"/>
                <w:szCs w:val="18"/>
                <w:color w:val="auto"/>
              </w:rPr>
              <w:t>Close</w:t>
            </w:r>
          </w:p>
        </w:tc>
        <w:tc>
          <w:tcPr>
            <w:tcW w:w="3920" w:type="dxa"/>
            <w:vAlign w:val="bottom"/>
          </w:tcPr>
          <w:p>
            <w:pPr>
              <w:jc w:val="right"/>
              <w:ind w:right="410"/>
              <w:spacing w:after="0"/>
              <w:rPr>
                <w:sz w:val="20"/>
                <w:szCs w:val="20"/>
                <w:color w:val="auto"/>
              </w:rPr>
            </w:pPr>
            <w:r>
              <w:rPr>
                <w:rFonts w:ascii="Arial" w:cs="Arial" w:eastAsia="Arial" w:hAnsi="Arial"/>
                <w:sz w:val="18"/>
                <w:szCs w:val="18"/>
                <w:color w:val="auto"/>
              </w:rPr>
              <w:t>$64.37</w:t>
            </w:r>
          </w:p>
        </w:tc>
        <w:tc>
          <w:tcPr>
            <w:tcW w:w="1040" w:type="dxa"/>
            <w:vAlign w:val="bottom"/>
          </w:tcPr>
          <w:p>
            <w:pPr>
              <w:jc w:val="right"/>
              <w:spacing w:after="0"/>
              <w:rPr>
                <w:sz w:val="20"/>
                <w:szCs w:val="20"/>
                <w:color w:val="auto"/>
              </w:rPr>
            </w:pPr>
            <w:r>
              <w:rPr>
                <w:rFonts w:ascii="Arial" w:cs="Arial" w:eastAsia="Arial" w:hAnsi="Arial"/>
                <w:sz w:val="18"/>
                <w:szCs w:val="18"/>
                <w:color w:val="auto"/>
              </w:rPr>
              <w:t>$66.98</w:t>
            </w:r>
          </w:p>
        </w:tc>
      </w:tr>
      <w:tr>
        <w:trPr>
          <w:trHeight w:val="229"/>
        </w:trPr>
        <w:tc>
          <w:tcPr>
            <w:tcW w:w="6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Book Value</w:t>
            </w:r>
          </w:p>
        </w:tc>
        <w:tc>
          <w:tcPr>
            <w:tcW w:w="3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$47.38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r>
      <w:tr>
        <w:trPr>
          <w:trHeight w:val="588"/>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3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Millions</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Regulated Utility</w:t>
            </w:r>
          </w:p>
        </w:tc>
        <w:tc>
          <w:tcPr>
            <w:tcW w:w="3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240" w:type="dxa"/>
            <w:vAlign w:val="bottom"/>
          </w:tcPr>
          <w:p>
            <w:pPr>
              <w:ind w:left="540"/>
              <w:spacing w:after="0"/>
              <w:rPr>
                <w:sz w:val="20"/>
                <w:szCs w:val="20"/>
                <w:color w:val="auto"/>
              </w:rPr>
            </w:pPr>
            <w:r>
              <w:rPr>
                <w:rFonts w:ascii="Arial" w:cs="Arial" w:eastAsia="Arial" w:hAnsi="Arial"/>
                <w:sz w:val="18"/>
                <w:szCs w:val="18"/>
                <w:color w:val="auto"/>
              </w:rPr>
              <w:t>Retail and Municipal</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3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62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3920" w:type="dxa"/>
            <w:vAlign w:val="bottom"/>
          </w:tcPr>
          <w:p>
            <w:pPr>
              <w:jc w:val="right"/>
              <w:ind w:right="410"/>
              <w:spacing w:after="0"/>
              <w:rPr>
                <w:sz w:val="20"/>
                <w:szCs w:val="20"/>
                <w:color w:val="auto"/>
              </w:rPr>
            </w:pPr>
            <w:r>
              <w:rPr>
                <w:rFonts w:ascii="Arial" w:cs="Arial" w:eastAsia="Arial" w:hAnsi="Arial"/>
                <w:sz w:val="18"/>
                <w:szCs w:val="18"/>
                <w:color w:val="auto"/>
              </w:rPr>
              <w:t>347</w:t>
            </w:r>
          </w:p>
        </w:tc>
        <w:tc>
          <w:tcPr>
            <w:tcW w:w="10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6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3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1,658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r>
      <w:tr>
        <w:trPr>
          <w:trHeight w:val="229"/>
        </w:trPr>
        <w:tc>
          <w:tcPr>
            <w:tcW w:w="6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3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6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Retail and Municipal</w:t>
            </w:r>
          </w:p>
        </w:tc>
        <w:tc>
          <w:tcPr>
            <w:tcW w:w="3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2,454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r>
      <w:tr>
        <w:trPr>
          <w:trHeight w:val="229"/>
        </w:trPr>
        <w:tc>
          <w:tcPr>
            <w:tcW w:w="62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Other Power Suppliers</w:t>
            </w:r>
          </w:p>
        </w:tc>
        <w:tc>
          <w:tcPr>
            <w:tcW w:w="3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696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r>
      <w:tr>
        <w:trPr>
          <w:trHeight w:val="223"/>
        </w:trPr>
        <w:tc>
          <w:tcPr>
            <w:tcW w:w="6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Regulated Utility Kilowatt-hours Sold</w:t>
            </w:r>
          </w:p>
        </w:tc>
        <w:tc>
          <w:tcPr>
            <w:tcW w:w="3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3,150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r>
      <w:tr>
        <w:trPr>
          <w:trHeight w:val="561"/>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3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Millions</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Regulated Utility Revenue</w:t>
            </w:r>
          </w:p>
        </w:tc>
        <w:tc>
          <w:tcPr>
            <w:tcW w:w="3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240" w:type="dxa"/>
            <w:vAlign w:val="bottom"/>
          </w:tcPr>
          <w:p>
            <w:pPr>
              <w:ind w:left="540"/>
              <w:spacing w:after="0"/>
              <w:rPr>
                <w:sz w:val="20"/>
                <w:szCs w:val="20"/>
                <w:color w:val="auto"/>
              </w:rPr>
            </w:pPr>
            <w:r>
              <w:rPr>
                <w:rFonts w:ascii="Arial" w:cs="Arial" w:eastAsia="Arial" w:hAnsi="Arial"/>
                <w:sz w:val="18"/>
                <w:szCs w:val="18"/>
                <w:color w:val="auto"/>
              </w:rPr>
              <w:t>Retail and Municipal Electric Revenue</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3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30"/>
        </w:trPr>
        <w:tc>
          <w:tcPr>
            <w:tcW w:w="62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3920" w:type="dxa"/>
            <w:vAlign w:val="bottom"/>
          </w:tcPr>
          <w:p>
            <w:pPr>
              <w:jc w:val="right"/>
              <w:ind w:right="410"/>
              <w:spacing w:after="0"/>
              <w:rPr>
                <w:sz w:val="20"/>
                <w:szCs w:val="20"/>
                <w:color w:val="auto"/>
              </w:rPr>
            </w:pPr>
            <w:r>
              <w:rPr>
                <w:rFonts w:ascii="Arial" w:cs="Arial" w:eastAsia="Arial" w:hAnsi="Arial"/>
                <w:sz w:val="18"/>
                <w:szCs w:val="18"/>
                <w:color w:val="auto"/>
              </w:rPr>
              <w:t>44.0</w:t>
            </w:r>
          </w:p>
        </w:tc>
        <w:tc>
          <w:tcPr>
            <w:tcW w:w="104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30"/>
        </w:trPr>
        <w:tc>
          <w:tcPr>
            <w:tcW w:w="6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3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29"/>
        </w:trPr>
        <w:tc>
          <w:tcPr>
            <w:tcW w:w="6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3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6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Retail and Municipal Electric Revenue</w:t>
            </w:r>
          </w:p>
        </w:tc>
        <w:tc>
          <w:tcPr>
            <w:tcW w:w="3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238.7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r>
      <w:tr>
        <w:trPr>
          <w:trHeight w:val="230"/>
        </w:trPr>
        <w:tc>
          <w:tcPr>
            <w:tcW w:w="6240" w:type="dxa"/>
            <w:vAlign w:val="bottom"/>
          </w:tcPr>
          <w:p>
            <w:pPr>
              <w:ind w:left="540"/>
              <w:spacing w:after="0"/>
              <w:rPr>
                <w:sz w:val="20"/>
                <w:szCs w:val="20"/>
                <w:color w:val="auto"/>
              </w:rPr>
            </w:pPr>
            <w:r>
              <w:rPr>
                <w:rFonts w:ascii="Arial" w:cs="Arial" w:eastAsia="Arial" w:hAnsi="Arial"/>
                <w:sz w:val="18"/>
                <w:szCs w:val="18"/>
                <w:color w:val="auto"/>
              </w:rPr>
              <w:t>Other Power Suppliers</w:t>
            </w:r>
          </w:p>
        </w:tc>
        <w:tc>
          <w:tcPr>
            <w:tcW w:w="3920" w:type="dxa"/>
            <w:vAlign w:val="bottom"/>
          </w:tcPr>
          <w:p>
            <w:pPr>
              <w:jc w:val="right"/>
              <w:ind w:right="410"/>
              <w:spacing w:after="0"/>
              <w:rPr>
                <w:sz w:val="20"/>
                <w:szCs w:val="20"/>
                <w:color w:val="auto"/>
              </w:rPr>
            </w:pPr>
            <w:r>
              <w:rPr>
                <w:rFonts w:ascii="Arial" w:cs="Arial" w:eastAsia="Arial" w:hAnsi="Arial"/>
                <w:sz w:val="18"/>
                <w:szCs w:val="18"/>
                <w:color w:val="auto"/>
              </w:rPr>
              <w:t>35.9</w:t>
            </w:r>
          </w:p>
        </w:tc>
        <w:tc>
          <w:tcPr>
            <w:tcW w:w="10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62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Other (Includes Water and Gas Revenue)</w:t>
            </w:r>
          </w:p>
        </w:tc>
        <w:tc>
          <w:tcPr>
            <w:tcW w:w="3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38.0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3"/>
        </w:trPr>
        <w:tc>
          <w:tcPr>
            <w:tcW w:w="62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Regulated Utility Revenue</w:t>
            </w:r>
          </w:p>
        </w:tc>
        <w:tc>
          <w:tcPr>
            <w:tcW w:w="3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$312.6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w:t>
            </w:r>
          </w:p>
        </w:tc>
      </w:tr>
    </w:tbl>
    <w:p>
      <w:pPr>
        <w:spacing w:after="0" w:line="262" w:lineRule="exact"/>
        <w:rPr>
          <w:sz w:val="20"/>
          <w:szCs w:val="20"/>
          <w:color w:val="auto"/>
        </w:rPr>
      </w:pPr>
    </w:p>
    <w:p>
      <w:pPr>
        <w:jc w:val="both"/>
        <w:spacing w:after="0" w:line="348"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4 of 4</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 30 West Superior Street, Duluth, Minnesota 55802</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1"/>
      <w:numFmt w:val="decimal"/>
      <w:start w:val="99"/>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2023-05-03T05:36:58Z</dcterms:created>
  <dcterms:modified xsi:type="dcterms:W3CDTF">2023-05-03T05:36:58Z</dcterms:modified>
</cp:coreProperties>
</file>