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53,308,809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3"/>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Forward-Looking Statements</w:t>
              </w:r>
            </w:hyperlink>
          </w:p>
        </w:tc>
        <w:tc>
          <w:tcPr>
            <w:tcW w:w="6200" w:type="dxa"/>
            <w:vAlign w:val="bottom"/>
            <w:gridSpan w:val="27"/>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7460" w:type="dxa"/>
            <w:vAlign w:val="bottom"/>
            <w:gridSpan w:val="33"/>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Financial Statements - Unaudited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w:t>
              </w:r>
            </w:hyperlink>
          </w:p>
        </w:tc>
        <w:tc>
          <w:tcPr>
            <w:tcW w:w="3060" w:type="dxa"/>
            <w:vAlign w:val="bottom"/>
            <w:gridSpan w:val="6"/>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Income</w:t>
              </w:r>
            </w:hyperlink>
          </w:p>
        </w:tc>
        <w:tc>
          <w:tcPr>
            <w:tcW w:w="37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 of Cash Flows</w:t>
              </w:r>
            </w:hyperlink>
          </w:p>
        </w:tc>
        <w:tc>
          <w:tcPr>
            <w:tcW w:w="3460" w:type="dxa"/>
            <w:vAlign w:val="bottom"/>
            <w:gridSpan w:val="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Statement of Equity</w:t>
              </w:r>
            </w:hyperlink>
          </w:p>
        </w:tc>
        <w:tc>
          <w:tcPr>
            <w:tcW w:w="3460" w:type="dxa"/>
            <w:vAlign w:val="bottom"/>
            <w:gridSpan w:val="9"/>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 1. Operations and Significant Accounting Policies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 2. Regulatory Matters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Note 3. Equity Investments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Note 4. Fair Value</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Note 5. Short-Term and Long-Term Debt</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Note 6. Commitments, Guarantees and Contingencies</w:t>
              </w:r>
            </w:hyperlink>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Note 7. Earnings Per Share and Common Stock</w:t>
              </w:r>
            </w:hyperlink>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Note 8. Income Tax Expense</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9. Pension and Other Postretirement Benefit Plans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10. Business Segments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6640" w:type="dxa"/>
            <w:vAlign w:val="bottom"/>
            <w:gridSpan w:val="30"/>
          </w:tcPr>
          <w:p>
            <w:pPr>
              <w:ind w:left="180"/>
              <w:spacing w:after="0" w:line="189" w:lineRule="exact"/>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Comparison of the Three Months Ended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0"/>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Critical Accounting Policies</w:t>
              </w:r>
            </w:hyperlink>
          </w:p>
        </w:tc>
        <w:tc>
          <w:tcPr>
            <w:tcW w:w="3360" w:type="dxa"/>
            <w:vAlign w:val="bottom"/>
            <w:gridSpan w:val="8"/>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Outlook</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Liquidity and Capital Resources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Other</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38">
              <w:r>
                <w:rPr>
                  <w:rFonts w:ascii="Arial" w:cs="Arial" w:eastAsia="Arial" w:hAnsi="Arial"/>
                  <w:sz w:val="18"/>
                  <w:szCs w:val="18"/>
                  <w:color w:val="0000FF"/>
                  <w:w w:val="87"/>
                </w:rPr>
                <w:t>Item 4.</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Part II.</w:t>
              </w:r>
            </w:hyperlink>
          </w:p>
        </w:tc>
        <w:tc>
          <w:tcPr>
            <w:tcW w:w="7460" w:type="dxa"/>
            <w:vAlign w:val="bottom"/>
            <w:gridSpan w:val="33"/>
            <w:shd w:val="clear" w:color="auto" w:fill="CCEEFF"/>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Item 1A.</w:t>
              </w:r>
            </w:hyperlink>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Item 5.</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Item 6.</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rFonts w:ascii="Arial" w:cs="Arial" w:eastAsia="Arial" w:hAnsi="Arial"/>
                <w:sz w:val="18"/>
                <w:szCs w:val="18"/>
                <w:color w:val="0000FF"/>
                <w:w w:val="95"/>
              </w:rPr>
            </w:pPr>
            <w:hyperlink w:anchor="page40">
              <w:r>
                <w:rPr>
                  <w:rFonts w:ascii="Arial" w:cs="Arial" w:eastAsia="Arial" w:hAnsi="Arial"/>
                  <w:sz w:val="18"/>
                  <w:szCs w:val="18"/>
                  <w:color w:val="0000FF"/>
                  <w:w w:val="95"/>
                </w:rPr>
                <w:t>Signatures</w:t>
              </w:r>
            </w:hyperlink>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 a North Dakota cooperative corporation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tcPr>
          <w:p>
            <w:pPr>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GNTL</w:t>
            </w:r>
          </w:p>
        </w:tc>
        <w:tc>
          <w:tcPr>
            <w:tcW w:w="812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Husky Energy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kV</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800"/>
              <w:spacing w:after="0"/>
              <w:rPr>
                <w:sz w:val="20"/>
                <w:szCs w:val="20"/>
                <w:color w:val="auto"/>
              </w:rPr>
            </w:pPr>
            <w:r>
              <w:rPr>
                <w:rFonts w:ascii="Arial" w:cs="Arial" w:eastAsia="Arial" w:hAnsi="Arial"/>
                <w:sz w:val="14"/>
                <w:szCs w:val="14"/>
                <w:color w:val="auto"/>
              </w:rPr>
              <w:t>ALLETE, Inc. First Quarter 2022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 Equity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12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South Shore Energy,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WTG</w:t>
            </w:r>
          </w:p>
        </w:tc>
        <w:tc>
          <w:tcPr>
            <w:tcW w:w="812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I, Item 1A. Risk Factors of our 2021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26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rPr>
              <w:t>ALLETE</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CONSOLIDATED BALANCE SHEET</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Unaudited</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$1.9 and $1.8)</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118.4</w:t>
            </w:r>
          </w:p>
        </w:tc>
        <w:tc>
          <w:tcPr>
            <w:tcW w:w="13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105.4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5,078.3</w:t>
            </w:r>
          </w:p>
        </w:tc>
        <w:tc>
          <w:tcPr>
            <w:tcW w:w="1360" w:type="dxa"/>
            <w:vAlign w:val="bottom"/>
          </w:tcPr>
          <w:p>
            <w:pPr>
              <w:jc w:val="right"/>
              <w:spacing w:after="0"/>
              <w:rPr>
                <w:sz w:val="20"/>
                <w:szCs w:val="20"/>
                <w:color w:val="auto"/>
              </w:rPr>
            </w:pPr>
            <w:r>
              <w:rPr>
                <w:rFonts w:ascii="Arial" w:cs="Arial" w:eastAsia="Arial" w:hAnsi="Arial"/>
                <w:sz w:val="18"/>
                <w:szCs w:val="18"/>
                <w:color w:val="auto"/>
              </w:rPr>
              <w:t>5,100.2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320.6</w:t>
            </w:r>
          </w:p>
        </w:tc>
        <w:tc>
          <w:tcPr>
            <w:tcW w:w="136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$6,556.0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$75.9</w:t>
            </w:r>
          </w:p>
        </w:tc>
        <w:tc>
          <w:tcPr>
            <w:tcW w:w="136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78.5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108.8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1,669.4</w:t>
            </w:r>
          </w:p>
        </w:tc>
        <w:tc>
          <w:tcPr>
            <w:tcW w:w="136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533.4</w:t>
            </w:r>
          </w:p>
        </w:tc>
        <w:tc>
          <w:tcPr>
            <w:tcW w:w="1360" w:type="dxa"/>
            <w:vAlign w:val="bottom"/>
          </w:tcPr>
          <w:p>
            <w:pPr>
              <w:jc w:val="right"/>
              <w:spacing w:after="0"/>
              <w:rPr>
                <w:sz w:val="20"/>
                <w:szCs w:val="20"/>
                <w:color w:val="auto"/>
              </w:rPr>
            </w:pPr>
            <w:r>
              <w:rPr>
                <w:rFonts w:ascii="Arial" w:cs="Arial" w:eastAsia="Arial" w:hAnsi="Arial"/>
                <w:sz w:val="18"/>
                <w:szCs w:val="18"/>
                <w:color w:val="auto"/>
              </w:rPr>
              <w:t>536.1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287.6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r>
      <w:tr>
        <w:trPr>
          <w:trHeight w:val="223"/>
        </w:trPr>
        <w:tc>
          <w:tcPr>
            <w:tcW w:w="82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3,412.5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Common Stock Without Par Value, 80.0 Shares Authorized, 53.3 and 53.2 Shares Issued and Outstanding</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(24.0)</w:t>
            </w: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932.0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2,449.3</w:t>
            </w:r>
          </w:p>
        </w:tc>
        <w:tc>
          <w:tcPr>
            <w:tcW w:w="1360" w:type="dxa"/>
            <w:vAlign w:val="bottom"/>
          </w:tcPr>
          <w:p>
            <w:pPr>
              <w:jc w:val="right"/>
              <w:spacing w:after="0"/>
              <w:rPr>
                <w:sz w:val="20"/>
                <w:szCs w:val="20"/>
                <w:color w:val="auto"/>
              </w:rPr>
            </w:pPr>
            <w:r>
              <w:rPr>
                <w:rFonts w:ascii="Arial" w:cs="Arial" w:eastAsia="Arial" w:hAnsi="Arial"/>
                <w:sz w:val="18"/>
                <w:szCs w:val="18"/>
                <w:color w:val="auto"/>
              </w:rPr>
              <w:t>2,413.1</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694.2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23"/>
        </w:trPr>
        <w:tc>
          <w:tcPr>
            <w:tcW w:w="8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3,143.5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2,946.3</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$6,556.0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45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720" w:type="dxa"/>
            <w:vAlign w:val="bottom"/>
          </w:tcPr>
          <w:p>
            <w:pPr>
              <w:spacing w:after="0"/>
              <w:rPr>
                <w:sz w:val="19"/>
                <w:szCs w:val="19"/>
                <w:color w:val="auto"/>
              </w:rPr>
            </w:pPr>
          </w:p>
        </w:tc>
        <w:tc>
          <w:tcPr>
            <w:tcW w:w="45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7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$329.0</w:t>
            </w:r>
          </w:p>
        </w:tc>
        <w:tc>
          <w:tcPr>
            <w:tcW w:w="86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75.3</w:t>
            </w: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60" w:type="dxa"/>
            <w:vAlign w:val="bottom"/>
          </w:tcPr>
          <w:p>
            <w:pPr>
              <w:jc w:val="right"/>
              <w:ind w:right="90"/>
              <w:spacing w:after="0"/>
              <w:rPr>
                <w:sz w:val="20"/>
                <w:szCs w:val="20"/>
                <w:color w:val="auto"/>
              </w:rPr>
            </w:pPr>
            <w:r>
              <w:rPr>
                <w:rFonts w:ascii="Arial" w:cs="Arial" w:eastAsia="Arial" w:hAnsi="Arial"/>
                <w:sz w:val="18"/>
                <w:szCs w:val="18"/>
                <w:color w:val="auto"/>
              </w:rPr>
              <w:t>(18.3)</w:t>
            </w: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42.6</w:t>
            </w: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Basic</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53.3</w:t>
            </w: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6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$1.24</w:t>
            </w:r>
          </w:p>
        </w:tc>
        <w:tc>
          <w:tcPr>
            <w:tcW w:w="86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41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70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19"/>
                <w:szCs w:val="19"/>
                <w:color w:val="auto"/>
              </w:rPr>
            </w:pPr>
          </w:p>
        </w:tc>
      </w:tr>
      <w:tr>
        <w:trPr>
          <w:trHeight w:val="234"/>
        </w:trPr>
        <w:tc>
          <w:tcPr>
            <w:tcW w:w="7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$46.5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Net of Income Tax Expense of $– and $–</w:t>
            </w:r>
          </w:p>
        </w:tc>
        <w:tc>
          <w:tcPr>
            <w:tcW w:w="3480" w:type="dxa"/>
            <w:vAlign w:val="bottom"/>
          </w:tcPr>
          <w:p>
            <w:pPr>
              <w:jc w:val="right"/>
              <w:ind w:right="390"/>
              <w:spacing w:after="0"/>
              <w:rPr>
                <w:sz w:val="20"/>
                <w:szCs w:val="20"/>
                <w:color w:val="auto"/>
              </w:rPr>
            </w:pPr>
            <w:r>
              <w:rPr>
                <w:rFonts w:ascii="Arial" w:cs="Arial" w:eastAsia="Arial" w:hAnsi="Arial"/>
                <w:sz w:val="18"/>
                <w:szCs w:val="18"/>
                <w:color w:val="auto"/>
              </w:rPr>
              <w:t>(0.3)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$0.1 and $0.1</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46.3</w:t>
            </w: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(19.8)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$66.1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398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Three Months Ended</w:t>
            </w:r>
          </w:p>
        </w:tc>
      </w:tr>
      <w:tr>
        <w:trPr>
          <w:trHeight w:val="216"/>
        </w:trPr>
        <w:tc>
          <w:tcPr>
            <w:tcW w:w="7220" w:type="dxa"/>
            <w:vAlign w:val="bottom"/>
          </w:tcPr>
          <w:p>
            <w:pPr>
              <w:spacing w:after="0"/>
              <w:rPr>
                <w:sz w:val="18"/>
                <w:szCs w:val="18"/>
                <w:color w:val="auto"/>
              </w:rPr>
            </w:pPr>
          </w:p>
        </w:tc>
        <w:tc>
          <w:tcPr>
            <w:tcW w:w="3980" w:type="dxa"/>
            <w:vAlign w:val="bottom"/>
            <w:gridSpan w:val="2"/>
          </w:tcPr>
          <w:p>
            <w:pPr>
              <w:jc w:val="right"/>
              <w:ind w:right="575"/>
              <w:spacing w:after="0"/>
              <w:rPr>
                <w:sz w:val="20"/>
                <w:szCs w:val="20"/>
                <w:color w:val="auto"/>
              </w:rPr>
            </w:pPr>
            <w:r>
              <w:rPr>
                <w:rFonts w:ascii="Arial" w:cs="Arial" w:eastAsia="Arial" w:hAnsi="Arial"/>
                <w:sz w:val="17"/>
                <w:szCs w:val="17"/>
                <w:b w:val="1"/>
                <w:bCs w:val="1"/>
                <w:color w:val="auto"/>
              </w:rPr>
              <w:t>March 31,</w:t>
            </w:r>
          </w:p>
        </w:tc>
      </w:tr>
      <w:tr>
        <w:trPr>
          <w:trHeight w:val="222"/>
        </w:trPr>
        <w:tc>
          <w:tcPr>
            <w:tcW w:w="7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r>
      <w:tr>
        <w:trPr>
          <w:trHeight w:val="212"/>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$46.5</w:t>
            </w:r>
          </w:p>
        </w:tc>
        <w:tc>
          <w:tcPr>
            <w:tcW w:w="880" w:type="dxa"/>
            <w:vAlign w:val="bottom"/>
          </w:tcPr>
          <w:p>
            <w:pPr>
              <w:jc w:val="right"/>
              <w:spacing w:after="0"/>
              <w:rPr>
                <w:sz w:val="20"/>
                <w:szCs w:val="20"/>
                <w:color w:val="auto"/>
              </w:rPr>
            </w:pPr>
            <w:r>
              <w:rPr>
                <w:rFonts w:ascii="Arial" w:cs="Arial" w:eastAsia="Arial" w:hAnsi="Arial"/>
                <w:sz w:val="17"/>
                <w:szCs w:val="17"/>
                <w:color w:val="auto"/>
              </w:rPr>
              <w:t>$43.4</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 Equity</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0.4</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(Gain) on Investments and Property, Plant and Equipment</w:t>
            </w:r>
          </w:p>
        </w:tc>
        <w:tc>
          <w:tcPr>
            <w:tcW w:w="3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61.7</w:t>
            </w:r>
          </w:p>
        </w:tc>
        <w:tc>
          <w:tcPr>
            <w:tcW w:w="880" w:type="dxa"/>
            <w:vAlign w:val="bottom"/>
          </w:tcPr>
          <w:p>
            <w:pPr>
              <w:jc w:val="right"/>
              <w:spacing w:after="0"/>
              <w:rPr>
                <w:sz w:val="20"/>
                <w:szCs w:val="20"/>
                <w:color w:val="auto"/>
              </w:rPr>
            </w:pPr>
            <w:r>
              <w:rPr>
                <w:rFonts w:ascii="Arial" w:cs="Arial" w:eastAsia="Arial" w:hAnsi="Arial"/>
                <w:sz w:val="17"/>
                <w:szCs w:val="17"/>
                <w:color w:val="auto"/>
              </w:rPr>
              <w:t>58.0</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PSAs</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2.1</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Pension and Postretirement Benefit Expense (Benefit)</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0.4</w:t>
            </w: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2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4.9</w:t>
            </w: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72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(98.9)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7220" w:type="dxa"/>
            <w:vAlign w:val="bottom"/>
          </w:tcPr>
          <w:p>
            <w:pPr>
              <w:ind w:left="460"/>
              <w:spacing w:after="0"/>
              <w:rPr>
                <w:sz w:val="20"/>
                <w:szCs w:val="20"/>
                <w:color w:val="auto"/>
              </w:rPr>
            </w:pPr>
            <w:r>
              <w:rPr>
                <w:rFonts w:ascii="Arial" w:cs="Arial" w:eastAsia="Arial" w:hAnsi="Arial"/>
                <w:sz w:val="17"/>
                <w:szCs w:val="17"/>
                <w:color w:val="auto"/>
              </w:rPr>
              <w:t>Prepayments and Other</w:t>
            </w:r>
          </w:p>
        </w:tc>
        <w:tc>
          <w:tcPr>
            <w:tcW w:w="3100" w:type="dxa"/>
            <w:vAlign w:val="bottom"/>
          </w:tcPr>
          <w:p>
            <w:pPr>
              <w:jc w:val="right"/>
              <w:ind w:right="155"/>
              <w:spacing w:after="0"/>
              <w:rPr>
                <w:sz w:val="20"/>
                <w:szCs w:val="20"/>
                <w:color w:val="auto"/>
              </w:rPr>
            </w:pPr>
            <w:r>
              <w:rPr>
                <w:rFonts w:ascii="Arial" w:cs="Arial" w:eastAsia="Arial" w:hAnsi="Arial"/>
                <w:sz w:val="17"/>
                <w:szCs w:val="17"/>
                <w:color w:val="auto"/>
              </w:rPr>
              <w:t>(7.4)</w:t>
            </w: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2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6"/>
        </w:trPr>
        <w:tc>
          <w:tcPr>
            <w:tcW w:w="7220" w:type="dxa"/>
            <w:vAlign w:val="bottom"/>
          </w:tcPr>
          <w:p>
            <w:pPr>
              <w:ind w:left="460"/>
              <w:spacing w:after="0"/>
              <w:rPr>
                <w:sz w:val="20"/>
                <w:szCs w:val="20"/>
                <w:color w:val="auto"/>
              </w:rPr>
            </w:pPr>
            <w:r>
              <w:rPr>
                <w:rFonts w:ascii="Arial" w:cs="Arial" w:eastAsia="Arial" w:hAnsi="Arial"/>
                <w:sz w:val="17"/>
                <w:szCs w:val="17"/>
                <w:color w:val="auto"/>
              </w:rPr>
              <w:t>Other Current Liabilities</w:t>
            </w:r>
          </w:p>
        </w:tc>
        <w:tc>
          <w:tcPr>
            <w:tcW w:w="3100" w:type="dxa"/>
            <w:vAlign w:val="bottom"/>
          </w:tcPr>
          <w:p>
            <w:pPr>
              <w:jc w:val="right"/>
              <w:ind w:right="155"/>
              <w:spacing w:after="0"/>
              <w:rPr>
                <w:sz w:val="20"/>
                <w:szCs w:val="20"/>
                <w:color w:val="auto"/>
              </w:rPr>
            </w:pPr>
            <w:r>
              <w:rPr>
                <w:rFonts w:ascii="Arial" w:cs="Arial" w:eastAsia="Arial" w:hAnsi="Arial"/>
                <w:sz w:val="17"/>
                <w:szCs w:val="17"/>
                <w:color w:val="auto"/>
              </w:rPr>
              <w:t>(1.0)</w:t>
            </w:r>
          </w:p>
        </w:tc>
        <w:tc>
          <w:tcPr>
            <w:tcW w:w="88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3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2.0</w:t>
            </w:r>
          </w:p>
        </w:tc>
        <w:tc>
          <w:tcPr>
            <w:tcW w:w="8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7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3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0"/>
        </w:trPr>
        <w:tc>
          <w:tcPr>
            <w:tcW w:w="72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(used in) provided by Operating Activities</w:t>
            </w:r>
          </w:p>
        </w:tc>
        <w:tc>
          <w:tcPr>
            <w:tcW w:w="3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w:t>
            </w: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0.5</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3100" w:type="dxa"/>
            <w:vAlign w:val="bottom"/>
          </w:tcPr>
          <w:p>
            <w:pPr>
              <w:jc w:val="right"/>
              <w:ind w:right="155"/>
              <w:spacing w:after="0"/>
              <w:rPr>
                <w:sz w:val="20"/>
                <w:szCs w:val="20"/>
                <w:color w:val="auto"/>
              </w:rPr>
            </w:pPr>
            <w:r>
              <w:rPr>
                <w:rFonts w:ascii="Arial" w:cs="Arial" w:eastAsia="Arial" w:hAnsi="Arial"/>
                <w:sz w:val="17"/>
                <w:szCs w:val="17"/>
                <w:color w:val="auto"/>
              </w:rPr>
              <w:t>(2.7)</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(57.3)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r>
      <w:tr>
        <w:trPr>
          <w:trHeight w:val="216"/>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3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(0.2)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0"/>
        </w:trPr>
        <w:tc>
          <w:tcPr>
            <w:tcW w:w="72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used in Investing Activities</w:t>
            </w:r>
          </w:p>
        </w:tc>
        <w:tc>
          <w:tcPr>
            <w:tcW w:w="3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(60.1)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w:t>
            </w:r>
          </w:p>
        </w:tc>
      </w:tr>
      <w:tr>
        <w:trPr>
          <w:trHeight w:val="210"/>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3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228.9</w:t>
            </w:r>
          </w:p>
        </w:tc>
        <w:tc>
          <w:tcPr>
            <w:tcW w:w="880" w:type="dxa"/>
            <w:vAlign w:val="bottom"/>
          </w:tcPr>
          <w:p>
            <w:pPr>
              <w:jc w:val="right"/>
              <w:spacing w:after="0"/>
              <w:rPr>
                <w:sz w:val="20"/>
                <w:szCs w:val="20"/>
                <w:color w:val="auto"/>
              </w:rPr>
            </w:pPr>
            <w:r>
              <w:rPr>
                <w:rFonts w:ascii="Arial" w:cs="Arial" w:eastAsia="Arial" w:hAnsi="Arial"/>
                <w:sz w:val="17"/>
                <w:szCs w:val="17"/>
                <w:color w:val="auto"/>
              </w:rPr>
              <w:t>194.9</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(259.2)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6"/>
        </w:trPr>
        <w:tc>
          <w:tcPr>
            <w:tcW w:w="7220" w:type="dxa"/>
            <w:vAlign w:val="bottom"/>
          </w:tcPr>
          <w:p>
            <w:pPr>
              <w:ind w:left="220"/>
              <w:spacing w:after="0"/>
              <w:rPr>
                <w:sz w:val="20"/>
                <w:szCs w:val="20"/>
                <w:color w:val="auto"/>
              </w:rPr>
            </w:pPr>
            <w:r>
              <w:rPr>
                <w:rFonts w:ascii="Arial" w:cs="Arial" w:eastAsia="Arial" w:hAnsi="Arial"/>
                <w:sz w:val="17"/>
                <w:szCs w:val="17"/>
                <w:color w:val="auto"/>
              </w:rPr>
              <w:t>Proceeds from Non-Controlling Interest in Subsidiaries - Net</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154.1</w:t>
            </w:r>
          </w:p>
        </w:tc>
        <w:tc>
          <w:tcPr>
            <w:tcW w:w="88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3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(34.5)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16"/>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Financing Activities</w:t>
            </w:r>
          </w:p>
        </w:tc>
        <w:tc>
          <w:tcPr>
            <w:tcW w:w="3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10"/>
        </w:trPr>
        <w:tc>
          <w:tcPr>
            <w:tcW w:w="72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provided by Financing Activities</w:t>
            </w:r>
          </w:p>
        </w:tc>
        <w:tc>
          <w:tcPr>
            <w:tcW w:w="3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92.2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154.2</w:t>
            </w:r>
          </w:p>
        </w:tc>
      </w:tr>
      <w:tr>
        <w:trPr>
          <w:trHeight w:val="209"/>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3100" w:type="dxa"/>
            <w:vAlign w:val="bottom"/>
          </w:tcPr>
          <w:p>
            <w:pPr>
              <w:jc w:val="right"/>
              <w:ind w:right="195"/>
              <w:spacing w:after="0"/>
              <w:rPr>
                <w:sz w:val="20"/>
                <w:szCs w:val="20"/>
                <w:color w:val="auto"/>
              </w:rPr>
            </w:pPr>
            <w:r>
              <w:rPr>
                <w:rFonts w:ascii="Arial" w:cs="Arial" w:eastAsia="Arial" w:hAnsi="Arial"/>
                <w:sz w:val="17"/>
                <w:szCs w:val="17"/>
                <w:color w:val="auto"/>
              </w:rPr>
              <w:t>27.3</w:t>
            </w:r>
          </w:p>
        </w:tc>
        <w:tc>
          <w:tcPr>
            <w:tcW w:w="880" w:type="dxa"/>
            <w:vAlign w:val="bottom"/>
          </w:tcPr>
          <w:p>
            <w:pPr>
              <w:jc w:val="right"/>
              <w:spacing w:after="0"/>
              <w:rPr>
                <w:sz w:val="20"/>
                <w:szCs w:val="20"/>
                <w:color w:val="auto"/>
              </w:rPr>
            </w:pPr>
            <w:r>
              <w:rPr>
                <w:rFonts w:ascii="Arial" w:cs="Arial" w:eastAsia="Arial" w:hAnsi="Arial"/>
                <w:sz w:val="17"/>
                <w:szCs w:val="17"/>
                <w:color w:val="auto"/>
              </w:rPr>
              <w:t>111.8</w:t>
            </w:r>
          </w:p>
        </w:tc>
      </w:tr>
      <w:tr>
        <w:trPr>
          <w:trHeight w:val="216"/>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3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47.7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0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3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$75.0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19"/>
                <w:szCs w:val="19"/>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640" w:type="dxa"/>
            <w:vAlign w:val="bottom"/>
          </w:tcPr>
          <w:p>
            <w:pPr>
              <w:spacing w:after="0"/>
              <w:rPr>
                <w:sz w:val="19"/>
                <w:szCs w:val="19"/>
                <w:color w:val="auto"/>
              </w:rPr>
            </w:pPr>
          </w:p>
        </w:tc>
        <w:tc>
          <w:tcPr>
            <w:tcW w:w="26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$1,536.7</w:t>
            </w:r>
          </w:p>
        </w:tc>
        <w:tc>
          <w:tcPr>
            <w:tcW w:w="920" w:type="dxa"/>
            <w:vAlign w:val="bottom"/>
          </w:tcPr>
          <w:p>
            <w:pPr>
              <w:jc w:val="right"/>
              <w:spacing w:after="0"/>
              <w:rPr>
                <w:sz w:val="20"/>
                <w:szCs w:val="20"/>
                <w:color w:val="auto"/>
              </w:rPr>
            </w:pPr>
            <w:r>
              <w:rPr>
                <w:rFonts w:ascii="Arial" w:cs="Arial" w:eastAsia="Arial" w:hAnsi="Arial"/>
                <w:sz w:val="18"/>
                <w:szCs w:val="18"/>
                <w:color w:val="auto"/>
              </w:rPr>
              <w:t>$1,460.9</w:t>
            </w:r>
          </w:p>
        </w:tc>
      </w:tr>
      <w:tr>
        <w:trPr>
          <w:trHeight w:val="230"/>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1,541.3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1,467.6</w:t>
            </w:r>
          </w:p>
        </w:tc>
      </w:tr>
      <w:tr>
        <w:trPr>
          <w:trHeight w:val="250"/>
        </w:trPr>
        <w:tc>
          <w:tcPr>
            <w:tcW w:w="86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Debt Securities</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50"/>
        </w:trPr>
        <w:tc>
          <w:tcPr>
            <w:tcW w:w="86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900.2</w:t>
            </w:r>
          </w:p>
        </w:tc>
        <w:tc>
          <w:tcPr>
            <w:tcW w:w="920" w:type="dxa"/>
            <w:vAlign w:val="bottom"/>
          </w:tcPr>
          <w:p>
            <w:pPr>
              <w:jc w:val="right"/>
              <w:spacing w:after="0"/>
              <w:rPr>
                <w:sz w:val="20"/>
                <w:szCs w:val="20"/>
                <w:color w:val="auto"/>
              </w:rPr>
            </w:pPr>
            <w:r>
              <w:rPr>
                <w:rFonts w:ascii="Arial" w:cs="Arial" w:eastAsia="Arial" w:hAnsi="Arial"/>
                <w:sz w:val="18"/>
                <w:szCs w:val="18"/>
                <w:color w:val="auto"/>
              </w:rPr>
              <w:t>864.8</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8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r>
      <w:tr>
        <w:trPr>
          <w:trHeight w:val="250"/>
        </w:trPr>
        <w:tc>
          <w:tcPr>
            <w:tcW w:w="86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533.2</w:t>
            </w:r>
          </w:p>
        </w:tc>
        <w:tc>
          <w:tcPr>
            <w:tcW w:w="920" w:type="dxa"/>
            <w:vAlign w:val="bottom"/>
          </w:tcPr>
          <w:p>
            <w:pPr>
              <w:jc w:val="right"/>
              <w:spacing w:after="0"/>
              <w:rPr>
                <w:sz w:val="20"/>
                <w:szCs w:val="20"/>
                <w:color w:val="auto"/>
              </w:rPr>
            </w:pPr>
            <w:r>
              <w:rPr>
                <w:rFonts w:ascii="Arial" w:cs="Arial" w:eastAsia="Arial" w:hAnsi="Arial"/>
                <w:sz w:val="18"/>
                <w:szCs w:val="18"/>
                <w:color w:val="auto"/>
              </w:rPr>
              <w:t>505.6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694.2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r>
      <w:tr>
        <w:trPr>
          <w:trHeight w:val="250"/>
        </w:trPr>
        <w:tc>
          <w:tcPr>
            <w:tcW w:w="86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$3,143.5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$2,846.4</w:t>
            </w:r>
          </w:p>
        </w:tc>
      </w:tr>
      <w:tr>
        <w:trPr>
          <w:trHeight w:val="250"/>
        </w:trPr>
        <w:tc>
          <w:tcPr>
            <w:tcW w:w="86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r>
      <w:tr>
        <w:trPr>
          <w:trHeight w:val="318"/>
        </w:trPr>
        <w:tc>
          <w:tcPr>
            <w:tcW w:w="8640" w:type="dxa"/>
            <w:vAlign w:val="bottom"/>
          </w:tcPr>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2021,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2022, are not necessarily indicative of results that may be expected for any other interim period or for the year ending December 31, 2022. For further information, refer to the Consolidated Financial Statements and notes included in our 2021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March 31, 2022, restricted cash amounts included in Prepayments and Other on the Consolidated Balance Sheet include collateral deposits required under ALLETE Clean Energy loan and tax equity financing agreements.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$60.1</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$45.1</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$159.0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17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2.3</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line="169" w:lineRule="exact"/>
              <w:rPr>
                <w:sz w:val="20"/>
                <w:szCs w:val="20"/>
                <w:color w:val="auto"/>
              </w:rPr>
            </w:pPr>
            <w:r>
              <w:rPr>
                <w:rFonts w:ascii="Arial" w:cs="Arial" w:eastAsia="Arial" w:hAnsi="Arial"/>
                <w:sz w:val="18"/>
                <w:szCs w:val="18"/>
                <w:color w:val="auto"/>
                <w:w w:val="98"/>
              </w:rPr>
              <w:t>Cash, Cash Equivalents and Restricted Cash on the Consolidated</w:t>
            </w:r>
          </w:p>
        </w:tc>
        <w:tc>
          <w:tcPr>
            <w:tcW w:w="1540" w:type="dxa"/>
            <w:vAlign w:val="bottom"/>
            <w:vMerge w:val="restart"/>
          </w:tcPr>
          <w:p>
            <w:pPr>
              <w:jc w:val="right"/>
              <w:ind w:right="190"/>
              <w:spacing w:after="0"/>
              <w:rPr>
                <w:sz w:val="20"/>
                <w:szCs w:val="20"/>
                <w:color w:val="auto"/>
              </w:rPr>
            </w:pPr>
            <w:r>
              <w:rPr>
                <w:rFonts w:ascii="Arial" w:cs="Arial" w:eastAsia="Arial" w:hAnsi="Arial"/>
                <w:sz w:val="18"/>
                <w:szCs w:val="18"/>
                <w:color w:val="auto"/>
              </w:rPr>
              <w:t>$75.0</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$47.7</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color w:val="auto"/>
              </w:rPr>
              <w:t>$177.0</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5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392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auto"/>
            </w:tcBorders>
            <w:vMerge w:val="continue"/>
          </w:tcPr>
          <w:p>
            <w:pPr>
              <w:spacing w:after="0"/>
              <w:rPr>
                <w:sz w:val="19"/>
                <w:szCs w:val="19"/>
                <w:color w:val="auto"/>
              </w:rPr>
            </w:pPr>
          </w:p>
        </w:tc>
        <w:tc>
          <w:tcPr>
            <w:tcW w:w="3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92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132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Construction of Wind Energy Facilities </w:t>
            </w:r>
            <w:r>
              <w:rPr>
                <w:rFonts w:ascii="Arial" w:cs="Arial" w:eastAsia="Arial" w:hAnsi="Arial"/>
                <w:sz w:val="16"/>
                <w:szCs w:val="16"/>
                <w:i w:val="1"/>
                <w:iCs w:val="1"/>
                <w:color w:val="auto"/>
              </w:rPr>
              <w:t>(b)</w:t>
            </w:r>
          </w:p>
        </w:tc>
        <w:tc>
          <w:tcPr>
            <w:tcW w:w="3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$196.6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403"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Project costs related to ALLETE Clean Energy’s Northern Wind and Red Barn wind projects which are expected to be sold in late 2022 and 2023, respectively. (See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ind w:left="100"/>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her Non-Current Assets</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780" w:type="dxa"/>
            <w:vAlign w:val="bottom"/>
            <w:gridSpan w:val="2"/>
            <w:vMerge w:val="continue"/>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illions</w:t>
            </w:r>
          </w:p>
        </w:tc>
        <w:tc>
          <w:tcPr>
            <w:tcW w:w="1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 xml:space="preserve">ntract Assets </w:t>
            </w:r>
            <w:r>
              <w:rPr>
                <w:rFonts w:ascii="Arial" w:cs="Arial" w:eastAsia="Arial" w:hAnsi="Arial"/>
                <w:sz w:val="16"/>
                <w:szCs w:val="16"/>
                <w:i w:val="1"/>
                <w:iCs w:val="1"/>
                <w:color w:val="auto"/>
              </w:rPr>
              <w:t>(a)</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$22.7</w:t>
            </w: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erating Lease Right-of-use Assets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15.4</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LLETE Properties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stricted Cash</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her Postretirement Benefit Plans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65.4</w:t>
            </w: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her</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81.7</w:t>
            </w:r>
          </w:p>
        </w:tc>
        <w:tc>
          <w:tcPr>
            <w:tcW w:w="13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tal Other Non-Current Assets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$212.4</w:t>
            </w:r>
          </w:p>
        </w:tc>
        <w:tc>
          <w:tcPr>
            <w:tcW w:w="130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-1036320</wp:posOffset>
            </wp:positionV>
            <wp:extent cx="69005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-744855</wp:posOffset>
            </wp:positionV>
            <wp:extent cx="69005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-453390</wp:posOffset>
            </wp:positionV>
            <wp:extent cx="690054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-161925</wp:posOffset>
            </wp:positionV>
            <wp:extent cx="69005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54305"/>
                    </a:xfrm>
                    <a:prstGeom prst="rect">
                      <a:avLst/>
                    </a:prstGeom>
                    <a:noFill/>
                  </pic:spPr>
                </pic:pic>
              </a:graphicData>
            </a:graphic>
          </wp:anchor>
        </w:drawing>
      </w:r>
    </w:p>
    <w:p>
      <w:pPr>
        <w:spacing w:after="0" w:line="65" w:lineRule="exact"/>
        <w:rPr>
          <w:sz w:val="20"/>
          <w:szCs w:val="20"/>
          <w:color w:val="auto"/>
        </w:rPr>
      </w:pPr>
    </w:p>
    <w:p>
      <w:pPr>
        <w:ind w:left="440" w:hanging="332"/>
        <w:spacing w:after="0" w:line="275" w:lineRule="auto"/>
        <w:tabs>
          <w:tab w:leader="none" w:pos="4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her Current Liabilities</w:t>
            </w:r>
          </w:p>
        </w:tc>
        <w:tc>
          <w:tcPr>
            <w:tcW w:w="39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720" w:type="dxa"/>
            <w:vAlign w:val="bottom"/>
            <w:gridSpan w:val="2"/>
            <w:vMerge w:val="continue"/>
          </w:tcPr>
          <w:p>
            <w:pPr>
              <w:spacing w:after="0"/>
              <w:rPr>
                <w:sz w:val="19"/>
                <w:szCs w:val="19"/>
                <w:color w:val="auto"/>
              </w:rPr>
            </w:pPr>
          </w:p>
        </w:tc>
        <w:tc>
          <w:tcPr>
            <w:tcW w:w="3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39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stomer Deposits </w:t>
            </w:r>
            <w:r>
              <w:rPr>
                <w:rFonts w:ascii="Arial" w:cs="Arial" w:eastAsia="Arial" w:hAnsi="Arial"/>
                <w:sz w:val="16"/>
                <w:szCs w:val="16"/>
                <w:i w:val="1"/>
                <w:iCs w:val="1"/>
                <w:color w:val="auto"/>
              </w:rPr>
              <w:t>(a)</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As</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100" w:type="dxa"/>
            <w:vAlign w:val="bottom"/>
            <w:vMerge w:val="restart"/>
          </w:tcPr>
          <w:p>
            <w:pPr>
              <w:spacing w:after="0"/>
              <w:rPr>
                <w:sz w:val="20"/>
                <w:szCs w:val="20"/>
                <w:color w:val="auto"/>
              </w:rPr>
            </w:pPr>
            <w:r>
              <w:rPr>
                <w:rFonts w:ascii="Arial" w:cs="Arial" w:eastAsia="Arial" w:hAnsi="Arial"/>
                <w:sz w:val="13"/>
                <w:szCs w:val="13"/>
                <w:color w:val="auto"/>
                <w:w w:val="78"/>
              </w:rPr>
              <w:t>el</w:t>
            </w: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anufactured Gas Plant </w:t>
            </w:r>
            <w:r>
              <w:rPr>
                <w:rFonts w:ascii="Arial" w:cs="Arial" w:eastAsia="Arial" w:hAnsi="Arial"/>
                <w:sz w:val="16"/>
                <w:szCs w:val="16"/>
                <w:i w:val="1"/>
                <w:iCs w:val="1"/>
                <w:color w:val="auto"/>
              </w:rPr>
              <w:t>(b)</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Adjustment Clause</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erating Lease Liabilities</w:t>
            </w:r>
          </w:p>
        </w:tc>
        <w:tc>
          <w:tcPr>
            <w:tcW w:w="3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deemable Non-Controlling Interest </w:t>
            </w:r>
            <w:r>
              <w:rPr>
                <w:rFonts w:ascii="Arial" w:cs="Arial" w:eastAsia="Arial" w:hAnsi="Arial"/>
                <w:sz w:val="16"/>
                <w:szCs w:val="16"/>
                <w:i w:val="1"/>
                <w:iCs w:val="1"/>
                <w:color w:val="auto"/>
              </w:rPr>
              <w:t>(c)</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her</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56.9</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tal Other Current Liabilities</w:t>
            </w:r>
          </w:p>
        </w:tc>
        <w:tc>
          <w:tcPr>
            <w:tcW w:w="3980" w:type="dxa"/>
            <w:vAlign w:val="bottom"/>
          </w:tcPr>
          <w:p>
            <w:pPr>
              <w:jc w:val="right"/>
              <w:ind w:right="190"/>
              <w:spacing w:after="0"/>
              <w:rPr>
                <w:sz w:val="20"/>
                <w:szCs w:val="20"/>
                <w:color w:val="auto"/>
              </w:rPr>
            </w:pPr>
            <w:r>
              <w:rPr>
                <w:rFonts w:ascii="Arial" w:cs="Arial" w:eastAsia="Arial" w:hAnsi="Arial"/>
                <w:sz w:val="18"/>
                <w:szCs w:val="18"/>
                <w:color w:val="auto"/>
              </w:rPr>
              <w:t>$108.8</w:t>
            </w:r>
          </w:p>
        </w:tc>
        <w:tc>
          <w:tcPr>
            <w:tcW w:w="128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-307975</wp:posOffset>
            </wp:positionV>
            <wp:extent cx="690943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51" w:lineRule="exact"/>
        <w:rPr>
          <w:sz w:val="20"/>
          <w:szCs w:val="20"/>
          <w:color w:val="auto"/>
        </w:rPr>
      </w:pPr>
    </w:p>
    <w:p>
      <w:pPr>
        <w:ind w:left="440" w:hanging="332"/>
        <w:spacing w:after="0" w:line="255" w:lineRule="auto"/>
        <w:tabs>
          <w:tab w:leader="none" w:pos="34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and Red Barn wind projects which are expected to be sold in late 2022 and 2023, respectively. (See Inventories – Net.)</w:t>
      </w:r>
    </w:p>
    <w:p>
      <w:pPr>
        <w:spacing w:after="0" w:line="1" w:lineRule="exact"/>
        <w:rPr>
          <w:rFonts w:ascii="Arial" w:cs="Arial" w:eastAsia="Arial" w:hAnsi="Arial"/>
          <w:sz w:val="16"/>
          <w:szCs w:val="16"/>
          <w:i w:val="1"/>
          <w:iCs w:val="1"/>
          <w:color w:val="auto"/>
        </w:rPr>
      </w:pPr>
    </w:p>
    <w:p>
      <w:pPr>
        <w:ind w:left="440" w:hanging="332"/>
        <w:spacing w:after="0" w:line="246" w:lineRule="auto"/>
        <w:tabs>
          <w:tab w:leader="none" w:pos="3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w:t>
      </w:r>
    </w:p>
    <w:p>
      <w:pPr>
        <w:ind w:left="440" w:hanging="332"/>
        <w:spacing w:after="0" w:line="257" w:lineRule="auto"/>
        <w:tabs>
          <w:tab w:leader="none" w:pos="336"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from Non-Controlling Interest in Subsidiaries resulting from the exercise of an option to buy out a non-controlling interest, which was paid in the first quarter of 2022.</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1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vMerge w:val="continue"/>
          </w:tcPr>
          <w:p>
            <w:pPr>
              <w:spacing w:after="0"/>
              <w:rPr>
                <w:sz w:val="19"/>
                <w:szCs w:val="19"/>
                <w:color w:val="auto"/>
              </w:rPr>
            </w:pPr>
          </w:p>
        </w:tc>
        <w:tc>
          <w:tcPr>
            <w:tcW w:w="4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PSAs</w:t>
            </w:r>
          </w:p>
        </w:tc>
        <w:tc>
          <w:tcPr>
            <w:tcW w:w="4180" w:type="dxa"/>
            <w:vAlign w:val="bottom"/>
          </w:tcPr>
          <w:p>
            <w:pPr>
              <w:jc w:val="right"/>
              <w:ind w:right="210"/>
              <w:spacing w:after="0"/>
              <w:rPr>
                <w:sz w:val="20"/>
                <w:szCs w:val="20"/>
                <w:color w:val="auto"/>
              </w:rPr>
            </w:pPr>
            <w:r>
              <w:rPr>
                <w:rFonts w:ascii="Arial" w:cs="Arial" w:eastAsia="Arial" w:hAnsi="Arial"/>
                <w:sz w:val="18"/>
                <w:szCs w:val="18"/>
                <w:color w:val="auto"/>
              </w:rPr>
              <w:t>36.3</w:t>
            </w: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18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4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$287.6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40" w:hanging="332"/>
        <w:spacing w:after="0" w:line="252"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$28.5 million in Other Non-Current Assets on the Consolidated Balance Sheet as of March 31, 2022, ($28.5 million as of December 31, 2021).</w:t>
      </w:r>
    </w:p>
    <w:p>
      <w:pPr>
        <w:spacing w:after="0" w:line="1" w:lineRule="exact"/>
        <w:rPr>
          <w:rFonts w:ascii="Arial" w:cs="Arial" w:eastAsia="Arial" w:hAnsi="Arial"/>
          <w:sz w:val="16"/>
          <w:szCs w:val="16"/>
          <w:i w:val="1"/>
          <w:iCs w:val="1"/>
          <w:color w:val="auto"/>
        </w:rPr>
      </w:pPr>
    </w:p>
    <w:p>
      <w:pPr>
        <w:ind w:left="440" w:hanging="332"/>
        <w:spacing w:after="0" w:line="257" w:lineRule="auto"/>
        <w:tabs>
          <w:tab w:leader="none" w:pos="4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non-current liability for remediation of a former manufactured gas plant site located in Superior, Wisconsin, and formerly operated by SWL&amp;P.</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22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Interest and Investment Income</w:t>
            </w:r>
          </w:p>
        </w:tc>
        <w:tc>
          <w:tcPr>
            <w:tcW w:w="2200" w:type="dxa"/>
            <w:vAlign w:val="bottom"/>
          </w:tcPr>
          <w:p>
            <w:pPr>
              <w:jc w:val="right"/>
              <w:ind w:right="53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2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(0.2)</w:t>
            </w: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71" w:lineRule="exact"/>
        <w:rPr>
          <w:sz w:val="20"/>
          <w:szCs w:val="20"/>
          <w:color w:val="auto"/>
        </w:rPr>
      </w:pPr>
    </w:p>
    <w:p>
      <w:pPr>
        <w:ind w:left="340" w:hanging="332"/>
        <w:spacing w:after="0" w:line="27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$22.4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30"/>
        </w:trPr>
        <w:tc>
          <w:tcPr>
            <w:tcW w:w="8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2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$0.9</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April 15, 2022, a wholly-owned subsidiary of ALLETE acquired 100 percent of the membership interests of New Energy for a purchase price of $165.5 million. Total consideration of approximately $158.7 million was paid in cash on the acquisition date, which is net of cash acquired, debt assumed and subject to a working capital adjustment. New Energy, which is headquartered in Annapolis, Maryland, is a renewable energy development and finance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 Due to the limited amount of time since the acquisition date, the preliminary acquisition valuation for the business combination is incomplete at this time. As a result, we are unable to provide the amounts recognized as of the acquisition date for the major classes of assets acquired and liabilities assumed, including goodwill. Transaction costs related to the acquisition were expensed as incurred and were not material to results presented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2021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$6.5 million for the three months ended March 31, 2022 ($9.6 million for the three months ended March 31, 2021).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 We cannot predict the level of final rates that may be authorized by the MPUC.</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April 29, 2022, SWL&amp;P filed a rate increase request with the PSCW seeking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The filing seeks an overall return on equity of 10.4 percent and a 55 percent equity ratio. On an annualized basis, the requested final rate increase would generate approximately $3.3 million in additional revenue.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Renewable Cost Recovery Rider</w:t>
      </w:r>
      <w:r>
        <w:rPr>
          <w:rFonts w:ascii="Arial" w:cs="Arial" w:eastAsia="Arial" w:hAnsi="Arial"/>
          <w:sz w:val="16"/>
          <w:szCs w:val="16"/>
          <w:color w:val="auto"/>
        </w:rPr>
        <w:t>. Minnesota Power has an approved cost recovery rider in place to charge retail customers on a current basis for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renewable investments and expenditures, including a return on the capital invested. Current customer billing rates for the renewable cost recovery rider were approved by the MPUC in a 2020 order. On February 2, 2022, Minnesota Power submitted its 2022 renewable factor filing, which included a request to recover a regulatory asset of $3.8 million related to the recognition of production tax credits due to a metering error at Bison. If the filing is approved, Minnesota Power would be authorized to include updated billing rates on customer bills; any portion disallowed would be charged to earnings.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Fuel Adjustment Clause</w:t>
      </w:r>
      <w:r>
        <w:rPr>
          <w:rFonts w:ascii="Arial" w:cs="Arial" w:eastAsia="Arial" w:hAnsi="Arial"/>
          <w:sz w:val="17"/>
          <w:szCs w:val="17"/>
          <w:color w:val="auto"/>
        </w:rPr>
        <w:t>. In 2020, Minnesota Power filed its fuel adjustment forecast for 2021, which was approved by the MPUC in a December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order, subject to the annual prudence review and true-up filing in 2022. During 2021, Minnesota Power incurred higher fuel and purchased power costs than those forecasted in its May 2020 filing, which resulted in the recognition of an approximately $56 million regulatory asset through December 31, 2021. Minnesota Power submitted its annual true-up filing and a significant events filing in March 2022 requesting recovery of these under-collected fuel adjustment clause recoveries. No parties objected to the request; recovery of the regulatory asset began in April 2022 and will continue through mid-2023, subject to final approval by the MPUC which is expected in mid-2022.</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223.2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101.5</w:t>
            </w:r>
          </w:p>
        </w:tc>
        <w:tc>
          <w:tcPr>
            <w:tcW w:w="146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Recovery Riders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33.5</w:t>
            </w: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17.4</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PPACA Income Tax Deferral</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Residential Customer Interim Rate Adjustment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Non-Current Regulatory Assets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464.2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Assets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$504.0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(b)</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344.8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83.0</w:t>
            </w:r>
          </w:p>
        </w:tc>
        <w:tc>
          <w:tcPr>
            <w:tcW w:w="146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54.2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13.7</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533.4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$541.1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March 31, 2022</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ATC’s authorized return on equity is 10.02 percent, or 10.52 percent including an incentive adder for participation in a regional transmission organization, based on a 2020 FERC order which is subject to various outstanding legal challenges related to the refund period ordered by the FERC. If these legal challenges are successful, ATC may be required to provide refunds to its customers of up to approximately $66 million of which our share would be approximately $5 million pre-tax. 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a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March 31, 2022</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$3.2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2021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2022, and December 31, 2021.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2"/>
        </w:trPr>
        <w:tc>
          <w:tcPr>
            <w:tcW w:w="6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w w:val="99"/>
              </w:rPr>
              <w:t>Fair Value as of March 31, 2022</w:t>
            </w:r>
          </w:p>
        </w:tc>
        <w:tc>
          <w:tcPr>
            <w:tcW w:w="740" w:type="dxa"/>
            <w:vAlign w:val="bottom"/>
          </w:tcPr>
          <w:p>
            <w:pPr>
              <w:spacing w:after="0"/>
              <w:rPr>
                <w:sz w:val="21"/>
                <w:szCs w:val="21"/>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122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$5.5</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196"/>
        </w:trPr>
        <w:tc>
          <w:tcPr>
            <w:tcW w:w="6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$16.5</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$16.5</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88"/>
        </w:trPr>
        <w:tc>
          <w:tcPr>
            <w:tcW w:w="622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2021</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$11.4</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61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bl>
    <w:p>
      <w:pPr>
        <w:spacing w:after="0" w:line="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2" w:lineRule="auto"/>
        <w:tabs>
          <w:tab w:leader="none" w:pos="3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2022, the aggregate amount of available-for-sale corporate and governmental debt securities maturing in one year or less was $0.8 million, in one year to less than three years was $2.7 million, in three years to less than five years was $1.5 million and in five or more years was $0.5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March 31, 2022</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$1,956.1</w:t>
            </w:r>
          </w:p>
        </w:tc>
        <w:tc>
          <w:tcPr>
            <w:tcW w:w="1660" w:type="dxa"/>
            <w:vAlign w:val="bottom"/>
          </w:tcPr>
          <w:p>
            <w:pPr>
              <w:jc w:val="right"/>
              <w:spacing w:after="0"/>
              <w:rPr>
                <w:sz w:val="20"/>
                <w:szCs w:val="20"/>
                <w:color w:val="auto"/>
              </w:rPr>
            </w:pPr>
            <w:r>
              <w:rPr>
                <w:rFonts w:ascii="Arial" w:cs="Arial" w:eastAsia="Arial" w:hAnsi="Arial"/>
                <w:sz w:val="18"/>
                <w:szCs w:val="18"/>
                <w:color w:val="auto"/>
              </w:rPr>
              <w:t>$1,962.9</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2021</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$1,986.4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three months ended March 31, 2022, and the year ended December 31, 2021, there were no indicators of impairment for these non-financial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A continued decline in energy prices or lower wind resource expectations could result in a future impairment.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March 31, 2022, and December 31,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$278.3</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1,677.8</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$1,956.1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$214.4</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1,772.0</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$1,986.4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$33.2 million outstanding in standby letters of credit and $70.6 million outstanding draws under our lines of credit as of March 31, 2022 ($31.5 million in standby letters of credit and $159.7 million outstanding draws as of December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ALLETE entered into an unsecured term loan agreement (February Term Loan) to borrow up to $175 million. No draws were made on the February Term Loan, which was subsequently terminated in April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2022, ALLETE entered into a $170 million unsecured term loan agreement (March Term Loan). The Term Loan is due March 23, 2023, and may be repaid at any time. Interest is payable monthly at a rate per annum equal to SOFR plus 0.75 percent. Proceeds from the Term Loan were used for general corporate purposes.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2022, our ratio was approximately 0.40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2022,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2021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March 31, 2022, Square Butte had total debt outstanding of $218.3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three months ended March 31, 2022, was $20.3 million ($19.6 million for the same period in 2021). This reflects Minnesota Power’s pro rata share of total Square Butte costs based on the 50 percent output entitlement. Included in this amount was Minnesota Power’s pro rata share of interest expense of $1.0 million ($1.5 million for the same period in 2021).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32 percent in 2022 and 28 percent in 2021.</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2022.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in March 2021, to revise the 2016 CSAPR Update does not apply to the state of Minnesota and is therefore not currently projected to affect Minnesota Power’s CSAPR compliance. Minnesota Power will continue to monitor ongoing CSAPR rulemakings and compliance implementation.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National Ambient Air Quality Standards (NAAQS). </w:t>
      </w:r>
      <w:r>
        <w:rPr>
          <w:rFonts w:ascii="Arial" w:cs="Arial" w:eastAsia="Arial" w:hAnsi="Arial"/>
          <w:sz w:val="17"/>
          <w:szCs w:val="17"/>
          <w:color w:val="auto"/>
        </w:rPr>
        <w:t>The EPA is required to review the NAAQS every five years. If the EPA determines that a state’s air</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as well as particulate matter. In June 2021, the EPA announced it will reconsider the December 2020 final rule retaining the 2012 particulate matter NAAQS, with a proposed rulemaking anticipated in mid-2022. The EPA has not stated its intent with regard to the 2020 Ozone NAAQS rule finalized in December 2020.</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EPA Good Neighbor Plan for 2015 Ozone NAAQS</w:t>
      </w:r>
      <w:r>
        <w:rPr>
          <w:rFonts w:ascii="Arial" w:cs="Arial" w:eastAsia="Arial" w:hAnsi="Arial"/>
          <w:sz w:val="16"/>
          <w:szCs w:val="16"/>
          <w:color w:val="auto"/>
        </w:rPr>
        <w:t>. On April 6, 2022, the EPA published a proposed rule, the Good Neighbor Plan, to address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ozone transport for the 2015 Ozone NAAQS by reducing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emissions during the period of May 1st through September 30th (ozone season). This rule is intended to address certain good neighbor or interstate transport provisions of the Clean Air Act relative to the 2015 Ozone NAAQS. In the justification for the proposed rule, the EPA asserted that 26 states, including Minnesota, are modeled as significant contributors to downwind states’ challenges in attaining or maintaining ozone NAAQS compliance within their state borders. The Good Neighbor Plan proposes to resolve this interstate transport issue by implementing a variety of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reduction strategies, including federal implementation plan requirements,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 limitations, and ozone season allowance program requirements, beginning with the 2023 ozone season. The proposed rule would apply to fossil-fuel fired power plants in 25 states and certain other industrial sources in 23 states. Implementation of the rule would occur in part through changes to the existing CSAPR program.</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Minnesota Power is reviewing the proposed rule and assessing its potential impacts. Comments are due to the EPA by June 6, 2022. Anticipated compliance costs related to the Good Neighbor Plan cannot yet be estimated; however, the costs could be material, including costs of additional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controls, emission allowance program participation, or operational changes, if any are required. Minnesota Power would seek recovery of additional costs through a rate proceeding.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for review of the D.C. Circuit’s opinion were subsequently granted by the U.S. Supreme Court on October 29, 2021. Oral arguments were held on February 28, 2022, with a decision expected in mid-2022. In 2021, the EPA also indicated that it intends to issue a proposed rule in July 2022 and a final rule in July 2023 with a new set of emission guidelines for states to follow in submitting state plans to establish and implement standards of performance for GHG emissions from existing fossil fuel-fired electric generating units. Minnesota Power will continue to monitor any related guidelines and rulemakings issued by the EPA or state regulatory authorities.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Minnesota Power is monitoring the NSPS final rule and any further Section 111(b) developments including their potential impact to the Company. The proposed combined-cycle natural gas-fired generating facility, NTEC, is expected to meet these NSPS requirements.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preliminary effluent guidelines program plan. In the plan, the EPA confirmed the agency is initiating a rulemaking process to strengthen wastewater pollution limitations from FGD and bottom ash transport water discharges while the 2020 ELG Rule remains in effect. The EPA is expected to publish a proposed rule in the fall of 2022.</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the discharge of bottom ash transport water.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EPA’s additional reconsideration of legacy wastewater discharge requirements has the potential to reduce timelines for dewatering Boswell’s existing ponds. The timing of a draft rule addressing legacy wastewater and leachate is currently unknown.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on November 5,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This deadline has tolled forward as the EPA did not make any variance application determinations by that date. Minnesota Power sought EPA approval to extend the closure date for the two active Boswell impoundments in November 2020 through a variance application, and continues to operate the impoundments pending a final determination by the EPA. Additionally, the EPA released a proposed Part B rulemaking in February 2020 that addressed options for beneficial reuse of CCR materials, alternative liner demonstrations, and other CCR regulatory revisions. Portions of the Part B Rule addressing alternative liner equivalency standards were finalized in November 2020. According to the EPA’s regulatory agenda, finalization of the remainder of the proposed Part B Rule was expected in mid-2021, but has not yet been published.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We are reviewing and addressing environmental conditions at a former manufactured gas plant site located in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and formerly operated by SWL&amp;P. SWL&amp;P has been working with the Wisconsin Department of Natural Resources (WDNR) in determining the extent and location of contamination at the site and surrounding properties. As of March 31, 2022, we have recorded a liability of approximately $18 million for remediation costs at this site after further refining the scope of work and cost estimates as well as incorporating detailed design components specific to the site in 2021 (approximately $18 million as of December 31, 2021);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March 31, 2022, we had $147.2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March 31, 2022, we had $18.1 million outstanding in standby letters of credit at our Regulated Operations which are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as security to MISO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March 31, 2022, ALLETE Clean Energy has $93.4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March 31, 2022,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March 31, 2022, ALLETE South Wind has $11.8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South Shore Energy</w:t>
      </w:r>
      <w:r>
        <w:rPr>
          <w:rFonts w:ascii="Arial" w:cs="Arial" w:eastAsia="Arial" w:hAnsi="Arial"/>
          <w:sz w:val="16"/>
          <w:szCs w:val="16"/>
          <w:color w:val="auto"/>
        </w:rPr>
        <w:t>. As of March 31, 2022,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Minnesota Power has been named in a lawsuit where a contractor performing work at one of its facilities experienced an injury and subsequently filed a lawsuit seeking compensatory damages. In the second quarter of 2022, Minnesota Power reached an agreement to settle the lawsuit with the plaintiff. The settlement is covered by the Company’s insurance coverage, subject to a deductible which has been previously expensed. The settlement, which was recorded in the financial statements for the period ended March 31, 2022, did not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$66.3</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$51.8</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53.3</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52.1</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$0.99</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4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3"/>
        </w:trPr>
        <w:tc>
          <w:tcPr>
            <w:tcW w:w="6120" w:type="dxa"/>
            <w:vAlign w:val="bottom"/>
          </w:tcPr>
          <w:p>
            <w:pPr>
              <w:spacing w:after="0"/>
              <w:rPr>
                <w:sz w:val="24"/>
                <w:szCs w:val="24"/>
                <w:color w:val="auto"/>
              </w:rPr>
            </w:pPr>
          </w:p>
        </w:tc>
        <w:tc>
          <w:tcPr>
            <w:tcW w:w="5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120" w:type="dxa"/>
            <w:vAlign w:val="bottom"/>
          </w:tcPr>
          <w:p>
            <w:pPr>
              <w:spacing w:after="0"/>
              <w:rPr>
                <w:sz w:val="19"/>
                <w:szCs w:val="19"/>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9"/>
                <w:szCs w:val="19"/>
                <w:color w:val="auto"/>
              </w:rPr>
            </w:pPr>
          </w:p>
        </w:tc>
      </w:tr>
      <w:tr>
        <w:trPr>
          <w:trHeight w:val="234"/>
        </w:trPr>
        <w:tc>
          <w:tcPr>
            <w:tcW w:w="61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4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Federal</w:t>
            </w:r>
          </w:p>
        </w:tc>
        <w:tc>
          <w:tcPr>
            <w:tcW w:w="4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3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4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4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436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r>
      <w:tr>
        <w:trPr>
          <w:trHeight w:val="229"/>
        </w:trPr>
        <w:tc>
          <w:tcPr>
            <w:tcW w:w="6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4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43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4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bl>
    <w:p>
      <w:pPr>
        <w:spacing w:after="0" w:line="98" w:lineRule="exact"/>
        <w:rPr>
          <w:sz w:val="20"/>
          <w:szCs w:val="20"/>
          <w:color w:val="auto"/>
        </w:rPr>
      </w:pPr>
    </w:p>
    <w:p>
      <w:pPr>
        <w:ind w:left="340" w:hanging="332"/>
        <w:spacing w:after="0" w:line="25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2022 and 2021,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2022 and 2021, the federal income tax benefit is primarily due to production tax credits.</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NOTE 8. INCOME TAX EXPENSE (Continued)</w:t>
            </w: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95"/>
        </w:trPr>
        <w:tc>
          <w:tcPr>
            <w:tcW w:w="7020" w:type="dxa"/>
            <w:vAlign w:val="bottom"/>
          </w:tcPr>
          <w:p>
            <w:pPr>
              <w:spacing w:after="0"/>
              <w:rPr>
                <w:sz w:val="24"/>
                <w:szCs w:val="24"/>
                <w:color w:val="auto"/>
              </w:rPr>
            </w:pPr>
          </w:p>
        </w:tc>
        <w:tc>
          <w:tcPr>
            <w:tcW w:w="42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9"/>
                <w:szCs w:val="19"/>
                <w:color w:val="auto"/>
              </w:rPr>
            </w:pPr>
          </w:p>
        </w:tc>
      </w:tr>
      <w:tr>
        <w:trPr>
          <w:trHeight w:val="234"/>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3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3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$42.6</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3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33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(Credit) – Net of Federal Income Tax Benefit</w:t>
            </w:r>
          </w:p>
        </w:tc>
        <w:tc>
          <w:tcPr>
            <w:tcW w:w="33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3360" w:type="dxa"/>
            <w:vAlign w:val="bottom"/>
          </w:tcPr>
          <w:p>
            <w:pPr>
              <w:jc w:val="right"/>
              <w:ind w:right="570"/>
              <w:spacing w:after="0"/>
              <w:rPr>
                <w:sz w:val="20"/>
                <w:szCs w:val="20"/>
                <w:color w:val="auto"/>
              </w:rPr>
            </w:pPr>
            <w:r>
              <w:rPr>
                <w:rFonts w:ascii="Arial" w:cs="Arial" w:eastAsia="Arial" w:hAnsi="Arial"/>
                <w:sz w:val="18"/>
                <w:szCs w:val="18"/>
                <w:color w:val="auto"/>
              </w:rPr>
              <w:t>(17.6)</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(18.6)</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3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3360" w:type="dxa"/>
            <w:vAlign w:val="bottom"/>
          </w:tcPr>
          <w:p>
            <w:pPr>
              <w:jc w:val="right"/>
              <w:ind w:right="63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3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29"/>
        </w:trPr>
        <w:tc>
          <w:tcPr>
            <w:tcW w:w="7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0.4</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r>
      <w:tr>
        <w:trPr>
          <w:trHeight w:val="223"/>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33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$(3.9)</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bl>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three months ended March 31, 2022, the effective tax rate was a benefit of 9.2 percent (benefit of 31.5 percent for the three months ended March 31, 2021). The effective tax rate for 2022 and 2021 was primarily impacted by production tax credits.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2022, we had gross unrecognized tax benefits of $1.3 million ($1.3 million as of December 31, 2021).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2019, or state examination for years before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6.7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3.2</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2022, we made no contributions to the defined benefit pension plans ($10.3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March 31, 2021); we do not expect to make any contributions to our defined benefit pension plans in 2022. For the three months ended March 31, 2022 and 2021, we made no contributions to our other postretirement benefit plans; we do not expect to make any contributions to our other postretirement benefit plans in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ind w:left="100"/>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47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500" w:type="dxa"/>
            <w:vAlign w:val="bottom"/>
          </w:tcPr>
          <w:p>
            <w:pPr>
              <w:spacing w:after="0"/>
              <w:rPr>
                <w:sz w:val="19"/>
                <w:szCs w:val="19"/>
                <w:color w:val="auto"/>
              </w:rPr>
            </w:pPr>
          </w:p>
        </w:tc>
        <w:tc>
          <w:tcPr>
            <w:tcW w:w="47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5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48.3</w:t>
            </w: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147.8</w:t>
            </w: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329.0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196"/>
        </w:trPr>
        <w:tc>
          <w:tcPr>
            <w:tcW w:w="6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ALLETE Clean Energy</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196"/>
        </w:trPr>
        <w:tc>
          <w:tcPr>
            <w:tcW w:w="65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Contract</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Corporate and Other</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65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$51.5</w:t>
            </w: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16.5</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50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llions</w:t>
            </w:r>
          </w:p>
        </w:tc>
        <w:tc>
          <w:tcPr>
            <w:tcW w:w="4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sets</w:t>
            </w:r>
          </w:p>
        </w:tc>
        <w:tc>
          <w:tcPr>
            <w:tcW w:w="4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Regulated Operations</w:t>
            </w:r>
          </w:p>
        </w:tc>
        <w:tc>
          <w:tcPr>
            <w:tcW w:w="4500" w:type="dxa"/>
            <w:vAlign w:val="bottom"/>
          </w:tcPr>
          <w:p>
            <w:pPr>
              <w:jc w:val="right"/>
              <w:ind w:right="150"/>
              <w:spacing w:after="0"/>
              <w:rPr>
                <w:sz w:val="20"/>
                <w:szCs w:val="20"/>
                <w:color w:val="auto"/>
              </w:rPr>
            </w:pPr>
            <w:r>
              <w:rPr>
                <w:rFonts w:ascii="Arial" w:cs="Arial" w:eastAsia="Arial" w:hAnsi="Arial"/>
                <w:sz w:val="18"/>
                <w:szCs w:val="18"/>
                <w:color w:val="auto"/>
              </w:rPr>
              <w:t>$4,297.1</w:t>
            </w:r>
          </w:p>
        </w:tc>
        <w:tc>
          <w:tcPr>
            <w:tcW w:w="1260" w:type="dxa"/>
            <w:vAlign w:val="bottom"/>
          </w:tcPr>
          <w:p>
            <w:pPr>
              <w:jc w:val="right"/>
              <w:spacing w:after="0"/>
              <w:rPr>
                <w:sz w:val="20"/>
                <w:szCs w:val="20"/>
                <w:color w:val="auto"/>
              </w:rPr>
            </w:pPr>
            <w:r>
              <w:rPr>
                <w:rFonts w:ascii="Arial" w:cs="Arial" w:eastAsia="Arial" w:hAnsi="Arial"/>
                <w:sz w:val="18"/>
                <w:szCs w:val="18"/>
                <w:color w:val="auto"/>
              </w:rPr>
              <w:t>$4,289.4</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ALLETE Clean Energy</w:t>
            </w:r>
          </w:p>
        </w:tc>
        <w:tc>
          <w:tcPr>
            <w:tcW w:w="4500" w:type="dxa"/>
            <w:vAlign w:val="bottom"/>
          </w:tcPr>
          <w:p>
            <w:pPr>
              <w:jc w:val="right"/>
              <w:ind w:right="150"/>
              <w:spacing w:after="0"/>
              <w:rPr>
                <w:sz w:val="20"/>
                <w:szCs w:val="20"/>
                <w:color w:val="auto"/>
              </w:rPr>
            </w:pPr>
            <w:r>
              <w:rPr>
                <w:rFonts w:ascii="Arial" w:cs="Arial" w:eastAsia="Arial" w:hAnsi="Arial"/>
                <w:sz w:val="18"/>
                <w:szCs w:val="18"/>
                <w:color w:val="auto"/>
              </w:rPr>
              <w:t>1,816.1</w:t>
            </w:r>
          </w:p>
        </w:tc>
        <w:tc>
          <w:tcPr>
            <w:tcW w:w="1260" w:type="dxa"/>
            <w:vAlign w:val="bottom"/>
          </w:tcPr>
          <w:p>
            <w:pPr>
              <w:jc w:val="right"/>
              <w:spacing w:after="0"/>
              <w:rPr>
                <w:sz w:val="20"/>
                <w:szCs w:val="20"/>
                <w:color w:val="auto"/>
              </w:rPr>
            </w:pPr>
            <w:r>
              <w:rPr>
                <w:rFonts w:ascii="Arial" w:cs="Arial" w:eastAsia="Arial" w:hAnsi="Arial"/>
                <w:sz w:val="18"/>
                <w:szCs w:val="18"/>
                <w:color w:val="auto"/>
              </w:rPr>
              <w:t>1,719.4</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4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442.8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$6,556.0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-1019175</wp:posOffset>
            </wp:positionV>
            <wp:extent cx="690054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0545" cy="14541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2021 Form 10-K under the headings: “Forward-Looking Statements” located on page 6 and “Risk Factors” located in Part I, Item 1A, beginning on page 24 of our 2021 Form 10-K. The risks and uncertainties described in this Form 10-Q and our 2021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1,300 MW of nameplate capacity wind energy generation that is contracted under PSAs of various durations. In addition, ALLETE Clean Energy also engages in the development of wind energy facilities to operate under long-term PSAs or for sale to others upon completion. ALLETE Clean Energy currently has approximately 200 MW wind energy facilities under contract to be sold to others.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2022,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three months ended March 31, 2022, to the three months ended March 31, 2021.</w:t>
      </w:r>
    </w:p>
    <w:p>
      <w:pPr>
        <w:spacing w:after="0" w:line="26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Net income attributable to ALLETE for the three months ended March 31, 2022, was $66.3 million, or $1.24 per diluted share, compared to $51.8 million, or $0.99 per diluted share, for the same period in 2021. Net income in 2022 included transaction costs of $1.4 million after-tax, or $0.03 per share, related to the acquisition of New Energy. Net income in 2021 included an approximately $5 million after-tax, or $0.10 per share,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one of the facility’s power sales agreements during portions of the winter storm event. Earnings per share dilution in 2022 was $0.03 due to additional shares of common stock outstanding as of March 31, 2022.</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$51.5 million for the three months ended March 31, 2022, compared to $45.0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2021. Net income at Minnesota Power was higher than 2021 primarily due to the implementation of interim rates on January 1, 2022, and higher kWh sales to residential and commercial customers. These increases were partially offset by higher costs under a 250 MW PPA, higher operating and maintenance expense, and lower kWh sales to industrial customers.</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$16.5 million for the three months ended March 31, 2022, compared to $7.4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2021. Net income in 2022 reflected higher wind resources and lower operating and maintenance expense compared to 2021. In addition, net income in 2021 included an approximately $5 million after-tax negative impact related to ALLETE Clean Energy’s Diamond Spring wind energy facility due to an extreme winter storm event in the southwest United States in February 2021.</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$1.7 million for the three months ended March 31, 2022,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for the same period in 2021. The net loss in 2022 included transaction costs of $1.4 million after-tax related to the acquisition of New Energy (see Outlook – New Energy) and higher other expenses compared to 2021, partially offset by higher earnings from our investment in Nobles 2 in 2022, reflecting higher wind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tc>
        <w:tc>
          <w:tcPr>
            <w:tcW w:w="2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137.4</w:t>
            </w:r>
          </w:p>
        </w:tc>
        <w:tc>
          <w:tcPr>
            <w:tcW w:w="8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58.4</w:t>
            </w: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(13.9)</w:t>
            </w: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40" w:type="dxa"/>
            <w:vAlign w:val="bottom"/>
          </w:tcPr>
          <w:p>
            <w:pPr>
              <w:spacing w:after="0"/>
              <w:rPr>
                <w:sz w:val="19"/>
                <w:szCs w:val="19"/>
                <w:color w:val="auto"/>
              </w:rPr>
            </w:pPr>
          </w:p>
        </w:tc>
        <w:tc>
          <w:tcPr>
            <w:tcW w:w="7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$36.0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higher revenue related to kWh sales, increased gas sales, increased conservation improvement program recoveries and higher fuel adjustment clause recoveries. These increases were partially offset by lower cost recovery rider revenue.</w:t>
      </w:r>
    </w:p>
    <w:p>
      <w:pPr>
        <w:spacing w:after="0" w:line="2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2022, resulting in revenue of $24.3 million. (See Note 2. Regulatory Matters.)</w:t>
      </w:r>
    </w:p>
    <w:p>
      <w:pPr>
        <w:spacing w:after="0" w:line="19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kWh sales increased $6.9 million from 2021 reflecting higher sales to residential and commercial customers as well as higher pricing on sales to other power suppliers, partially offset by lower sales to industrial customers and other power suppliers. Sales to residential and commercial customers increased from 2021 primarily due to colder weather in the first quarter of 2022 compared to 2021. Sales to industrial customers decreased primarily due to lower sales to taconite customers resulting from less taconite production in 2022 compared to 2021.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331</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360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341</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1,766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1,798</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2,639</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2,630</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981</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(267)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3,620</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3,878</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bl>
    <w:p>
      <w:pPr>
        <w:spacing w:after="0" w:line="31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31 percent of regulated operating revenue in 2022 (31 percent in 2021). Revenue from electric sales to paper, pulp and secondary wood product customers accounted for 4 percent of regulated operating revenue in 2022 (4 percent in 2021). Revenue from electric sales to pipelines and other industrial customers accounted for 9 percent of regulated operating revenue in 2022 (9 percent in 2021).</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MARCH 31, 2022 AND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Gas sales at SWL&amp;P increased $2.8 million as a result of colder weather and higher gas prices in the first quarter of 2022 compared to 2021.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Conservation improvement program recoveries increased $2.0 million from 2021 primarily due to a decrease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increased $1.7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Cost recovery rider revenue decreased $3.1 million primarily due to additional production tax credits recognized by Minnesota Power. If production tax credits are recognized at a level above those assumed in Minnesota Power’s base rates, a decrease in cost recovery rider revenue is recognized to offset the impact of higher production tax credits on income tax expense.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$27.1 million, or 11 percent, from 2021.</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$17.0 million, or 14 percent, from 2021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fuel costs as well as increased gas prices and sales, partially offset by lower kWh sales.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$2.2 million, or 12 percent, from 2021 primarily due to higher MISO-related expense.</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increased $8.0 million, or 16 percent, from 2021 primarily due to an increase in contract and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materials purchased for generation facilities, higher labor expenses and an increase in conservation improvement program expenses. In addition, 2022 included rate case-related expenses for Minnesota Power’s ongoing rate case. (See Note 2. Regulatory Matters.)</w:t>
      </w:r>
    </w:p>
    <w:p>
      <w:pPr>
        <w:spacing w:after="0" w:line="179"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$2.2 million from 2021 primarily due to higher pre-tax income. The income tax benefit in 2022 included less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benefit recorded in 2022 as GAAP requires the recognition of income taxes at the estimated annual effective tax rate.</w:t>
      </w:r>
    </w:p>
    <w:p>
      <w:pPr>
        <w:spacing w:after="0" w:line="197" w:lineRule="exact"/>
        <w:rPr>
          <w:sz w:val="20"/>
          <w:szCs w:val="20"/>
          <w:color w:val="auto"/>
        </w:rPr>
      </w:pPr>
    </w:p>
    <w:p>
      <w:pPr>
        <w:jc w:val="both"/>
        <w:ind w:left="340"/>
        <w:spacing w:after="0" w:line="246" w:lineRule="auto"/>
        <w:rPr>
          <w:sz w:val="20"/>
          <w:szCs w:val="20"/>
          <w:color w:val="auto"/>
        </w:rPr>
      </w:pPr>
      <w:r>
        <w:rPr>
          <w:rFonts w:ascii="Arial" w:cs="Arial" w:eastAsia="Arial" w:hAnsi="Arial"/>
          <w:sz w:val="18"/>
          <w:szCs w:val="18"/>
          <w:color w:val="auto"/>
        </w:rPr>
        <w:t>We expect our annual effective tax rate in 2022 to be a lower income tax benefit than in 2021 primarily due to higher pre-tax income and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2022 AND 2021 (Continued)</w:t>
            </w: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19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6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$25.4</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760" w:type="dxa"/>
            <w:vAlign w:val="bottom"/>
          </w:tcPr>
          <w:p>
            <w:pPr>
              <w:spacing w:after="0"/>
              <w:rPr>
                <w:sz w:val="19"/>
                <w:szCs w:val="19"/>
                <w:color w:val="auto"/>
              </w:rPr>
            </w:pPr>
          </w:p>
        </w:tc>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1940" w:type="dxa"/>
            <w:vAlign w:val="bottom"/>
          </w:tcPr>
          <w:p>
            <w:pPr>
              <w:ind w:left="1260"/>
              <w:spacing w:after="0"/>
              <w:rPr>
                <w:sz w:val="20"/>
                <w:szCs w:val="20"/>
                <w:color w:val="auto"/>
              </w:rPr>
            </w:pPr>
            <w:r>
              <w:rPr>
                <w:rFonts w:ascii="Arial" w:cs="Arial" w:eastAsia="Arial" w:hAnsi="Arial"/>
                <w:sz w:val="18"/>
                <w:szCs w:val="18"/>
                <w:color w:val="auto"/>
              </w:rPr>
              <w:t>11.4</w:t>
            </w: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6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6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Other than Income Taxes</w:t>
            </w: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60" w:type="dxa"/>
            <w:vAlign w:val="bottom"/>
          </w:tcPr>
          <w:p>
            <w:pPr>
              <w:spacing w:after="0"/>
              <w:rPr>
                <w:sz w:val="19"/>
                <w:szCs w:val="19"/>
                <w:color w:val="auto"/>
              </w:rPr>
            </w:pPr>
          </w:p>
        </w:tc>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19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(5.3)</w:t>
            </w:r>
          </w:p>
        </w:tc>
      </w:tr>
      <w:tr>
        <w:trPr>
          <w:trHeight w:val="229"/>
        </w:trPr>
        <w:tc>
          <w:tcPr>
            <w:tcW w:w="76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Expense</w:t>
            </w:r>
          </w:p>
        </w:tc>
        <w:tc>
          <w:tcPr>
            <w:tcW w:w="1940" w:type="dxa"/>
            <w:vAlign w:val="bottom"/>
          </w:tcPr>
          <w:p>
            <w:pPr>
              <w:ind w:left="1260"/>
              <w:spacing w:after="0"/>
              <w:rPr>
                <w:sz w:val="20"/>
                <w:szCs w:val="20"/>
                <w:color w:val="auto"/>
              </w:rPr>
            </w:pPr>
            <w:r>
              <w:rPr>
                <w:rFonts w:ascii="Arial" w:cs="Arial" w:eastAsia="Arial" w:hAnsi="Arial"/>
                <w:sz w:val="18"/>
                <w:szCs w:val="18"/>
                <w:color w:val="auto"/>
              </w:rPr>
              <w:t>(1.1)</w:t>
            </w:r>
          </w:p>
        </w:tc>
        <w:tc>
          <w:tcPr>
            <w:tcW w:w="740" w:type="dxa"/>
            <w:vAlign w:val="bottom"/>
          </w:tcPr>
          <w:p>
            <w:pPr>
              <w:ind w:left="360"/>
              <w:spacing w:after="0"/>
              <w:rPr>
                <w:sz w:val="20"/>
                <w:szCs w:val="20"/>
                <w:color w:val="auto"/>
              </w:rPr>
            </w:pPr>
            <w:r>
              <w:rPr>
                <w:rFonts w:ascii="Arial" w:cs="Arial" w:eastAsia="Arial" w:hAnsi="Arial"/>
                <w:sz w:val="18"/>
                <w:szCs w:val="18"/>
                <w:color w:val="auto"/>
                <w:w w:val="97"/>
              </w:rPr>
              <w:t>(0.4)</w:t>
            </w:r>
          </w:p>
        </w:tc>
      </w:tr>
      <w:tr>
        <w:trPr>
          <w:trHeight w:val="230"/>
        </w:trPr>
        <w:tc>
          <w:tcPr>
            <w:tcW w:w="760" w:type="dxa"/>
            <w:vAlign w:val="bottom"/>
          </w:tcPr>
          <w:p>
            <w:pPr>
              <w:spacing w:after="0"/>
              <w:rPr>
                <w:sz w:val="19"/>
                <w:szCs w:val="19"/>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6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940" w:type="dxa"/>
            <w:vAlign w:val="bottom"/>
          </w:tcPr>
          <w:p>
            <w:pPr>
              <w:ind w:left="1260"/>
              <w:spacing w:after="0"/>
              <w:rPr>
                <w:sz w:val="20"/>
                <w:szCs w:val="20"/>
                <w:color w:val="auto"/>
              </w:rPr>
            </w:pPr>
            <w:r>
              <w:rPr>
                <w:rFonts w:ascii="Arial" w:cs="Arial" w:eastAsia="Arial" w:hAnsi="Arial"/>
                <w:sz w:val="18"/>
                <w:szCs w:val="18"/>
                <w:color w:val="auto"/>
              </w:rPr>
              <w:t>(2.6)</w:t>
            </w:r>
          </w:p>
        </w:tc>
        <w:tc>
          <w:tcPr>
            <w:tcW w:w="740" w:type="dxa"/>
            <w:vAlign w:val="bottom"/>
          </w:tcPr>
          <w:p>
            <w:pPr>
              <w:ind w:left="360"/>
              <w:spacing w:after="0"/>
              <w:rPr>
                <w:sz w:val="20"/>
                <w:szCs w:val="20"/>
                <w:color w:val="auto"/>
              </w:rPr>
            </w:pPr>
            <w:r>
              <w:rPr>
                <w:rFonts w:ascii="Arial" w:cs="Arial" w:eastAsia="Arial" w:hAnsi="Arial"/>
                <w:sz w:val="18"/>
                <w:szCs w:val="18"/>
                <w:color w:val="auto"/>
                <w:w w:val="97"/>
              </w:rPr>
              <w:t>(5.5)</w:t>
            </w:r>
          </w:p>
        </w:tc>
      </w:tr>
      <w:tr>
        <w:trPr>
          <w:trHeight w:val="230"/>
        </w:trPr>
        <w:tc>
          <w:tcPr>
            <w:tcW w:w="760" w:type="dxa"/>
            <w:vAlign w:val="bottom"/>
          </w:tcPr>
          <w:p>
            <w:pPr>
              <w:spacing w:after="0"/>
              <w:rPr>
                <w:sz w:val="19"/>
                <w:szCs w:val="19"/>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4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(5.9)</w:t>
            </w:r>
          </w:p>
        </w:tc>
      </w:tr>
      <w:tr>
        <w:trPr>
          <w:trHeight w:val="223"/>
        </w:trPr>
        <w:tc>
          <w:tcPr>
            <w:tcW w:w="760" w:type="dxa"/>
            <w:vAlign w:val="bottom"/>
          </w:tcPr>
          <w:p>
            <w:pPr>
              <w:spacing w:after="0"/>
              <w:rPr>
                <w:sz w:val="19"/>
                <w:szCs w:val="19"/>
                <w:color w:val="auto"/>
              </w:rPr>
            </w:pPr>
          </w:p>
        </w:tc>
        <w:tc>
          <w:tcPr>
            <w:tcW w:w="7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19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60" w:type="dxa"/>
            <w:vAlign w:val="bottom"/>
          </w:tcPr>
          <w:p>
            <w:pPr>
              <w:spacing w:after="0"/>
              <w:rPr>
                <w:sz w:val="19"/>
                <w:szCs w:val="19"/>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(16.6)</w:t>
            </w: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(7.0)</w:t>
            </w:r>
          </w:p>
        </w:tc>
      </w:tr>
      <w:tr>
        <w:trPr>
          <w:trHeight w:val="223"/>
        </w:trPr>
        <w:tc>
          <w:tcPr>
            <w:tcW w:w="760" w:type="dxa"/>
            <w:vAlign w:val="bottom"/>
          </w:tcPr>
          <w:p>
            <w:pPr>
              <w:spacing w:after="0"/>
              <w:rPr>
                <w:sz w:val="19"/>
                <w:szCs w:val="19"/>
                <w:color w:val="auto"/>
              </w:rPr>
            </w:pPr>
          </w:p>
        </w:tc>
        <w:tc>
          <w:tcPr>
            <w:tcW w:w="7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ALLETE</w:t>
            </w: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$7.3 million, or 35 percent, from 2021 primarily due to the absence of the negative impact related to ALLETE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Energy’s Diamond Spring wind energy facility due to an extreme winter storm event in the southwest United States in February 2021 as well as higher wind resources at other wind energy facilities.</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2"/>
              </w:rPr>
              <w:t>Three Months Ended 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$8.0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79.4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240.1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00" w:type="dxa"/>
            <w:vAlign w:val="bottom"/>
          </w:tcPr>
          <w:p>
            <w:pPr>
              <w:jc w:val="right"/>
              <w:spacing w:after="0"/>
              <w:rPr>
                <w:sz w:val="20"/>
                <w:szCs w:val="20"/>
                <w:color w:val="auto"/>
              </w:rPr>
            </w:pPr>
            <w:r>
              <w:rPr>
                <w:rFonts w:ascii="Arial" w:cs="Arial" w:eastAsia="Arial" w:hAnsi="Arial"/>
                <w:sz w:val="18"/>
                <w:szCs w:val="18"/>
                <w:color w:val="auto"/>
              </w:rPr>
              <w:t>602.9</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4.6</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276.4</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221.8</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$28.2</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817.7</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$3.3 million, or 27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$1.1 million from 2021 primarily due to higher property tax expense related to the Caddo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decreased $3.4 million from 2021 primarily due to a lower pre-tax loss and higher net loss attributable to non-controlling interest.</w:t>
      </w:r>
    </w:p>
    <w:p>
      <w:pPr>
        <w:spacing w:after="0" w:line="2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$9.6 million from 2021 primarily due to net losses attributable to non-controlling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Caddo wind energy facility as well as higher net losses attributable to non-controlling interests for the Glen Ullin, South Peak and Diamond Spring wind energy facilities resulting from higher wind resources.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THREE MONTHS ENDED MARCH 31, 2022 AND 2021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$1.0 million, or 4 percent, from 2021 primarily due to higher revenue at BNI Energy, which operates under cost-plus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fee contracts, as a result of higher expenses and more tons sold in 2022 compared to 2021.</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$1.7 million in 2022 compared to a net loss of $0.6 million in 2021. The net loss in 2022 included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of $1.4 million after-tax related to the acquisition of New Energy and higher other expenses compared to 2021, partially offset by higher earnings from our investment in Nobles 2 in 2022 reflecting higher wind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For the three months ended March 31, 2022, the effective tax rate was a benefit of 9.2 percent (benefit of 31.5 percent for the three months ended March 31, 2021). The effective tax rate for 2022 was a lower benefit primarily due to higher pre-tax income and higher net losses attributable to non-controlling interests in subsidiaries.</w:t>
      </w:r>
    </w:p>
    <w:p>
      <w:pPr>
        <w:spacing w:after="0" w:line="202" w:lineRule="exact"/>
        <w:rPr>
          <w:sz w:val="20"/>
          <w:szCs w:val="20"/>
          <w:color w:val="auto"/>
        </w:rPr>
      </w:pPr>
    </w:p>
    <w:p>
      <w:pPr>
        <w:jc w:val="both"/>
        <w:ind w:left="340"/>
        <w:spacing w:after="0" w:line="231" w:lineRule="auto"/>
        <w:rPr>
          <w:sz w:val="20"/>
          <w:szCs w:val="20"/>
          <w:color w:val="auto"/>
        </w:rPr>
      </w:pPr>
      <w:r>
        <w:rPr>
          <w:rFonts w:ascii="Arial" w:cs="Arial" w:eastAsia="Arial" w:hAnsi="Arial"/>
          <w:sz w:val="18"/>
          <w:szCs w:val="18"/>
          <w:color w:val="auto"/>
        </w:rPr>
        <w:t>We expect our annual effective tax rate in 2022 to be a lower income tax benefit than in 2021 primarily due to higher net losses attributable to non-controlling interests in subsidiaries, higher pre-tax income, and lower production tax credits.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2021 Form 10-K.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within a range of 5 percent to 7 percent.</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2022. Over the next several years, ALLETE expects increased contributions to net income from ALLETE Clean Energy, New Energy, and its Corporate and Other businesses as ALLETE grows these operations. ALLETE expects its businesses to provide regulated, contracted or recurring revenues, and to support sustained growth in net income and cash flow.</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2022 Wisconsin General Rate Case</w:t>
      </w:r>
      <w:r>
        <w:rPr>
          <w:rFonts w:ascii="Arial" w:cs="Arial" w:eastAsia="Arial" w:hAnsi="Arial"/>
          <w:sz w:val="18"/>
          <w:szCs w:val="18"/>
          <w:color w:val="auto"/>
        </w:rPr>
        <w:t>. On April 29, 2022, SWL&amp;P filed a rate increase request with the PSCW seeking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The filing seeks an overall return on equity of 10.4 percent and a 55.0 percent equity ratio. On an annualized basis, the requested final rate increase would generate approximately $3.3 million in additional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49 percent of our regulated utility kWh sales in the three months ended March 31, 2022, were made to our industrial customers (46 percent in the three months ended March 31, 2021).</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w:t>
      </w:r>
      <w:r>
        <w:rPr>
          <w:rFonts w:ascii="Arial" w:cs="Arial" w:eastAsia="Arial" w:hAnsi="Arial"/>
          <w:sz w:val="18"/>
          <w:szCs w:val="18"/>
          <w:color w:val="auto"/>
        </w:rPr>
        <w:t>. In 2020, Cliffs announced that it had completed the previously announced acquisition of substantially all of the operations of ArcelorMittal USA</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Minnesota Power’s largest customer. The acquisition has increased customer concentration risk for the Company and could lead to further capacity consolidation for both steel blast furnaces and the related Minnesota iron ore production.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w:t>
      </w:r>
      <w:r>
        <w:rPr>
          <w:rFonts w:ascii="Arial" w:cs="Arial" w:eastAsia="Arial" w:hAnsi="Arial"/>
          <w:sz w:val="18"/>
          <w:szCs w:val="18"/>
          <w:i w:val="1"/>
          <w:iCs w:val="1"/>
          <w:color w:val="auto"/>
        </w:rPr>
        <w:t>Northshore Mining</w:t>
      </w:r>
      <w:r>
        <w:rPr>
          <w:rFonts w:ascii="Arial" w:cs="Arial" w:eastAsia="Arial" w:hAnsi="Arial"/>
          <w:sz w:val="18"/>
          <w:szCs w:val="18"/>
          <w:color w:val="auto"/>
        </w:rPr>
        <w: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Northshore Mining</w:t>
      </w:r>
      <w:r>
        <w:rPr>
          <w:rFonts w:ascii="Arial" w:cs="Arial" w:eastAsia="Arial" w:hAnsi="Arial"/>
          <w:sz w:val="16"/>
          <w:szCs w:val="16"/>
          <w:i w:val="1"/>
          <w:iCs w:val="1"/>
          <w:color w:val="auto"/>
        </w:rPr>
        <w:t xml:space="preserve">. </w:t>
      </w:r>
      <w:r>
        <w:rPr>
          <w:rFonts w:ascii="Arial" w:cs="Arial" w:eastAsia="Arial" w:hAnsi="Arial"/>
          <w:sz w:val="16"/>
          <w:szCs w:val="16"/>
          <w:color w:val="auto"/>
        </w:rPr>
        <w:t>On February 11, 2022, Cliffs announced that with the use of additional scrap in its basic oxygen furnaces, iron ore needs are not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high as before. In determining where to adjust production, Cliffs decided to idle all production at its Northshore mine. Cliffs anticipated that the Northshore mine will be temporarily idled for approximately four months during 2022. Cliffs also indicated that going forward it will be limiting the tonnage of iron ore pellets sold to third parties.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6"/>
          <w:szCs w:val="16"/>
          <w:i w:val="1"/>
          <w:iCs w:val="1"/>
          <w:color w:val="auto"/>
        </w:rPr>
        <w:t>Cliffs</w:t>
      </w:r>
      <w:r>
        <w:rPr>
          <w:rFonts w:ascii="Arial" w:cs="Arial" w:eastAsia="Arial" w:hAnsi="Arial"/>
          <w:sz w:val="16"/>
          <w:szCs w:val="16"/>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ST Paper</w:t>
      </w:r>
      <w:r>
        <w:rPr>
          <w:rFonts w:ascii="Arial" w:cs="Arial" w:eastAsia="Arial" w:hAnsi="Arial"/>
          <w:sz w:val="17"/>
          <w:szCs w:val="17"/>
          <w:color w:val="auto"/>
        </w:rPr>
        <w:t>. In May 2021, ST Paper announced it had completed the purchase of the Duluth Mill from Verso Corporation. ST Paper has stated it plans to</w:t>
      </w:r>
      <w:r>
        <w:rPr>
          <w:rFonts w:ascii="Arial" w:cs="Arial" w:eastAsia="Arial" w:hAnsi="Arial"/>
          <w:sz w:val="17"/>
          <w:szCs w:val="17"/>
          <w:i w:val="1"/>
          <w:iCs w:val="1"/>
          <w:color w:val="auto"/>
        </w:rPr>
        <w:t xml:space="preserve"> </w:t>
      </w:r>
      <w:r>
        <w:rPr>
          <w:rFonts w:ascii="Arial" w:cs="Arial" w:eastAsia="Arial" w:hAnsi="Arial"/>
          <w:sz w:val="17"/>
          <w:szCs w:val="17"/>
          <w:color w:val="auto"/>
        </w:rPr>
        <w:t>convert the Duluth Mill to produce tissue. In January 2022, Minnesota Power entered into an electric service agreement with ST Paper that would begin Large Power customer service with a minimum term of 6-years upon start-up of operations, which is anticipated in 2023. A petition for approval of the electric service agreement was filed with the MPUC in February 2022. Upon MPUC approval and commencement of start-up of operations, ST Paper will become a Large Power customer as we expect to serve requirements of at least 10 MW of customer load.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February 2021, ALLETE Clean Energy entered into a purchase and sale agreement with a subsidiary of Xcel Energy Inc. to sell a 100 MW wind energy facility for approximately $185 million. ALLETE Clean Energy will repower its Northern Wind project, consisting of its 98 MW Chanarambie and Viking wind energy facilities located in southwest Minnesota, as part of the transaction. Construction is expected to begin in the second quarter of 2022 and be completed in late 2022 with the Northern Wind project expected to continue operating until the second quarter of 2022. At a hearing in June 2021, the MPUC approved the sale, which is expected to close in late 2022. In February 2022, ALLETE Clean Energy received its large wind energy conversion permit from the MPUC.</w:t>
      </w:r>
    </w:p>
    <w:p>
      <w:pPr>
        <w:spacing w:after="0" w:line="2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May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the Wisconsin Public Service Corporation and Madison Gas and Electric Company. At a hearing in January 2022, the PSCW approved the sale of the Red Barn wind project, which is expected to close in 2023, subject to completion of construction.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Energy.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15, 2022, a wholly-owned subsidiary of ALLETE acquired 100 percent of the membership interests of New Energy for a purchase price of $165.5 million. New Energy, which is headquartered in Annapolis, Maryland, is a renewable energy development and finance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250 projects across the nation totaling more than 330 MW. New Energy currently has a robust project pipeline with greater than 2,000 MW of renewable projects in development across 26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The acquisition of New Energy is consistent with ALLETE’s stated strategy of additional investment in renewable energy and related infrastructure across North America to support the Company’s sustainability-in-action strategy while providing potential long-term earnings growth. New Energy will continue its current strategy of developing and operating renewable energy projects.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includes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the Company’s liquidity needs. As of March 31, 2022, we had cash and cash equivalents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$60.1 million, $328.3 million in available consolidated lines of credit, 2.1 million original issue shares of common stock available for issuance through a distribution agreement with Lampert Capital Markets and a debt-to-capital ratio of 38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$2,449.3</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$2,413.1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80" w:type="dxa"/>
            <w:vAlign w:val="bottom"/>
          </w:tcPr>
          <w:p>
            <w:pPr>
              <w:jc w:val="right"/>
              <w:ind w:right="250"/>
              <w:spacing w:after="0"/>
              <w:rPr>
                <w:sz w:val="20"/>
                <w:szCs w:val="20"/>
                <w:color w:val="auto"/>
              </w:rPr>
            </w:pPr>
            <w:r>
              <w:rPr>
                <w:rFonts w:ascii="Arial" w:cs="Arial" w:eastAsia="Arial" w:hAnsi="Arial"/>
                <w:sz w:val="18"/>
                <w:szCs w:val="18"/>
                <w:color w:val="auto"/>
              </w:rPr>
              <w:t>694.2</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533.2</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1,956.1</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1,986.4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$5,099.6</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$4,932.7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1"/>
        </w:trPr>
        <w:tc>
          <w:tcPr>
            <w:tcW w:w="814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(60.1)</w:t>
            </w:r>
          </w:p>
        </w:tc>
        <w:tc>
          <w:tcPr>
            <w:tcW w:w="100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92.2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27.3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lower in 2022 compared to 2021. Cash used in operating activities in 2022 reflected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inventories compared to 2021 primarily related to ALLETE Clean Energy’s Northern Wind and Red Barn projects which will be sold to third parties in late 2022 and 2023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lower in 2022 compared to 2021. Cash used in investing activities in 2022 reflected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property, plant and equipment compared to 2021.</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lower in 2022 compared to 2021. Cash provided by financing activities in 2022 reflected</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repayments of short-term and long-term debt, partially offset by higher proceeds from non-controlling interest in subsidiaries compared to 2021.</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March 31, 2022, we had consolidated bank lines of credit aggregating $432.0 million ($432.0 million as of December 31, 2021), the majority of which expire in January 2025. We had $33.2 million outstanding in standby letters of credit and $70.6 million outstanding draws under our lines of credit as of March 31, 2022 ($31.5 million in standby letters of credit and $159.7 million outstanding draws as of December 31, 2021). We also have other credit facility agreements in place that provide the ability to issue up to $120.0 million in standby letters of credit. As of March 31, 2022, we had $102.0 million outstanding in standby letters of credit under these agreements.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March 31, 2022, we had 3.0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Securities.) The amount and timing of future sales of our securities will depend upon market conditions and our specific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three months ended March 31, 2022, we issued 0.1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$3.3 million (0.1 million shares were issued for the three months ended March 31, 2021, resulting in net proceeds of $5.0 million).</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2021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2022 are expected to be approximately $210 million. For the three months ended March 31, 2022,</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$34.2 million ($141.7 million for the three months ended March 31, 2021). The expenditures were primarily made in the Regulated Operations segment.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ALLETE had 1,368 employees, of which 1,346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466 employees covered under collective bargaining agreements, of which most are members of International Brotherhood of Electrical Workers (IBEW) Local 31. The current labor agreements with IBEW Local 31 expire on April 30, 2023, for Minnesota Power and on January 31, 2024,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174 employees, of which 127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2022,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2022, an increase of 100 basis points in interest rates would impact the amount of pre-tax interest expense by $2.7 million. This amount was determined by considering the impact of a hypothetical 100 basis point increase to the average variable interest rate on the variable rate debt outstanding as of March 31,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2022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2022, evaluations were performed, under the supervision and with the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2021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2021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8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31(a)</w:t>
      </w:r>
      <w:r>
        <w:rPr>
          <w:sz w:val="20"/>
          <w:szCs w:val="20"/>
          <w:color w:val="auto"/>
        </w:rPr>
        <w:tab/>
      </w:r>
      <w:hyperlink w:anchor="page42">
        <w:r>
          <w:rPr>
            <w:rFonts w:ascii="Arial" w:cs="Arial" w:eastAsia="Arial" w:hAnsi="Arial"/>
            <w:sz w:val="18"/>
            <w:szCs w:val="18"/>
            <w:u w:val="single" w:color="auto"/>
            <w:color w:val="0000FF"/>
          </w:rPr>
          <w:t>Rule 13a-14(a)/15d-14(a) Certification by the Chief Executive Officer Pursuant to Section 302 of the Sarbanes-Oxley</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left="1080" w:right="1460" w:hanging="1059"/>
        <w:spacing w:after="0" w:line="23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31(b)</w:t>
      </w:r>
      <w:r>
        <w:rPr>
          <w:sz w:val="20"/>
          <w:szCs w:val="20"/>
          <w:color w:val="auto"/>
        </w:rPr>
        <w:tab/>
      </w:r>
      <w:hyperlink w:anchor="page43">
        <w:r>
          <w:rPr>
            <w:rFonts w:ascii="Arial" w:cs="Arial" w:eastAsia="Arial" w:hAnsi="Arial"/>
            <w:sz w:val="18"/>
            <w:szCs w:val="18"/>
            <w:u w:val="single" w:color="auto"/>
            <w:color w:val="0000FF"/>
          </w:rPr>
          <w:t>Rule 13a-14(a)/15d-14(a) Certification by the Chief Financial Officer Pursuant to Section 302 of the Sarbanes-Oxley</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14745" cy="257175"/>
                    </a:xfrm>
                    <a:prstGeom prst="rect">
                      <a:avLst/>
                    </a:prstGeom>
                    <a:noFill/>
                  </pic:spPr>
                </pic:pic>
              </a:graphicData>
            </a:graphic>
          </wp:anchor>
        </w:drawing>
      </w:r>
    </w:p>
    <w:p>
      <w:pPr>
        <w:ind w:left="1080" w:right="1460" w:hanging="1054"/>
        <w:spacing w:after="0" w:line="234" w:lineRule="auto"/>
        <w:tabs>
          <w:tab w:leader="none" w:pos="1080" w:val="left"/>
        </w:tabs>
        <w:numPr>
          <w:ilvl w:val="0"/>
          <w:numId w:val="13"/>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Section 1350 Certification of Periodic Report by the Chief Executive Officer and the Chief Financial Officer Pursuant to</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Section 906 of the Sarbanes-Oxley Act of 2002.</w:t>
        </w:r>
      </w:hyperlink>
    </w:p>
    <w:p>
      <w:pPr>
        <w:spacing w:after="0" w:line="1" w:lineRule="exact"/>
        <w:rPr>
          <w:rFonts w:ascii="Arial" w:cs="Arial" w:eastAsia="Arial" w:hAnsi="Arial"/>
          <w:sz w:val="18"/>
          <w:szCs w:val="18"/>
          <w:u w:val="single" w:color="auto"/>
          <w:color w:val="0000FF"/>
        </w:rPr>
      </w:pPr>
    </w:p>
    <w:p>
      <w:pPr>
        <w:ind w:left="2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45">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14745"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4745" cy="48006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both"/>
        <w:ind w:left="1080" w:right="1460" w:hanging="1054"/>
        <w:spacing w:after="0" w:line="219" w:lineRule="auto"/>
        <w:tabs>
          <w:tab w:leader="none" w:pos="1080" w:val="left"/>
        </w:tabs>
        <w:numPr>
          <w:ilvl w:val="0"/>
          <w:numId w:val="14"/>
        </w:numPr>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ALLETE News Release dated May 5, 2022, announcing 2022 first quarter earnings. (This exhibit has been</w:t>
        </w:r>
      </w:hyperlink>
      <w:r>
        <w:rPr>
          <w:rFonts w:ascii="Arial" w:cs="Arial" w:eastAsia="Arial" w:hAnsi="Arial"/>
          <w:sz w:val="18"/>
          <w:szCs w:val="18"/>
          <w:b w:val="1"/>
          <w:bCs w:val="1"/>
          <w:u w:val="single" w:color="auto"/>
          <w:color w:val="0000FF"/>
        </w:rPr>
        <w:t xml:space="preserve"> </w:t>
      </w:r>
      <w:hyperlink w:anchor="page46">
        <w:r>
          <w:rPr>
            <w:rFonts w:ascii="Arial" w:cs="Arial" w:eastAsia="Arial" w:hAnsi="Arial"/>
            <w:sz w:val="18"/>
            <w:szCs w:val="18"/>
            <w:b w:val="1"/>
            <w:bCs w:val="1"/>
            <w:u w:val="single" w:color="auto"/>
            <w:color w:val="0000FF"/>
          </w:rPr>
          <w:t>furnished and shall not be deemed “filed” for purposes of Section 18 of the Securities Exchange Act of 1934, nor</w:t>
        </w:r>
      </w:hyperlink>
      <w:r>
        <w:rPr>
          <w:rFonts w:ascii="Arial" w:cs="Arial" w:eastAsia="Arial" w:hAnsi="Arial"/>
          <w:sz w:val="18"/>
          <w:szCs w:val="18"/>
          <w:b w:val="1"/>
          <w:bCs w:val="1"/>
          <w:u w:val="single" w:color="auto"/>
          <w:color w:val="0000FF"/>
        </w:rPr>
        <w:t xml:space="preserve"> </w:t>
      </w:r>
      <w:hyperlink w:anchor="page46">
        <w:r>
          <w:rPr>
            <w:rFonts w:ascii="Arial" w:cs="Arial" w:eastAsia="Arial" w:hAnsi="Arial"/>
            <w:sz w:val="18"/>
            <w:szCs w:val="18"/>
            <w:b w:val="1"/>
            <w:bCs w:val="1"/>
            <w:u w:val="single" w:color="auto"/>
            <w:color w:val="0000FF"/>
          </w:rPr>
          <w:t>shall it be deemed incorporated by reference in any filing under the Securities Act of 1933, except as shall be</w:t>
        </w:r>
      </w:hyperlink>
      <w:r>
        <w:rPr>
          <w:rFonts w:ascii="Arial" w:cs="Arial" w:eastAsia="Arial" w:hAnsi="Arial"/>
          <w:sz w:val="18"/>
          <w:szCs w:val="18"/>
          <w:b w:val="1"/>
          <w:bCs w:val="1"/>
          <w:u w:val="single" w:color="auto"/>
          <w:color w:val="0000FF"/>
        </w:rPr>
        <w:t xml:space="preserve"> </w:t>
      </w:r>
      <w:hyperlink w:anchor="page46">
        <w:r>
          <w:rPr>
            <w:rFonts w:ascii="Arial" w:cs="Arial" w:eastAsia="Arial" w:hAnsi="Arial"/>
            <w:sz w:val="18"/>
            <w:szCs w:val="18"/>
            <w:b w:val="1"/>
            <w:bCs w:val="1"/>
            <w:u w:val="single" w:color="auto"/>
            <w:color w:val="0000FF"/>
          </w:rPr>
          <w:t>expressly set forth by specific reference in such filing.)</w:t>
        </w:r>
      </w:hyperlink>
    </w:p>
    <w:tbl>
      <w:tblPr>
        <w:tblLayout w:type="fixed"/>
        <w:tblInd w:w="0" w:type="dxa"/>
        <w:tblCellMar>
          <w:top w:w="0" w:type="dxa"/>
          <w:left w:w="0" w:type="dxa"/>
          <w:bottom w:w="0" w:type="dxa"/>
          <w:right w:w="0" w:type="dxa"/>
        </w:tblCellMar>
      </w:tblPr>
      <w:tr>
        <w:trPr>
          <w:trHeight w:val="176"/>
        </w:trPr>
        <w:tc>
          <w:tcPr>
            <w:tcW w:w="88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8920" w:type="dxa"/>
            <w:vAlign w:val="bottom"/>
          </w:tcPr>
          <w:p>
            <w:pPr>
              <w:ind w:left="20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8920" w:type="dxa"/>
            <w:vAlign w:val="bottom"/>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3" w:lineRule="exact"/>
        <w:rPr>
          <w:rFonts w:ascii="Arial" w:cs="Arial" w:eastAsia="Arial" w:hAnsi="Arial"/>
          <w:sz w:val="18"/>
          <w:szCs w:val="18"/>
          <w:b w:val="1"/>
          <w:bCs w:val="1"/>
          <w:u w:val="single" w:color="auto"/>
          <w:color w:val="0000FF"/>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rFonts w:ascii="Arial" w:cs="Arial" w:eastAsia="Arial" w:hAnsi="Arial"/>
          <w:sz w:val="18"/>
          <w:szCs w:val="18"/>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8"/>
          <w:szCs w:val="18"/>
          <w:color w:val="auto"/>
        </w:rPr>
        <w:t>May 5, 2022</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175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2022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May 5, 2022</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May 5, 2022</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2022,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2022</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BNI Energy, owner of Center Mine, received no citations under Section 104(a) of the Mine Safety Act, none were significant and substantial (S&amp;S) citations. For the three months ended March 31, 2022, BNI Energy paid $125 in penalties for citations closed during the period. For the three months ended March 31, 2022,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May 5, 2022</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794" w:lineRule="exact"/>
        <w:rPr>
          <w:sz w:val="20"/>
          <w:szCs w:val="20"/>
          <w:color w:val="auto"/>
        </w:rPr>
      </w:pPr>
    </w:p>
    <w:p>
      <w:pPr>
        <w:sectPr>
          <w:pgSz w:w="11900" w:h="16838" w:orient="portrait"/>
          <w:cols w:equalWidth="0" w:num="2">
            <w:col w:w="6460" w:space="720"/>
            <w:col w:w="4060"/>
          </w:cols>
          <w:pgMar w:left="320" w:top="1003"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ALLETE, Inc. reports first quarter earnings of $1.24 per share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Reaffirms 2022 earnings guidance range of $3.60 - $3.90 per share</w:t>
      </w:r>
    </w:p>
    <w:p>
      <w:pPr>
        <w:spacing w:after="0" w:line="4"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DULUTH, Minn. - ALLETE, Inc. (NYSE: ALE) today reported first quarter 2022 earnings of $1.24 per share on net income of $66.3 million. Last year’s results were 99 cents per share on net income of $51.8 million.</w:t>
      </w:r>
    </w:p>
    <w:p>
      <w:pPr>
        <w:spacing w:after="0" w:line="218" w:lineRule="exact"/>
        <w:rPr>
          <w:sz w:val="20"/>
          <w:szCs w:val="20"/>
          <w:color w:val="auto"/>
        </w:rPr>
      </w:pPr>
    </w:p>
    <w:p>
      <w:pPr>
        <w:jc w:val="both"/>
        <w:ind w:right="240"/>
        <w:spacing w:after="0" w:line="291" w:lineRule="auto"/>
        <w:rPr>
          <w:sz w:val="20"/>
          <w:szCs w:val="20"/>
          <w:color w:val="auto"/>
        </w:rPr>
      </w:pPr>
      <w:r>
        <w:rPr>
          <w:rFonts w:ascii="Arial" w:cs="Arial" w:eastAsia="Arial" w:hAnsi="Arial"/>
          <w:sz w:val="18"/>
          <w:szCs w:val="18"/>
          <w:color w:val="auto"/>
        </w:rPr>
        <w:t>Net income in 2022 includes transaction costs of $1.4 million after-tax, or 3 cents per share, related to the acquisition of New Energy. Net income in 2021 included an approximately $5 million, or 10 cents per share, negative impact related to ALLETE Clean Energy’s Diamond Spring wind energy facility due to an extreme winter storm event in the southern United States in February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for the quarter were solid, reflecting much-needed rate recovery and strong operational performance from ALLETE’s</w:t>
      </w:r>
    </w:p>
    <w:p>
      <w:pPr>
        <w:spacing w:after="0" w:line="5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companies,” said ALLETE Chair, President and Chief Executive Officer Bethany Owen. “In addition, we are very pleased to have New Energy now part of the ALLETE family of businesses, as we believe New Energy gives ALLETE a strategic presence in the distributed solar space, along with earnings growth and strong cash flow contributions in support of our dividend, as well as a talented and experienced team.”</w:t>
      </w:r>
    </w:p>
    <w:p>
      <w:pPr>
        <w:spacing w:after="0" w:line="14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ALLETE’s Regulated Operations segment, which includes Minnesota Power, Superior Water, Light and Power and the Company’s investment in the American Transmission Company, recorded first quarter 2022 net income of $51.5 million, compared to $45.0 million in 2021. Earnings reflect higher income at Minnesota Power primarily due to the implementation of interim rates on January 1, 2022, and higher kWh sales to residential and commercial customers. These increases were partially offset by higher costs under a 250 MW power purchase agreement, higher operating and maintenance expense, and lower kWh sales to industrial customers.</w:t>
      </w:r>
    </w:p>
    <w:p>
      <w:pPr>
        <w:spacing w:after="0" w:line="207"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ALLETE Clean Energy recorded first quarter 2022 net income of $16.5 million compared to $7.4 million in 2021. Net income in 2022 reflects higher wind resources compared to 2021. Net income in 2021 included an approximately $5 million after-tax negative impact at ALLETE Clean Energy’s Diamond Spring wind energy facility related to an extreme winter storm event in the southern United States in February 2021.</w:t>
      </w:r>
    </w:p>
    <w:p>
      <w:pPr>
        <w:spacing w:after="0" w:line="21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Corporate and Other businesses, which include BNI Energy, ALLETE Properties and our investment in the Nobles 2 wind energy facility, recorded a net loss of $1.7 million compared to a net loss of $600 thousand in 2021. Results in 2022 reflect $1.4 million after-tax of transaction costs related to the New Energy acquisition, and higher expenses compared to 2021, partially offset by higher earnings from our investment in Nobles 2 in 2022, reflecting higher wind resources.</w:t>
      </w:r>
    </w:p>
    <w:p>
      <w:pPr>
        <w:spacing w:after="0" w:line="218"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“Our consolidated financial results for the quarter are in line with our internal expectations, said ALLETE Senior Vice President and Chief Financial Officer Steve Morris. “We are affirming our 2022 earnings guidance of $3.60 - $3.90 per share, and anticipate immaterial net impacts on 2022 earnings from the New Energy acquisition and recent equity offering. For the partial year ended 2022, New Energy’s financial results will be impacted by transaction costs and purchase price accounting; excluding these items the transaction will be accretive this year, and we anticipate meaningful accretion in 2023 for the first full year of ownership.”</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100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Live Webcast on May 5, 2022; 2022 first quarter slides posted on company website</w:t>
      </w:r>
    </w:p>
    <w:p>
      <w:pPr>
        <w:spacing w:after="0" w:line="249"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 xml:space="preserve">ALLETE’s earnings conference call will be at 10:00 a.m. (EST), May 5, 2022, at which time management will discuss the first quarter of 2022 financial results. Interested parties may listen live by calling (877) 303-5852, pass code 7961608, ten minutes prior to the start time, or may listen to the live audio-only webcast accompanied by supporting slides, which will be available on ALLETE’s Investor Relations website </w:t>
      </w:r>
      <w:r>
        <w:rPr>
          <w:rFonts w:ascii="Arial" w:cs="Arial" w:eastAsia="Arial" w:hAnsi="Arial"/>
          <w:sz w:val="20"/>
          <w:szCs w:val="20"/>
          <w:u w:val="single" w:color="auto"/>
          <w:color w:val="1F0CFF"/>
        </w:rPr>
        <w:t>http://investor.allete.com/events-presentations</w:t>
      </w:r>
      <w:r>
        <w:rPr>
          <w:rFonts w:ascii="Arial" w:cs="Arial" w:eastAsia="Arial" w:hAnsi="Arial"/>
          <w:sz w:val="19"/>
          <w:szCs w:val="19"/>
          <w:color w:val="auto"/>
        </w:rPr>
        <w:t xml:space="preserve">. A replay of the call will be available through May 12, 2022 by calling (855) 859-2056, pass code 7961608. The webcast will be accessible for one year at </w:t>
      </w:r>
      <w:r>
        <w:rPr>
          <w:rFonts w:ascii="Arial" w:cs="Arial" w:eastAsia="Arial" w:hAnsi="Arial"/>
          <w:sz w:val="20"/>
          <w:szCs w:val="20"/>
          <w:u w:val="single" w:color="auto"/>
          <w:color w:val="1F0CFF"/>
        </w:rPr>
        <w:t>www.allete.com</w:t>
      </w:r>
      <w:r>
        <w:rPr>
          <w:rFonts w:ascii="Arial" w:cs="Arial" w:eastAsia="Arial" w:hAnsi="Arial"/>
          <w:sz w:val="19"/>
          <w:szCs w:val="19"/>
          <w:color w:val="auto"/>
        </w:rPr>
        <w:t>.</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Arial" w:cs="Arial" w:eastAsia="Arial" w:hAnsi="Arial"/>
          <w:sz w:val="21"/>
          <w:szCs w:val="21"/>
          <w:i w:val="1"/>
          <w:iCs w:val="1"/>
          <w:color w:val="auto"/>
        </w:rPr>
        <w:t>ALE-CORP</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413"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700" w:type="dxa"/>
            <w:vAlign w:val="bottom"/>
          </w:tcPr>
          <w:p>
            <w:pPr>
              <w:spacing w:after="0"/>
              <w:rPr>
                <w:sz w:val="19"/>
                <w:szCs w:val="19"/>
                <w:color w:val="auto"/>
              </w:rPr>
            </w:pPr>
          </w:p>
        </w:tc>
        <w:tc>
          <w:tcPr>
            <w:tcW w:w="45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7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51.7</w:t>
            </w: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137.4</w:t>
            </w:r>
          </w:p>
        </w:tc>
        <w:tc>
          <w:tcPr>
            <w:tcW w:w="90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330.1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6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90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 31</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398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900" w:type="dxa"/>
            <w:vAlign w:val="bottom"/>
          </w:tcPr>
          <w:p>
            <w:pPr>
              <w:jc w:val="right"/>
              <w:spacing w:after="0"/>
              <w:rPr>
                <w:sz w:val="20"/>
                <w:szCs w:val="20"/>
                <w:color w:val="auto"/>
              </w:rPr>
            </w:pPr>
            <w:r>
              <w:rPr>
                <w:rFonts w:ascii="Arial" w:cs="Arial" w:eastAsia="Arial" w:hAnsi="Arial"/>
                <w:sz w:val="18"/>
                <w:szCs w:val="18"/>
                <w:color w:val="auto"/>
              </w:rPr>
              <w:t>246.2</w:t>
            </w:r>
          </w:p>
        </w:tc>
        <w:tc>
          <w:tcPr>
            <w:tcW w:w="39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1,669.4</w:t>
            </w:r>
          </w:p>
        </w:tc>
        <w:tc>
          <w:tcPr>
            <w:tcW w:w="84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5,100.2</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900" w:type="dxa"/>
            <w:vAlign w:val="bottom"/>
          </w:tcPr>
          <w:p>
            <w:pPr>
              <w:jc w:val="right"/>
              <w:spacing w:after="0"/>
              <w:rPr>
                <w:sz w:val="20"/>
                <w:szCs w:val="20"/>
                <w:color w:val="auto"/>
              </w:rPr>
            </w:pPr>
            <w:r>
              <w:rPr>
                <w:rFonts w:ascii="Arial" w:cs="Arial" w:eastAsia="Arial" w:hAnsi="Arial"/>
                <w:sz w:val="18"/>
                <w:szCs w:val="18"/>
                <w:color w:val="auto"/>
              </w:rPr>
              <w:t>511.8</w:t>
            </w:r>
          </w:p>
        </w:tc>
        <w:tc>
          <w:tcPr>
            <w:tcW w:w="39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533.4</w:t>
            </w:r>
          </w:p>
        </w:tc>
        <w:tc>
          <w:tcPr>
            <w:tcW w:w="840" w:type="dxa"/>
            <w:vAlign w:val="bottom"/>
          </w:tcPr>
          <w:p>
            <w:pPr>
              <w:jc w:val="right"/>
              <w:spacing w:after="0"/>
              <w:rPr>
                <w:sz w:val="20"/>
                <w:szCs w:val="20"/>
                <w:color w:val="auto"/>
              </w:rPr>
            </w:pPr>
            <w:r>
              <w:rPr>
                <w:rFonts w:ascii="Arial" w:cs="Arial" w:eastAsia="Arial" w:hAnsi="Arial"/>
                <w:sz w:val="18"/>
                <w:szCs w:val="18"/>
                <w:color w:val="auto"/>
              </w:rPr>
              <w:t>536.1</w:t>
            </w: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149"/>
        </w:trPr>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212.4</w:t>
            </w:r>
          </w:p>
        </w:tc>
        <w:tc>
          <w:tcPr>
            <w:tcW w:w="900" w:type="dxa"/>
            <w:vAlign w:val="bottom"/>
          </w:tcPr>
          <w:p>
            <w:pPr>
              <w:jc w:val="right"/>
              <w:spacing w:after="0"/>
              <w:rPr>
                <w:sz w:val="20"/>
                <w:szCs w:val="20"/>
                <w:color w:val="auto"/>
              </w:rPr>
            </w:pPr>
            <w:r>
              <w:rPr>
                <w:rFonts w:ascii="Arial" w:cs="Arial" w:eastAsia="Arial" w:hAnsi="Arial"/>
                <w:sz w:val="18"/>
                <w:szCs w:val="18"/>
                <w:color w:val="auto"/>
              </w:rPr>
              <w:t>213.7</w:t>
            </w:r>
          </w:p>
        </w:tc>
        <w:tc>
          <w:tcPr>
            <w:tcW w:w="39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287.6</w:t>
            </w:r>
          </w:p>
        </w:tc>
        <w:tc>
          <w:tcPr>
            <w:tcW w:w="84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29"/>
        </w:trPr>
        <w:tc>
          <w:tcPr>
            <w:tcW w:w="3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2,946.3</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$6,556.0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29"/>
        </w:trPr>
        <w:tc>
          <w:tcPr>
            <w:tcW w:w="6260" w:type="dxa"/>
            <w:vAlign w:val="bottom"/>
          </w:tcPr>
          <w:p>
            <w:pPr>
              <w:spacing w:after="0"/>
              <w:rPr>
                <w:sz w:val="19"/>
                <w:szCs w:val="19"/>
                <w:color w:val="auto"/>
              </w:rPr>
            </w:pPr>
          </w:p>
        </w:tc>
        <w:tc>
          <w:tcPr>
            <w:tcW w:w="4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394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r>
      <w:tr>
        <w:trPr>
          <w:trHeight w:val="23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39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39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3940" w:type="dxa"/>
            <w:vAlign w:val="bottom"/>
          </w:tcPr>
          <w:p>
            <w:pPr>
              <w:jc w:val="right"/>
              <w:ind w:right="470"/>
              <w:spacing w:after="0"/>
              <w:rPr>
                <w:sz w:val="20"/>
                <w:szCs w:val="20"/>
                <w:color w:val="auto"/>
              </w:rPr>
            </w:pPr>
            <w:r>
              <w:rPr>
                <w:rFonts w:ascii="Arial" w:cs="Arial" w:eastAsia="Arial" w:hAnsi="Arial"/>
                <w:sz w:val="18"/>
                <w:szCs w:val="18"/>
                <w:color w:val="auto"/>
              </w:rPr>
              <w:t>16.5</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3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3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9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60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60" w:type="dxa"/>
            <w:vAlign w:val="bottom"/>
          </w:tcPr>
          <w:p>
            <w:pPr>
              <w:ind w:left="560"/>
              <w:spacing w:after="0"/>
              <w:rPr>
                <w:sz w:val="20"/>
                <w:szCs w:val="20"/>
                <w:color w:val="auto"/>
              </w:rPr>
            </w:pPr>
            <w:r>
              <w:rPr>
                <w:rFonts w:ascii="Arial" w:cs="Arial" w:eastAsia="Arial" w:hAnsi="Arial"/>
                <w:sz w:val="18"/>
                <w:szCs w:val="18"/>
                <w:color w:val="auto"/>
              </w:rPr>
              <w:t>High</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$68.61</w:t>
            </w:r>
          </w:p>
        </w:tc>
        <w:tc>
          <w:tcPr>
            <w:tcW w:w="1040" w:type="dxa"/>
            <w:vAlign w:val="bottom"/>
          </w:tcPr>
          <w:p>
            <w:pPr>
              <w:jc w:val="right"/>
              <w:spacing w:after="0"/>
              <w:rPr>
                <w:sz w:val="20"/>
                <w:szCs w:val="20"/>
                <w:color w:val="auto"/>
              </w:rPr>
            </w:pPr>
            <w:r>
              <w:rPr>
                <w:rFonts w:ascii="Arial" w:cs="Arial" w:eastAsia="Arial" w:hAnsi="Arial"/>
                <w:sz w:val="18"/>
                <w:szCs w:val="18"/>
                <w:color w:val="auto"/>
              </w:rPr>
              <w:t>$72.15</w:t>
            </w:r>
          </w:p>
        </w:tc>
      </w:tr>
      <w:tr>
        <w:trPr>
          <w:trHeight w:val="230"/>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$58.37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29"/>
        </w:trPr>
        <w:tc>
          <w:tcPr>
            <w:tcW w:w="6260" w:type="dxa"/>
            <w:vAlign w:val="bottom"/>
          </w:tcPr>
          <w:p>
            <w:pPr>
              <w:ind w:left="560"/>
              <w:spacing w:after="0"/>
              <w:rPr>
                <w:sz w:val="20"/>
                <w:szCs w:val="20"/>
                <w:color w:val="auto"/>
              </w:rPr>
            </w:pPr>
            <w:r>
              <w:rPr>
                <w:rFonts w:ascii="Arial" w:cs="Arial" w:eastAsia="Arial" w:hAnsi="Arial"/>
                <w:sz w:val="18"/>
                <w:szCs w:val="18"/>
                <w:color w:val="auto"/>
              </w:rPr>
              <w:t>Close</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$66.98</w:t>
            </w:r>
          </w:p>
        </w:tc>
        <w:tc>
          <w:tcPr>
            <w:tcW w:w="104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$45.95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r>
      <w:tr>
        <w:trPr>
          <w:trHeight w:val="5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6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26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360</w:t>
            </w: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6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2,639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30"/>
        </w:trPr>
        <w:tc>
          <w:tcPr>
            <w:tcW w:w="62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r>
      <w:tr>
        <w:trPr>
          <w:trHeight w:val="223"/>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3,620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56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6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626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45.4</w:t>
            </w: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146.5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30"/>
        </w:trPr>
        <w:tc>
          <w:tcPr>
            <w:tcW w:w="6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0"/>
        </w:trPr>
        <w:tc>
          <w:tcPr>
            <w:tcW w:w="626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41.0</w:t>
            </w: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62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35.5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3"/>
        </w:trPr>
        <w:tc>
          <w:tcPr>
            <w:tcW w:w="6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$329.0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r>
    </w:tbl>
    <w:p>
      <w:pPr>
        <w:spacing w:after="0" w:line="289"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99"/>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2022-05-05T05:32:12Z</dcterms:created>
  <dcterms:modified xsi:type="dcterms:W3CDTF">2022-05-05T05:32:12Z</dcterms:modified>
</cp:coreProperties>
</file>