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2015</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47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2"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472"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472"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472"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48,850,462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June 30, 2015</w:t>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94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4100" w:type="dxa"/>
            <w:vAlign w:val="bottom"/>
            <w:gridSpan w:val="6"/>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6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060" w:type="dxa"/>
            <w:vAlign w:val="bottom"/>
            <w:gridSpan w:val="4"/>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w:t>
              </w:r>
            </w:hyperlink>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8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6"/>
          </w:tcPr>
          <w:p>
            <w:pPr>
              <w:spacing w:after="0"/>
              <w:rPr>
                <w:sz w:val="20"/>
                <w:szCs w:val="20"/>
                <w:color w:val="auto"/>
              </w:rPr>
            </w:pPr>
            <w:r>
              <w:rPr>
                <w:rFonts w:ascii="Arial" w:cs="Arial" w:eastAsia="Arial" w:hAnsi="Arial"/>
                <w:sz w:val="18"/>
                <w:szCs w:val="18"/>
                <w:color w:val="auto"/>
              </w:rPr>
              <w:t>June 30, 2015 and December 31, 2014</w:t>
            </w:r>
          </w:p>
        </w:tc>
        <w:tc>
          <w:tcPr>
            <w:tcW w:w="200" w:type="dxa"/>
            <w:vAlign w:val="bottom"/>
            <w:gridSpan w:val="3"/>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auto"/>
              </w:rPr>
              <w:t>Quarter and Six Months Ended June 30, 2015 and 2014</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Comprehensive Income -</w:t>
              </w:r>
            </w:hyperlink>
          </w:p>
        </w:tc>
        <w:tc>
          <w:tcPr>
            <w:tcW w:w="660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6"/>
          </w:tcPr>
          <w:p>
            <w:pPr>
              <w:spacing w:after="0" w:line="202" w:lineRule="exact"/>
              <w:rPr>
                <w:sz w:val="20"/>
                <w:szCs w:val="20"/>
                <w:color w:val="auto"/>
              </w:rPr>
            </w:pPr>
            <w:r>
              <w:rPr>
                <w:rFonts w:ascii="Arial" w:cs="Arial" w:eastAsia="Arial" w:hAnsi="Arial"/>
                <w:sz w:val="18"/>
                <w:szCs w:val="18"/>
                <w:color w:val="auto"/>
              </w:rPr>
              <w:t>Quarter and Six Months Ended June 30,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19"/>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auto"/>
              </w:rPr>
              <w:t>Six Months Ended June 30, 2015 and 2014</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380" w:type="dxa"/>
            <w:vAlign w:val="bottom"/>
            <w:gridSpan w:val="19"/>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2.</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and Results of Operations</w:t>
              </w:r>
            </w:hyperlink>
          </w:p>
        </w:tc>
        <w:tc>
          <w:tcPr>
            <w:tcW w:w="48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3.</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4.</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Part II.</w:t>
              </w:r>
            </w:hyperlink>
          </w:p>
        </w:tc>
        <w:tc>
          <w:tcPr>
            <w:tcW w:w="10380" w:type="dxa"/>
            <w:vAlign w:val="bottom"/>
            <w:gridSpan w:val="19"/>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1.</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1A.</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2.</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3.</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5.</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6.</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4"/>
            <w:shd w:val="clear" w:color="auto" w:fill="CCEEFF"/>
          </w:tcPr>
          <w:p>
            <w:pPr>
              <w:ind w:left="40"/>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Signatures</w:t>
              </w:r>
            </w:hyperlink>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64</w:t>
              </w:r>
            </w:hyperlink>
          </w:p>
        </w:tc>
      </w:tr>
      <w:tr>
        <w:trPr>
          <w:trHeight w:val="39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020" w:type="dxa"/>
            <w:vAlign w:val="bottom"/>
            <w:tcBorders>
              <w:top w:val="single" w:sz="8" w:color="CCEEFF"/>
            </w:tcBorders>
            <w:gridSpan w:val="5"/>
          </w:tcPr>
          <w:p>
            <w:pPr>
              <w:ind w:left="120"/>
              <w:spacing w:after="0"/>
              <w:rPr>
                <w:sz w:val="20"/>
                <w:szCs w:val="20"/>
                <w:color w:val="auto"/>
              </w:rPr>
            </w:pPr>
            <w:r>
              <w:rPr>
                <w:rFonts w:ascii="Arial" w:cs="Arial" w:eastAsia="Arial" w:hAnsi="Arial"/>
                <w:sz w:val="14"/>
                <w:szCs w:val="14"/>
                <w:color w:val="auto"/>
              </w:rPr>
              <w:t>ALLETE, Inc. Second Quarter 2015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29"/>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Allowance for Funds Used During Construction – the cost of both debt and equity funds used to finance utility plant</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additions during construction periods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Coal, Ltd.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76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Enbridge</w:t>
            </w:r>
          </w:p>
        </w:tc>
        <w:tc>
          <w:tcPr>
            <w:tcW w:w="8760" w:type="dxa"/>
            <w:vAlign w:val="bottom"/>
            <w:gridSpan w:val="2"/>
          </w:tcPr>
          <w:p>
            <w:pPr>
              <w:spacing w:after="0"/>
              <w:rPr>
                <w:sz w:val="20"/>
                <w:szCs w:val="20"/>
                <w:color w:val="auto"/>
              </w:rPr>
            </w:pPr>
            <w:r>
              <w:rPr>
                <w:rFonts w:ascii="Arial" w:cs="Arial" w:eastAsia="Arial" w:hAnsi="Arial"/>
                <w:sz w:val="18"/>
                <w:szCs w:val="18"/>
                <w:color w:val="auto"/>
              </w:rPr>
              <w:t>Enbridge,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76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76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76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IBEW</w:t>
            </w:r>
          </w:p>
        </w:tc>
        <w:tc>
          <w:tcPr>
            <w:tcW w:w="8760" w:type="dxa"/>
            <w:vAlign w:val="bottom"/>
            <w:gridSpan w:val="2"/>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kWh</w:t>
            </w:r>
          </w:p>
        </w:tc>
        <w:tc>
          <w:tcPr>
            <w:tcW w:w="8760" w:type="dxa"/>
            <w:vAlign w:val="bottom"/>
            <w:gridSpan w:val="2"/>
          </w:tcPr>
          <w:p>
            <w:pPr>
              <w:spacing w:after="0"/>
              <w:rPr>
                <w:sz w:val="20"/>
                <w:szCs w:val="20"/>
                <w:color w:val="auto"/>
              </w:rPr>
            </w:pPr>
            <w:r>
              <w:rPr>
                <w:rFonts w:ascii="Arial" w:cs="Arial" w:eastAsia="Arial" w:hAnsi="Arial"/>
                <w:sz w:val="18"/>
                <w:szCs w:val="18"/>
                <w:color w:val="auto"/>
              </w:rPr>
              <w:t>Kilowatt-hour(s)</w:t>
            </w:r>
          </w:p>
        </w:tc>
      </w:tr>
      <w:tr>
        <w:trPr>
          <w:trHeight w:val="203"/>
        </w:trPr>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40" w:type="dxa"/>
            <w:vAlign w:val="bottom"/>
          </w:tcPr>
          <w:p>
            <w:pPr>
              <w:spacing w:after="0"/>
              <w:rPr>
                <w:sz w:val="17"/>
                <w:szCs w:val="17"/>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gridSpan w:val="2"/>
          </w:tcPr>
          <w:p>
            <w:pPr>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Magnetation</w:t>
            </w:r>
          </w:p>
        </w:tc>
        <w:tc>
          <w:tcPr>
            <w:tcW w:w="8760" w:type="dxa"/>
            <w:vAlign w:val="bottom"/>
            <w:gridSpan w:val="2"/>
          </w:tcPr>
          <w:p>
            <w:pPr>
              <w:spacing w:after="0"/>
              <w:rPr>
                <w:sz w:val="20"/>
                <w:szCs w:val="20"/>
                <w:color w:val="auto"/>
              </w:rPr>
            </w:pPr>
            <w:r>
              <w:rPr>
                <w:rFonts w:ascii="Arial" w:cs="Arial" w:eastAsia="Arial" w:hAnsi="Arial"/>
                <w:sz w:val="18"/>
                <w:szCs w:val="18"/>
                <w:color w:val="auto"/>
              </w:rPr>
              <w:t>Magnetation,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76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Nugget Delaware,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Mining Resources</w:t>
            </w:r>
          </w:p>
        </w:tc>
        <w:tc>
          <w:tcPr>
            <w:tcW w:w="8760" w:type="dxa"/>
            <w:vAlign w:val="bottom"/>
            <w:gridSpan w:val="2"/>
          </w:tcPr>
          <w:p>
            <w:pPr>
              <w:spacing w:after="0"/>
              <w:rPr>
                <w:sz w:val="20"/>
                <w:szCs w:val="20"/>
                <w:color w:val="auto"/>
              </w:rPr>
            </w:pPr>
            <w:r>
              <w:rPr>
                <w:rFonts w:ascii="Arial" w:cs="Arial" w:eastAsia="Arial" w:hAnsi="Arial"/>
                <w:sz w:val="18"/>
                <w:szCs w:val="18"/>
                <w:color w:val="auto"/>
              </w:rPr>
              <w:t>Mining Resources,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760" w:type="dxa"/>
            <w:vAlign w:val="bottom"/>
            <w:gridSpan w:val="2"/>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240"/>
              <w:spacing w:after="0"/>
              <w:rPr>
                <w:sz w:val="20"/>
                <w:szCs w:val="20"/>
                <w:color w:val="auto"/>
              </w:rPr>
            </w:pPr>
            <w:r>
              <w:rPr>
                <w:rFonts w:ascii="Arial" w:cs="Arial" w:eastAsia="Arial" w:hAnsi="Arial"/>
                <w:sz w:val="14"/>
                <w:szCs w:val="14"/>
                <w:color w:val="auto"/>
              </w:rPr>
              <w:t>ALLETE, Inc. Second Quarter 2015 Form 10-Q</w:t>
            </w: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76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gridSpan w:val="2"/>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w:t>
            </w:r>
          </w:p>
        </w:tc>
        <w:tc>
          <w:tcPr>
            <w:tcW w:w="8760" w:type="dxa"/>
            <w:vAlign w:val="bottom"/>
            <w:gridSpan w:val="2"/>
          </w:tcPr>
          <w:p>
            <w:pPr>
              <w:spacing w:after="0"/>
              <w:rPr>
                <w:sz w:val="20"/>
                <w:szCs w:val="20"/>
                <w:color w:val="auto"/>
              </w:rPr>
            </w:pPr>
            <w:r>
              <w:rPr>
                <w:rFonts w:ascii="Arial" w:cs="Arial" w:eastAsia="Arial" w:hAnsi="Arial"/>
                <w:sz w:val="18"/>
                <w:szCs w:val="18"/>
                <w:color w:val="auto"/>
              </w:rPr>
              <w:t>Power Purchase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76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76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Steel Dynamics</w:t>
            </w:r>
          </w:p>
        </w:tc>
        <w:tc>
          <w:tcPr>
            <w:tcW w:w="8760" w:type="dxa"/>
            <w:vAlign w:val="bottom"/>
            <w:gridSpan w:val="2"/>
          </w:tcPr>
          <w:p>
            <w:pPr>
              <w:spacing w:after="0"/>
              <w:rPr>
                <w:sz w:val="20"/>
                <w:szCs w:val="20"/>
                <w:color w:val="auto"/>
              </w:rPr>
            </w:pPr>
            <w:r>
              <w:rPr>
                <w:rFonts w:ascii="Arial" w:cs="Arial" w:eastAsia="Arial" w:hAnsi="Arial"/>
                <w:sz w:val="18"/>
                <w:szCs w:val="18"/>
                <w:color w:val="auto"/>
              </w:rPr>
              <w:t>Steel Dynamics,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Thomson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Thomson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240"/>
              <w:spacing w:after="0"/>
              <w:rPr>
                <w:sz w:val="20"/>
                <w:szCs w:val="20"/>
                <w:color w:val="auto"/>
              </w:rPr>
            </w:pPr>
            <w:r>
              <w:rPr>
                <w:rFonts w:ascii="Arial" w:cs="Arial" w:eastAsia="Arial" w:hAnsi="Arial"/>
                <w:sz w:val="14"/>
                <w:szCs w:val="14"/>
                <w:color w:val="auto"/>
              </w:rPr>
              <w:t>ALLETE, Inc. Second Quarter 2015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recover these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 disclosures regarding factors that could cause our results or performance to differ from those anticipated by this report are discussed in Part 1, Item 1A, under the heading “Risk Factors” beginning on page 29 of ALLETE’s Annual Report on Form 10-K for the year ended December 31, 2014, and in “Item 1A. Risk Factors” in this Form 10-Q on page 62.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$1.1)</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103.9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103.0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36.5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82.0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37"/>
        </w:trPr>
        <w:tc>
          <w:tcPr>
            <w:tcW w:w="8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330.6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3,451.5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3,284.8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359.6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357.3</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124.2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115.0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114.4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 Net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213.4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78.7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59.6</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$4,673.0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$4,360.8</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$94.8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34.9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38.7</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118.0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100.7</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135.6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120.8</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401.0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1,272.4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1,272.8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572.5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104.8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94.2</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190.0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353.9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265.0</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2,894.6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16)</w:t>
            </w:r>
          </w:p>
        </w:tc>
        <w:tc>
          <w:tcPr>
            <w:tcW w:w="1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ALLETE’s Equity</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48.9 and 45.9 Shares Outstanding</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1,257.1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543.0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530.1</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1,776.6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1,778.4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1,611.2</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$4,673.0</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$4,360.8</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44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Quarter Ended</w:t>
            </w:r>
          </w:p>
        </w:tc>
        <w:tc>
          <w:tcPr>
            <w:tcW w:w="22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72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3"/>
                <w:szCs w:val="23"/>
                <w:color w:val="auto"/>
              </w:rPr>
            </w:pPr>
          </w:p>
        </w:tc>
      </w:tr>
      <w:tr>
        <w:trPr>
          <w:trHeight w:val="270"/>
        </w:trPr>
        <w:tc>
          <w:tcPr>
            <w:tcW w:w="5720" w:type="dxa"/>
            <w:vAlign w:val="bottom"/>
          </w:tcPr>
          <w:p>
            <w:pPr>
              <w:spacing w:after="0"/>
              <w:rPr>
                <w:sz w:val="23"/>
                <w:szCs w:val="23"/>
                <w:color w:val="auto"/>
              </w:rPr>
            </w:pPr>
          </w:p>
        </w:tc>
        <w:tc>
          <w:tcPr>
            <w:tcW w:w="23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w w:val="89"/>
              </w:rPr>
              <w:t>2014</w:t>
            </w: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7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$323.3</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$260.7</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$643.3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$557.2</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80.1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83.6</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166.1</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11.3</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26.2</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52.3</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18.9</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83.5</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85.4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74.3</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165.1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148.6</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41.3</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33.9</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13.4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11.3</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26.2</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283.8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232.5</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547.4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39.5</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28.2</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95.9</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(16.2)</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(13.5)</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(31.3)</w:t>
            </w:r>
          </w:p>
        </w:tc>
        <w:tc>
          <w:tcPr>
            <w:tcW w:w="7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4.7</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0.7</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1.9</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(10.8)</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28.7</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21.8</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75.0</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6.4</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4.9</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22.3</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16.9</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62.4</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$22.5</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$16.8</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$62.4</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Basic</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48.6</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42.1</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47.7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48.7</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42.3</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$0.46</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$0.40</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$1.31</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$0.46</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$0.40</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$0.505</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$0.49</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$0.98</w:t>
            </w:r>
          </w:p>
        </w:tc>
      </w:tr>
      <w:tr>
        <w:trPr>
          <w:trHeight w:val="27"/>
        </w:trPr>
        <w:tc>
          <w:tcPr>
            <w:tcW w:w="80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060" w:type="dxa"/>
            <w:vAlign w:val="bottom"/>
            <w:gridSpan w:val="2"/>
          </w:tcPr>
          <w:p>
            <w:pPr>
              <w:ind w:left="338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2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06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6060" w:type="dxa"/>
            <w:vAlign w:val="bottom"/>
          </w:tcPr>
          <w:p>
            <w:pPr>
              <w:spacing w:after="0"/>
              <w:rPr>
                <w:sz w:val="23"/>
                <w:szCs w:val="23"/>
                <w:color w:val="auto"/>
              </w:rPr>
            </w:pPr>
          </w:p>
        </w:tc>
        <w:tc>
          <w:tcPr>
            <w:tcW w:w="23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0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$16.9</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$62.4</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Taxes of $–, $0.1, $0.1, and $0.1</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2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Taxes of $0.1, $–, $0.1, and $0.1</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40"/>
              <w:spacing w:after="0"/>
              <w:rPr>
                <w:sz w:val="20"/>
                <w:szCs w:val="20"/>
                <w:color w:val="auto"/>
              </w:rPr>
            </w:pPr>
            <w:r>
              <w:rPr>
                <w:rFonts w:ascii="Arial" w:cs="Arial" w:eastAsia="Arial" w:hAnsi="Arial"/>
                <w:sz w:val="18"/>
                <w:szCs w:val="18"/>
                <w:color w:val="auto"/>
              </w:rPr>
              <w:t>Net of Income Taxes of $0.2, $0.2, $0.4, and $0.4</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0.4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0.7</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0.4</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3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22.7</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17.4</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63.3</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23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$22.9</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$17.3</w:t>
            </w:r>
          </w:p>
        </w:tc>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$63.3</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84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8440" w:type="dxa"/>
            <w:vAlign w:val="bottom"/>
            <w:gridSpan w:val="2"/>
          </w:tcPr>
          <w:p>
            <w:pPr>
              <w:ind w:left="3380"/>
              <w:spacing w:after="0"/>
              <w:rPr>
                <w:sz w:val="20"/>
                <w:szCs w:val="20"/>
                <w:color w:val="auto"/>
              </w:rPr>
            </w:pPr>
            <w:r>
              <w:rPr>
                <w:rFonts w:ascii="Arial" w:cs="Arial" w:eastAsia="Arial" w:hAnsi="Arial"/>
                <w:sz w:val="18"/>
                <w:szCs w:val="18"/>
                <w:color w:val="auto"/>
                <w:w w:val="96"/>
              </w:rPr>
              <w:t>The accompanying notes are an integral part of these statements.</w:t>
            </w:r>
          </w:p>
        </w:tc>
        <w:tc>
          <w:tcPr>
            <w:tcW w:w="9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Six Months Ended</w:t>
            </w:r>
          </w:p>
        </w:tc>
      </w:tr>
      <w:tr>
        <w:trPr>
          <w:trHeight w:val="270"/>
        </w:trPr>
        <w:tc>
          <w:tcPr>
            <w:tcW w:w="88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720" w:type="dxa"/>
            <w:vAlign w:val="bottom"/>
          </w:tcPr>
          <w:p>
            <w:pPr>
              <w:spacing w:after="0"/>
              <w:rPr>
                <w:sz w:val="23"/>
                <w:szCs w:val="23"/>
                <w:color w:val="auto"/>
              </w:rPr>
            </w:pPr>
          </w:p>
        </w:tc>
      </w:tr>
      <w:tr>
        <w:trPr>
          <w:trHeight w:val="270"/>
        </w:trPr>
        <w:tc>
          <w:tcPr>
            <w:tcW w:w="8820" w:type="dxa"/>
            <w:vAlign w:val="bottom"/>
          </w:tcPr>
          <w:p>
            <w:pPr>
              <w:spacing w:after="0"/>
              <w:rPr>
                <w:sz w:val="23"/>
                <w:szCs w:val="23"/>
                <w:color w:val="auto"/>
              </w:rPr>
            </w:pPr>
          </w:p>
        </w:tc>
        <w:tc>
          <w:tcPr>
            <w:tcW w:w="1880" w:type="dxa"/>
            <w:vAlign w:val="bottom"/>
          </w:tcPr>
          <w:p>
            <w:pPr>
              <w:jc w:val="right"/>
              <w:ind w:right="655"/>
              <w:spacing w:after="0"/>
              <w:rPr>
                <w:sz w:val="20"/>
                <w:szCs w:val="20"/>
                <w:color w:val="auto"/>
              </w:rPr>
            </w:pPr>
            <w:r>
              <w:rPr>
                <w:rFonts w:ascii="Arial" w:cs="Arial" w:eastAsia="Arial" w:hAnsi="Arial"/>
                <w:sz w:val="17"/>
                <w:szCs w:val="17"/>
                <w:b w:val="1"/>
                <w:bCs w:val="1"/>
                <w:color w:val="auto"/>
              </w:rPr>
              <w:t>2015</w:t>
            </w:r>
          </w:p>
        </w:tc>
        <w:tc>
          <w:tcPr>
            <w:tcW w:w="720" w:type="dxa"/>
            <w:vAlign w:val="bottom"/>
          </w:tcPr>
          <w:p>
            <w:pPr>
              <w:jc w:val="right"/>
              <w:ind w:right="255"/>
              <w:spacing w:after="0"/>
              <w:rPr>
                <w:sz w:val="20"/>
                <w:szCs w:val="20"/>
                <w:color w:val="auto"/>
              </w:rPr>
            </w:pPr>
            <w:r>
              <w:rPr>
                <w:rFonts w:ascii="Arial" w:cs="Arial" w:eastAsia="Arial" w:hAnsi="Arial"/>
                <w:sz w:val="17"/>
                <w:szCs w:val="17"/>
                <w:b w:val="1"/>
                <w:bCs w:val="1"/>
                <w:color w:val="auto"/>
                <w:w w:val="95"/>
              </w:rPr>
              <w:t>2014</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15"/>
        </w:trPr>
        <w:tc>
          <w:tcPr>
            <w:tcW w:w="8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$62.4</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$50.7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(2.3)</w:t>
            </w: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on Sale of Investments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78.7</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66.0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Intangible Assets and Other Assets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2.9</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Power Purchase Agreements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(11.0)</w:t>
            </w:r>
          </w:p>
        </w:tc>
        <w:tc>
          <w:tcPr>
            <w:tcW w:w="7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12.3</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1.3</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ESOP Compensation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4.9</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7.7</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6.4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0.3</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17.3</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(13.4)</w:t>
            </w:r>
          </w:p>
        </w:tc>
        <w:tc>
          <w:tcPr>
            <w:tcW w:w="72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4.2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(25.6)</w:t>
            </w:r>
          </w:p>
        </w:tc>
        <w:tc>
          <w:tcPr>
            <w:tcW w:w="72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47.4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(9.6)</w:t>
            </w:r>
          </w:p>
        </w:tc>
        <w:tc>
          <w:tcPr>
            <w:tcW w:w="72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6.5</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182.3</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126.1</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0.7</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Acquisitions of Subsidiaries – Net of Cash Acquired</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(214.4)</w:t>
            </w:r>
          </w:p>
        </w:tc>
        <w:tc>
          <w:tcPr>
            <w:tcW w:w="72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Investment in ATC</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to Other Investments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(0.4)</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30.6</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(140.5)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(333.9)</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Cash in Escrow for Acquisition</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(15.0)</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6.0</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Investing Activities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(371.2)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(323.4)</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8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148.2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38.9</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15.0</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215.0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Restricted Cash</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(2.9)</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Notes Payable</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(3.7)</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Repayments of Long-Term Debt</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(3.4)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Dividends on Common Stock</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(49.5)</w:t>
            </w:r>
          </w:p>
        </w:tc>
        <w:tc>
          <w:tcPr>
            <w:tcW w:w="720" w:type="dxa"/>
            <w:vAlign w:val="bottom"/>
          </w:tcPr>
          <w:p>
            <w:pPr>
              <w:jc w:val="right"/>
              <w:spacing w:after="0"/>
              <w:rPr>
                <w:sz w:val="20"/>
                <w:szCs w:val="20"/>
                <w:color w:val="auto"/>
              </w:rPr>
            </w:pPr>
            <w:r>
              <w:rPr>
                <w:rFonts w:ascii="Arial" w:cs="Arial" w:eastAsia="Arial" w:hAnsi="Arial"/>
                <w:sz w:val="17"/>
                <w:szCs w:val="17"/>
                <w:color w:val="auto"/>
              </w:rPr>
              <w:t>(41.7)</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Financing Activities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103.7</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183.6</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8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(85.2)</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145.8</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97.3</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$60.6</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$83.6</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2014,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six months ended June 30, 2015, are not necessarily indicative of results that may be expected for any other interim period or for the year ending December 31, 2015. For further information, refer to the Consolidated Financial Statements and notes included in our 2014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As a result of recent acquisitions, certain financial statement captions have been added and as a result we have reclassified certain prior-period amounts on our Consolidated Balance Sheet, Consolidated Statement of Income, and Consolidated Statement of Cash Flows to conform to the presentation for the current period.</w:t>
      </w:r>
    </w:p>
    <w:p>
      <w:pPr>
        <w:spacing w:after="0" w:line="18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In conformity with the current presentation of Goodwill and Intangible Assets - Net on the Consolidated Balance Sheet,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our December 31, 2014, Consolidated Balance Sheet to include $1.6 million and $3.2 million of goodwill and intangible assets previously disclosed in Property, Plant and Equipment - Net and Other Non-Current Assets, respectively, under Goodwill and Intangible Assets - Net. There was no impact to Total Assets as a result of the reclassification.</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In conformity with the current presentation of Cost of Sales on the Consolidated Statement of Income,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$18.9 million from Operating and Maintenance Expenses to Cost of Sales for the quarter ended June 30, 2014 and $42.4 million for the six months ended June 30, 2014. Cost of Sales includes purchased gas at SWL&amp;P, expenses incurred to deliver coal at BNI Coal, and the cost of land and other sales at ALLETE Properties. Cost of Sales also includes costs associated with the manufacture and delivery of inventories at U.S. Water Services, our integrated water management company which was acquired on February 10, 2015. (See Note 4. Acquisitions.) In addition to the presentation of Cost of Sales, we have created new captions on the Consolidated Statement of Income to provide additional detail for Transmission Services and Taxes Other than Income Taxes. Transmission Services are MISO-related costs incurred for the transmission of electricity. In conformity with the current presentation, we have reclassified from Operating and Maintenance Expenses $10.5 million of Transmission Services and $11.3 million of Taxes Other than Income Taxes for the quarter ended June 30, 2014, and $21.3 million of Transmission Services and $22.5 million of Taxes Other than Income Taxes for the six months ended June 30, 2014. There was no impact to Operating Income, Net Income, or Net Income Attributable to ALLETE as a result of these reclassifications.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Consolidated Statement of Cash Flows. </w:t>
      </w:r>
      <w:r>
        <w:rPr>
          <w:rFonts w:ascii="Arial" w:cs="Arial" w:eastAsia="Arial" w:hAnsi="Arial"/>
          <w:sz w:val="18"/>
          <w:szCs w:val="18"/>
          <w:color w:val="auto"/>
        </w:rPr>
        <w:t>In conformity with the current presentation of the Amortization of Power Purchase Agreements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we have reclassified $5.6 million from Changes in Regulatory and Other Non-Current Liabilities to Amortization of Power Purchase Agreements for the six months ended June 30, 2014. There was no impact on cash from (for) Operating Activities, Investing Activities, and Financing Activities as a result of the reclassifications.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inventories in our Regulated Operations segment are recorded on</w:t>
      </w:r>
      <w:r>
        <w:rPr>
          <w:rFonts w:ascii="Arial" w:cs="Arial" w:eastAsia="Arial" w:hAnsi="Arial"/>
          <w:sz w:val="18"/>
          <w:szCs w:val="18"/>
          <w:b w:val="1"/>
          <w:bCs w:val="1"/>
          <w:color w:val="auto"/>
        </w:rPr>
        <w:t xml:space="preserve"> </w:t>
      </w:r>
      <w:r>
        <w:rPr>
          <w:rFonts w:ascii="Arial" w:cs="Arial" w:eastAsia="Arial" w:hAnsi="Arial"/>
          <w:sz w:val="18"/>
          <w:szCs w:val="18"/>
          <w:color w:val="auto"/>
        </w:rPr>
        <w:t>an average cost basis. Amounts removed from inventories in our Investments and Other segment are recorded on an average cost, first-in, first-out or specific identification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44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4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5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4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Fuel</w:t>
            </w:r>
          </w:p>
        </w:tc>
        <w:tc>
          <w:tcPr>
            <w:tcW w:w="4440" w:type="dxa"/>
            <w:vAlign w:val="bottom"/>
          </w:tcPr>
          <w:p>
            <w:pPr>
              <w:jc w:val="right"/>
              <w:ind w:right="190"/>
              <w:spacing w:after="0"/>
              <w:rPr>
                <w:sz w:val="20"/>
                <w:szCs w:val="20"/>
                <w:color w:val="auto"/>
              </w:rPr>
            </w:pPr>
            <w:r>
              <w:rPr>
                <w:rFonts w:ascii="Arial" w:cs="Arial" w:eastAsia="Arial" w:hAnsi="Arial"/>
                <w:sz w:val="18"/>
                <w:szCs w:val="18"/>
                <w:color w:val="auto"/>
              </w:rPr>
              <w:t>$43.7</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55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4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34.2</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37"/>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Regulated Operations</w:t>
            </w:r>
          </w:p>
        </w:tc>
        <w:tc>
          <w:tcPr>
            <w:tcW w:w="4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77.9</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55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Investments and Other </w:t>
            </w:r>
            <w:r>
              <w:rPr>
                <w:rFonts w:ascii="Arial" w:cs="Arial" w:eastAsia="Arial" w:hAnsi="Arial"/>
                <w:sz w:val="18"/>
                <w:szCs w:val="18"/>
                <w:i w:val="1"/>
                <w:iCs w:val="1"/>
                <w:color w:val="auto"/>
              </w:rPr>
              <w:t>(a)</w:t>
            </w:r>
          </w:p>
        </w:tc>
        <w:tc>
          <w:tcPr>
            <w:tcW w:w="4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Materials and Supplies</w:t>
            </w:r>
          </w:p>
        </w:tc>
        <w:tc>
          <w:tcPr>
            <w:tcW w:w="4440" w:type="dxa"/>
            <w:vAlign w:val="bottom"/>
          </w:tcPr>
          <w:p>
            <w:pPr>
              <w:jc w:val="right"/>
              <w:ind w:right="190"/>
              <w:spacing w:after="0"/>
              <w:rPr>
                <w:sz w:val="20"/>
                <w:szCs w:val="20"/>
                <w:color w:val="auto"/>
              </w:rPr>
            </w:pPr>
            <w:r>
              <w:rPr>
                <w:rFonts w:ascii="Arial" w:cs="Arial" w:eastAsia="Arial" w:hAnsi="Arial"/>
                <w:sz w:val="18"/>
                <w:szCs w:val="18"/>
                <w:color w:val="auto"/>
              </w:rPr>
              <w:t>16.6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55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4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Work in Progress</w:t>
            </w:r>
          </w:p>
        </w:tc>
        <w:tc>
          <w:tcPr>
            <w:tcW w:w="444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4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Reserve for Obsolescence</w:t>
            </w:r>
          </w:p>
        </w:tc>
        <w:tc>
          <w:tcPr>
            <w:tcW w:w="44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 and Other</w:t>
            </w:r>
          </w:p>
        </w:tc>
        <w:tc>
          <w:tcPr>
            <w:tcW w:w="4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37"/>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Inventories</w:t>
            </w:r>
          </w:p>
        </w:tc>
        <w:tc>
          <w:tcPr>
            <w:tcW w:w="4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$107.8</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Raw Materials, Work in Progress, Finished Goods, and Reserve for Obsolescence presented relate to U.S. Water Services which was acquired on February 10, 2015.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37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 xml:space="preserve">Construction Costs for Development Project </w:t>
            </w:r>
            <w:r>
              <w:rPr>
                <w:rFonts w:ascii="Arial" w:cs="Arial" w:eastAsia="Arial" w:hAnsi="Arial"/>
                <w:sz w:val="18"/>
                <w:szCs w:val="18"/>
                <w:i w:val="1"/>
                <w:iCs w:val="1"/>
                <w:color w:val="auto"/>
              </w:rPr>
              <w:t>(a)</w:t>
            </w:r>
          </w:p>
        </w:tc>
        <w:tc>
          <w:tcPr>
            <w:tcW w:w="3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7"/>
        </w:trPr>
        <w:tc>
          <w:tcPr>
            <w:tcW w:w="6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i w:val="1"/>
                <w:iCs w:val="1"/>
                <w:color w:val="auto"/>
              </w:rPr>
              <w:t>(b)</w:t>
            </w:r>
          </w:p>
        </w:tc>
        <w:tc>
          <w:tcPr>
            <w:tcW w:w="3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Other</w:t>
            </w:r>
          </w:p>
        </w:tc>
        <w:tc>
          <w:tcPr>
            <w:tcW w:w="370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6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0"/>
        </w:trPr>
        <w:tc>
          <w:tcPr>
            <w:tcW w:w="626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jc w:val="both"/>
        <w:ind w:left="340" w:hanging="332"/>
        <w:spacing w:after="0" w:line="248"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Construction Costs for Development Project relate to ALLETE Clean Energy’s acquisition in November 2014 of a project to develop and construct a wind energy facility in 2015. As of June 30, 2015, these costs have been netted with contract billings. (See Billings in Excess of Costs and Estimated Earnings in Other Current Liabilities table and Note 4. Acquisitions.)</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related to ALLETE Clean Energy’s wind energy facilities operating expense and capital distribution reserve requirements and cash pledged as collateral by U.S. Water Services for stand-by letters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The Company assesses whether there has been an impairment of goodwill annually in the third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estimated fair value is generally determined using a discounted cash flow analysis.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include customer relationships, patents, non-compete agreements and trademarks and trade names. Intangible assets with</w:t>
      </w:r>
      <w:r>
        <w:rPr>
          <w:rFonts w:ascii="Arial" w:cs="Arial" w:eastAsia="Arial" w:hAnsi="Arial"/>
          <w:sz w:val="18"/>
          <w:szCs w:val="18"/>
          <w:i w:val="1"/>
          <w:iCs w:val="1"/>
          <w:color w:val="auto"/>
        </w:rPr>
        <w:t xml:space="preserve"> </w:t>
      </w:r>
      <w:r>
        <w:rPr>
          <w:rFonts w:ascii="Arial" w:cs="Arial" w:eastAsia="Arial" w:hAnsi="Arial"/>
          <w:sz w:val="18"/>
          <w:szCs w:val="18"/>
          <w:color w:val="auto"/>
        </w:rPr>
        <w:t>definite lives consist of customer relationships, patents and non-compete agreements, which are amortized on a straight-line or accelerated basis with estimated useful lives ranging from less than 1 year to approximately 23 years. We review definite-lived intangible assets for impairment whenever events or circumstances indicate that the carrying amount of an asset may not be recoverable. Indefinite-lived intangible assets consist of trademarks and trade names, which are tested for impairment annually in the third quarter and whenever an event occurs or circumstances change that would indicate that the carrying amount may be impaired. Impairment is calculated as the excess of the asset’s carrying amount over its fair value. Fair value is generally determined using a discounted cash flow analysis.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Included in Other Non-Current Assets on the Consolidated Balance Sheet was restricted cash of $20.3 million and $5.3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and December 31, 2014, respectively. Restricted cash as of June 30, 2015 consisted of $15.0 million of cash held in escrow pending the closing of the Armenia Mountain wind energy facility acquisition, which occurred on July 1, 2015 (see Note 4. Acquisitions) and $5.3 million related to ALLETE Clean Energy’s wind energy facilities debt service and other requirements. Restricted cash as of December 31, 2014 related primarily to ALLETE Clean Energy’s wind energy facilities debt service and other requirements.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2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3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3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3220" w:type="dxa"/>
            <w:vAlign w:val="bottom"/>
          </w:tcPr>
          <w:p>
            <w:pPr>
              <w:jc w:val="right"/>
              <w:ind w:right="150"/>
              <w:spacing w:after="0"/>
              <w:rPr>
                <w:sz w:val="20"/>
                <w:szCs w:val="20"/>
                <w:color w:val="auto"/>
              </w:rPr>
            </w:pPr>
            <w:r>
              <w:rPr>
                <w:rFonts w:ascii="Arial" w:cs="Arial" w:eastAsia="Arial" w:hAnsi="Arial"/>
                <w:sz w:val="18"/>
                <w:szCs w:val="18"/>
                <w:color w:val="auto"/>
              </w:rPr>
              <w:t>24.3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6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Deposits Received for Development Project </w:t>
            </w:r>
            <w:r>
              <w:rPr>
                <w:rFonts w:ascii="Arial" w:cs="Arial" w:eastAsia="Arial" w:hAnsi="Arial"/>
                <w:sz w:val="18"/>
                <w:szCs w:val="18"/>
                <w:i w:val="1"/>
                <w:iCs w:val="1"/>
                <w:color w:val="auto"/>
              </w:rPr>
              <w:t>(b)</w:t>
            </w:r>
          </w:p>
        </w:tc>
        <w:tc>
          <w:tcPr>
            <w:tcW w:w="3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Billings in Excess of Costs and Estimated Earnings </w:t>
            </w:r>
            <w:r>
              <w:rPr>
                <w:rFonts w:ascii="Arial" w:cs="Arial" w:eastAsia="Arial" w:hAnsi="Arial"/>
                <w:sz w:val="18"/>
                <w:szCs w:val="18"/>
                <w:i w:val="1"/>
                <w:iCs w:val="1"/>
                <w:color w:val="auto"/>
              </w:rPr>
              <w:t>(c)</w:t>
            </w:r>
          </w:p>
        </w:tc>
        <w:tc>
          <w:tcPr>
            <w:tcW w:w="3220" w:type="dxa"/>
            <w:vAlign w:val="bottom"/>
          </w:tcPr>
          <w:p>
            <w:pPr>
              <w:jc w:val="right"/>
              <w:ind w:right="150"/>
              <w:spacing w:after="0"/>
              <w:rPr>
                <w:sz w:val="20"/>
                <w:szCs w:val="20"/>
                <w:color w:val="auto"/>
              </w:rPr>
            </w:pPr>
            <w:r>
              <w:rPr>
                <w:rFonts w:ascii="Arial" w:cs="Arial" w:eastAsia="Arial" w:hAnsi="Arial"/>
                <w:sz w:val="18"/>
                <w:szCs w:val="18"/>
                <w:color w:val="auto"/>
              </w:rPr>
              <w:t>54.4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3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$135.6</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ALLETE Clean Energy’s wind energy facilities acquisitions. (See Note 4. Acquisitions.)</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Construction Deposits Received for Development Project relate to ALLETE Clean Energy’s project to develop and construct a wind energy facility in 2015. As of June 30, 2015, these deposits have been netted with contract costs and estimated gross profit. (See Billings in Excess of Costs and Estimated Earnings below and Note 4. Acquisitions.)</w:t>
      </w:r>
    </w:p>
    <w:p>
      <w:pPr>
        <w:spacing w:after="0" w:line="1"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Billings in Excess of Costs and Estimated Earnings represents the excess of contract billings over the construction costs incurred and estimated earnings recognized. In the second quarter of 2015, the NDPSC approved the sale agreement ALLETE Clean Energy has with Montana-Dakota Utilities to develop, construct, and sell a wind energy facility in 2015. (See Note 4. Acquisitions.)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41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149.5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110.7</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8"/>
                <w:szCs w:val="18"/>
                <w:i w:val="1"/>
                <w:iCs w:val="1"/>
                <w:color w:val="auto"/>
              </w:rPr>
              <w:t>(b)</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45.2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$353.9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r>
      <w:tr>
        <w:trPr>
          <w:trHeight w:val="20"/>
        </w:trPr>
        <w:tc>
          <w:tcPr>
            <w:tcW w:w="58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ALLETE Clean Energy’s wind energy facilities acquisitions. (See Note 4. Acquisitions.)</w:t>
      </w:r>
    </w:p>
    <w:p>
      <w:pPr>
        <w:spacing w:after="0" w:line="9"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relates to the estimated fair value of the earnings-based payment resulting from the U.S. Water Services acquisition. (See Note 4. Acquisitions and Note 7. Fair Value.)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84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$30.0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10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100" w:type="dxa"/>
            <w:vAlign w:val="bottom"/>
          </w:tcPr>
          <w:p>
            <w:pPr>
              <w:jc w:val="right"/>
              <w:ind w:right="290"/>
              <w:spacing w:after="0"/>
              <w:rPr>
                <w:sz w:val="20"/>
                <w:szCs w:val="20"/>
                <w:color w:val="auto"/>
              </w:rPr>
            </w:pPr>
            <w:r>
              <w:rPr>
                <w:rFonts w:ascii="Arial" w:cs="Arial" w:eastAsia="Arial" w:hAnsi="Arial"/>
                <w:sz w:val="18"/>
                <w:szCs w:val="18"/>
                <w:color w:val="auto"/>
              </w:rPr>
              <w:t>$(25.5)</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10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2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2100" w:type="dxa"/>
            <w:vAlign w:val="bottom"/>
          </w:tcPr>
          <w:p>
            <w:pPr>
              <w:jc w:val="right"/>
              <w:ind w:right="390"/>
              <w:spacing w:after="0"/>
              <w:rPr>
                <w:sz w:val="20"/>
                <w:szCs w:val="20"/>
                <w:color w:val="auto"/>
              </w:rPr>
            </w:pPr>
            <w:r>
              <w:rPr>
                <w:rFonts w:ascii="Arial" w:cs="Arial" w:eastAsia="Arial" w:hAnsi="Arial"/>
                <w:sz w:val="18"/>
                <w:szCs w:val="18"/>
                <w:color w:val="auto"/>
              </w:rPr>
              <w:t>$35.7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Reporting Discontinued Operations and Disclosures of Disposals of Components of an Entity</w:t>
      </w:r>
      <w:r>
        <w:rPr>
          <w:rFonts w:ascii="Arial" w:cs="Arial" w:eastAsia="Arial" w:hAnsi="Arial"/>
          <w:sz w:val="18"/>
          <w:szCs w:val="18"/>
          <w:color w:val="auto"/>
        </w:rPr>
        <w:t>. In April 2014, the FASB issued an accounting standard update</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the criteria for determining which disposals should be presented as discontinued operations and modifying the related disclosure requirements. Additionally, the new guidance requires that a business which qualifies as held for sale upon acquisition should be reported as discontinued operations. The new guidance was effective beginning in the first quarter of 2015, and applies prospectively to new disposals and new classifications of disposal groups as held for sale. This guidance is not expected to have a material impact on our Consolidated Financial Statements. We will consider the requirements of this standard if future transactions arise.</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In May 2014, the FASB issued amended revenue recognition guidance to clarify the principles for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This accounting guidance was to have been effective for the Company beginning in the first quarter of 2017 using one of two prescribed retrospective methods. On July 9, 2015, the FASB decided to defer the effective date of the standard by one year which will make the guidance effective for the Company beginning in the first quarter of 2018. Early adoption is permitted beginning in the first quarter of 2017 for public companies. The Company is evaluating the impact of the amended revenue recognition guidance on the Company’s Consolidated Financial Statements.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In April 2015, the FASB issued revised guidance addressing the presentation requirements for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revised guidance, all costs incurred to issue debt are to be presented on the Consolidated Balance Sheet as a direct deduction from the carrying amount of that debt liability. The revised guidance is effective for interim and annual reporting periods beginning after December 15, 2015. Debt issuance costs represent less than 1 percent of total long-term debt.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our Energy Infrastructure and Related Services businesses: ALLETE Clean Energy, our business aimed at acquiring or developing capital projects that create energy solutions by way of wind, solar, biomass, hydro, natural gas, shale resources, clean coal technology and other emerging energy innovations, U.S. Water Services, our integrated water management company which was acquired on February 10, 2015, and BNI Coal, our coal mining operations in North Dakota. Investments and Other also includes ALLETE Properties, our Florida real estate investment, and other business development and corporate expenditures, unallocated interest expense, a small amount of non-rate base generation, approximately 5,000 acres of land in Minnesota, and earnings on cash and investments. Future acquisitions or growth may impact segment reporting.</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5800" w:type="dxa"/>
            <w:vAlign w:val="bottom"/>
          </w:tcPr>
          <w:p>
            <w:pPr>
              <w:spacing w:after="0"/>
              <w:rPr>
                <w:sz w:val="20"/>
                <w:szCs w:val="20"/>
                <w:color w:val="auto"/>
              </w:rPr>
            </w:pPr>
          </w:p>
        </w:tc>
        <w:tc>
          <w:tcPr>
            <w:tcW w:w="2700" w:type="dxa"/>
            <w:vAlign w:val="bottom"/>
          </w:tcPr>
          <w:p>
            <w:pPr>
              <w:jc w:val="right"/>
              <w:ind w:right="330"/>
              <w:spacing w:after="0"/>
              <w:rPr>
                <w:sz w:val="20"/>
                <w:szCs w:val="20"/>
                <w:color w:val="auto"/>
              </w:rPr>
            </w:pPr>
            <w:r>
              <w:rPr>
                <w:rFonts w:ascii="Arial" w:cs="Arial" w:eastAsia="Arial" w:hAnsi="Arial"/>
                <w:sz w:val="18"/>
                <w:szCs w:val="18"/>
                <w:b w:val="1"/>
                <w:bCs w:val="1"/>
                <w:color w:val="auto"/>
              </w:rPr>
              <w:t>Consolidated</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r>
      <w:tr>
        <w:trPr>
          <w:trHeight w:val="27"/>
        </w:trPr>
        <w:tc>
          <w:tcPr>
            <w:tcW w:w="58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2015</w:t>
            </w:r>
          </w:p>
        </w:tc>
        <w:tc>
          <w:tcPr>
            <w:tcW w:w="2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$323.3</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$230.0</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$93.3</w:t>
            </w:r>
          </w:p>
        </w:tc>
      </w:tr>
      <w:tr>
        <w:trPr>
          <w:trHeight w:val="27"/>
        </w:trPr>
        <w:tc>
          <w:tcPr>
            <w:tcW w:w="5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and Purchased Power</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80.1</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80.1</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Transmission Services</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11.3</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52.3</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85.4</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57.8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27.6</w:t>
            </w:r>
          </w:p>
        </w:tc>
      </w:tr>
      <w:tr>
        <w:trPr>
          <w:trHeight w:val="27"/>
        </w:trPr>
        <w:tc>
          <w:tcPr>
            <w:tcW w:w="5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41.3</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13.4</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12.1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58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39.5</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34.0</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700" w:type="dxa"/>
            <w:vAlign w:val="bottom"/>
          </w:tcPr>
          <w:p>
            <w:pPr>
              <w:jc w:val="right"/>
              <w:ind w:right="270"/>
              <w:spacing w:after="0"/>
              <w:rPr>
                <w:sz w:val="20"/>
                <w:szCs w:val="20"/>
                <w:color w:val="auto"/>
              </w:rPr>
            </w:pPr>
            <w:r>
              <w:rPr>
                <w:rFonts w:ascii="Arial" w:cs="Arial" w:eastAsia="Arial" w:hAnsi="Arial"/>
                <w:sz w:val="18"/>
                <w:szCs w:val="18"/>
                <w:color w:val="auto"/>
              </w:rPr>
              <w:t>(16.2)</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4.7</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Non-Controlling Interest and Income Taxes</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28.7</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700" w:type="dxa"/>
            <w:vAlign w:val="bottom"/>
          </w:tcPr>
          <w:p>
            <w:pPr>
              <w:jc w:val="right"/>
              <w:ind w:right="330"/>
              <w:spacing w:after="0"/>
              <w:rPr>
                <w:sz w:val="20"/>
                <w:szCs w:val="20"/>
                <w:color w:val="auto"/>
              </w:rPr>
            </w:pPr>
            <w:r>
              <w:rPr>
                <w:rFonts w:ascii="Arial" w:cs="Arial" w:eastAsia="Arial" w:hAnsi="Arial"/>
                <w:sz w:val="18"/>
                <w:szCs w:val="18"/>
                <w:color w:val="auto"/>
              </w:rPr>
              <w:t>6.4</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58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2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22.3</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Less: Non-Controlling Interest in Subsidiaries</w:t>
            </w:r>
          </w:p>
        </w:tc>
        <w:tc>
          <w:tcPr>
            <w:tcW w:w="2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(0.2)</w:t>
            </w: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8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ALLETE</w:t>
            </w:r>
          </w:p>
        </w:tc>
        <w:tc>
          <w:tcPr>
            <w:tcW w:w="27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$22.5</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80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44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r>
      <w:tr>
        <w:trPr>
          <w:trHeight w:val="27"/>
        </w:trPr>
        <w:tc>
          <w:tcPr>
            <w:tcW w:w="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2014</w:t>
            </w:r>
          </w:p>
        </w:tc>
        <w:tc>
          <w:tcPr>
            <w:tcW w:w="2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2440" w:type="dxa"/>
            <w:vAlign w:val="bottom"/>
          </w:tcPr>
          <w:p>
            <w:pPr>
              <w:jc w:val="right"/>
              <w:ind w:right="310"/>
              <w:spacing w:after="0"/>
              <w:rPr>
                <w:sz w:val="20"/>
                <w:szCs w:val="20"/>
                <w:color w:val="auto"/>
              </w:rPr>
            </w:pPr>
            <w:r>
              <w:rPr>
                <w:rFonts w:ascii="Arial" w:cs="Arial" w:eastAsia="Arial" w:hAnsi="Arial"/>
                <w:sz w:val="18"/>
                <w:szCs w:val="18"/>
                <w:color w:val="auto"/>
              </w:rPr>
              <w:t>$260.7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$229.6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$31.1</w:t>
            </w: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and Purchased Power</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83.6</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Transmission Services</w:t>
            </w:r>
          </w:p>
        </w:tc>
        <w:tc>
          <w:tcPr>
            <w:tcW w:w="2440" w:type="dxa"/>
            <w:vAlign w:val="bottom"/>
          </w:tcPr>
          <w:p>
            <w:pPr>
              <w:jc w:val="right"/>
              <w:ind w:right="310"/>
              <w:spacing w:after="0"/>
              <w:rPr>
                <w:sz w:val="20"/>
                <w:szCs w:val="20"/>
                <w:color w:val="auto"/>
              </w:rPr>
            </w:pPr>
            <w:r>
              <w:rPr>
                <w:rFonts w:ascii="Arial" w:cs="Arial" w:eastAsia="Arial" w:hAnsi="Arial"/>
                <w:sz w:val="18"/>
                <w:szCs w:val="18"/>
                <w:color w:val="auto"/>
              </w:rPr>
              <w:t>10.5</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40" w:type="dxa"/>
            <w:vAlign w:val="bottom"/>
          </w:tcPr>
          <w:p>
            <w:pPr>
              <w:jc w:val="right"/>
              <w:ind w:right="310"/>
              <w:spacing w:after="0"/>
              <w:rPr>
                <w:sz w:val="20"/>
                <w:szCs w:val="20"/>
                <w:color w:val="auto"/>
              </w:rPr>
            </w:pPr>
            <w:r>
              <w:rPr>
                <w:rFonts w:ascii="Arial" w:cs="Arial" w:eastAsia="Arial" w:hAnsi="Arial"/>
                <w:sz w:val="18"/>
                <w:szCs w:val="18"/>
                <w:color w:val="auto"/>
              </w:rPr>
              <w:t>74.3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63.6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440" w:type="dxa"/>
            <w:vAlign w:val="bottom"/>
          </w:tcPr>
          <w:p>
            <w:pPr>
              <w:jc w:val="right"/>
              <w:ind w:right="310"/>
              <w:spacing w:after="0"/>
              <w:rPr>
                <w:sz w:val="20"/>
                <w:szCs w:val="20"/>
                <w:color w:val="auto"/>
              </w:rPr>
            </w:pPr>
            <w:r>
              <w:rPr>
                <w:rFonts w:ascii="Arial" w:cs="Arial" w:eastAsia="Arial" w:hAnsi="Arial"/>
                <w:sz w:val="18"/>
                <w:szCs w:val="18"/>
                <w:color w:val="auto"/>
              </w:rPr>
              <w:t>11.3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(13.5)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4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(Loss) Before Non-Controlling Interest and Income Taxes</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21.8</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4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5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40" w:type="dxa"/>
            <w:vAlign w:val="bottom"/>
          </w:tcPr>
          <w:p>
            <w:pPr>
              <w:spacing w:after="0"/>
              <w:rPr>
                <w:sz w:val="20"/>
                <w:szCs w:val="20"/>
                <w:color w:val="auto"/>
              </w:rPr>
            </w:pPr>
          </w:p>
        </w:tc>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Less: Non-Controlling Interest in Subsidiaries</w:t>
            </w:r>
          </w:p>
        </w:tc>
        <w:tc>
          <w:tcPr>
            <w:tcW w:w="24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0.1</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ALLETE</w:t>
            </w:r>
          </w:p>
        </w:tc>
        <w:tc>
          <w:tcPr>
            <w:tcW w:w="2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$16.8</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40" w:type="dxa"/>
            <w:vAlign w:val="bottom"/>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Investments and</w:t>
            </w:r>
          </w:p>
        </w:tc>
      </w:tr>
      <w:tr>
        <w:trPr>
          <w:trHeight w:val="234"/>
        </w:trPr>
        <w:tc>
          <w:tcPr>
            <w:tcW w:w="5840" w:type="dxa"/>
            <w:vAlign w:val="bottom"/>
          </w:tcPr>
          <w:p>
            <w:pPr>
              <w:spacing w:after="0"/>
              <w:rPr>
                <w:sz w:val="20"/>
                <w:szCs w:val="20"/>
                <w:color w:val="auto"/>
              </w:rPr>
            </w:pPr>
          </w:p>
        </w:tc>
        <w:tc>
          <w:tcPr>
            <w:tcW w:w="270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5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2015</w:t>
            </w:r>
          </w:p>
        </w:tc>
        <w:tc>
          <w:tcPr>
            <w:tcW w:w="27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$643.3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$492.8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$150.5</w:t>
            </w:r>
          </w:p>
        </w:tc>
      </w:tr>
      <w:tr>
        <w:trPr>
          <w:trHeight w:val="27"/>
        </w:trPr>
        <w:tc>
          <w:tcPr>
            <w:tcW w:w="5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166.1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Transmission Services</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26.2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26.2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83.5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Operating and Maintenance</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165.1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116.5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5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80.3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26.2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5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95.9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700" w:type="dxa"/>
            <w:vAlign w:val="bottom"/>
          </w:tcPr>
          <w:p>
            <w:pPr>
              <w:jc w:val="right"/>
              <w:ind w:right="250"/>
              <w:spacing w:after="0"/>
              <w:rPr>
                <w:sz w:val="20"/>
                <w:szCs w:val="20"/>
                <w:color w:val="auto"/>
              </w:rPr>
            </w:pPr>
            <w:r>
              <w:rPr>
                <w:rFonts w:ascii="Arial" w:cs="Arial" w:eastAsia="Arial" w:hAnsi="Arial"/>
                <w:sz w:val="18"/>
                <w:szCs w:val="18"/>
                <w:color w:val="auto"/>
              </w:rPr>
              <w:t>(31.3)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8.6</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Non-Controlling Interest and Income Taxes</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75.0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12.6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5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62.4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7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$62.4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91"/>
        </w:trPr>
        <w:tc>
          <w:tcPr>
            <w:tcW w:w="584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2015</w:t>
            </w:r>
          </w:p>
        </w:tc>
        <w:tc>
          <w:tcPr>
            <w:tcW w:w="27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$4,673.0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$3,783.2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$889.8</w:t>
            </w:r>
          </w:p>
        </w:tc>
      </w:tr>
      <w:tr>
        <w:trPr>
          <w:trHeight w:val="27"/>
        </w:trPr>
        <w:tc>
          <w:tcPr>
            <w:tcW w:w="5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$3,451.5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$3,056.9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$1,380.1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$1,294.0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$86.1</w:t>
            </w:r>
          </w:p>
        </w:tc>
      </w:tr>
      <w:tr>
        <w:trPr>
          <w:trHeight w:val="27"/>
        </w:trPr>
        <w:tc>
          <w:tcPr>
            <w:tcW w:w="5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Additions</w:t>
            </w:r>
          </w:p>
        </w:tc>
        <w:tc>
          <w:tcPr>
            <w:tcW w:w="2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$117.9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584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20"/>
          </w:cols>
          <w:pgMar w:left="240" w:top="364"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6"/>
        </w:trPr>
        <w:tc>
          <w:tcPr>
            <w:tcW w:w="6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Investments and</w:t>
            </w:r>
          </w:p>
        </w:tc>
      </w:tr>
      <w:tr>
        <w:trPr>
          <w:trHeight w:val="234"/>
        </w:trPr>
        <w:tc>
          <w:tcPr>
            <w:tcW w:w="6080" w:type="dxa"/>
            <w:vAlign w:val="bottom"/>
          </w:tcPr>
          <w:p>
            <w:pPr>
              <w:spacing w:after="0"/>
              <w:rPr>
                <w:sz w:val="20"/>
                <w:szCs w:val="20"/>
                <w:color w:val="auto"/>
              </w:rPr>
            </w:pP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2014</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$557.2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$493.8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$63.4</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179.8</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Transmission Services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21.3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21.3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148.6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124.1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66.1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22.5</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76.5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(26.3)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64.4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13.7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16.2</w:t>
            </w: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50.7</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0.4</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91"/>
        </w:trPr>
        <w:tc>
          <w:tcPr>
            <w:tcW w:w="60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2014</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$3,895.6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$3,424.3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$471.3</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$3,020.4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$2,791.7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$1,288.9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$1,221.1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$67.8</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$341.7</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$335.6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0"/>
        </w:trPr>
        <w:tc>
          <w:tcPr>
            <w:tcW w:w="60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June 30, 2015, our investment portfolio included the real estate assets of ALLETE Properties, debt and equity securities consisting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of 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2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6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280" w:type="dxa"/>
            <w:vAlign w:val="bottom"/>
          </w:tcPr>
          <w:p>
            <w:pPr>
              <w:jc w:val="right"/>
              <w:ind w:right="210"/>
              <w:spacing w:after="0"/>
              <w:rPr>
                <w:sz w:val="20"/>
                <w:szCs w:val="20"/>
                <w:color w:val="auto"/>
              </w:rPr>
            </w:pPr>
            <w:r>
              <w:rPr>
                <w:rFonts w:ascii="Arial" w:cs="Arial" w:eastAsia="Arial" w:hAnsi="Arial"/>
                <w:sz w:val="18"/>
                <w:szCs w:val="18"/>
                <w:color w:val="auto"/>
              </w:rPr>
              <w:t>19.3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5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Other</w:t>
            </w:r>
          </w:p>
        </w:tc>
        <w:tc>
          <w:tcPr>
            <w:tcW w:w="428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56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$115.0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0"/>
        </w:trPr>
        <w:tc>
          <w:tcPr>
            <w:tcW w:w="564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2015, the aggregate amount of available-for-sale corporate debt securities maturing in one year or less was $0.2 million, in one year to less than three years was $1.7 million, in three years to less than five years was $3.1 million, and in five or more years was $6.2 million.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indicators of impairment on a quarterly basis and no impairments were recorded for the quarter and six months ended June 30, 2015 (none for the year ended December 31, 2014).</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40" w:type="dxa"/>
            <w:vAlign w:val="bottom"/>
          </w:tcPr>
          <w:p>
            <w:pPr>
              <w:spacing w:after="0"/>
              <w:rPr>
                <w:sz w:val="20"/>
                <w:szCs w:val="20"/>
                <w:color w:val="auto"/>
              </w:rPr>
            </w:pPr>
          </w:p>
        </w:tc>
        <w:tc>
          <w:tcPr>
            <w:tcW w:w="2680" w:type="dxa"/>
            <w:vAlign w:val="bottom"/>
            <w:gridSpan w:val="2"/>
          </w:tcPr>
          <w:p>
            <w:pPr>
              <w:ind w:left="1000"/>
              <w:spacing w:after="0"/>
              <w:rPr>
                <w:sz w:val="20"/>
                <w:szCs w:val="20"/>
                <w:color w:val="auto"/>
              </w:rPr>
            </w:pPr>
            <w:r>
              <w:rPr>
                <w:rFonts w:ascii="Arial" w:cs="Arial" w:eastAsia="Arial" w:hAnsi="Arial"/>
                <w:sz w:val="18"/>
                <w:szCs w:val="18"/>
                <w:b w:val="1"/>
                <w:bCs w:val="1"/>
                <w:color w:val="auto"/>
              </w:rPr>
              <w:t>Gross Unrealized</w:t>
            </w:r>
          </w:p>
        </w:tc>
        <w:tc>
          <w:tcPr>
            <w:tcW w:w="2180" w:type="dxa"/>
            <w:vAlign w:val="bottom"/>
          </w:tcPr>
          <w:p>
            <w:pPr>
              <w:spacing w:after="0"/>
              <w:rPr>
                <w:sz w:val="20"/>
                <w:szCs w:val="20"/>
                <w:color w:val="auto"/>
              </w:rPr>
            </w:pPr>
          </w:p>
        </w:tc>
      </w:tr>
      <w:tr>
        <w:trPr>
          <w:trHeight w:val="270"/>
        </w:trPr>
        <w:tc>
          <w:tcPr>
            <w:tcW w:w="3820" w:type="dxa"/>
            <w:vAlign w:val="bottom"/>
          </w:tcPr>
          <w:p>
            <w:pPr>
              <w:spacing w:after="0"/>
              <w:rPr>
                <w:sz w:val="23"/>
                <w:szCs w:val="23"/>
                <w:color w:val="auto"/>
              </w:rPr>
            </w:pPr>
          </w:p>
        </w:tc>
        <w:tc>
          <w:tcPr>
            <w:tcW w:w="274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Cost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940" w:type="dxa"/>
            <w:vAlign w:val="bottom"/>
          </w:tcPr>
          <w:p>
            <w:pPr>
              <w:ind w:left="560"/>
              <w:spacing w:after="0"/>
              <w:rPr>
                <w:sz w:val="20"/>
                <w:szCs w:val="20"/>
                <w:color w:val="auto"/>
              </w:rPr>
            </w:pPr>
            <w:r>
              <w:rPr>
                <w:rFonts w:ascii="Arial" w:cs="Arial" w:eastAsia="Arial" w:hAnsi="Arial"/>
                <w:sz w:val="18"/>
                <w:szCs w:val="18"/>
                <w:b w:val="1"/>
                <w:bCs w:val="1"/>
                <w:color w:val="auto"/>
                <w:w w:val="85"/>
              </w:rPr>
              <w:t>Loss</w:t>
            </w: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8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2740" w:type="dxa"/>
            <w:vAlign w:val="bottom"/>
            <w:tcBorders>
              <w:bottom w:val="single" w:sz="8" w:color="CCEEFF"/>
            </w:tcBorders>
            <w:shd w:val="clear" w:color="auto" w:fill="CCEEFF"/>
          </w:tcPr>
          <w:p>
            <w:pPr>
              <w:jc w:val="center"/>
              <w:ind w:left="1210"/>
              <w:spacing w:after="0"/>
              <w:rPr>
                <w:sz w:val="20"/>
                <w:szCs w:val="20"/>
                <w:color w:val="auto"/>
              </w:rPr>
            </w:pPr>
            <w:r>
              <w:rPr>
                <w:rFonts w:ascii="Arial" w:cs="Arial" w:eastAsia="Arial" w:hAnsi="Arial"/>
                <w:sz w:val="18"/>
                <w:szCs w:val="18"/>
                <w:color w:val="auto"/>
                <w:w w:val="88"/>
              </w:rPr>
              <w:t>$19.8</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6"/>
              </w:rPr>
              <w:t>$0.8</w:t>
            </w:r>
          </w:p>
        </w:tc>
        <w:tc>
          <w:tcPr>
            <w:tcW w:w="21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$19.3</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2740" w:type="dxa"/>
            <w:vAlign w:val="bottom"/>
          </w:tcPr>
          <w:p>
            <w:pPr>
              <w:jc w:val="center"/>
              <w:ind w:left="1210"/>
              <w:spacing w:after="0"/>
              <w:rPr>
                <w:sz w:val="20"/>
                <w:szCs w:val="20"/>
                <w:color w:val="auto"/>
              </w:rPr>
            </w:pPr>
            <w:r>
              <w:rPr>
                <w:rFonts w:ascii="Arial" w:cs="Arial" w:eastAsia="Arial" w:hAnsi="Arial"/>
                <w:sz w:val="18"/>
                <w:szCs w:val="18"/>
                <w:color w:val="auto"/>
                <w:w w:val="88"/>
              </w:rPr>
              <w:t>$19.6</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940" w:type="dxa"/>
            <w:vAlign w:val="bottom"/>
          </w:tcPr>
          <w:p>
            <w:pPr>
              <w:ind w:left="580"/>
              <w:spacing w:after="0"/>
              <w:rPr>
                <w:sz w:val="20"/>
                <w:szCs w:val="20"/>
                <w:color w:val="auto"/>
              </w:rPr>
            </w:pPr>
            <w:r>
              <w:rPr>
                <w:rFonts w:ascii="Arial" w:cs="Arial" w:eastAsia="Arial" w:hAnsi="Arial"/>
                <w:sz w:val="18"/>
                <w:szCs w:val="18"/>
                <w:color w:val="auto"/>
                <w:w w:val="96"/>
              </w:rPr>
              <w:t>$0.9</w:t>
            </w:r>
          </w:p>
        </w:tc>
        <w:tc>
          <w:tcPr>
            <w:tcW w:w="2180" w:type="dxa"/>
            <w:vAlign w:val="bottom"/>
          </w:tcPr>
          <w:p>
            <w:pPr>
              <w:jc w:val="right"/>
              <w:ind w:right="610"/>
              <w:spacing w:after="0"/>
              <w:rPr>
                <w:sz w:val="20"/>
                <w:szCs w:val="20"/>
                <w:color w:val="auto"/>
              </w:rPr>
            </w:pPr>
            <w:r>
              <w:rPr>
                <w:rFonts w:ascii="Arial" w:cs="Arial" w:eastAsia="Arial" w:hAnsi="Arial"/>
                <w:sz w:val="18"/>
                <w:szCs w:val="18"/>
                <w:color w:val="auto"/>
              </w:rPr>
              <w:t>$18.9</w:t>
            </w:r>
          </w:p>
        </w:tc>
      </w:tr>
      <w:tr>
        <w:trPr>
          <w:trHeight w:val="27"/>
        </w:trPr>
        <w:tc>
          <w:tcPr>
            <w:tcW w:w="38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534"/>
        </w:trPr>
        <w:tc>
          <w:tcPr>
            <w:tcW w:w="3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c>
          <w:tcPr>
            <w:tcW w:w="940" w:type="dxa"/>
            <w:vAlign w:val="bottom"/>
          </w:tcPr>
          <w:p>
            <w:pPr>
              <w:spacing w:after="0"/>
              <w:rPr>
                <w:sz w:val="24"/>
                <w:szCs w:val="24"/>
                <w:color w:val="auto"/>
              </w:rPr>
            </w:pPr>
          </w:p>
        </w:tc>
        <w:tc>
          <w:tcPr>
            <w:tcW w:w="2180" w:type="dxa"/>
            <w:vAlign w:val="bottom"/>
          </w:tcPr>
          <w:p>
            <w:pPr>
              <w:jc w:val="right"/>
              <w:ind w:right="930"/>
              <w:spacing w:after="0"/>
              <w:rPr>
                <w:sz w:val="20"/>
                <w:szCs w:val="20"/>
                <w:color w:val="auto"/>
              </w:rPr>
            </w:pPr>
            <w:r>
              <w:rPr>
                <w:rFonts w:ascii="Arial" w:cs="Arial" w:eastAsia="Arial" w:hAnsi="Arial"/>
                <w:sz w:val="18"/>
                <w:szCs w:val="18"/>
                <w:b w:val="1"/>
                <w:bCs w:val="1"/>
                <w:color w:val="auto"/>
                <w:w w:val="87"/>
              </w:rPr>
              <w:t>Gross Realized</w:t>
            </w:r>
          </w:p>
        </w:tc>
      </w:tr>
      <w:tr>
        <w:trPr>
          <w:trHeight w:val="270"/>
        </w:trPr>
        <w:tc>
          <w:tcPr>
            <w:tcW w:w="38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3"/>
              </w:rPr>
              <w:t>Proceeds</w:t>
            </w:r>
          </w:p>
        </w:tc>
        <w:tc>
          <w:tcPr>
            <w:tcW w:w="940" w:type="dxa"/>
            <w:vAlign w:val="bottom"/>
          </w:tcPr>
          <w:p>
            <w:pPr>
              <w:ind w:left="540"/>
              <w:spacing w:after="0"/>
              <w:rPr>
                <w:sz w:val="20"/>
                <w:szCs w:val="20"/>
                <w:color w:val="auto"/>
              </w:rPr>
            </w:pPr>
            <w:r>
              <w:rPr>
                <w:rFonts w:ascii="Arial" w:cs="Arial" w:eastAsia="Arial" w:hAnsi="Arial"/>
                <w:sz w:val="18"/>
                <w:szCs w:val="18"/>
                <w:b w:val="1"/>
                <w:bCs w:val="1"/>
                <w:color w:val="auto"/>
                <w:w w:val="94"/>
              </w:rPr>
              <w:t>Gain</w:t>
            </w:r>
          </w:p>
        </w:tc>
        <w:tc>
          <w:tcPr>
            <w:tcW w:w="2180" w:type="dxa"/>
            <w:vAlign w:val="bottom"/>
          </w:tcPr>
          <w:p>
            <w:pPr>
              <w:jc w:val="right"/>
              <w:ind w:right="530"/>
              <w:spacing w:after="0"/>
              <w:rPr>
                <w:sz w:val="20"/>
                <w:szCs w:val="20"/>
                <w:color w:val="auto"/>
              </w:rPr>
            </w:pPr>
            <w:r>
              <w:rPr>
                <w:rFonts w:ascii="Arial" w:cs="Arial" w:eastAsia="Arial" w:hAnsi="Arial"/>
                <w:sz w:val="18"/>
                <w:szCs w:val="18"/>
                <w:b w:val="1"/>
                <w:bCs w:val="1"/>
                <w:color w:val="auto"/>
              </w:rPr>
              <w:t>Loss</w:t>
            </w:r>
          </w:p>
        </w:tc>
      </w:tr>
      <w:tr>
        <w:trPr>
          <w:trHeight w:val="27"/>
        </w:trPr>
        <w:tc>
          <w:tcPr>
            <w:tcW w:w="38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w:t>
            </w:r>
          </w:p>
        </w:tc>
        <w:tc>
          <w:tcPr>
            <w:tcW w:w="27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2015</w:t>
            </w:r>
          </w:p>
        </w:tc>
        <w:tc>
          <w:tcPr>
            <w:tcW w:w="27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940" w:type="dxa"/>
            <w:vAlign w:val="bottom"/>
          </w:tcPr>
          <w:p>
            <w:pPr>
              <w:ind w:left="580"/>
              <w:spacing w:after="0"/>
              <w:rPr>
                <w:sz w:val="20"/>
                <w:szCs w:val="20"/>
                <w:color w:val="auto"/>
              </w:rPr>
            </w:pPr>
            <w:r>
              <w:rPr>
                <w:rFonts w:ascii="Arial" w:cs="Arial" w:eastAsia="Arial" w:hAnsi="Arial"/>
                <w:sz w:val="18"/>
                <w:szCs w:val="18"/>
                <w:color w:val="auto"/>
                <w:w w:val="96"/>
              </w:rPr>
              <w:t>$0.1</w:t>
            </w:r>
          </w:p>
        </w:tc>
        <w:tc>
          <w:tcPr>
            <w:tcW w:w="2180" w:type="dxa"/>
            <w:vAlign w:val="bottom"/>
          </w:tcPr>
          <w:p>
            <w:pPr>
              <w:jc w:val="right"/>
              <w:ind w:right="610"/>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27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$2.1</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6"/>
              </w:rPr>
              <w:t>$0.2</w:t>
            </w:r>
          </w:p>
        </w:tc>
        <w:tc>
          <w:tcPr>
            <w:tcW w:w="21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Six Months Ended June 30,</w:t>
            </w:r>
          </w:p>
        </w:tc>
        <w:tc>
          <w:tcPr>
            <w:tcW w:w="2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2015</w:t>
            </w:r>
          </w:p>
        </w:tc>
        <w:tc>
          <w:tcPr>
            <w:tcW w:w="27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$0.7</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6"/>
              </w:rPr>
              <w:t>$0.1</w:t>
            </w:r>
          </w:p>
        </w:tc>
        <w:tc>
          <w:tcPr>
            <w:tcW w:w="21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2014</w:t>
            </w:r>
          </w:p>
        </w:tc>
        <w:tc>
          <w:tcPr>
            <w:tcW w:w="27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$2.7</w:t>
            </w:r>
          </w:p>
        </w:tc>
        <w:tc>
          <w:tcPr>
            <w:tcW w:w="940" w:type="dxa"/>
            <w:vAlign w:val="bottom"/>
          </w:tcPr>
          <w:p>
            <w:pPr>
              <w:ind w:left="580"/>
              <w:spacing w:after="0"/>
              <w:rPr>
                <w:sz w:val="20"/>
                <w:szCs w:val="20"/>
                <w:color w:val="auto"/>
              </w:rPr>
            </w:pPr>
            <w:r>
              <w:rPr>
                <w:rFonts w:ascii="Arial" w:cs="Arial" w:eastAsia="Arial" w:hAnsi="Arial"/>
                <w:sz w:val="18"/>
                <w:szCs w:val="18"/>
                <w:color w:val="auto"/>
                <w:w w:val="96"/>
              </w:rPr>
              <w:t>$0.2</w:t>
            </w:r>
          </w:p>
        </w:tc>
        <w:tc>
          <w:tcPr>
            <w:tcW w:w="2180" w:type="dxa"/>
            <w:vAlign w:val="bottom"/>
          </w:tcPr>
          <w:p>
            <w:pPr>
              <w:jc w:val="right"/>
              <w:ind w:right="610"/>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acquisitions below are consistent with ALLETE’s stated strategy of investing in energy infrastructure and related services businesses to complement its core regulated utility, balance exposure to business cycles and changing demand, and provide potential long-term earnings growth. The pro forma impact of the following acquisitions was not significant, either individually or in the aggregate, to the results of the Company for the six months ended June 30, 2015, and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U.S. Water Services. </w:t>
      </w:r>
      <w:r>
        <w:rPr>
          <w:rFonts w:ascii="Arial" w:cs="Arial" w:eastAsia="Arial" w:hAnsi="Arial"/>
          <w:sz w:val="17"/>
          <w:szCs w:val="17"/>
          <w:color w:val="auto"/>
        </w:rPr>
        <w:t>On February 10, 2015, ALLETE acquired U.S. Water Services. Total consideration for the transaction was $202.3 million,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payment of $166.6 million in cash and an estimated fair value of earnings-based contingent consideration of $35.7 million to be paid in 2019. The contingent consideration is presented within Other Non-Current Liabilities on the Consolidated Balance Sheet. The Consolidated Statement of Income reflects 100 percent of the results of operations of U.S. Water Services since the acquisition date as the Company has acquired 100 percent of U.S. Water Services. U.S. Water Services, an integrated industrial water management company headquartered in St. Michael, Minnesota, provides integrated water management for industry by combining chemical, equipment, engineering and service for customized solutions to reduce water and energy usage and improve efficiency. U.S. Water Services helps customers achieve efficient and sustainable use of their energy systems, is a leading provider to the biofuels industry, and has a growing presence in the power generation and midstream oil and gas industries.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acquisition was accounted for as a business combination and the purchase price was allocated based on the estimated fair values of the assets acquired and the liabilities assumed at the date of acquisition. The allocation of the purchase price is subject to judgment and the preliminary estimated fair value of the assets acquired and the liabilities assumed may be adjusted when the valuation analysis is completed in subsequent periods. Preliminary estimates subject to adjustment in subsequent periods relate primarily to income taxes; subsequent adjustments could impact the amount of goodwill recorded.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(c)</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(d)</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$257.3</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Inventories was $2.7 million of fair value adjustments relating to work in progress and finished goods inventories which will be recognized as Cost of Sales within one year from the acquisition date.</w:t>
      </w:r>
    </w:p>
    <w:p>
      <w:pPr>
        <w:ind w:left="340" w:hanging="332"/>
        <w:spacing w:after="0" w:line="263" w:lineRule="auto"/>
        <w:tabs>
          <w:tab w:leader="none" w:pos="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Current Assets was $1.6 million relating to the fair value of sales backlog. Sales backlog will be recognized as Cost of Sales within one year from the acquisition date. Also included in Other Current Assets was restricted cash of $2.1 million relating to cash pledged as collateral for stand-by letters of credit.</w:t>
      </w: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$3.2 million of deductible Goodwill.</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Intangible Assets include customer relationships, patents, non-compete agreements and trademarks and trade names. (See Note 5. Goodwill and Intangible Assets.)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of $3.0 million after-tax were expensed as incurred during the first quarter of 2015, and were recorded in Operating and Maintenance on the Consolidated Statement of Income.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Chanarambie/Viking. </w:t>
      </w:r>
      <w:r>
        <w:rPr>
          <w:rFonts w:ascii="Arial" w:cs="Arial" w:eastAsia="Arial" w:hAnsi="Arial"/>
          <w:sz w:val="18"/>
          <w:szCs w:val="18"/>
          <w:color w:val="auto"/>
        </w:rPr>
        <w:t>On April 15, 2015, ALLETE Clean Energy acquired wind energy facilities in southern Minnesota (Chanarambie/Viking) from EDF</w:t>
      </w:r>
      <w:r>
        <w:rPr>
          <w:rFonts w:ascii="Arial" w:cs="Arial" w:eastAsia="Arial" w:hAnsi="Arial"/>
          <w:sz w:val="18"/>
          <w:szCs w:val="18"/>
          <w:i w:val="1"/>
          <w:iCs w:val="1"/>
          <w:color w:val="auto"/>
        </w:rPr>
        <w:t xml:space="preserve"> </w:t>
      </w:r>
      <w:r>
        <w:rPr>
          <w:rFonts w:ascii="Arial" w:cs="Arial" w:eastAsia="Arial" w:hAnsi="Arial"/>
          <w:sz w:val="18"/>
          <w:szCs w:val="18"/>
          <w:color w:val="auto"/>
        </w:rPr>
        <w:t>Energy Holdings Limited for $47.9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facilities have 97.5 MW of generating capability and are located near our Lake Benton facility. The wind energy facilities began commercial operations in 2003 and have PPAs in place for their entire output, which expire in 2018 (12 MW) and 2023 (85.5 MW).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acquisition was accounted for as a business combination and the purchase price was allocated based on the estimated fair values of the assets acquired and the liabilities assumed at the date of acquisition. The allocation of the purchase price is subject to judgment and the preliminary estimated fair value of the assets acquired and the liabilities assumed may be adjusted when the valuation analysis is completed in subsequent periods. Preliminary estimates subject to adjustment in subsequent periods relate primarily to property, plant and equipment and PPAs; subsequent adjustments could impact the amount of goodwill recorded.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8"/>
                <w:szCs w:val="18"/>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$0.1 million of goodwill; for tax purposes, the purchase price allocation resulted in no allocation to goodwill.</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$5.8 million related to the current portion of Power Purchase Agreements.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$0.2 million after-tax were expensed as incurred during the six months ended June 30, 2015, and were recorded in Operating and Maintenance on the Consolidated Statement of Income.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Armenia Mountain. </w:t>
      </w:r>
      <w:r>
        <w:rPr>
          <w:rFonts w:ascii="Arial" w:cs="Arial" w:eastAsia="Arial" w:hAnsi="Arial"/>
          <w:sz w:val="16"/>
          <w:szCs w:val="16"/>
          <w:color w:val="auto"/>
        </w:rPr>
        <w:t>On July 1, 2015, ALLETE Clean Energy acquired 100 percent of a wind energy facility located near Troy, Pennsylvania (Armenia</w:t>
      </w:r>
      <w:r>
        <w:rPr>
          <w:rFonts w:ascii="Arial" w:cs="Arial" w:eastAsia="Arial" w:hAnsi="Arial"/>
          <w:sz w:val="16"/>
          <w:szCs w:val="16"/>
          <w:i w:val="1"/>
          <w:iCs w:val="1"/>
          <w:color w:val="auto"/>
        </w:rPr>
        <w:t xml:space="preserve"> </w:t>
      </w:r>
      <w:r>
        <w:rPr>
          <w:rFonts w:ascii="Arial" w:cs="Arial" w:eastAsia="Arial" w:hAnsi="Arial"/>
          <w:sz w:val="16"/>
          <w:szCs w:val="16"/>
          <w:color w:val="auto"/>
        </w:rPr>
        <w:t>Mountain) from The AES Corporation (AES) and a non-controlling interest from a minority shareholder for $108.0 million, plus the assumption of existing debt. The agreement with AES is subject to a purchase price adjustment. We are currently in the process of accounting for the acquisition, therefore, certain disclosures, including the allocation of the purchase price, will be included in the Form 10-Q for the period ending September 30, 2015.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facility has 100.5 MW of generating capability, began commercial operations in 2009, and has PPAs in place for its entire output, which expire in 2025.</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$0.7 million after-tax were expensed as incurred during the six months ended June 30, 2015, and were recorded in Operating and Maintenance on the Consolidated Statement of Income.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Montana-Dakota Utilities. </w:t>
      </w:r>
      <w:r>
        <w:rPr>
          <w:rFonts w:ascii="Arial" w:cs="Arial" w:eastAsia="Arial" w:hAnsi="Arial"/>
          <w:sz w:val="17"/>
          <w:szCs w:val="17"/>
          <w:color w:val="auto"/>
        </w:rPr>
        <w:t>In November 2014, ALLETE Clean Energy acquired a business for $27.0 million to develop a wind facility near Hettinger, North</w:t>
      </w:r>
      <w:r>
        <w:rPr>
          <w:rFonts w:ascii="Arial" w:cs="Arial" w:eastAsia="Arial" w:hAnsi="Arial"/>
          <w:sz w:val="17"/>
          <w:szCs w:val="17"/>
          <w:i w:val="1"/>
          <w:iCs w:val="1"/>
          <w:color w:val="auto"/>
        </w:rPr>
        <w:t xml:space="preserve"> </w:t>
      </w:r>
      <w:r>
        <w:rPr>
          <w:rFonts w:ascii="Arial" w:cs="Arial" w:eastAsia="Arial" w:hAnsi="Arial"/>
          <w:sz w:val="17"/>
          <w:szCs w:val="17"/>
          <w:color w:val="auto"/>
        </w:rPr>
        <w:t>Dakota. ALLETE Clean Energy is developing and constructing a 107 MW wind facility consisting of 43 turbines, which was approved to be sold to Montana-Dakota Utilities by the NDPSC on June 30, 2015, for approximately $200 million. Construction is expected to be completed in December 2015.</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liabilities assumed at the date of acquisition. Fair value measurements were valued primarily using the replacement cost method and determined that the assets acquired amounted to cash of $3.6 million and construction in process of $23.4 million. There were no liabilities assumed and no recognition of goodwill.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NDPSC approval of the sale agreement with Montana-Dakota Utilities, ALLETE Clean Energy began accounting for the project under the percentage of completion method of accounting for contracts. The percentage of completion used to recognize revenues and cost of sales is calculated based on the percentage of construction costs incurred at the measurement date compared to the estimated total construction costs, excluding equipment and turbine deposits in each measure. We have selected this method because we consider construction costs, excluding deposits, to be the best available measure of progress on the project. Any adjustments to the estimated percentage of completion or estimated earnings, and the related impacts to operating income, are recorded in the period they become known.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billings, construction costs, and estimated earnings recognized for the wind facility: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412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300" w:type="dxa"/>
            <w:vAlign w:val="bottom"/>
          </w:tcPr>
          <w:p>
            <w:pPr>
              <w:spacing w:after="0"/>
              <w:rPr>
                <w:sz w:val="20"/>
                <w:szCs w:val="20"/>
                <w:color w:val="auto"/>
              </w:rPr>
            </w:pPr>
          </w:p>
        </w:tc>
        <w:tc>
          <w:tcPr>
            <w:tcW w:w="4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3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Billings</w:t>
            </w:r>
          </w:p>
        </w:tc>
        <w:tc>
          <w:tcPr>
            <w:tcW w:w="4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Construction Costs</w:t>
            </w:r>
          </w:p>
        </w:tc>
        <w:tc>
          <w:tcPr>
            <w:tcW w:w="4120" w:type="dxa"/>
            <w:vAlign w:val="bottom"/>
          </w:tcPr>
          <w:p>
            <w:pPr>
              <w:jc w:val="right"/>
              <w:ind w:right="10"/>
              <w:spacing w:after="0"/>
              <w:rPr>
                <w:sz w:val="20"/>
                <w:szCs w:val="20"/>
                <w:color w:val="auto"/>
              </w:rPr>
            </w:pPr>
            <w:r>
              <w:rPr>
                <w:rFonts w:ascii="Arial" w:cs="Arial" w:eastAsia="Arial" w:hAnsi="Arial"/>
                <w:sz w:val="18"/>
                <w:szCs w:val="18"/>
                <w:color w:val="auto"/>
              </w:rPr>
              <w:t>84.3</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Earnings</w:t>
            </w:r>
          </w:p>
        </w:tc>
        <w:tc>
          <w:tcPr>
            <w:tcW w:w="4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Billings in Excess of Costs and Estimated Earnings </w:t>
            </w:r>
            <w:r>
              <w:rPr>
                <w:rFonts w:ascii="Arial" w:cs="Arial" w:eastAsia="Arial" w:hAnsi="Arial"/>
                <w:sz w:val="18"/>
                <w:szCs w:val="18"/>
                <w:i w:val="1"/>
                <w:iCs w:val="1"/>
                <w:color w:val="auto"/>
              </w:rPr>
              <w:t>(a)</w:t>
            </w:r>
          </w:p>
        </w:tc>
        <w:tc>
          <w:tcPr>
            <w:tcW w:w="4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Included in Other Current Liabilities on the Consolidated Balance Sheet.</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2015, revenue of $20.5 million and cost of sales of $18.0 million were recognized under the percentage of completion method of accounting for contracts and reported on the Consolidated Statement of Income as Operating Revenue and Cost of Sales, respectively. Cash flows related to construction costs incurred, contract billings, and estimated earnings were reported on the Consolidated Statement of Cash Flows as Other Current Liabilities.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2014, contract billings received were $54.3 million and construction costs incurred (including the construction costs acquired) were $48.2 million and were classified as Other Current Liabilities and Prepayments and Other Current Assets, respectively, on the Consolidated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ACE Wind Acquisition. </w:t>
      </w:r>
      <w:r>
        <w:rPr>
          <w:rFonts w:ascii="Arial" w:cs="Arial" w:eastAsia="Arial" w:hAnsi="Arial"/>
          <w:sz w:val="18"/>
          <w:szCs w:val="18"/>
          <w:color w:val="auto"/>
        </w:rPr>
        <w:t>In January 2014, ALLETE Clean Energy acquired wind energy facilities located in Lake Benton, Minnesota (Lake Benton), Storm</w:t>
      </w:r>
      <w:r>
        <w:rPr>
          <w:rFonts w:ascii="Arial" w:cs="Arial" w:eastAsia="Arial" w:hAnsi="Arial"/>
          <w:sz w:val="18"/>
          <w:szCs w:val="18"/>
          <w:i w:val="1"/>
          <w:iCs w:val="1"/>
          <w:color w:val="auto"/>
        </w:rPr>
        <w:t xml:space="preserve"> </w:t>
      </w:r>
      <w:r>
        <w:rPr>
          <w:rFonts w:ascii="Arial" w:cs="Arial" w:eastAsia="Arial" w:hAnsi="Arial"/>
          <w:sz w:val="18"/>
          <w:szCs w:val="18"/>
          <w:color w:val="auto"/>
        </w:rPr>
        <w:t>Lake, Iowa (Storm Lake II) and Condon, Oregon (Condon) from AES for $26.9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1998, while Condon began operations in 2002. All three wind energy facilities have PPAs in place for their entire output, which expire in various years between 2019 and 2032.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acquired a controlling interest in the limited liability company (LLC) which owns Lake Benton and Storm Lake II, and a controlling interest in the LLC that owns Condon. The acquisition was accounted for as a business combination and the purchase price was allocated based on the estimated fair values of the assets acquired and the liabilities assumed at the date of acquisition.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8"/>
                <w:szCs w:val="18"/>
                <w:i w:val="1"/>
                <w:iCs w:val="1"/>
                <w:color w:val="auto"/>
              </w:rPr>
              <w:t>(b)</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Due Within One Year</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18"/>
                <w:szCs w:val="18"/>
                <w:i w:val="1"/>
                <w:iCs w:val="1"/>
                <w:color w:val="auto"/>
              </w:rPr>
              <w:t>(c)</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and Non-Controlling Interest Assumed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766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for the option to purchase Armenia Mountain, and goodwill of $2.9 million; for tax purposes, the purchase price allocation resulted in no allocation to goodwill.</w:t>
      </w: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$12.4 million related to the current portion of Power Purchase Agreements.</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purchase price accounting valued the non-controlling interest relating to Lake Benton, Storm Lake II and Condon at fair value using the discounted cash flow method.</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February 2014, ALLETE Clean Energy purchased the non-controlling interest related to Lake Benton and Storm Lake II for $6.0 million. This was accounted for as an equity transaction, and no gain or loss was recognized in net income or other comprehensive income.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Storm Lake I Acquisition. </w:t>
      </w:r>
      <w:r>
        <w:rPr>
          <w:rFonts w:ascii="Arial" w:cs="Arial" w:eastAsia="Arial" w:hAnsi="Arial"/>
          <w:sz w:val="18"/>
          <w:szCs w:val="18"/>
          <w:color w:val="auto"/>
        </w:rPr>
        <w:t>In December 2014, ALLETE Clean Energy acquired a wind energy facility in Storm Lake, Iowa (Storm Lake I) from NRG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Inc. for $15.1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Storm Lake I has 108 MW of generating capability and is located adjacent to Storm Lake II. The wind energy facility began commercial operations in 1999 and has a PPA in place for its entire output which expires in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estimated fair values of the assets acquired and the liabilities assumed at the date of acquisition. In connection with finalizing purchase price accounting, the Company recorded minor adjustments during the first quarter of 2015 to certain assets and liabilities, which are reflected in the table below. The result of these adjustments had no impact on the results of operations for the quarter ended March 31, 2015.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37"/>
        </w:trPr>
        <w:tc>
          <w:tcPr>
            <w:tcW w:w="694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4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8"/>
                <w:szCs w:val="18"/>
                <w:i w:val="1"/>
                <w:iCs w:val="1"/>
                <w:color w:val="auto"/>
              </w:rPr>
              <w:t>(b)</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7"/>
        </w:trPr>
        <w:tc>
          <w:tcPr>
            <w:tcW w:w="694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$0.4 million of restricted cash and an immaterial amount of goodwill; for tax purposes, the purchase price allocation resulted in no allocation to goodwill.</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$7.5 million related to the current portion of Power Purchase Agreements.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to goodwill by business segment for the six months ended June 30,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516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 and</w:t>
            </w:r>
          </w:p>
        </w:tc>
      </w:tr>
      <w:tr>
        <w:trPr>
          <w:trHeight w:val="234"/>
        </w:trPr>
        <w:tc>
          <w:tcPr>
            <w:tcW w:w="6260" w:type="dxa"/>
            <w:vAlign w:val="bottom"/>
          </w:tcPr>
          <w:p>
            <w:pPr>
              <w:spacing w:after="0"/>
              <w:rPr>
                <w:sz w:val="20"/>
                <w:szCs w:val="20"/>
                <w:color w:val="auto"/>
              </w:rPr>
            </w:pPr>
          </w:p>
        </w:tc>
        <w:tc>
          <w:tcPr>
            <w:tcW w:w="516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26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1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5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Acquired Goodwill</w:t>
            </w:r>
          </w:p>
        </w:tc>
        <w:tc>
          <w:tcPr>
            <w:tcW w:w="516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626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2015</w:t>
            </w:r>
          </w:p>
        </w:tc>
        <w:tc>
          <w:tcPr>
            <w:tcW w:w="5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w:t>
            </w:r>
          </w:p>
        </w:tc>
      </w:tr>
      <w:tr>
        <w:trPr>
          <w:trHeight w:val="20"/>
        </w:trPr>
        <w:tc>
          <w:tcPr>
            <w:tcW w:w="6260" w:type="dxa"/>
            <w:vAlign w:val="bottom"/>
            <w:shd w:val="clear" w:color="auto" w:fill="000000"/>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36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NOTE 5. GOODWILL AND INTANGIBLE ASSETS (Continued)</w:t>
            </w:r>
          </w:p>
        </w:tc>
        <w:tc>
          <w:tcPr>
            <w:tcW w:w="1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7020" w:type="dxa"/>
            <w:vAlign w:val="bottom"/>
            <w:gridSpan w:val="2"/>
          </w:tcPr>
          <w:p>
            <w:pPr>
              <w:spacing w:after="0"/>
              <w:rPr>
                <w:sz w:val="20"/>
                <w:szCs w:val="20"/>
                <w:color w:val="auto"/>
              </w:rPr>
            </w:pPr>
            <w:r>
              <w:rPr>
                <w:rFonts w:ascii="Arial" w:cs="Arial" w:eastAsia="Arial" w:hAnsi="Arial"/>
                <w:sz w:val="18"/>
                <w:szCs w:val="18"/>
                <w:color w:val="auto"/>
                <w:w w:val="98"/>
              </w:rPr>
              <w:t>Balances of intangible assets, net, excluding goodwill as of June 30, 2015, are as follows:</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0"/>
        </w:trPr>
        <w:tc>
          <w:tcPr>
            <w:tcW w:w="5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Additions as a</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40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Result of</w:t>
            </w:r>
          </w:p>
        </w:tc>
        <w:tc>
          <w:tcPr>
            <w:tcW w:w="16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400" w:type="dxa"/>
            <w:vAlign w:val="bottom"/>
          </w:tcPr>
          <w:p>
            <w:pPr>
              <w:spacing w:after="0"/>
              <w:rPr>
                <w:sz w:val="20"/>
                <w:szCs w:val="20"/>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Acquisitions</w:t>
            </w: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6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16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$60.1</w:t>
            </w:r>
          </w:p>
        </w:tc>
        <w:tc>
          <w:tcPr>
            <w:tcW w:w="1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8"/>
                <w:szCs w:val="18"/>
                <w:i w:val="1"/>
                <w:iCs w:val="1"/>
                <w:color w:val="auto"/>
              </w:rPr>
              <w:t>(a)</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5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66.4</w:t>
            </w:r>
          </w:p>
        </w:tc>
        <w:tc>
          <w:tcPr>
            <w:tcW w:w="1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16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1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$83.0</w:t>
            </w:r>
          </w:p>
        </w:tc>
        <w:tc>
          <w:tcPr>
            <w:tcW w:w="16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Developed Technology and Other includes patents, non-compete agreements, and land easements.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useful life of approximately 23 years and developed technology and other have useful lives ranging from less than 1 year to approximately 14 years (weighted average of approximately 9 years). The weighted average useful life of all definite-lived intangible assets as of June 30, 2015 is approximately 21 years.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of intangible assets for the six months ended June 30, 2015, was $1.6 million. The estimated amortization expense for definite-lived intangible assets for the remainder of 2015 is $2.6 million. Estimated annual amortization expense for definite-lived intangible assets is $4.3 million in 2016, $4.2 million in 2017, $4.1 million in 2018, $4.0 million in 2019, and $47.5 million thereafter.</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one variable-to-fixed interest rate swap (Swap), designated as a cash flow hedge, in order to manage the interest rate risk associated with a $75.0 million term loan which represents approximately 5 percent of the Company’s outstanding long-term debt, including long-term debt due within one year, as of June 30, 2015. (See Note 10. Short-Term and Long-Term Debt.) The Swap has an effective date of August 26, 2014, and matures on August 25, 2015. The Swap involves the receipt of the one-month LIBOR in exchange for fixed interest payments over the life of the agreement at 0.75 percent without an exchange of the underlying notional amount. Cash flows from the Swap are expected to be highly effective. If it is determined that the Swap ceases to be effective, we will prospectively discontinue hedge accounting. When applicable, we use the shortcut method to assess hedge effectiveness. If the shortcut method is not applicable, we assess effectiveness using the “change-in-variable-cash-flows” method. Our assessment of hedge effectiveness resulted in no ineffectiveness recorded for the six months ended June 30, 2015. As of June 30, 2015, the fair value of the Swap was a $0.1 million liability ($0.3 million liability as of December 31, 2014) which was included in Other Current Liabilities on the Consolidated Balance Sheet. Changes in the fair value of the Swap were recorded in Accumulated Other Comprehensive Loss on the Consolidated Balance Sheet. Cash flows from the Swap are presented in the same category as the hedged item on the Consolidated Statement of Cash Flows. Amounts recorded in Other Comprehensive Income related to the Swap will be recorded in earnings when the hedged transaction occurs or when it is probable it will not occur. Gains or losses on the interest rate hedging transaction are reflected as a component of Interest Expense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2014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June 30, 2015, and December 31, 2014.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tables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2"/>
              </w:rPr>
              <w:t>Fair Value as of June 30, 2015</w:t>
            </w:r>
          </w:p>
        </w:tc>
        <w:tc>
          <w:tcPr>
            <w:tcW w:w="800" w:type="dxa"/>
            <w:vAlign w:val="bottom"/>
          </w:tcPr>
          <w:p>
            <w:pPr>
              <w:spacing w:after="0"/>
              <w:rPr>
                <w:sz w:val="20"/>
                <w:szCs w:val="20"/>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$11.2</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$11.2</w:t>
            </w: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r>
      <w:tr>
        <w:trPr>
          <w:trHeight w:val="27"/>
        </w:trPr>
        <w:tc>
          <w:tcPr>
            <w:tcW w:w="5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$16.3</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0.1</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8"/>
                <w:szCs w:val="18"/>
                <w:i w:val="1"/>
                <w:iCs w:val="1"/>
                <w:color w:val="auto"/>
              </w:rPr>
              <w:t>(b)</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$36.8</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$16.4</w:t>
            </w: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$36.8</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w:t>
            </w:r>
          </w:p>
        </w:tc>
      </w:tr>
      <w:tr>
        <w:trPr>
          <w:trHeight w:val="27"/>
        </w:trPr>
        <w:tc>
          <w:tcPr>
            <w:tcW w:w="5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0"/>
        </w:trPr>
        <w:tc>
          <w:tcPr>
            <w:tcW w:w="548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on the Consolidated Balance Sheet.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36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7. FAIR VALUE (Continued)</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67"/>
        </w:trPr>
        <w:tc>
          <w:tcPr>
            <w:tcW w:w="5480" w:type="dxa"/>
            <w:vAlign w:val="bottom"/>
          </w:tcPr>
          <w:p>
            <w:pPr>
              <w:spacing w:after="0"/>
              <w:rPr>
                <w:sz w:val="24"/>
                <w:szCs w:val="24"/>
                <w:color w:val="auto"/>
              </w:rPr>
            </w:pPr>
          </w:p>
        </w:tc>
        <w:tc>
          <w:tcPr>
            <w:tcW w:w="52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Fair Value as of December 31, 2014</w:t>
            </w:r>
          </w:p>
        </w:tc>
        <w:tc>
          <w:tcPr>
            <w:tcW w:w="680" w:type="dxa"/>
            <w:vAlign w:val="bottom"/>
          </w:tcPr>
          <w:p>
            <w:pPr>
              <w:spacing w:after="0"/>
              <w:rPr>
                <w:sz w:val="24"/>
                <w:szCs w:val="24"/>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$8.1</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$10.8</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2.9</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$11.0</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$10.8</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$16.2</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$16.5</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$11.0</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$(5.7)</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on the Consolidated Balance Sheet.</w:t>
      </w: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table provides a reconciliation of the beginning and ending balances of the U.S. Water Services Contingent Consideration measured at fair value using Level 3 measurements as of June 30, 2015. The acquisition contingent consideration was recorded at the acquisition date at its estimated fair value. The acquisition date fair value is measured based on the consideration expected to be transferred, discounted to present value. The discount rate is determined at the time of measurement in accordance with generally accepted valuation methods. The fair value of the acquisition contingent consideration is remeasured to arrive at estimated fair value each reporting period with the change in fair value recognized as income or expense in our Consolidated Statement of Income. Changes to the fair value of the acquisition contingent consideration can result from changes in discount rates, or in the timing and amount of earnings estimates. Using different valuation assumptions, including earnings projections or discount rates, may result in different fair value measurements and expense (or income) in future periods. The acquisition contingent consideration was measured at $36.8 million as of June 30, 2015.</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Recognition of U.S. Water Services Contingent Consideration</w:t>
            </w:r>
          </w:p>
        </w:tc>
        <w:tc>
          <w:tcPr>
            <w:tcW w:w="37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Accretion Expense </w:t>
            </w:r>
            <w:r>
              <w:rPr>
                <w:rFonts w:ascii="Arial" w:cs="Arial" w:eastAsia="Arial" w:hAnsi="Arial"/>
                <w:sz w:val="18"/>
                <w:szCs w:val="18"/>
                <w:i w:val="1"/>
                <w:iCs w:val="1"/>
                <w:color w:val="auto"/>
              </w:rPr>
              <w:t>(a)</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June 30, 2015</w:t>
            </w:r>
          </w:p>
        </w:tc>
        <w:tc>
          <w:tcPr>
            <w:tcW w:w="3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Included in Interest Expense on the Consolidated Statement of Income.</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Level 3 activity above is the result of the February 10, 2015, acquisition of U.S. Water Services; there was no activity in Level 3 during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2015, and the year ended December 31, 2014, there were no transfers in or out of Levels 1, 2 or 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7. FAIR VALUE (Continued)</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June 30, 2015</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$1,390.4</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$1,445.0</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2014</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$1,373.5</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$1,484.5</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Equity Method Investment. </w:t>
      </w:r>
      <w:r>
        <w:rPr>
          <w:rFonts w:ascii="Arial" w:cs="Arial" w:eastAsia="Arial" w:hAnsi="Arial"/>
          <w:sz w:val="17"/>
          <w:szCs w:val="17"/>
          <w:color w:val="auto"/>
        </w:rPr>
        <w:t>Our wholly-owned subsidiary, Rainy River Energy, owns approximately 8 percent of ATC, a Wisconsin-based utility that owns</w:t>
      </w:r>
      <w:r>
        <w:rPr>
          <w:rFonts w:ascii="Arial" w:cs="Arial" w:eastAsia="Arial" w:hAnsi="Arial"/>
          <w:sz w:val="17"/>
          <w:szCs w:val="17"/>
          <w:i w:val="1"/>
          <w:iCs w:val="1"/>
          <w:color w:val="auto"/>
        </w:rPr>
        <w:t xml:space="preserve"> </w:t>
      </w:r>
      <w:r>
        <w:rPr>
          <w:rFonts w:ascii="Arial" w:cs="Arial" w:eastAsia="Arial" w:hAnsi="Arial"/>
          <w:sz w:val="17"/>
          <w:szCs w:val="17"/>
          <w:color w:val="auto"/>
        </w:rPr>
        <w:t>and maintains electric transmission assets in parts of Wisconsin, Michigan, Minnesota and Illinois. (See Note 9. Investment in ATC.) The aggregate carrying amount of the investment was $124.2 million as of June 30, 2015 ($121.1 million as of December 31, 2014). The Company assesses our investment in ATC for impairment whenever events or changes in circumstances indicate that the carrying amount of our investment in ATC may not be recoverable. For the six months ended June 30, 2015 and the year ended December 31, 2014, there were no indicators of impairment.</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Company assesses the impairment of goodwill annually in the third quarter and whenever an event occurs or circumstances change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 carrying amount may be impaired. Substantially all of the Company’s goodwill is a result of the U.S. Water Services acquisition on February 10, 2015. The aggregate carrying amount of goodwill was $130.1 million and $2.9 million as of June 30, 2015, and December 31, 2014, respectively.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The Company calculates the excess of each reporting unit's fair value over its carrying amount, including goodwill, utilizing a discounted cash flow analysis. As of June 30, 2015, there have been no events or changes in circumstance which would indicate impairment of our goodwill.</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The Company assesses indefinite-lived intangible assets for impairment annually in the third quarter. The Company also assesses</w:t>
      </w:r>
      <w:r>
        <w:rPr>
          <w:rFonts w:ascii="Arial" w:cs="Arial" w:eastAsia="Arial" w:hAnsi="Arial"/>
          <w:sz w:val="17"/>
          <w:szCs w:val="17"/>
          <w:i w:val="1"/>
          <w:iCs w:val="1"/>
          <w:color w:val="auto"/>
        </w:rPr>
        <w:t xml:space="preserve"> </w:t>
      </w:r>
      <w:r>
        <w:rPr>
          <w:rFonts w:ascii="Arial" w:cs="Arial" w:eastAsia="Arial" w:hAnsi="Arial"/>
          <w:sz w:val="17"/>
          <w:szCs w:val="17"/>
          <w:color w:val="auto"/>
        </w:rPr>
        <w:t>indefinite-lived and definite-lived intangible assets whenever events or changes in circumstances indicate that the carrying amount of an intangible asset may not be recoverable. Substantially all of the Company’s intangible assets are a result of the U.S. Water Services acquisition on February 10, 2015. The aggregate carrying amount of intangible assets was $83.3 million as of June 30, 2015 ($1.9 million as of December 31, 2014). When events or changes in circumstances indicate that the carrying amount of an intangible asset may not be recoverable, the Company calculates the excess of an intangible asset's carrying amount over its undiscounted future cash flows. If the carrying amount is not recoverable, an impairment loss is recorded based on the amount by which the carrying amount exceeds the fair value. The inputs used in the fair value analysis fall within Level 3 of the fair value hierarchy due to the use of significant unobservable inputs to determine fair value. As of June 30, 2015, there have been no events or changes in circumstance which would indicate impairment of our intangible assets.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The Company assesses the impairment of property, plant, and equipment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amount of property, plant, and equipment assets may not be recoverable. For the six months ended June 30, 2015, and the year ended December 31, 2014, there were no indicators of impairment.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believe that long-standing ratemaking practices approved by applicable state and federal regulatory commissions allow for the recovery of the remaining book value of retired plant assets. We retired Taconite Harbor Unit 3 and converted Laskin to natural gas in the second quarter of 2015, which actions were included in our 2013 Integrated Resource Plan approved by the MPUC in a November 2013 order. On July 9, 2015, we announced the next steps in our </w:t>
      </w:r>
      <w:r>
        <w:rPr>
          <w:rFonts w:ascii="Arial" w:cs="Arial" w:eastAsia="Arial" w:hAnsi="Arial"/>
          <w:sz w:val="16"/>
          <w:szCs w:val="16"/>
          <w:i w:val="1"/>
          <w:iCs w:val="1"/>
          <w:color w:val="auto"/>
        </w:rPr>
        <w:t xml:space="preserve">EnergyForward </w:t>
      </w:r>
      <w:r>
        <w:rPr>
          <w:rFonts w:ascii="Arial" w:cs="Arial" w:eastAsia="Arial" w:hAnsi="Arial"/>
          <w:sz w:val="16"/>
          <w:szCs w:val="16"/>
          <w:color w:val="auto"/>
        </w:rPr>
        <w:t>plan, which includes the economic idling of Taconite Harbor Units 1 and 2 in the fall of 2016 and the ceasing of coal-fired operations there in</w:t>
      </w:r>
      <w:r>
        <w:rPr>
          <w:rFonts w:ascii="Arial" w:cs="Arial" w:eastAsia="Arial" w:hAnsi="Arial"/>
          <w:sz w:val="16"/>
          <w:szCs w:val="16"/>
          <w:i w:val="1"/>
          <w:iCs w:val="1"/>
          <w:color w:val="auto"/>
        </w:rPr>
        <w:t xml:space="preserve"> </w:t>
      </w:r>
      <w:r>
        <w:rPr>
          <w:rFonts w:ascii="Arial" w:cs="Arial" w:eastAsia="Arial" w:hAnsi="Arial"/>
          <w:sz w:val="16"/>
          <w:szCs w:val="16"/>
          <w:color w:val="auto"/>
        </w:rPr>
        <w:t>2020. We do not expect to record any impairment charge as a result of the retirement of Taconite Harbor or the conversion of Laskin.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8.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Energy-Intensive Trade-Exposed Customer Rates. </w:t>
      </w:r>
      <w:r>
        <w:rPr>
          <w:rFonts w:ascii="Arial" w:cs="Arial" w:eastAsia="Arial" w:hAnsi="Arial"/>
          <w:sz w:val="18"/>
          <w:szCs w:val="18"/>
          <w:color w:val="auto"/>
        </w:rPr>
        <w:t>The Minnesota Legislature enacted and the Governor of Minnesota signed Energy-Intensive Trade-Exposed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ratemaking legislation in June 2015. The intent of this legislation is to enable the MPUC to address elements in rate design to better support the competitiveness of manufacturers with electrically intensive operations which compete in global markets. The Company is working with all stakeholders to develop a rate schedule and contract proposals to be filed with the MPUC. It is expected that any rate design outcomes will be implemented on a revenue neutral basis.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 has 16 non-affiliated municipal customers in Minnesota. SWL&amp;P is a Wisconsin utility and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of Minnesota Power. On April 21, 2015, Minnesota Power amended its formula-based wholesale electric sales contract with the Nashwauk Public Utilities Commission, extending the term through June 30, 2028. The electric service agreements with the remaining 15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agreement, no termination notice may be given prior to June 30, 2025. Under the agreements with the remaining 15 municipal customers and SWL&amp;P, no termination notices may be given prior to June 30, 2016.</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in place for certain transmission investments and expenditures. In</w:t>
      </w:r>
      <w:r>
        <w:rPr>
          <w:rFonts w:ascii="Arial" w:cs="Arial" w:eastAsia="Arial" w:hAnsi="Arial"/>
          <w:sz w:val="17"/>
          <w:szCs w:val="17"/>
          <w:i w:val="1"/>
          <w:iCs w:val="1"/>
          <w:color w:val="auto"/>
        </w:rPr>
        <w:t xml:space="preserve"> </w:t>
      </w:r>
      <w:r>
        <w:rPr>
          <w:rFonts w:ascii="Arial" w:cs="Arial" w:eastAsia="Arial" w:hAnsi="Arial"/>
          <w:sz w:val="17"/>
          <w:szCs w:val="17"/>
          <w:color w:val="auto"/>
        </w:rPr>
        <w:t>an order dated February 23, 2015, the MPUC approved Minnesota Power’s updated billing factor which allows Minnesota Power to charge retail customers on a current basis for the costs of constructing certain transmission facilities plus a return on the capital invested. On May 22, 2015, we filed a transmission factor filing which includes updated costs associated with certain transmission facilities. Upon approval of the filing, we will be authorized to include updated billing rates on customer bills. As a result of the MPUC approval of the Certificate of Need for the GNTL on June 30, 2015, the project is eligible for cost recovery under our existing transmission cost recovery rider. We anticipate including our portion of the investments and expenditures for the GNTL as part of future transmission factor filings to include updated billing rates on customer bills.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the 497 MW</w:t>
      </w:r>
      <w:r>
        <w:rPr>
          <w:rFonts w:ascii="Arial" w:cs="Arial" w:eastAsia="Arial" w:hAnsi="Arial"/>
          <w:sz w:val="18"/>
          <w:szCs w:val="18"/>
          <w:i w:val="1"/>
          <w:iCs w:val="1"/>
          <w:color w:val="auto"/>
        </w:rPr>
        <w:t xml:space="preserve"> </w:t>
      </w:r>
      <w:r>
        <w:rPr>
          <w:rFonts w:ascii="Arial" w:cs="Arial" w:eastAsia="Arial" w:hAnsi="Arial"/>
          <w:sz w:val="18"/>
          <w:szCs w:val="18"/>
          <w:color w:val="auto"/>
        </w:rPr>
        <w:t>Bison Wind Energy Center in North Dakota. Customer billing rates for our Bison Wind Energy Center were approved by the MPUC in an order dated May 22, 2015. In November 2014, we filed a renewable resources factor filing which includes updated costs associated with Bison. Upon approval of the filing, we will be authorized to include updated billing rates on customer bills.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2015, Minnesota Power supplemented its November 2014 renewable resources factor filing to include costs associated with the restoration and repair of Thomson. In an order dated March 5, 2015, the MPUC approved our petition seeking cost recovery for investments and expenditures related to the restoration and repair of Thomson through a renewable resources rider.</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Integrated Resource Plan. </w:t>
      </w:r>
      <w:r>
        <w:rPr>
          <w:rFonts w:ascii="Arial" w:cs="Arial" w:eastAsia="Arial" w:hAnsi="Arial"/>
          <w:sz w:val="17"/>
          <w:szCs w:val="17"/>
          <w:color w:val="auto"/>
        </w:rPr>
        <w:t>In a November 2013 order, the MPUC approved Minnesota Power’s 2013 Integrated Resource Plan which details our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EnergyForward </w:t>
      </w:r>
      <w:r>
        <w:rPr>
          <w:rFonts w:ascii="Arial" w:cs="Arial" w:eastAsia="Arial" w:hAnsi="Arial"/>
          <w:sz w:val="17"/>
          <w:szCs w:val="17"/>
          <w:color w:val="auto"/>
        </w:rPr>
        <w:t>strategic plan and includes an analysis of a variety of existing and future energy resource alternatives and a projection of customer cost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impact by class.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 major wind investments in North Dakota which were completed in the fourth quarter of 2014, installation of emissions control technology underway at Boswell Unit 4, planning for the proposed GNTL, the conversion of Laskin from coal to natural gas completed in June 2015 and the retirement of Taconite Harbor Unit 3 completed in May 2015. On July 9, 2015, Minnesota Power announced the next steps in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including the economic idling of Taconite Harbor Units 1 and 2 in the fall of 2016, the ceasing of coal-fired operations there in 2020, and the addition of between 200 MW and 300 MW of natural gas generation in the next decade. We are required to submit our 2015 Integrated Resource Plan with the MPUC no later than September 1, 2015.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8. REGULATORY MATTERS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Minnesota Mercury Emissions Reduction Act and the Federal MATS rule. In August 2012, Minnesota Power filed its mercury emissions reduction plan for Boswell Unit 4 with the MPUC and the MPCA. Costs to implement the Boswell Unit 4 mercury emissions reduction plan are included in the estimated capital expenditures required for compliance with the MATS rule and are estimated to be approximately $260 million, of which approximately $184 million was spent through June 30, 2015. In a November 2013 order, the MPUC approved the Boswell Unit 4 mercury emissions reduction plan and cost recovery, establishing an environmental improvement rider. Customer billing rates for the environmental improvement rider were approved by the MPUC in a July 2014 order. In November 2014, we filed an updated environmental improvement factor filing which included updated costs associated with Boswell Unit 4. Upon approval of this filing, we will be authorized to include updated billing rates on customer bills.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Great Northern Transmission Line (GNTL)</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and Manitoba Hydro have proposed construction of the GNTL, an approximately 220-mile</w:t>
      </w:r>
      <w:r>
        <w:rPr>
          <w:rFonts w:ascii="Arial" w:cs="Arial" w:eastAsia="Arial" w:hAnsi="Arial"/>
          <w:sz w:val="16"/>
          <w:szCs w:val="16"/>
          <w:b w:val="1"/>
          <w:bCs w:val="1"/>
          <w:color w:val="auto"/>
        </w:rPr>
        <w:t xml:space="preserve"> </w:t>
      </w:r>
      <w:r>
        <w:rPr>
          <w:rFonts w:ascii="Arial" w:cs="Arial" w:eastAsia="Arial" w:hAnsi="Arial"/>
          <w:sz w:val="16"/>
          <w:szCs w:val="16"/>
          <w:color w:val="auto"/>
        </w:rPr>
        <w:t>500 kV transmission line, between Manitoba and Minnesota’s Iron Range. The GNTL is subject to various federal and state regulatory approvals. In October 2013, a Certificate of Need application was filed with the MPUC which was approved in an order dated June 30, 2015. Based on this order, our portion of the investments and expenditures for the project are eligible for cost recovery under our existing transmission cost recovery rider and are anticipated to be included in future transmission factor filings. In April 2014, Minnesota Power filed a route permit application with the MPUC and a request for a presidential permit to cross the U.S.-Canadian border with the U.S. Department of Energy. In a July 2014 order, the MPUC determined the route permit application to be complete. On June 19, 2015, the Minnesota Department of Commerce and the U.S. Department of Energy released the draft EIS for the GNTL. Public hearings on the draft EIS were held in July 2015 and comments are due by August 10, 2015. Hearings on the route permit will be held before an Administrative Law Judge in August 2015 with comments due by September 1, 2015.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MISO Return on Equity Complaints. </w:t>
      </w:r>
      <w:r>
        <w:rPr>
          <w:rFonts w:ascii="Arial" w:cs="Arial" w:eastAsia="Arial" w:hAnsi="Arial"/>
          <w:sz w:val="16"/>
          <w:szCs w:val="16"/>
          <w:color w:val="auto"/>
        </w:rPr>
        <w:t>In November 2013, several customer groups located within the MISO service area filed complaints with the FERC</w:t>
      </w:r>
      <w:r>
        <w:rPr>
          <w:rFonts w:ascii="Arial" w:cs="Arial" w:eastAsia="Arial" w:hAnsi="Arial"/>
          <w:sz w:val="16"/>
          <w:szCs w:val="16"/>
          <w:b w:val="1"/>
          <w:bCs w:val="1"/>
          <w:color w:val="auto"/>
        </w:rPr>
        <w:t xml:space="preserve"> </w:t>
      </w:r>
      <w:r>
        <w:rPr>
          <w:rFonts w:ascii="Arial" w:cs="Arial" w:eastAsia="Arial" w:hAnsi="Arial"/>
          <w:sz w:val="16"/>
          <w:szCs w:val="16"/>
          <w:color w:val="auto"/>
        </w:rPr>
        <w:t>requesting, among other things, a reduction in the base return on equity used by MISO transmission owners, including ALLETE, to 9.15 percent. On February 12, 2015, an additional complaint was filed with the FERC seeking an order to further reduce the base return on equity to 8.67 percent. As a result of these complaints filed with the FERC, we have recorded an estimated refund obligation for MISO revenue of $5.6 million and an estimated refund for MISO transmission expense of $3.7 million, resulting in a reserve of $1.9 million as of June 30, 2015; $1.5 million was attributable to prior years.</w:t>
      </w:r>
    </w:p>
    <w:p>
      <w:pPr>
        <w:spacing w:after="0" w:line="15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36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NOTE 8. REGULATORY MATTERS (Continued)</w:t>
            </w:r>
          </w:p>
        </w:tc>
        <w:tc>
          <w:tcPr>
            <w:tcW w:w="28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7000" w:type="dxa"/>
            <w:vAlign w:val="bottom"/>
          </w:tcPr>
          <w:p>
            <w:pPr>
              <w:spacing w:after="0"/>
              <w:rPr>
                <w:sz w:val="24"/>
                <w:szCs w:val="24"/>
                <w:color w:val="auto"/>
              </w:rPr>
            </w:pPr>
          </w:p>
        </w:tc>
        <w:tc>
          <w:tcPr>
            <w:tcW w:w="286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7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28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Deferred Fuel</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$11.8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7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Assets</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8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216.1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(c)</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68.3</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19.2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Other</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4.1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359.6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2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$371.4</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$373.6</w:t>
            </w:r>
          </w:p>
        </w:tc>
      </w:tr>
      <w:tr>
        <w:trPr>
          <w:trHeight w:val="27"/>
        </w:trPr>
        <w:tc>
          <w:tcPr>
            <w:tcW w:w="7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8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Wholesale and Retail Contra AFUDC</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19.6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2.4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7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37"/>
        </w:trPr>
        <w:tc>
          <w:tcPr>
            <w:tcW w:w="70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$104.8</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(See Note 15.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are primarily due to capital expenditures related to our Bison Wind Energy Center, investment in CapX2020 projects, and the Boswell Unit 4 environmental upgrade and are recognized in accordance with the accounting standards for alternative revenue programs.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based on a FERC-approved 12.2 percent return on common equity dedicated to utility plant. We account for our investment in ATC under the equity method of accounting. As of June 30, 2015, our equity investment in ATC was $124.2 million ($121.1 million at December 31, 2014). In the first six months of 2015, we invested $0.8 million in ATC, and on July 30, 2015, we invested an additional $0.4 million. We expect to make additional investments of approximately $0.7 million in 2015.</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2014</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June 30, 2015</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20"/>
          </w:cols>
          <w:pgMar w:left="240" w:top="36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NOTE 9. INVESTMENT IN ATC (Continued)</w:t>
            </w:r>
          </w:p>
        </w:tc>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8140" w:type="dxa"/>
            <w:vAlign w:val="bottom"/>
            <w:gridSpan w:val="2"/>
          </w:tcPr>
          <w:p>
            <w:pPr>
              <w:spacing w:after="0"/>
              <w:rPr>
                <w:sz w:val="20"/>
                <w:szCs w:val="20"/>
                <w:color w:val="auto"/>
              </w:rPr>
            </w:pPr>
            <w:r>
              <w:rPr>
                <w:rFonts w:ascii="Arial" w:cs="Arial" w:eastAsia="Arial" w:hAnsi="Arial"/>
                <w:sz w:val="18"/>
                <w:szCs w:val="18"/>
                <w:color w:val="auto"/>
              </w:rPr>
              <w:t>ATC’s summarized financial data for the six months ended June 30, 2015 and 2014, is as follows:</w:t>
            </w: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5280" w:type="dxa"/>
            <w:vAlign w:val="bottom"/>
          </w:tcPr>
          <w:p>
            <w:pPr>
              <w:spacing w:after="0"/>
              <w:rPr>
                <w:sz w:val="24"/>
                <w:szCs w:val="24"/>
                <w:color w:val="auto"/>
              </w:rPr>
            </w:pPr>
          </w:p>
        </w:tc>
        <w:tc>
          <w:tcPr>
            <w:tcW w:w="38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Quarter Ended</w:t>
            </w:r>
          </w:p>
        </w:tc>
        <w:tc>
          <w:tcPr>
            <w:tcW w:w="2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2014</w:t>
            </w: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5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$165.2</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$160.0</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$317.6</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860" w:type="dxa"/>
            <w:vAlign w:val="bottom"/>
          </w:tcPr>
          <w:p>
            <w:pPr>
              <w:jc w:val="right"/>
              <w:ind w:right="490"/>
              <w:spacing w:after="0"/>
              <w:rPr>
                <w:sz w:val="20"/>
                <w:szCs w:val="20"/>
                <w:color w:val="auto"/>
              </w:rPr>
            </w:pPr>
            <w:r>
              <w:rPr>
                <w:rFonts w:ascii="Arial" w:cs="Arial" w:eastAsia="Arial" w:hAnsi="Arial"/>
                <w:sz w:val="18"/>
                <w:szCs w:val="18"/>
                <w:color w:val="auto"/>
              </w:rPr>
              <w:t>80.3</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74.4</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160.3</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153.0</w:t>
            </w:r>
          </w:p>
        </w:tc>
      </w:tr>
      <w:tr>
        <w:trPr>
          <w:trHeight w:val="27"/>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24.3</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21.9</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48.7</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37"/>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8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$60.6</w:t>
            </w: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$63.7</w:t>
            </w:r>
          </w:p>
        </w:tc>
        <w:tc>
          <w:tcPr>
            <w:tcW w:w="14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$108.6</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$126.8</w:t>
            </w:r>
          </w:p>
        </w:tc>
      </w:tr>
      <w:tr>
        <w:trPr>
          <w:trHeight w:val="27"/>
        </w:trPr>
        <w:tc>
          <w:tcPr>
            <w:tcW w:w="5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2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$4.7</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$8.6</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0"/>
        </w:trPr>
        <w:tc>
          <w:tcPr>
            <w:tcW w:w="528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equity earnings in ATC for the six months ended June 30, 2015, were $8.6 million and reflected a $1.7 million reduction related to complaints filed with the FERC by several customer groups located within the MISO service area; of which $1.1 million was attributable to ATC’s change in estimate of a refund liability relating to prior years. The groups requested, among other things, a reduction in the base return on equity used by MISO transmission owners, including ATC, to 9.15 percent. ATC's current authorized return on equity is 12.2 percent. On February 12, 2015, an additional complaint was filed with the FERC seeking an order to further reduce the base return on equity to 8.67 percent. We own approximately 8 percent of ATC and estimate that for every 50 basis point reduction in ATC’s allowed return on equity our equity earnings in ATC would be impacted annually by approximately $0.5 million on an after-tax basis ($0.9 million pre-tax).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SHORT-TERM AND LONG-TERM DEBT</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Short-Term Debt. </w:t>
      </w:r>
      <w:r>
        <w:rPr>
          <w:rFonts w:ascii="Arial" w:cs="Arial" w:eastAsia="Arial" w:hAnsi="Arial"/>
          <w:sz w:val="17"/>
          <w:szCs w:val="17"/>
          <w:color w:val="auto"/>
        </w:rPr>
        <w:t>As of June 30, 2015, total short-term debt outstanding was $118.0 million and consisted of long-term debt due within one year. Short-term</w:t>
      </w:r>
      <w:r>
        <w:rPr>
          <w:rFonts w:ascii="Arial" w:cs="Arial" w:eastAsia="Arial" w:hAnsi="Arial"/>
          <w:sz w:val="17"/>
          <w:szCs w:val="17"/>
          <w:b w:val="1"/>
          <w:bCs w:val="1"/>
          <w:color w:val="auto"/>
        </w:rPr>
        <w:t xml:space="preserve"> </w:t>
      </w:r>
      <w:r>
        <w:rPr>
          <w:rFonts w:ascii="Arial" w:cs="Arial" w:eastAsia="Arial" w:hAnsi="Arial"/>
          <w:sz w:val="17"/>
          <w:szCs w:val="17"/>
          <w:color w:val="auto"/>
        </w:rPr>
        <w:t>debt outstanding as of December 31, 2014 was $104.4 million and consisted of long-term debt due within one year and notes payable.</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There were no material issuances of long-term debt in the first six months of 2015. As of June 30, 2015, total long-term debt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was $1,272.4 million ($1,272.8 million as of December 31, 2014).</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2015, ALLETE Clean Energy assumed $60.9 million of long-term debt, including $5.9 million due within one year, in conjunction with ALLETE Clean Energy’s acquisition of Armenia Mountain. (See Note 4. Acquisitions.)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14, 2015, we agreed to sell $100.0 million of the Company's first mortgage bonds (Bonds) to certain institutional buyers in the private placement market. The Bonds will be sold in reliance on an exemption from registration under Section 4(a)(2) of the Securities Act of 1933, as amended, to institutional accredited investors. The Bonds will be issued on or about September 24, 2015, in two series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73025</wp:posOffset>
            </wp:positionV>
            <wp:extent cx="7237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8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Principal Amount</w:t>
            </w: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8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2020</w:t>
            </w:r>
          </w:p>
        </w:tc>
        <w:tc>
          <w:tcPr>
            <w:tcW w:w="38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$40 Million</w:t>
            </w:r>
          </w:p>
        </w:tc>
        <w:tc>
          <w:tcPr>
            <w:tcW w:w="36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2.80%</w:t>
            </w:r>
          </w:p>
        </w:tc>
      </w:tr>
      <w:tr>
        <w:trPr>
          <w:trHeight w:val="243"/>
        </w:trPr>
        <w:tc>
          <w:tcPr>
            <w:tcW w:w="3860" w:type="dxa"/>
            <w:vAlign w:val="bottom"/>
          </w:tcPr>
          <w:p>
            <w:pPr>
              <w:jc w:val="center"/>
              <w:spacing w:after="0"/>
              <w:rPr>
                <w:sz w:val="20"/>
                <w:szCs w:val="20"/>
                <w:color w:val="auto"/>
              </w:rPr>
            </w:pPr>
            <w:r>
              <w:rPr>
                <w:rFonts w:ascii="Arial" w:cs="Arial" w:eastAsia="Arial" w:hAnsi="Arial"/>
                <w:sz w:val="18"/>
                <w:szCs w:val="18"/>
                <w:color w:val="auto"/>
                <w:w w:val="88"/>
              </w:rPr>
              <w:t>September 16, 2030</w:t>
            </w:r>
          </w:p>
        </w:tc>
        <w:tc>
          <w:tcPr>
            <w:tcW w:w="3880" w:type="dxa"/>
            <w:vAlign w:val="bottom"/>
          </w:tcPr>
          <w:p>
            <w:pPr>
              <w:jc w:val="center"/>
              <w:ind w:right="10"/>
              <w:spacing w:after="0"/>
              <w:rPr>
                <w:sz w:val="20"/>
                <w:szCs w:val="20"/>
                <w:color w:val="auto"/>
              </w:rPr>
            </w:pPr>
            <w:r>
              <w:rPr>
                <w:rFonts w:ascii="Arial" w:cs="Arial" w:eastAsia="Arial" w:hAnsi="Arial"/>
                <w:sz w:val="18"/>
                <w:szCs w:val="18"/>
                <w:color w:val="auto"/>
                <w:w w:val="99"/>
              </w:rPr>
              <w:t>$60 Million</w:t>
            </w:r>
          </w:p>
        </w:tc>
        <w:tc>
          <w:tcPr>
            <w:tcW w:w="3660" w:type="dxa"/>
            <w:vAlign w:val="bottom"/>
          </w:tcPr>
          <w:p>
            <w:pPr>
              <w:jc w:val="center"/>
              <w:ind w:right="30"/>
              <w:spacing w:after="0"/>
              <w:rPr>
                <w:sz w:val="20"/>
                <w:szCs w:val="20"/>
                <w:color w:val="auto"/>
              </w:rPr>
            </w:pPr>
            <w:r>
              <w:rPr>
                <w:rFonts w:ascii="Arial" w:cs="Arial" w:eastAsia="Arial" w:hAnsi="Arial"/>
                <w:sz w:val="18"/>
                <w:szCs w:val="18"/>
                <w:color w:val="auto"/>
                <w:w w:val="90"/>
              </w:rPr>
              <w:t>3.86%</w:t>
            </w:r>
          </w:p>
        </w:tc>
      </w:tr>
      <w:tr>
        <w:trPr>
          <w:trHeight w:val="27"/>
        </w:trPr>
        <w:tc>
          <w:tcPr>
            <w:tcW w:w="38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on the Bonds will be payable semi-annually on March 15 and September 15 of each year, commencing on March 15, 2016. The Company will have the option to prepay all or a portion of the Bonds at its discretion, subject to a make-whole provision; however, the September 16, 2030, series of bonds will be redeemable at par, including accrued and unpaid interest, six months prior to the maturity date. The Bonds will be subject to additional terms and conditions which are customary for these types of transactions. The Company intends to use the proceeds from the sale of the Bonds to fund utility capital expenditures and/or for general corporate purposes.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10. SHORT-TERM AND LONG-TERM DEBT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2015, our ratio was approximately 0.44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June 30, 2015,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NOTE 11. OTHER INCOME (EXPENSE)</w:t>
            </w:r>
          </w:p>
        </w:tc>
        <w:tc>
          <w:tcPr>
            <w:tcW w:w="3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78"/>
        </w:trPr>
        <w:tc>
          <w:tcPr>
            <w:tcW w:w="524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820" w:type="dxa"/>
            <w:vAlign w:val="bottom"/>
          </w:tcPr>
          <w:p>
            <w:pPr>
              <w:spacing w:after="0"/>
              <w:rPr>
                <w:sz w:val="24"/>
                <w:szCs w:val="24"/>
                <w:color w:val="auto"/>
              </w:rPr>
            </w:pPr>
          </w:p>
        </w:tc>
        <w:tc>
          <w:tcPr>
            <w:tcW w:w="21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40" w:type="dxa"/>
            <w:vAlign w:val="bottom"/>
          </w:tcPr>
          <w:p>
            <w:pPr>
              <w:spacing w:after="0"/>
              <w:rPr>
                <w:sz w:val="23"/>
                <w:szCs w:val="23"/>
                <w:color w:val="auto"/>
              </w:rPr>
            </w:pPr>
          </w:p>
        </w:tc>
        <w:tc>
          <w:tcPr>
            <w:tcW w:w="318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23"/>
                <w:szCs w:val="23"/>
                <w:color w:val="auto"/>
              </w:rPr>
            </w:pPr>
          </w:p>
        </w:tc>
      </w:tr>
      <w:tr>
        <w:trPr>
          <w:trHeight w:val="270"/>
        </w:trPr>
        <w:tc>
          <w:tcPr>
            <w:tcW w:w="5240" w:type="dxa"/>
            <w:vAlign w:val="bottom"/>
          </w:tcPr>
          <w:p>
            <w:pPr>
              <w:spacing w:after="0"/>
              <w:rPr>
                <w:sz w:val="23"/>
                <w:szCs w:val="23"/>
                <w:color w:val="auto"/>
              </w:rPr>
            </w:pPr>
          </w:p>
        </w:tc>
        <w:tc>
          <w:tcPr>
            <w:tcW w:w="31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AFUDC–Equity</w:t>
            </w:r>
          </w:p>
        </w:tc>
        <w:tc>
          <w:tcPr>
            <w:tcW w:w="31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$0.7</w:t>
            </w:r>
          </w:p>
        </w:tc>
        <w:tc>
          <w:tcPr>
            <w:tcW w:w="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c>
          <w:tcPr>
            <w:tcW w:w="15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$1.6</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3180" w:type="dxa"/>
            <w:vAlign w:val="bottom"/>
          </w:tcPr>
          <w:p>
            <w:pPr>
              <w:jc w:val="right"/>
              <w:ind w:right="750"/>
              <w:spacing w:after="0"/>
              <w:rPr>
                <w:sz w:val="20"/>
                <w:szCs w:val="20"/>
                <w:color w:val="auto"/>
              </w:rPr>
            </w:pPr>
            <w:r>
              <w:rPr>
                <w:rFonts w:ascii="Arial" w:cs="Arial" w:eastAsia="Arial" w:hAnsi="Arial"/>
                <w:sz w:val="18"/>
                <w:szCs w:val="18"/>
                <w:color w:val="auto"/>
              </w:rPr>
              <w:t>0.1</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0.2</w:t>
            </w: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0.1</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 (Expense)</w:t>
            </w:r>
          </w:p>
        </w:tc>
        <w:tc>
          <w:tcPr>
            <w:tcW w:w="31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(0.1)</w:t>
            </w:r>
          </w:p>
        </w:tc>
        <w:tc>
          <w:tcPr>
            <w:tcW w:w="8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(0.3)</w:t>
            </w:r>
          </w:p>
        </w:tc>
        <w:tc>
          <w:tcPr>
            <w:tcW w:w="15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0.1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31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$0.7</w:t>
            </w:r>
          </w:p>
        </w:tc>
        <w:tc>
          <w:tcPr>
            <w:tcW w:w="8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w:t>
            </w:r>
          </w:p>
        </w:tc>
        <w:tc>
          <w:tcPr>
            <w:tcW w:w="15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$1.8</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NOTE 12. INCOME TAX EXPENSE</w:t>
            </w:r>
          </w:p>
        </w:tc>
        <w:tc>
          <w:tcPr>
            <w:tcW w:w="3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120" w:type="dxa"/>
            <w:vAlign w:val="bottom"/>
          </w:tcPr>
          <w:p>
            <w:pPr>
              <w:spacing w:after="0"/>
              <w:rPr>
                <w:sz w:val="24"/>
                <w:szCs w:val="24"/>
                <w:color w:val="auto"/>
              </w:rPr>
            </w:pPr>
          </w:p>
        </w:tc>
        <w:tc>
          <w:tcPr>
            <w:tcW w:w="42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120" w:type="dxa"/>
            <w:vAlign w:val="bottom"/>
          </w:tcPr>
          <w:p>
            <w:pPr>
              <w:spacing w:after="0"/>
              <w:rPr>
                <w:sz w:val="23"/>
                <w:szCs w:val="23"/>
                <w:color w:val="auto"/>
              </w:rPr>
            </w:pPr>
          </w:p>
        </w:tc>
        <w:tc>
          <w:tcPr>
            <w:tcW w:w="3340" w:type="dxa"/>
            <w:vAlign w:val="bottom"/>
          </w:tcPr>
          <w:p>
            <w:pPr>
              <w:ind w:left="2660"/>
              <w:spacing w:after="0"/>
              <w:rPr>
                <w:sz w:val="20"/>
                <w:szCs w:val="20"/>
                <w:color w:val="auto"/>
              </w:rPr>
            </w:pPr>
            <w:r>
              <w:rPr>
                <w:rFonts w:ascii="Arial" w:cs="Arial" w:eastAsia="Arial" w:hAnsi="Arial"/>
                <w:sz w:val="18"/>
                <w:szCs w:val="18"/>
                <w:b w:val="1"/>
                <w:bCs w:val="1"/>
                <w:color w:val="auto"/>
                <w:w w:val="91"/>
              </w:rPr>
              <w:t>June 30,</w:t>
            </w:r>
          </w:p>
        </w:tc>
        <w:tc>
          <w:tcPr>
            <w:tcW w:w="9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5120" w:type="dxa"/>
            <w:vAlign w:val="bottom"/>
          </w:tcPr>
          <w:p>
            <w:pPr>
              <w:spacing w:after="0"/>
              <w:rPr>
                <w:sz w:val="23"/>
                <w:szCs w:val="23"/>
                <w:color w:val="auto"/>
              </w:rPr>
            </w:pPr>
          </w:p>
        </w:tc>
        <w:tc>
          <w:tcPr>
            <w:tcW w:w="3340" w:type="dxa"/>
            <w:vAlign w:val="bottom"/>
          </w:tcPr>
          <w:p>
            <w:pPr>
              <w:ind w:left="222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2014</w:t>
            </w:r>
          </w:p>
        </w:tc>
        <w:tc>
          <w:tcPr>
            <w:tcW w:w="13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1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3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340" w:type="dxa"/>
            <w:vAlign w:val="bottom"/>
            <w:tcBorders>
              <w:bottom w:val="single" w:sz="8" w:color="CCEEFF"/>
            </w:tcBorders>
            <w:shd w:val="clear" w:color="auto" w:fill="CCEEFF"/>
          </w:tcPr>
          <w:p>
            <w:pPr>
              <w:ind w:left="2560"/>
              <w:spacing w:after="0"/>
              <w:rPr>
                <w:sz w:val="20"/>
                <w:szCs w:val="20"/>
                <w:color w:val="auto"/>
              </w:rPr>
            </w:pPr>
            <w:r>
              <w:rPr>
                <w:rFonts w:ascii="Arial" w:cs="Arial" w:eastAsia="Arial" w:hAnsi="Arial"/>
                <w:sz w:val="18"/>
                <w:szCs w:val="18"/>
                <w:color w:val="auto"/>
              </w:rPr>
              <w:t>$0.2</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3340" w:type="dxa"/>
            <w:vAlign w:val="bottom"/>
            <w:tcBorders>
              <w:top w:val="single" w:sz="8" w:color="auto"/>
            </w:tcBorders>
          </w:tcPr>
          <w:p>
            <w:pPr>
              <w:ind w:left="2560"/>
              <w:spacing w:after="0"/>
              <w:rPr>
                <w:sz w:val="20"/>
                <w:szCs w:val="20"/>
                <w:color w:val="auto"/>
              </w:rPr>
            </w:pPr>
            <w:r>
              <w:rPr>
                <w:rFonts w:ascii="Arial" w:cs="Arial" w:eastAsia="Arial" w:hAnsi="Arial"/>
                <w:sz w:val="18"/>
                <w:szCs w:val="18"/>
                <w:color w:val="auto"/>
              </w:rPr>
              <w:t>$0.2</w:t>
            </w: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$0.3</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1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340" w:type="dxa"/>
            <w:vAlign w:val="bottom"/>
          </w:tcPr>
          <w:p>
            <w:pPr>
              <w:ind w:left="2560"/>
              <w:spacing w:after="0"/>
              <w:rPr>
                <w:sz w:val="20"/>
                <w:szCs w:val="20"/>
                <w:color w:val="auto"/>
              </w:rPr>
            </w:pPr>
            <w:r>
              <w:rPr>
                <w:rFonts w:ascii="Arial" w:cs="Arial" w:eastAsia="Arial" w:hAnsi="Arial"/>
                <w:sz w:val="18"/>
                <w:szCs w:val="18"/>
                <w:color w:val="auto"/>
              </w:rPr>
              <w:t>$3.9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$2.9</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$8.7</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51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340" w:type="dxa"/>
            <w:vAlign w:val="bottom"/>
            <w:tcBorders>
              <w:bottom w:val="single" w:sz="8" w:color="CCEEFF"/>
            </w:tcBorders>
            <w:shd w:val="clear" w:color="auto" w:fill="CCEEFF"/>
          </w:tcPr>
          <w:p>
            <w:pPr>
              <w:ind w:left="2560"/>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4.0</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340" w:type="dxa"/>
            <w:vAlign w:val="bottom"/>
          </w:tcPr>
          <w:p>
            <w:pPr>
              <w:jc w:val="right"/>
              <w:ind w:right="41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1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340" w:type="dxa"/>
            <w:vAlign w:val="bottom"/>
            <w:tcBorders>
              <w:bottom w:val="single" w:sz="8" w:color="CCEEFF"/>
            </w:tcBorders>
            <w:shd w:val="clear" w:color="auto" w:fill="CCEEFF"/>
          </w:tcPr>
          <w:p>
            <w:pPr>
              <w:ind w:left="2560"/>
              <w:spacing w:after="0"/>
              <w:rPr>
                <w:sz w:val="20"/>
                <w:szCs w:val="20"/>
                <w:color w:val="auto"/>
              </w:rPr>
            </w:pPr>
            <w:r>
              <w:rPr>
                <w:rFonts w:ascii="Arial" w:cs="Arial" w:eastAsia="Arial" w:hAnsi="Arial"/>
                <w:sz w:val="18"/>
                <w:szCs w:val="18"/>
                <w:color w:val="auto"/>
              </w:rPr>
              <w:t>6.2</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12.3</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37"/>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340" w:type="dxa"/>
            <w:vAlign w:val="bottom"/>
            <w:tcBorders>
              <w:top w:val="single" w:sz="8" w:color="auto"/>
            </w:tcBorders>
          </w:tcPr>
          <w:p>
            <w:pPr>
              <w:ind w:left="2560"/>
              <w:spacing w:after="0"/>
              <w:rPr>
                <w:sz w:val="20"/>
                <w:szCs w:val="20"/>
                <w:color w:val="auto"/>
              </w:rPr>
            </w:pPr>
            <w:r>
              <w:rPr>
                <w:rFonts w:ascii="Arial" w:cs="Arial" w:eastAsia="Arial" w:hAnsi="Arial"/>
                <w:sz w:val="18"/>
                <w:szCs w:val="18"/>
                <w:color w:val="auto"/>
              </w:rPr>
              <w:t>$6.4</w:t>
            </w:r>
          </w:p>
        </w:tc>
        <w:tc>
          <w:tcPr>
            <w:tcW w:w="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$4.9</w:t>
            </w:r>
          </w:p>
        </w:tc>
        <w:tc>
          <w:tcPr>
            <w:tcW w:w="13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$12.6</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349" w:lineRule="auto"/>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For the six months ended June 30, 2015 and 2014, the federal and state current tax expense was minimal due to the utilization of NOL carryforwards from prior periods. The NOL carryforwards resulted from the bonus depreciation provisions of the Tax Increase Prevention Act of 2014 and the American Taxpayer Relief Act of 2012.</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2015, the effective tax rate was 16.8 percent (21.3 percent for the six months ended June 30, 2014). The decrease in the effective tax rate from June 30, 2014, was primarily due to increased production tax credits. The effective rate deviated from the statutory rate of approximately 41 percent primarily due to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20"/>
          </w:cols>
          <w:pgMar w:left="240" w:top="364"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NOTE 12. INCOME TAX EXPENSE (Continued)</w:t>
            </w:r>
          </w:p>
        </w:tc>
        <w:tc>
          <w:tcPr>
            <w:tcW w:w="3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3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34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$75.0</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$64.4</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$26.3</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3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(19.2)</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(0.4)</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Other</w:t>
            </w:r>
          </w:p>
        </w:tc>
        <w:tc>
          <w:tcPr>
            <w:tcW w:w="3440" w:type="dxa"/>
            <w:vAlign w:val="bottom"/>
          </w:tcPr>
          <w:p>
            <w:pPr>
              <w:jc w:val="right"/>
              <w:ind w:right="490"/>
              <w:spacing w:after="0"/>
              <w:rPr>
                <w:sz w:val="20"/>
                <w:szCs w:val="20"/>
                <w:color w:val="auto"/>
              </w:rPr>
            </w:pPr>
            <w:r>
              <w:rPr>
                <w:rFonts w:ascii="Arial" w:cs="Arial" w:eastAsia="Arial" w:hAnsi="Arial"/>
                <w:sz w:val="18"/>
                <w:szCs w:val="18"/>
                <w:color w:val="auto"/>
              </w:rPr>
              <w:t>3.1</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$12.6</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r>
      <w:tr>
        <w:trPr>
          <w:trHeight w:val="20"/>
        </w:trPr>
        <w:tc>
          <w:tcPr>
            <w:tcW w:w="69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2015, we had gross unrecognized tax benefits of $2.0 million ($2.0 million as of December 31, 2014).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$0.3 million represents the amount of unrecognized tax benefits included in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examination for years before 2011, or state examination for years before 2010.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for the quarters ended June 30, 2015 and 2014,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16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Unrealized Gains and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Defined Benefit</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Gains and Losses</w:t>
            </w:r>
          </w:p>
        </w:tc>
        <w:tc>
          <w:tcPr>
            <w:tcW w:w="98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16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Losses on Available-for-</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Pension, Other</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on Cash Flow</w:t>
            </w:r>
          </w:p>
        </w:tc>
        <w:tc>
          <w:tcPr>
            <w:tcW w:w="98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2160" w:type="dxa"/>
            <w:vAlign w:val="bottom"/>
          </w:tcPr>
          <w:p>
            <w:pPr>
              <w:jc w:val="center"/>
              <w:ind w:left="110"/>
              <w:spacing w:after="0"/>
              <w:rPr>
                <w:sz w:val="20"/>
                <w:szCs w:val="20"/>
                <w:color w:val="auto"/>
              </w:rPr>
            </w:pPr>
            <w:r>
              <w:rPr>
                <w:rFonts w:ascii="Arial" w:cs="Arial" w:eastAsia="Arial" w:hAnsi="Arial"/>
                <w:sz w:val="18"/>
                <w:szCs w:val="18"/>
                <w:b w:val="1"/>
                <w:bCs w:val="1"/>
                <w:color w:val="auto"/>
                <w:w w:val="85"/>
              </w:rPr>
              <w:t>sale Securities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Hedge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2015</w:t>
            </w:r>
          </w:p>
        </w:tc>
        <w:tc>
          <w:tcPr>
            <w:tcW w:w="2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93"/>
              </w:rPr>
              <w:t>$(0.2)</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$(20.4)</w:t>
            </w:r>
          </w:p>
        </w:tc>
        <w:tc>
          <w:tcPr>
            <w:tcW w:w="1580" w:type="dxa"/>
            <w:vAlign w:val="bottom"/>
          </w:tcPr>
          <w:p>
            <w:pPr>
              <w:ind w:left="1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$(20.6)</w:t>
            </w:r>
          </w:p>
        </w:tc>
      </w:tr>
      <w:tr>
        <w:trPr>
          <w:trHeight w:val="27"/>
        </w:trPr>
        <w:tc>
          <w:tcPr>
            <w:tcW w:w="4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Loss</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580" w:type="dxa"/>
            <w:vAlign w:val="bottom"/>
          </w:tcPr>
          <w:p>
            <w:pPr>
              <w:ind w:left="1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7"/>
        </w:trPr>
        <w:tc>
          <w:tcPr>
            <w:tcW w:w="4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Other Comprehensive Income</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37"/>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2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$(20.0)</w:t>
            </w:r>
          </w:p>
        </w:tc>
        <w:tc>
          <w:tcPr>
            <w:tcW w:w="158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$(20.2)</w:t>
            </w:r>
          </w:p>
        </w:tc>
      </w:tr>
      <w:tr>
        <w:trPr>
          <w:trHeight w:val="27"/>
        </w:trPr>
        <w:tc>
          <w:tcPr>
            <w:tcW w:w="4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92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 2014</w:t>
            </w:r>
          </w:p>
        </w:tc>
        <w:tc>
          <w:tcPr>
            <w:tcW w:w="2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$(16.4)</w:t>
            </w:r>
          </w:p>
        </w:tc>
        <w:tc>
          <w:tcPr>
            <w:tcW w:w="1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ind w:left="1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4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2"/>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2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37"/>
        </w:trPr>
        <w:tc>
          <w:tcPr>
            <w:tcW w:w="49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2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0.2</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58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4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Accumulated Other Comprehensive</w:t>
            </w:r>
          </w:p>
        </w:tc>
        <w:tc>
          <w:tcPr>
            <w:tcW w:w="2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(Loss)</w:t>
            </w:r>
          </w:p>
        </w:tc>
        <w:tc>
          <w:tcPr>
            <w:tcW w:w="2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$(16.1)</w:t>
            </w:r>
          </w:p>
        </w:tc>
        <w:tc>
          <w:tcPr>
            <w:tcW w:w="1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r>
      <w:tr>
        <w:trPr>
          <w:trHeight w:val="20"/>
        </w:trPr>
        <w:tc>
          <w:tcPr>
            <w:tcW w:w="49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RECLASSIFICATIONS OUT OF ACCUMULATED OTHER COMPREHENSIVE INCOME (LOSS)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income (loss) for the quarters ended June 30, 2015 and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470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6720" w:type="dxa"/>
            <w:vAlign w:val="bottom"/>
          </w:tcPr>
          <w:p>
            <w:pPr>
              <w:spacing w:after="0"/>
              <w:rPr>
                <w:sz w:val="23"/>
                <w:szCs w:val="23"/>
                <w:color w:val="auto"/>
              </w:rPr>
            </w:pPr>
          </w:p>
        </w:tc>
        <w:tc>
          <w:tcPr>
            <w:tcW w:w="2880" w:type="dxa"/>
            <w:vAlign w:val="bottom"/>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182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8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18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6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c>
          <w:tcPr>
            <w:tcW w:w="1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88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(0.1)</w:t>
            </w:r>
          </w:p>
        </w:tc>
      </w:tr>
      <w:tr>
        <w:trPr>
          <w:trHeight w:val="27"/>
        </w:trPr>
        <w:tc>
          <w:tcPr>
            <w:tcW w:w="6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r>
      <w:tr>
        <w:trPr>
          <w:trHeight w:val="291"/>
        </w:trPr>
        <w:tc>
          <w:tcPr>
            <w:tcW w:w="672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8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88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$0.1</w:t>
            </w:r>
          </w:p>
        </w:tc>
      </w:tr>
      <w:tr>
        <w:trPr>
          <w:trHeight w:val="27"/>
        </w:trPr>
        <w:tc>
          <w:tcPr>
            <w:tcW w:w="6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8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(0.7)</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(0.6)</w:t>
            </w:r>
          </w:p>
        </w:tc>
        <w:tc>
          <w:tcPr>
            <w:tcW w:w="18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(0.5)</w:t>
            </w:r>
          </w:p>
        </w:tc>
      </w:tr>
      <w:tr>
        <w:trPr>
          <w:trHeight w:val="27"/>
        </w:trPr>
        <w:tc>
          <w:tcPr>
            <w:tcW w:w="6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0.2</w:t>
            </w:r>
          </w:p>
        </w:tc>
        <w:tc>
          <w:tcPr>
            <w:tcW w:w="1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of Income Taxes</w:t>
            </w:r>
          </w:p>
        </w:tc>
        <w:tc>
          <w:tcPr>
            <w:tcW w:w="288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$(0.4)</w:t>
            </w:r>
          </w:p>
        </w:tc>
        <w:tc>
          <w:tcPr>
            <w:tcW w:w="18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$(0.3)</w:t>
            </w:r>
          </w:p>
        </w:tc>
      </w:tr>
      <w:tr>
        <w:trPr>
          <w:trHeight w:val="27"/>
        </w:trPr>
        <w:tc>
          <w:tcPr>
            <w:tcW w:w="6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8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$(0.4)</w:t>
            </w:r>
          </w:p>
        </w:tc>
        <w:tc>
          <w:tcPr>
            <w:tcW w:w="182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$(0.2)</w:t>
            </w:r>
          </w:p>
        </w:tc>
      </w:tr>
      <w:tr>
        <w:trPr>
          <w:trHeight w:val="20"/>
        </w:trPr>
        <w:tc>
          <w:tcPr>
            <w:tcW w:w="672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our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our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15. Pension and Other Postretirement Benefit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for the six months ended June 30, 2015 and 2014,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 and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Defined Benefit</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Gains and Losses</w:t>
            </w:r>
          </w:p>
        </w:tc>
        <w:tc>
          <w:tcPr>
            <w:tcW w:w="9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Pension, Other</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on Cash Flow</w:t>
            </w:r>
          </w:p>
        </w:tc>
        <w:tc>
          <w:tcPr>
            <w:tcW w:w="98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5"/>
              </w:rPr>
              <w:t>sale Securities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Hedge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2015</w:t>
            </w:r>
          </w:p>
        </w:tc>
        <w:tc>
          <w:tcPr>
            <w:tcW w:w="19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$(20.7)</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$(21.1)</w:t>
            </w:r>
          </w:p>
        </w:tc>
      </w:tr>
      <w:tr>
        <w:trPr>
          <w:trHeight w:val="27"/>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w w:val="99"/>
              </w:rPr>
              <w:t>Amounts Reclassified From Accumulated Other Comprehensive</w:t>
            </w: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Income (Loss)</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5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Other Comprehensive Income</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37"/>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1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$(20.0)</w:t>
            </w:r>
          </w:p>
        </w:tc>
        <w:tc>
          <w:tcPr>
            <w:tcW w:w="1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$(20.2)</w:t>
            </w:r>
          </w:p>
        </w:tc>
      </w:tr>
      <w:tr>
        <w:trPr>
          <w:trHeight w:val="27"/>
        </w:trPr>
        <w:tc>
          <w:tcPr>
            <w:tcW w:w="5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51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2014</w:t>
            </w:r>
          </w:p>
        </w:tc>
        <w:tc>
          <w:tcPr>
            <w:tcW w:w="1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$(16.7)</w:t>
            </w:r>
          </w:p>
        </w:tc>
        <w:tc>
          <w:tcPr>
            <w:tcW w:w="1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Amounts Reclassified From Accumulated Other Comprehensive Loss</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37"/>
        </w:trPr>
        <w:tc>
          <w:tcPr>
            <w:tcW w:w="5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1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0.2</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5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Accumulated Other Comprehensive</w:t>
            </w: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(Loss)</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$(16.1)</w:t>
            </w:r>
          </w:p>
        </w:tc>
        <w:tc>
          <w:tcPr>
            <w:tcW w:w="1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r>
      <w:tr>
        <w:trPr>
          <w:trHeight w:val="20"/>
        </w:trPr>
        <w:tc>
          <w:tcPr>
            <w:tcW w:w="51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RECLASSIFICATIONS OUT OF ACCUMULATED OTHER COMPREHENSIVE INCOME (LOSS)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income (loss) for the six months ended June 30, 2015 and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4700" w:type="dxa"/>
            <w:vAlign w:val="bottom"/>
            <w:gridSpan w:val="2"/>
          </w:tcPr>
          <w:p>
            <w:pPr>
              <w:ind w:left="212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720" w:type="dxa"/>
            <w:vAlign w:val="bottom"/>
          </w:tcPr>
          <w:p>
            <w:pPr>
              <w:spacing w:after="0"/>
              <w:rPr>
                <w:sz w:val="23"/>
                <w:szCs w:val="23"/>
                <w:color w:val="auto"/>
              </w:rPr>
            </w:pPr>
          </w:p>
        </w:tc>
        <w:tc>
          <w:tcPr>
            <w:tcW w:w="2880" w:type="dxa"/>
            <w:vAlign w:val="bottom"/>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182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8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18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6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c>
          <w:tcPr>
            <w:tcW w:w="1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8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(0.1)</w:t>
            </w:r>
          </w:p>
        </w:tc>
      </w:tr>
      <w:tr>
        <w:trPr>
          <w:trHeight w:val="27"/>
        </w:trPr>
        <w:tc>
          <w:tcPr>
            <w:tcW w:w="6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$0.1</w:t>
            </w:r>
          </w:p>
        </w:tc>
        <w:tc>
          <w:tcPr>
            <w:tcW w:w="1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r>
      <w:tr>
        <w:trPr>
          <w:trHeight w:val="291"/>
        </w:trPr>
        <w:tc>
          <w:tcPr>
            <w:tcW w:w="672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8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880" w:type="dxa"/>
            <w:vAlign w:val="bottom"/>
          </w:tcPr>
          <w:p>
            <w:pPr>
              <w:ind w:left="2120"/>
              <w:spacing w:after="0"/>
              <w:rPr>
                <w:sz w:val="20"/>
                <w:szCs w:val="20"/>
                <w:color w:val="auto"/>
              </w:rPr>
            </w:pPr>
            <w:r>
              <w:rPr>
                <w:rFonts w:ascii="Arial" w:cs="Arial" w:eastAsia="Arial" w:hAnsi="Arial"/>
                <w:sz w:val="18"/>
                <w:szCs w:val="18"/>
                <w:color w:val="auto"/>
              </w:rPr>
              <w:t>$0.2</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$0.2</w:t>
            </w:r>
          </w:p>
        </w:tc>
      </w:tr>
      <w:tr>
        <w:trPr>
          <w:trHeight w:val="27"/>
        </w:trPr>
        <w:tc>
          <w:tcPr>
            <w:tcW w:w="6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w:t>
            </w:r>
          </w:p>
        </w:tc>
        <w:tc>
          <w:tcPr>
            <w:tcW w:w="18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w:t>
            </w:r>
          </w:p>
        </w:tc>
      </w:tr>
      <w:tr>
        <w:trPr>
          <w:trHeight w:val="27"/>
        </w:trPr>
        <w:tc>
          <w:tcPr>
            <w:tcW w:w="6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0.4</w:t>
            </w:r>
          </w:p>
        </w:tc>
        <w:tc>
          <w:tcPr>
            <w:tcW w:w="1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of Income Taxes</w:t>
            </w:r>
          </w:p>
        </w:tc>
        <w:tc>
          <w:tcPr>
            <w:tcW w:w="288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$(0.7)</w:t>
            </w:r>
          </w:p>
        </w:tc>
        <w:tc>
          <w:tcPr>
            <w:tcW w:w="18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$(0.6)</w:t>
            </w:r>
          </w:p>
        </w:tc>
      </w:tr>
      <w:tr>
        <w:trPr>
          <w:trHeight w:val="27"/>
        </w:trPr>
        <w:tc>
          <w:tcPr>
            <w:tcW w:w="6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8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$(0.6)</w:t>
            </w:r>
          </w:p>
        </w:tc>
        <w:tc>
          <w:tcPr>
            <w:tcW w:w="182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$(0.5)</w:t>
            </w:r>
          </w:p>
        </w:tc>
      </w:tr>
      <w:tr>
        <w:trPr>
          <w:trHeight w:val="20"/>
        </w:trPr>
        <w:tc>
          <w:tcPr>
            <w:tcW w:w="672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our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our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15. Pension and Other Postretirement Benefit Plans.)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 AND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(described below). For the six months ended June 30, 2015 and 2014, no options to purchase shares of common stock were excluded from the computation of diluted earnings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$22.5</w:t>
            </w:r>
          </w:p>
        </w:tc>
        <w:tc>
          <w:tcPr>
            <w:tcW w:w="1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$16.8</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48.6</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42.1</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$0.46</w:t>
            </w:r>
          </w:p>
        </w:tc>
        <w:tc>
          <w:tcPr>
            <w:tcW w:w="1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$0.40</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$62.4</w:t>
            </w:r>
          </w:p>
        </w:tc>
        <w:tc>
          <w:tcPr>
            <w:tcW w:w="1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$50.3</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47.7</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41.7</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$1.31</w:t>
            </w:r>
          </w:p>
        </w:tc>
        <w:tc>
          <w:tcPr>
            <w:tcW w:w="1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$1.21</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14. EARNINGS PER SHARE AND COMMON STOCK (Continued)</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Forward Sale Agreement and Issuance of Common Stock</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February 2014, ALLETE entered into a confirmation of forward sale agreement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 forward counterparty in connection with a public offering of 2.8 million shares of ALLETE common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forward counterparty (or its affiliate) borrowed 2.8 million shares of ALLETE common stock from third parties and sold them to the underwriters. The forward sale price was $48.01 per share, subject to adjustment as provided in the Agreement. In September 2014, ALLETE physically settled a portion of its obligations under the Agreement by delivering approximately 1.4 million shares of common stock in exchange for cash proceeds of $65.0 million and on February 4, 2015, ALLETE physically settled the remaining portion of its obligation under the Agreement by delivering approximately 1.4 million shares of common stock in exchange for cash proceeds of $65.4 million.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in March 2014, the Company issued and sold the option shares to the underwriters at a price to ALLETE equal to the initial forward sale price for proceeds of $20.2 million.</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No contributions were made to the pension plan for the six months ended June 30, 2015. For the six months ended June 30, 2014,</w:t>
      </w:r>
      <w:r>
        <w:rPr>
          <w:rFonts w:ascii="Arial" w:cs="Arial" w:eastAsia="Arial" w:hAnsi="Arial"/>
          <w:sz w:val="18"/>
          <w:szCs w:val="18"/>
          <w:b w:val="1"/>
          <w:bCs w:val="1"/>
          <w:color w:val="auto"/>
        </w:rPr>
        <w:t xml:space="preserve"> </w:t>
      </w:r>
      <w:r>
        <w:rPr>
          <w:rFonts w:ascii="Arial" w:cs="Arial" w:eastAsia="Arial" w:hAnsi="Arial"/>
          <w:sz w:val="18"/>
          <w:szCs w:val="18"/>
          <w:color w:val="auto"/>
        </w:rPr>
        <w:t>ALLETE contributed 0.4 million shares of ALLETE common stock to its pension plan. These shares of ALLETE common stock were contributed in reliance upon an exemption available pursuant to Section 4(a)(2) of the Securities Act of 1933, as amended, and had an aggregate value of $19.5 million when contributed.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 (Income)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2014</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$2.5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(9.5)</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4.5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64"/>
        </w:trPr>
        <w:tc>
          <w:tcPr>
            <w:tcW w:w="668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$5.0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14.9</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14.9</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(20.3)</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(5.5)</w:t>
            </w: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9.0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$8.7</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$7.2</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6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2015, no contributions were made to our defined benefit pension plan ($19.5 million for the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2014); we do not expect to make any contributions to our defined benefit pension plan in 2015. For the six months ended June 30, 2015 and 2014, we made no contributions to our other postretirement benefit plan; we do not expect to make any contributions to our other postretirement benefit plan in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16.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Agreement,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June 30, 2015, Square Butte had total debt outstanding of $389.4 million. Annual debt service for Square Butte is expected to be approximately $45 million in each of the next five years, 2015 through 2019,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six months ended June 30, 2015, was $39.5 million ($29.8 million for the six months ended June 30, 2014). This reflects Minnesota Power’s pro rata share of total Square Butte costs based on the 50 percent output entitlement. Included in this amount was Minnesota Power’s pro rata share of interest expense of $2.5 million during the six months ended June 30, 2015 ($5.2 million for the six months ended June 30, 2014).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which commenced in</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2014. Under the power sales agreement, Minnesota Power is selling a portion of its output from Square Butte to Minnkota Power, resulting in Minnkota Power’s net entitlement increasing and Minnesota Power’s net entitlement decreasing until Minnesota Power’s share is eliminated at the end of 2025. In 2015, Minnesota Power’s portion of output sold to Minnkota Power is approximately 28 percent (23 percent in 2014).</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from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Minnesota Power entered into two long-term wind PPAs with an affiliate of NextEra Energy, Inc. to purchase the output from</w:t>
      </w:r>
      <w:r>
        <w:rPr>
          <w:rFonts w:ascii="Arial" w:cs="Arial" w:eastAsia="Arial" w:hAnsi="Arial"/>
          <w:sz w:val="18"/>
          <w:szCs w:val="18"/>
          <w:i w:val="1"/>
          <w:iCs w:val="1"/>
          <w:color w:val="auto"/>
        </w:rPr>
        <w:t xml:space="preserve"> </w:t>
      </w:r>
      <w:r>
        <w:rPr>
          <w:rFonts w:ascii="Arial" w:cs="Arial" w:eastAsia="Arial" w:hAnsi="Arial"/>
          <w:sz w:val="18"/>
          <w:szCs w:val="18"/>
          <w:color w:val="auto"/>
        </w:rPr>
        <w:t>Oliver Wind I (50 MW) and Oliver Wind II (48 MW) wind energy facilities located near Center, North Dakota that expire in 2031 and 2032, respectively. Each agreement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Construction of Manitoba Hydro’s hydroelectric generation facility commenced in the third quarter of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2014, Minnesota Power and Manitoba Hydro signed a long-term PPA that provides for Minnesota Power to purchase up to 133 MW of energy from Manitoba Hydro for 20 years beginning in 2020. The pricing under this PPA is based on forward market prices. The agreement was approved by the MPUC in an order dated January 30, 2015, and is subject to the construction of the GNTL. (See Great Northern Transmission Line.)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River Energy PPAs. </w:t>
      </w:r>
      <w:r>
        <w:rPr>
          <w:rFonts w:ascii="Arial" w:cs="Arial" w:eastAsia="Arial" w:hAnsi="Arial"/>
          <w:sz w:val="18"/>
          <w:szCs w:val="18"/>
          <w:color w:val="auto"/>
        </w:rPr>
        <w:t>In August 2014 and January 2015, Minnesota Power and Great River Energy signed long-term PPAs that provide for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Power to purchase 50 MW of capacity and energy under the first PPA and 50 MW of capacity only under the second PPA. The PPAs commence in June 2016 and expire in May 2020. Both contracts have fixed capacity pricing. The energy price in the first PPA is based on a formula that includes an annual fixed price component adjusted for changes in a natural gas index, as well as market prices.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providing for the purchase of a significant portion of our coal requirements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2016 and a portion of our coal requirements through December 2019. We also have coal transportation agreements in place for the delivery of a significant portion of our coal requirements with expiration dates through December 2018. Our minimum annual payment obligation under these supply and transportation agreements is $29.2 million for the remainder of 2015, $37.4 million in 2016, $27.6 million in 2017, $28.3 million in 2018, and $1.8 million in 2019. The delivered costs of fuel for Minnesota Power’s generation are recoverable from Minnesota Power’s utility customers through the fuel adjustment clause.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2022. The aggregate amount of minimum lease payments for all operating leases is $15.0 million in 2015, $12.9 million in 2016, $11.8 million in 2017, $10.4 million in 2018, $9.3 million in 2019 and $29.1 million thereafter.</w:t>
      </w:r>
    </w:p>
    <w:p>
      <w:pPr>
        <w:spacing w:after="0" w:line="18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Transmission. </w:t>
      </w:r>
      <w:r>
        <w:rPr>
          <w:rFonts w:ascii="Arial" w:cs="Arial" w:eastAsia="Arial" w:hAnsi="Arial"/>
          <w:sz w:val="16"/>
          <w:szCs w:val="16"/>
          <w:color w:val="auto"/>
        </w:rPr>
        <w:t>We continue to make investments in transmission opportunities that strengthen or enhance the transmission grid or take advantage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Transmission Investments. </w:t>
      </w:r>
      <w:r>
        <w:rPr>
          <w:rFonts w:ascii="Arial" w:cs="Arial" w:eastAsia="Arial" w:hAnsi="Arial"/>
          <w:sz w:val="17"/>
          <w:szCs w:val="17"/>
          <w:color w:val="auto"/>
        </w:rPr>
        <w:t>Minnesota Power has an approved cost recovery rider in place for certain transmission investments and expenditures. In an order</w:t>
      </w:r>
      <w:r>
        <w:rPr>
          <w:rFonts w:ascii="Arial" w:cs="Arial" w:eastAsia="Arial" w:hAnsi="Arial"/>
          <w:sz w:val="17"/>
          <w:szCs w:val="17"/>
          <w:i w:val="1"/>
          <w:iCs w:val="1"/>
          <w:color w:val="auto"/>
        </w:rPr>
        <w:t xml:space="preserve"> </w:t>
      </w:r>
      <w:r>
        <w:rPr>
          <w:rFonts w:ascii="Arial" w:cs="Arial" w:eastAsia="Arial" w:hAnsi="Arial"/>
          <w:sz w:val="17"/>
          <w:szCs w:val="17"/>
          <w:color w:val="auto"/>
        </w:rPr>
        <w:t>dated February 23, 2015, the MPUC approved Minnesota Power’s updated billing factor which allows Minnesota Power to charge retail customers on a current basis for the costs of constructing certain transmission facilities plus a return on the capital invested. On May 22, 2015, we filed a transmission factor filing which includes updated costs associated with certain transmission facilities. Upon approval of the filing, we will be authorized to include updated billing rates on customer bills. As a result of the MPUC approval of the Certificate of Need for the GNTL on June 30, 2015, the project is eligible for cost recovery under our existing transmission cost recovery rider. We anticipate including our portion of the investments and expenditures for the GNTL as part of future transmission factor filings to include updated billing rates on customer bills.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On April 2, 2015, the CapX2020 transmission line project from Fargo, North Dakota to St. Cloud, Minnesota was completed and placed into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previously participated in two additional CapX2020 projects which were completed and placed into service in 2011 and 2012.</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invested approximately $100 million to complete the three transmission line projects. As future CapX2020 projects are identified, Minnesota Power may elect to participate on a project-by-project basis.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GNTL is subject to various federal and state regulatory approvals. In October 2013, a Certificate of Need application was filed with the MPUC which was approved in an order dated June 30, 2015. Based on this order, our portion of the investments and expenditures for the project are eligible for cost recovery under our existing transmission cost recovery rider and are anticipated to be included in future transmission factor filings. In April 2014, Minnesota Power filed a route permit application with the MPUC and a request for a presidential permit to cross the U.S.-Canadian border with the U.S. Department of Energy. In a July 2014 order, the MPUC determined the route permit application to be complete. On June 19, 2015, the Minnesota Department of Commerce and the U.S. Department of Energy released the draft EIS for the GNTL. Public hearings on the draft EIS were held in July 2015 and comments are due by August 10, 2015. Hearings on the route permit will be held before an Administrative Law Judge in August 2015 with comments due by September 1, 2015.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the U.S.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and Laskin Unit 2 between the years of 1981 and 2001. Minnesota Power received an additional NOV in April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(Court) in September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to an existing Boswell scrubber. Minnesota Power estimates that if the units are not retired, capital expenditures could range between $20 million and $40 million. We are evaluating our options with regard to Boswell Units 1 and 2 to comply with the Consent Decree and future anticipated environmental regulations. We are required to notify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In April 2014, the U.S. Supreme Court issued an opinion reversing an August 2012 U.S. Court of Appeals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D.C. Circuit decision that had vacated the CSAPR. The EPA filed a motion with the U.S. Court of Appeals for the D.C. Circuit in June 2014, to have the stay of CSAPR lifted and the CSAPR compliance deadlines tolled by three years. In October 2014, the U.S. Court of Appeals for the D.C. Circuit granted the EPA's motion, allowing the first compliance period, Phase I, to begin on January 1, 2015, with Phase II beginning in 2017.</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CSAPR requires a total of 28 states in the eastern half of the United States, including Minnesota, to reduce power plant emissions that contribute to ozone or fine particulate pollution in other states. CSAPR does not require installation of controls; rather it requires that facilities have sufficient allowances to cover their emissions on an annual basis. These allowances are allocated to facilities from each state’s annual budget and can be bought and sold.</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December 2014, the EPA distributed the CSAPR allowances to CSAPR-subject units for the Phase I years (2015 and 2016). Phase II allowances (2017-2020) have not been distributed. Based on our initial accounting of the NO</w:t>
      </w:r>
      <w:r>
        <w:rPr>
          <w:rFonts w:ascii="Arial" w:cs="Arial" w:eastAsia="Arial" w:hAnsi="Arial"/>
          <w:sz w:val="11"/>
          <w:szCs w:val="11"/>
          <w:color w:val="auto"/>
        </w:rPr>
        <w:t>x</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Phase I allowances already issued, and our review of the CSAPR Phase II allowances not yet issued, we currently expect projected generation levels and emission rates will be in compliance in both Phase I and Phase II.</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 xml:space="preserve">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States had the authority to grant sources a one-year extension. The MPCA approved Minnesota Power’s request for an extension of the date of compliance for the Boswell Unit 4 environmental upgrade to April 1, 2016. Compliance at Boswell Unit 4 to address the final MATS rule is expected to result in capital expenditures of approximately $260 million through 2016, of which approximately $184 million was spent through June 30, 2015. Boswell Unit 3 is also subject to the MATS rule; however, the emission reduction investments completed in 2009 at our Boswell Unit 3 generating unit substantially meet the requirements of the MATS rule. Our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which was approved as part of our 2013 Integrated Resource Plan by the MPUC in a November 2013 order, also included the conversion of Laskin Units 1 and 2 to natural gas in 2015 to position the Company for MATS compliance. In January 2014, the MPCA approved Minnesota Power’s application to extend the deadline for Taconite Harbor Unit 3 to comply with MATS to June 1, 2015, in order to align the retirement at Unit 3 with MISO’s resource planning year. Laskin Units 1 and 2 were converted to natural gas in June 2015 and Taconite Harbor Unit 3 was retired in May 2015.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June 29,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The U.S. Supreme Court decision is not expected to have a material impact on Minnesota Power generation due to ongoing emission reduction obligations under the Minnesota Mercury Emissions Reduction Act and the Consent Decree. (See </w:t>
      </w:r>
      <w:r>
        <w:rPr>
          <w:rFonts w:ascii="Arial" w:cs="Arial" w:eastAsia="Arial" w:hAnsi="Arial"/>
          <w:sz w:val="18"/>
          <w:szCs w:val="18"/>
          <w:i w:val="1"/>
          <w:iCs w:val="1"/>
          <w:color w:val="auto"/>
        </w:rPr>
        <w:t>New Source</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Minnesota Mercury Emissions Reduction Act/Rule. </w:t>
      </w:r>
      <w:r>
        <w:rPr>
          <w:rFonts w:ascii="Arial" w:cs="Arial" w:eastAsia="Arial" w:hAnsi="Arial"/>
          <w:sz w:val="17"/>
          <w:szCs w:val="17"/>
          <w:color w:val="auto"/>
        </w:rPr>
        <w:t>In order to comply with the 2006 Minnesota Mercury Emissions Reduction Act, which was incorporated</w:t>
      </w:r>
      <w:r>
        <w:rPr>
          <w:rFonts w:ascii="Arial" w:cs="Arial" w:eastAsia="Arial" w:hAnsi="Arial"/>
          <w:sz w:val="17"/>
          <w:szCs w:val="17"/>
          <w:i w:val="1"/>
          <w:iCs w:val="1"/>
          <w:color w:val="auto"/>
        </w:rPr>
        <w:t xml:space="preserve"> </w:t>
      </w:r>
      <w:r>
        <w:rPr>
          <w:rFonts w:ascii="Arial" w:cs="Arial" w:eastAsia="Arial" w:hAnsi="Arial"/>
          <w:sz w:val="17"/>
          <w:szCs w:val="17"/>
          <w:color w:val="auto"/>
        </w:rPr>
        <w:t>into rules promulgated by the MPCA in September 2014, Minnesota Power must implement a mercury emissions reduction project for Boswell Unit 4 by December 31, 2018. The Boswell Unit 4 environmental upgrade discussed above, which is required to be completed by April 1, 2016 (see Mercury and Air Toxics Standards (MATS) Rule), will fulfill the requirements of the Minnesota Mercury Emissions Reduction Act.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Maximum Achievable Control Technology (Industrial Boiler MACT)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the costs for complying with the final rule are not expected to be 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In November 2014, the EPA proposed a 65 to 70 parts per billion (ppb) NAAQS for ground level ozone. The EPA is proposing to update both the primary ozone standard and the secondary standard. Both standards would be 8-hour standards set within a range of 65 to 70 ppb. The EPA is also seeking comment on levels for the primary standard as low as 60 ppb. The EPA has announced it will accept comments on all aspects of the proposal, including retaining the existing standard. A final rule is expected to be issued in the fourth quarter of 2015. The costs for complying with the final ozone NAAQS cannot be estimated at this time.</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Particulate Matter NAAQS in September 2006. Since then, the EPA has established more stringent 24-hour</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standards; the 24-hour coarse particulate matter standard has remained unchanged. In December 2012, the EPA issued a final rule implementing a more stringent annual PM</w:t>
      </w:r>
      <w:r>
        <w:rPr>
          <w:rFonts w:ascii="Arial" w:cs="Arial" w:eastAsia="Arial" w:hAnsi="Arial"/>
          <w:sz w:val="11"/>
          <w:szCs w:val="11"/>
          <w:color w:val="auto"/>
        </w:rPr>
        <w:t>2.5</w:t>
      </w:r>
      <w:r>
        <w:rPr>
          <w:rFonts w:ascii="Arial" w:cs="Arial" w:eastAsia="Arial" w:hAnsi="Arial"/>
          <w:sz w:val="17"/>
          <w:szCs w:val="17"/>
          <w:color w:val="auto"/>
        </w:rPr>
        <w:t xml:space="preserve"> standard, while retaining the current 24-hour PM</w:t>
      </w:r>
      <w:r>
        <w:rPr>
          <w:rFonts w:ascii="Arial" w:cs="Arial" w:eastAsia="Arial" w:hAnsi="Arial"/>
          <w:sz w:val="11"/>
          <w:szCs w:val="11"/>
          <w:color w:val="auto"/>
        </w:rPr>
        <w:t>2.5</w:t>
      </w:r>
      <w:r>
        <w:rPr>
          <w:rFonts w:ascii="Arial" w:cs="Arial" w:eastAsia="Arial" w:hAnsi="Arial"/>
          <w:sz w:val="17"/>
          <w:szCs w:val="17"/>
          <w:color w:val="auto"/>
        </w:rPr>
        <w:t xml:space="preserve"> standard. To implement the new annual PM</w:t>
      </w:r>
      <w:r>
        <w:rPr>
          <w:rFonts w:ascii="Arial" w:cs="Arial" w:eastAsia="Arial" w:hAnsi="Arial"/>
          <w:sz w:val="11"/>
          <w:szCs w:val="11"/>
          <w:color w:val="auto"/>
        </w:rPr>
        <w:t>2.5</w:t>
      </w:r>
      <w:r>
        <w:rPr>
          <w:rFonts w:ascii="Arial" w:cs="Arial" w:eastAsia="Arial" w:hAnsi="Arial"/>
          <w:sz w:val="17"/>
          <w:szCs w:val="17"/>
          <w:color w:val="auto"/>
        </w:rPr>
        <w:t xml:space="preserve"> standard, the EPA is also revising aspects of relevant monitoring, designation and permitting requirements. New projects and permits must comply with the new standard, which is generally demonstrated by modeling at the facility level.</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final rule, states will be responsible for additional PM2.5 monitoring, which will likely be accomplished by relocating or repurposing existing monitors. The EPA asked states to submit attainment designations by December 2013, based on already available monitoring data, and issued designations of the 2012 revised primary annual fine particulate attainment status in December 2014. The EPA designated the entire state of Minnesota as unclassifiable/attainment; however, Minnesota sources may ultimately be required to reduce their emissions to assist with attainment in neighboring states. Accordingly, the costs for complying with the final Particulate Matter NAAQS cannot be estimated at this time.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NAAQS. </w:t>
      </w:r>
      <w:r>
        <w:rPr>
          <w:rFonts w:ascii="Arial" w:cs="Arial" w:eastAsia="Arial" w:hAnsi="Arial"/>
          <w:sz w:val="17"/>
          <w:szCs w:val="17"/>
          <w:color w:val="auto"/>
        </w:rPr>
        <w:t>During 2010, the EPA finalized one-hour NAAQS for SO</w:t>
      </w:r>
      <w:r>
        <w:rPr>
          <w:rFonts w:ascii="Arial" w:cs="Arial" w:eastAsia="Arial" w:hAnsi="Arial"/>
          <w:sz w:val="11"/>
          <w:szCs w:val="11"/>
          <w:color w:val="auto"/>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NO</w:t>
      </w:r>
      <w:r>
        <w:rPr>
          <w:rFonts w:ascii="Arial" w:cs="Arial" w:eastAsia="Arial" w:hAnsi="Arial"/>
          <w:sz w:val="11"/>
          <w:szCs w:val="11"/>
          <w:color w:val="auto"/>
        </w:rPr>
        <w:t>2</w:t>
      </w:r>
      <w:r>
        <w:rPr>
          <w:rFonts w:ascii="Arial" w:cs="Arial" w:eastAsia="Arial" w:hAnsi="Arial"/>
          <w:sz w:val="17"/>
          <w:szCs w:val="17"/>
          <w:color w:val="auto"/>
        </w:rPr>
        <w:t>. Ambient monitoring data indicates that Minnesota will likely be</w:t>
      </w:r>
      <w:r>
        <w:rPr>
          <w:rFonts w:ascii="Arial" w:cs="Arial" w:eastAsia="Arial" w:hAnsi="Arial"/>
          <w:sz w:val="17"/>
          <w:szCs w:val="17"/>
          <w:i w:val="1"/>
          <w:iCs w:val="1"/>
          <w:color w:val="auto"/>
        </w:rPr>
        <w:t xml:space="preserve"> </w:t>
      </w:r>
      <w:r>
        <w:rPr>
          <w:rFonts w:ascii="Arial" w:cs="Arial" w:eastAsia="Arial" w:hAnsi="Arial"/>
          <w:sz w:val="17"/>
          <w:szCs w:val="17"/>
          <w:color w:val="auto"/>
        </w:rPr>
        <w:t>in compliance with these new standards; however, the one-hour SO</w:t>
      </w:r>
      <w:r>
        <w:rPr>
          <w:rFonts w:ascii="Arial" w:cs="Arial" w:eastAsia="Arial" w:hAnsi="Arial"/>
          <w:sz w:val="11"/>
          <w:szCs w:val="11"/>
          <w:color w:val="auto"/>
        </w:rPr>
        <w:t>2</w:t>
      </w:r>
      <w:r>
        <w:rPr>
          <w:rFonts w:ascii="Arial" w:cs="Arial" w:eastAsia="Arial" w:hAnsi="Arial"/>
          <w:sz w:val="17"/>
          <w:szCs w:val="17"/>
          <w:color w:val="auto"/>
        </w:rPr>
        <w:t xml:space="preserve"> NAAQS also may require the EPA to evaluate modeling data to determine attainment. In April 2012, the MPCA notified Minnesota Power that modeling had been suspended as a result of the EPA’s announcement that the SIP submittals would not require modeling demonstrations for states, such as Minnesota, where ambient monitors indicate compliance with the new standard. The EPA notified states that their infrastructure SIPs for maintaining attainment of the standard were required to be submitted to the EPA for approval by June 2013. However, the State of Minnesota has delayed completing the documents pending EPA guidance to states for preparing the SIP submittal. The MPCA has indicated it will communicate with affected sources once it has more information on how the state will meet the EPA’s SIP requirements. Guidance was expected in 2013 but has been delayed. Currently, compliance with these new NAAQS is expected to be required as early as 2017. The costs for complying with the final standards cannot be estimated at this time.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Class I Air Quality Petitions. </w:t>
      </w:r>
      <w:r>
        <w:rPr>
          <w:rFonts w:ascii="Arial" w:cs="Arial" w:eastAsia="Arial" w:hAnsi="Arial"/>
          <w:sz w:val="18"/>
          <w:szCs w:val="18"/>
          <w:color w:val="auto"/>
        </w:rPr>
        <w:t>In July 2014, the Fond du Lac Band of Lake Superior Chippewa (Fond du Lac Band) announced that it intends to petition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Five other reservations across the U.S. have applied for and received Class I status. A public hearing was held by the Fond du Lac Band in October 2014, and the public comment period on the petition expired in November 2014. After the Fond du Lac Band prepares responses to the comments, it is anticipated to make a formal submittal request to the EPA. The Company has requested additional clarification from the Fond du Lac Band and the MPCA on the final regulatory structure that may arise from a Class I redesignation.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2015, the Bad River Band of Lake Superior Chippewa (Bad River Band) also announced it intends to petition the EPA to redesignate its reservation, which is located approximately 100 miles east of Duluth, Minnesota, from Class II to Class I air quality pursuant to Section 164(c) of the Clean Air Act. Public hearings were held in March 2015, and the public comment period expired in May 2015. After the Bad River Band prepares responses to the comments, it is also anticipated to make a formal submittal request to the EPA.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deadline for the approval, denial, or modification of these requests by the EPA. We are unable to determine the impact of potential Class I status on the Company’s operations at this time.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2014, the EPA announced a proposed rule under Section 111(d) of the Clean Air Act for existing power plants entitled “Carbon Pollution Emission Guidelines for Existing Stationary Sources: Electric Generating Units” (CPP). The EPA is expected to finalize such rules by the summer of 2015. In the CPP, the EPA proposes to set state-specific goals for CO</w:t>
      </w:r>
      <w:r>
        <w:rPr>
          <w:rFonts w:ascii="Arial" w:cs="Arial" w:eastAsia="Arial" w:hAnsi="Arial"/>
          <w:sz w:val="11"/>
          <w:szCs w:val="11"/>
          <w:color w:val="auto"/>
        </w:rPr>
        <w:t>2</w:t>
      </w:r>
      <w:r>
        <w:rPr>
          <w:rFonts w:ascii="Arial" w:cs="Arial" w:eastAsia="Arial" w:hAnsi="Arial"/>
          <w:sz w:val="16"/>
          <w:szCs w:val="16"/>
          <w:color w:val="auto"/>
        </w:rPr>
        <w:t xml:space="preserve"> emissions from the power sector. The EPA maintains such goals are achievable if a state undertakes a combination of measures across its power sector that constitute the EPA’s guideline for a Best System of Emission Reductions (BSER).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proposed that BSER is comprised of four building blocks: 1) improved fossil fuel power plant efficiency, 2) increased reliance on low-emitting power sources by generating more electricity from existing natural gas combined cycle units, 3) building more or preserving existing zero- and low-emitting power sources, including renewable and nuclear energy, and 4) more efficient electricity use by consumers.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 then established state goals, expressed as a carbon intensity target in CO</w:t>
      </w:r>
      <w:r>
        <w:rPr>
          <w:rFonts w:ascii="Arial" w:cs="Arial" w:eastAsia="Arial" w:hAnsi="Arial"/>
          <w:sz w:val="12"/>
          <w:szCs w:val="12"/>
          <w:color w:val="auto"/>
        </w:rPr>
        <w:t>2</w:t>
      </w:r>
      <w:r>
        <w:rPr>
          <w:rFonts w:ascii="Arial" w:cs="Arial" w:eastAsia="Arial" w:hAnsi="Arial"/>
          <w:sz w:val="18"/>
          <w:szCs w:val="18"/>
          <w:color w:val="auto"/>
        </w:rPr>
        <w:t xml:space="preserve"> tons per megawatt hour, by estimating the achievability of the building blocks in each state. Using 2012 emissions data, the EPA derived interim goals for states to be met over the years 2020-2029, as well as a final goal to be met in 2030 and thereafter. Under the CPP, each state would be required to develop a state implementation plan by June 30, 2016. We submitted comments on the CPP to the EPA.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submitted its final draft of the CPP to the White House Office of Management and Budget on July 1, 2015, and the final rule is expected to be released in the third quarter of 2015. Minnesota Power is currently evaluating the CPP as it relates to the State of Minnesota and its potential impact on the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Minnesota has already initiated several measures consistent with those called for under the CAP and CPP. Minnesota Power is implementing its </w:t>
      </w:r>
      <w:r>
        <w:rPr>
          <w:rFonts w:ascii="Arial" w:cs="Arial" w:eastAsia="Arial" w:hAnsi="Arial"/>
          <w:sz w:val="18"/>
          <w:szCs w:val="18"/>
          <w:i w:val="1"/>
          <w:iCs w:val="1"/>
          <w:color w:val="auto"/>
        </w:rPr>
        <w:t xml:space="preserve">EnergyForward </w:t>
      </w:r>
      <w:r>
        <w:rPr>
          <w:rFonts w:ascii="Arial" w:cs="Arial" w:eastAsia="Arial" w:hAnsi="Arial"/>
          <w:sz w:val="18"/>
          <w:szCs w:val="18"/>
          <w:color w:val="auto"/>
        </w:rPr>
        <w:t>strategic plan that provides for significant emission reductions and diversifying its electricity generation mix to include more renewable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energy. (See Note 8. Regulatory Matters.)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In April 2014, a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power purchase agreements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in May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published in the Federal Register in August 2014, with an effective date in October 2014. The Section 316(b) standards will be implemented through NPDES permits issued to the covered facilities with compliance timing dependent on individual NPDES renewal schedules. No NPDES permits have been re-issued containing Section 316(b) requirements since the final rule was published, so at this time we are unable to determine the final cost of compliance; however, our preliminary assessment suggests costs of compliance could be up to approximately $15 million. We would seek recovery of any additional costs through a general rate case.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April 2013, the EPA announced proposed revisions to the federal effluent guidelines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in June 2013, and public comments were due in September 2013. The EPA is expected to issue the final rule by September 30, 2015. Compliance with the final rule, as proposed,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generates coal ash at all five of its coal-fired electric generating facilities. Two facilities store ash in</w:t>
      </w:r>
      <w:r>
        <w:rPr>
          <w:rFonts w:ascii="Arial" w:cs="Arial" w:eastAsia="Arial" w:hAnsi="Arial"/>
          <w:sz w:val="18"/>
          <w:szCs w:val="18"/>
          <w:i w:val="1"/>
          <w:iCs w:val="1"/>
          <w:color w:val="auto"/>
        </w:rPr>
        <w:t xml:space="preserve"> </w:t>
      </w:r>
      <w:r>
        <w:rPr>
          <w:rFonts w:ascii="Arial" w:cs="Arial" w:eastAsia="Arial" w:hAnsi="Arial"/>
          <w:sz w:val="18"/>
          <w:szCs w:val="18"/>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EPA issued the final CCR rule in December 2014 under Subtitle D (non-hazardous) of RCRA which was published in the Federal Register on April 27, 2015. The rule includes additional requirements for new landfill and impoundment construction as well as closure activities related to certain existing impoundments. The final rule also includes provisions that could incentivize early closure of existing impoundments within a three-year window. Costs of compliance, primarily for Boswell and Laskin, could be up to approximately $100 million. The Company continues to work on minimizing costs on behalf of customers through evaluation of beneficial re-use and recycling of CCR and CCR-related waters. We would seek recovery of any additional costs through a general rate case.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 acquired wind energy facilities in 2014 and 2015, which have PPAs in place for their entire output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expire in various years between 2018 and 2032. (See Note 4.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June 30, 2015, U.S. Water Services has $4.5 million outstanding in stand-by letters of credit.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June 30, 2015, BNI Coal had surety bonds outstanding of $49.5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for an additional $0.6 million to provide for BNI Coal’s total reclamation liability, which is currently estimated at $49.3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June 30, 2015,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$10.2 million primarily related to development and maintenance obligations for various projects. The estimated cost of the remaining development work is approximately $5.8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June 30, 2015, we owned 72 percent of the assessable land in the Town Center District (72 percent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2014) and 93 percent of the assessable land in the Palm Coast Park District (93 percent at December 31, 2014). At these ownership levels, our annual assessments related to capital improvement and special assessment bonds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the 2014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“Forward-Looking Statements” located on page 5, “Risk Factors” located in Part I, Item 1A, beginning on page 29 of our 2014 Form 10-K, and in “Item 1A. Risk Factors” in this Form 10-Q on page 62. The risks and uncertainties described in this Form 10-Q and our 2014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 also has 16 non-affiliated municipal customers in Minnesota. SWL&amp;P is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our Energy Infrastructure and Related Services businesses: ALLETE Clean Energy, U.S. Water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BNI Coal. ALLETE Clean Energy is our business aimed at acquiring or developing capital projects that create energy solutions by way of wind, solar, biomass, hydro, natural gas, shale resources, clean coal technology and other emerging energy innovations. U.S. Water Services is our integrated water management company which was acquired on February 10, 2015. BNI Coal is our coal mining operations in North Dakota. Investments and Other also includes ALLETE Properties, our Florida real estate investment, and other business development and corporate expenditures, unallocated interest expense, a small amount of non-rate base generation, approximately 5,000 acres of land in Minnesota, and earnings on cash and investments.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2015,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2015, to the six months ended June 30, 2014.</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income attributable to ALLETE for the six months ended June 30, 2015, was $62.4 million, or $1.30 per diluted share, compared to $50.3 million, or $1.20 per diluted share, for the same period of 2014. Net income for 2015 reflected a $3.9 million after-tax expense, or $0.08 per share, for acquisition costs for U.S. Water Services and ALLETE Clean Energy’s wind energy facilities acquisitions. (See Note 4. Acquisitions.) Net income in 2014 reflected a $2.5 million after-tax expense, or $0.06 per share, reflecting a liability associated with environmental mitigation projects required as part of the EPA NOV Consent Decree settlement. In addition, net income for 2014 reflected a $1.4 million after-tax expense, or $0.03 per share, of acquisition costs for ALLETE Clean Energy’s wind energy facilities acquisitions in January 2014. Net income for 2015 reflected higher net income at Minnesota Power and ALLETE Clean Energy. Earnings per share dilution was $0.19 due to additional shares of common stock outstanding as of June 30, 2015.</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$65.0 million for the six months ended June 30, 2015, compared to net income of $51.4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of 2014. Net income for 2015 reflected higher net income at Minnesota Power primarily due to higher cost recovery rider revenue, production tax credits, power marketing sales as the Minnkota Power sales agreement commenced June 1, 2014, and lower operating and maintenance expenses. These impacts were partially offset by higher depreciation and interest expenses. In addition, during the second quarter of 2015, Minnesota Power recorded a reserve for estimated refunds of $1.1 million after-tax due to the MISO return on equity complaints, of which $0.9 million after-tax was attributable to prior years. (See Note 8. Regulatory Matters.) Our equity earnings in ATC for the six months ended June 30, 2015 reflected a $1.0 million after-tax reduction related to the MISO return on equity complaints, of which $0.6 million after-tax was attributable to prior years. (See Note 9. Investment in ATC.) Net income in 2014 reflected a $2.5 million after-tax expense reflecting a liability associated with environmental mitigation projects required as part of the EPA NOV Consent Decree settlement.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net loss attributable to ALLETE was $2.6 million for the six months ended June 30, 2015, compared to a net loss of $1.1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of 2014. Net income for 2015 reflected a $3.9 million after-tax expense, or $0.08 per share, for acquisition costs for U.S. Water Services and ALLETE Clean Energy’s wind energy facilities acquisitions. Net income at ALLETE Clean Energy increased over 2014 primarily due to operations of the wind energy facilities which were acquired in 2014 and recognition of estimated profit on the development and construction of a wind facility which will be sold to Montana-Dakota Utilities. The net loss for 2015 also included higher interest and income tax expenses. During the six months ended June 30, 2015, we reflected additional income tax expense in our Investments and Other segment of $4.1 million to reflect total tax expense at our estimated annual consolidated effective tax rate of 16.8 percent. The net loss for 2014 reflected a $1.4 million after-tax expense for acquisition costs for ALLETE Clean Energy’s wind energy facilities acquisitions.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COMPARISON OF THE QUARTERS ENDED JUNE 30,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$0.4 million from 2014 primarily due to higher kWh sales and cost recovery rider revenue, mostly offset by lower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 clause recoveries, transmission revenue, and gas sales.</w:t>
      </w:r>
    </w:p>
    <w:p>
      <w:pPr>
        <w:spacing w:after="0" w:line="17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 from Regulated Operations increased $7.6 million due to a 7.3 percent increase in kWh sales. Sales to Other Power Suppliers are sold at market-based prices into the MISO market on a daily basis or through bilateral agreements of various durations, and increased 76.4 percent in 2015 compared to 2014 primarily due to the commencement of the Minnkota Power sales agreement on June 1, 2014. (See Note 16. Commitments, Guarantees and Contingencies.) Sales to our residential, commercial, and municipal customers decreased primarily due to unseasonably cold temperatures in 2014 compared to the same period in 2015. Heating degree days in Duluth, Minnesota were approximately 18 percent lower in the second quarter of 2015 compared to the same period in 2014. Sales to our industrial customers decreased 11.9 percent primarily due to reduced taconite production. Although industrial kWh sales decreased for the second quarter of 2015, demand revenue from our Large Power Customers was comparable to the same period in 2014.</w:t>
      </w:r>
    </w:p>
    <w:p>
      <w:pPr>
        <w:spacing w:after="0" w:line="3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331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333</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1,575</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198</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2,320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1,113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631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482</w:t>
            </w:r>
          </w:p>
        </w:tc>
        <w:tc>
          <w:tcPr>
            <w:tcW w:w="1060" w:type="dxa"/>
            <w:vAlign w:val="bottom"/>
          </w:tcPr>
          <w:p>
            <w:pPr>
              <w:jc w:val="right"/>
              <w:spacing w:after="0"/>
              <w:rPr>
                <w:sz w:val="20"/>
                <w:szCs w:val="20"/>
                <w:color w:val="auto"/>
              </w:rPr>
            </w:pPr>
            <w:r>
              <w:rPr>
                <w:rFonts w:ascii="Arial" w:cs="Arial" w:eastAsia="Arial" w:hAnsi="Arial"/>
                <w:sz w:val="18"/>
                <w:szCs w:val="18"/>
                <w:color w:val="auto"/>
              </w:rPr>
              <w:t>76.4 %</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3,433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23 percent of Regulated Operations operating revenue in 2015 (27 percent in 2014). Revenue from electric sales to paper, pulp and secondary wood product customers accounted for 8 percent of Regulated Operations operating revenue in 2015 (8 percent in 2014). Revenue from electric sales to pipelines and other industrial customers accounted for 8 percent of Regulated Operations operating revenue in 2015 (8 percent in 2014).</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$7.6 million primarily due to the completion of our Bison Wind Energy Center and CapX2020 projects as well as higher capital expenditures related to our Boswell Unit 4 environmental upgrade.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$8.7 million due to lower fuel and purchased power costs attributable to our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Transmission revenue decreased $3.8 million primarily due to a reserve recorded in the second quarter of 2015 due to the MISO return on equity complaints. (See </w:t>
      </w:r>
      <w:r>
        <w:rPr>
          <w:rFonts w:ascii="Arial" w:cs="Arial" w:eastAsia="Arial" w:hAnsi="Arial"/>
          <w:sz w:val="18"/>
          <w:szCs w:val="18"/>
          <w:i w:val="1"/>
          <w:iCs w:val="1"/>
          <w:color w:val="auto"/>
        </w:rPr>
        <w:t>Operating Expenses - Transmission Services</w:t>
      </w:r>
      <w:r>
        <w:rPr>
          <w:rFonts w:ascii="Arial" w:cs="Arial" w:eastAsia="Arial" w:hAnsi="Arial"/>
          <w:sz w:val="18"/>
          <w:szCs w:val="18"/>
          <w:color w:val="auto"/>
        </w:rPr>
        <w:t xml:space="preserve"> and Note 8. Regulatory Matters.)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Gas sales at SWL&amp;P decreased $3.7 million from 2014 as a result of unseasonably cold weather in 2014. (See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$6.2 million, or 3 percent, from 2014.</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decreased $3.5 million, or 4 percent, from 2014 primarily due to lower purchased power prices in 2015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2014. Fuel and purchased power expense related to our retail and municipal customers is recovered through the fuel adjustment clause.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$0.8 million, or 8 percent, from 2014 primarily due to higher MISO–related expenses which were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offset by an estimated refund for MISO transmission expense due to the MISO return on equity complaints.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8. Regulatory Matters.)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20"/>
          </w:cols>
          <w:pgMar w:left="240" w:top="364"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COMPARISON OF THE QUARTERS ENDED JUNE 30,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$3.3 million, or 77 percent, from 2014 due to lower purchased gas at SWL&amp;P.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Operating and Maintenance </w:t>
      </w:r>
      <w:r>
        <w:rPr>
          <w:rFonts w:ascii="Arial" w:cs="Arial" w:eastAsia="Arial" w:hAnsi="Arial"/>
          <w:sz w:val="17"/>
          <w:szCs w:val="17"/>
          <w:color w:val="auto"/>
        </w:rPr>
        <w:t>expense decreased $5.8 million, or 9 percent, from 2014 primarily due to a $4.2 million expense that was recorded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2014 to reflect a liability associated with environmental mitigation projects required as part of an EPA NOV Consent Decree settlement. Also contributing to the decrease in operating and maintenance expense were lower salary and wage expenses.</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$4.1 million, or 14 percent, from 2014 primarily reflecting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$1.5 million, or 14 percent, from 2014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 and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$1.9 million, or 17 percent, from 2014 primarily due to higher average long-term debt balances.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$0.5 million, or 10 percent, from 2014 primarily due to a $0.3 million expense related to the MISO return on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complaints.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$3.2 million, or 56 percent, from 2014 primarily due to increased production tax credits as a result of the additions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Bison Wind Energy Center which was placed in service in December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$62.2 million, or 200 percent, from 2014 primarily due to an increase in revenue from U.S. Water Services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acquired on February 10, 2015. Also contributing to the increase was higher revenue at ALLETE Clean Energy primarily due to the recognition of revenue from the development and construction of a wind facility under the percentage of completion method of accounting for contracts, and the operations of recently acquired wind energy facilities. BNI Coal, which operates under cost-plus fixed fee contracts, also had an increase in revenue as a result of more tons sold and higher expenses in 2015. (See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$57.5 million, or 190 percent, from 2014.</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increased $36.7 million, or 251 percent, from 2014 primarily due to the acquisition of U.S. Water Services and ALLETE Clean Energy’s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recognition of costs to develop and construct a wind facility under the percentage of completion method of accounting for contracts. Also contributing to the increase were higher expenses at BNI Coal which are recovered through cost-plus fixed fee contracts. (See </w:t>
      </w:r>
      <w:r>
        <w:rPr>
          <w:rFonts w:ascii="Arial" w:cs="Arial" w:eastAsia="Arial" w:hAnsi="Arial"/>
          <w:sz w:val="18"/>
          <w:szCs w:val="18"/>
          <w:i w:val="1"/>
          <w:iCs w:val="1"/>
          <w:color w:val="auto"/>
        </w:rPr>
        <w:t>Operating Revenue</w:t>
      </w:r>
      <w:r>
        <w:rPr>
          <w:rFonts w:ascii="Arial" w:cs="Arial" w:eastAsia="Arial" w:hAnsi="Arial"/>
          <w:sz w:val="18"/>
          <w:szCs w:val="18"/>
          <w:color w:val="auto"/>
        </w:rPr>
        <w:t>.) Cost of sales also included $1.0 million of expense relating to fair value adjustments for inventories and sales backlog which resulted from the U.S. Water Services acquisition. Purchase accounting requires inventories and sales backlog at the date of acquisition to be recognized at fair value. The total estimated fair value adjustment to inventories and sales backlog of $4.3 million will be reflected in Cost of Sales over approximately one year from the date of acquisition. (See Note 4. Acquisitions.)</w:t>
      </w:r>
    </w:p>
    <w:p>
      <w:pPr>
        <w:spacing w:after="0" w:line="18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$16.9 million, or 158 percent, from 2014 primarily due to the inclusion of expenses from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$1.6 million of acquisition costs relating to the acquisitions of ALLETE Clean Energy’s wind energy facilities.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$3.3 million, or 77 percent, from 2014 reflecting additional property, plant and equipment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recent acquisitions. Also contributing to the increase was the amortization of intangibles acquired through the U.S. Water Services acquisition.</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$0.6 million, or 86 percent, from 2014 primarily due to higher property taxes at ALLETE Clean Energy</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resulting from the wind energy facilities acquisitions in 2014.</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$0.8 million, or 38 percent, from 2014 primarily due to accretion expense for the U.S Water Services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liability. (See Note. 4 Acquisitions and Note 7. Fair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COMPARISON OF THE QUARTERS ENDED JUNE 30,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increased $4.7 million from 2014 primarily due to higher pretax income and additional income tax expense as GAAP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of quarterly income tax expense at the estimated annual effective tax rate. The estimated annual effective tax rate could differ from what a quarterly effective tax rate would otherwise be on a standalone basis, and this may cause quarter to quarter differences in the timing of income taxes. During the second quarter we reflected additional income tax expense in our Investments and Other segment of $2.5 million to reflect total tax expense at our estimated annual consolidated effective tax rate of 16.8 percent. Of this amount, $1.2 million was related to the first quarter as we increased our estimated annual effective tax rate during the second quarter to 16.8 percent from 13.5 percent as of March 31,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For the quarter ended June 30, 2015, the effective tax rate was 22.3 percent (22.5 percent for the quarter ended June 30, 2014). The effective tax rate deviated from the statutory rate of approximately 41 percent primarily due to production tax credits. (See Note 12. Income Tax Expense.)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$1.0 million from 2014 primarily due to lower fuel adjustment clause recoveries, gas sales, and transmission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mostly offset by higher cost recovery rider revenue and kWh sales.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$18.7 million due to lower fuel and purchased power costs attributable to our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Gas sales at SWL&amp;P decreased $8.5 million from 2014 as a result of unseasonably cold weather during the first half of 2014. (See </w:t>
      </w:r>
      <w:r>
        <w:rPr>
          <w:rFonts w:ascii="Arial" w:cs="Arial" w:eastAsia="Arial" w:hAnsi="Arial"/>
          <w:sz w:val="17"/>
          <w:szCs w:val="17"/>
          <w:i w:val="1"/>
          <w:iCs w:val="1"/>
          <w:color w:val="auto"/>
        </w:rPr>
        <w:t>Cost of Sales.</w:t>
      </w:r>
      <w:r>
        <w:rPr>
          <w:rFonts w:ascii="Arial" w:cs="Arial" w:eastAsia="Arial" w:hAnsi="Arial"/>
          <w:sz w:val="17"/>
          <w:szCs w:val="17"/>
          <w:color w:val="auto"/>
        </w:rPr>
        <w:t>)</w:t>
      </w:r>
    </w:p>
    <w:p>
      <w:pPr>
        <w:spacing w:after="0" w:line="23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Transmission revenue decreased $0.8 million from 2014 primarily due to a reserve recorded in the second quarter of 2015 due to the MISO return on equity complaints. (See </w:t>
      </w:r>
      <w:r>
        <w:rPr>
          <w:rFonts w:ascii="Arial" w:cs="Arial" w:eastAsia="Arial" w:hAnsi="Arial"/>
          <w:sz w:val="18"/>
          <w:szCs w:val="18"/>
          <w:i w:val="1"/>
          <w:iCs w:val="1"/>
          <w:color w:val="auto"/>
        </w:rPr>
        <w:t>Operating Expenses - Transmission Services</w:t>
      </w:r>
      <w:r>
        <w:rPr>
          <w:rFonts w:ascii="Arial" w:cs="Arial" w:eastAsia="Arial" w:hAnsi="Arial"/>
          <w:sz w:val="18"/>
          <w:szCs w:val="18"/>
          <w:color w:val="auto"/>
        </w:rPr>
        <w:t xml:space="preserve"> and Note 8.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$15.7 million primarily due to the completion of our Bison Wind Energy Center and CapX2020 projects as well as higher capital expenditures related to our Boswell Unit 4 environmental upgrade.</w:t>
      </w:r>
    </w:p>
    <w:p>
      <w:pPr>
        <w:spacing w:after="0" w:line="17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 from Regulated Operations increased $9.7 million due to a 7.4 percent increase in kWh sales. Sales to Other Power Suppliers are sold at market-based prices into the MISO market on a daily basis or through bilateral agreements of various durations, and increased 50.6 percent in 2015 compared to 2014 primarily due to the commencement of the Minnkota Power sales agreement on June 1, 2014. (See Note 16. Commitments, Guarantees and Contingencies.) Sales to our residential, commercial, and municipal customers decreased primarily due to unseasonably cold temperatures in 2014 compared to the same period in 2015. Heating degree days in Duluth, Minnesota were approximately 15 percent lower in the first half of 2015 compared to the same period in 2014. Sales to our industrial customers decreased 2.2 percent primarily due to reduced taconite production. Although industrial kWh sales decreased for the six months ended June 30, 2015, demand revenue from our Large Power Customers was comparable to the same period in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COMPARISON OF THE SIX MONTHS ENDED JUNE 30,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647</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715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728</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3,525</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420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440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5,243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5,419</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2,004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1,331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673</w:t>
            </w:r>
          </w:p>
        </w:tc>
        <w:tc>
          <w:tcPr>
            <w:tcW w:w="1060" w:type="dxa"/>
            <w:vAlign w:val="bottom"/>
          </w:tcPr>
          <w:p>
            <w:pPr>
              <w:jc w:val="right"/>
              <w:spacing w:after="0"/>
              <w:rPr>
                <w:sz w:val="20"/>
                <w:szCs w:val="20"/>
                <w:color w:val="auto"/>
              </w:rPr>
            </w:pPr>
            <w:r>
              <w:rPr>
                <w:rFonts w:ascii="Arial" w:cs="Arial" w:eastAsia="Arial" w:hAnsi="Arial"/>
                <w:sz w:val="18"/>
                <w:szCs w:val="18"/>
                <w:color w:val="auto"/>
              </w:rPr>
              <w:t>50.6 %</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7,247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6,750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24 percent of Regulated Operations operating revenue in 2015 (26 percent in 2014). Revenue from electric sales to paper, pulp and secondary wood product customers accounted for 8 percent of Regulated Operations operating revenue in 2015 (8 percent in 2014). Revenue from electric sales to pipelines and other industrial customers accounted for 7 percent of Regulated Operations operating revenue in 2015 (7 percent in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$13.6 million, or 3 percent, from 2014.</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decreased $13.7 million, or 8 percent, from 2014 due to lower purchased power prices in 2015 compared to 2014.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Fuel and purchased power expense related to our retail and municipal customers is recovered through the fuel adjustment clause.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$4.9 million, or 23 percent, from 2014 primarily due to higher MISO–related expenses which were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offset by an estimated refund for MISO transmission expense due to the MISO return on equity complaints.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8. Regulatory Matters.)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$7.5 million, or 58 percent, from 2014 due to lower purchased gas at SWL&amp;P.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Operating and Maintenance </w:t>
      </w:r>
      <w:r>
        <w:rPr>
          <w:rFonts w:ascii="Arial" w:cs="Arial" w:eastAsia="Arial" w:hAnsi="Arial"/>
          <w:sz w:val="17"/>
          <w:szCs w:val="17"/>
          <w:color w:val="auto"/>
        </w:rPr>
        <w:t>expense decreased $7.6 million, or 6 percent, from 2014 primarily due to a $4.2 million expense that was recorded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2014 to reflect a liability associated with environmental mitigation projects required as part of an EPA NOV Consent Decree settlement. Also contributing to the decrease in operating and maintenance expense were lower salary and wage expenses.</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$7.4 million, or 13 percent, from 2014 primarily reflecting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$2.9 million, or 14 percent, from 2014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 and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$3.4 million, or 15 percent, from 2014 primarily due to higher average long-term debt balances.</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Equity Earnings in ATC </w:t>
      </w:r>
      <w:r>
        <w:rPr>
          <w:rFonts w:ascii="Arial" w:cs="Arial" w:eastAsia="Arial" w:hAnsi="Arial"/>
          <w:sz w:val="17"/>
          <w:szCs w:val="17"/>
          <w:color w:val="auto"/>
        </w:rPr>
        <w:t>decreased $1.7 million, or 17 percent, from 2014 primarily due to a $1.7 million expense related to the MISO return on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complaints; of the $1.7 million expense, $1.1 million was attributable to ATC’s change in estimate of a refund liability relating to prior years.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$2.2 million, or 58 percent, from 2014 primarily due to lower AFUDC–Equity.</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$8.3 million, or 51 percent, from 2014 primarily due to increased production tax credits as a result of the completion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Bison Wind Energy Center in December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COMPARISON OF THE SIX MONTHS ENDED JUNE 30, 2015 AND 2014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$87.1 million, or 137 percent, from 2014 primarily due to an increase in revenue from U.S. Water Services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acquired on February 10, 2015. Also contributing to the increase was higher revenue at ALLETE Clean Energy primarily due to the recognition of revenue from the development and construction of a wind facility under the percentage of completion method of accounting for contracts and the operations of the recently acquired wind energy facilities. BNI Coal, which operates under cost-plus fixed fee contracts, also had an increase in revenue as a result of more tons sold and higher expenses in 2015. (See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$80.3 million, or 127 percent, from 2014.</w:t>
      </w:r>
    </w:p>
    <w:p>
      <w:pPr>
        <w:spacing w:after="0" w:line="22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increased $48.6 million, or 165 percent, from 2014 primarily due to the acquisition of U.S. Water Services and ALLETE Clean Energy’s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of costs to develop and construct a wind energy facility under the percentage of completion method of accounting for contracts. Also contributing to the increase was higher expenses at BNI Coal primarily due to increased contractor services and repair expenses, which are recovered through cost-plus fixed fee contracts. (See </w:t>
      </w:r>
      <w:r>
        <w:rPr>
          <w:rFonts w:ascii="Arial" w:cs="Arial" w:eastAsia="Arial" w:hAnsi="Arial"/>
          <w:sz w:val="17"/>
          <w:szCs w:val="17"/>
          <w:i w:val="1"/>
          <w:iCs w:val="1"/>
          <w:color w:val="auto"/>
        </w:rPr>
        <w:t>Operating Revenue</w:t>
      </w:r>
      <w:r>
        <w:rPr>
          <w:rFonts w:ascii="Arial" w:cs="Arial" w:eastAsia="Arial" w:hAnsi="Arial"/>
          <w:sz w:val="17"/>
          <w:szCs w:val="17"/>
          <w:color w:val="auto"/>
        </w:rPr>
        <w:t>.) Cost of sales also included $1.6 million of expense relating to fair value adjustments for inventories and sales backlog which resulted from the U.S. Water Services acquisition. Purchase accounting requires inventories and sales backlog at the date of acquisition to be recognized at fair value. The total estimated fair value adjustment to inventories and sales backlog of $4.3 million will be reflected in Cost of Sales over approximately one year from the date of acquisition. (See Note 4. Acquisitions.)</w:t>
      </w:r>
    </w:p>
    <w:p>
      <w:pPr>
        <w:spacing w:after="0" w:line="178"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Operating and Maintenance </w:t>
      </w:r>
      <w:r>
        <w:rPr>
          <w:rFonts w:ascii="Arial" w:cs="Arial" w:eastAsia="Arial" w:hAnsi="Arial"/>
          <w:sz w:val="16"/>
          <w:szCs w:val="16"/>
          <w:color w:val="auto"/>
        </w:rPr>
        <w:t>expense increased $24.1 million, or 98 percent, from 2014 primarily due to the inclusion of expenses from recent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and $4.8 million of acquisition costs relating to the acquisitions of U.S Water Services and ALLETE Clean Energy’s wind energy facilities.</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$6.8 million, or 88 percent, from 2014 reflecting additional property, plant and equipment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recent acquisitions. Also contributing to the increase was the amortization of intangibles acquired through the U.S. Water Services acquisition.</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$0.8 million, or 47 percent, from 2014 primarily due to higher property taxes at ALLETE Clean Energy</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wind energy facilities acquisitions.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$1.6 million, or 47 percent, from 2014 primarily due to accretion expense for the U.S. Water Services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liability and higher average long-term debt balances. (See Note. 4 Acquisitions and Note 7. Fair Value.)</w:t>
      </w:r>
    </w:p>
    <w:p>
      <w:pPr>
        <w:spacing w:after="0" w:line="170"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increased $7.2 million from 2014 primarily due to higher pretax income and additional income tax expense as GAAP requires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recognition of quarterly income tax expense at the estimated annual effective tax rate. The estimated annual effective tax rate could differ from what a quarterly effective tax rate would otherwise be on a standalone basis, and this may cause quarter to quarter differences in the timing of income taxes. During the six months ended June 30, 2015, we reflected additional income tax expense in our Investments and Other segment of $4.1 million to reflect total tax expense at our estimated annual consolidated effective tax rate of 16.8 percent.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six months ended June 30, 2015, the effective tax rate was 16.8 percent (21.3 percent for the six months ended June 30, 2014). The decrease in the effective tax rate from June 30, 2014, was primarily due to increased production tax credits. The effective rate deviated from the statutory rate of approximately 41 percent primarily due to production tax credits. (See Note 12. Income Tax Expense.)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2014 Form 10-K. As a result of our acquisition of U.S. Water Services on February 10, 2015, the valuation of intangible assets and goodwill are considered critical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we acquire a business, the assets acquired and liabilities assumed are recorded at their respective fair values as of the acquisition date. Determining the fair value of intangible assets acquired as part of a business combination requires us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intangible assets is determined by estimating the future cash flows of each project and discounting the net cash flows back to their present values. The discount rate used is determined at the time of measurement in accordance with accepted valuation standards.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the excess of the purchase price (consideration transferred) over the estimated fair value of net assets of acquired businesses.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GAAP, goodwill is not amortized. The Company assesses whether there has been an impairment of goodwill annually in the third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including projected future cash flows. The results of our annual impairment test are discussed in Note 7. Fair Value in this Form 10-Q. Goodwill was $130.1 million and $2.9 million as of June 30, 2015 and December 31, 2014, respectively.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Intangible assets include customer relationships, patents, non-compete agreements and trademarks and trade names. Intangible assets with</w:t>
      </w:r>
      <w:r>
        <w:rPr>
          <w:rFonts w:ascii="Arial" w:cs="Arial" w:eastAsia="Arial" w:hAnsi="Arial"/>
          <w:sz w:val="17"/>
          <w:szCs w:val="17"/>
          <w:i w:val="1"/>
          <w:iCs w:val="1"/>
          <w:color w:val="auto"/>
        </w:rPr>
        <w:t xml:space="preserve"> </w:t>
      </w:r>
      <w:r>
        <w:rPr>
          <w:rFonts w:ascii="Arial" w:cs="Arial" w:eastAsia="Arial" w:hAnsi="Arial"/>
          <w:sz w:val="17"/>
          <w:szCs w:val="17"/>
          <w:color w:val="auto"/>
        </w:rPr>
        <w:t>definite lives consist of customer relationships, patents, and non-compete agreements, which are amortized on a straight-line or accelerated basis with estimated useful lives ranging from less than 1 year to 23 years. We review definite-lived intangible assets for impairment whenever events or circumstances indicate that the carrying amount of an asset may not be recoverable. Indefinite-lived intangible assets consist of trademarks and trade names, which are tested for impairment annually in the third quarter and whenever an event occurs or circumstances change that would indicate that the carrying amount may be impaired. Impairment is calculated as the excess of the asset’s carrying amount over its fair value. Our impairment reviews are based on an estimated future cash flow approach that requires significant judgment with respect to future revenue and expense growth rates, selection of appropriate discount rate, and other assumptions and estimates. We use estimates that are consistent with our business plans and a market participant view of the assets being evaluated. The results of our annual impairment test are discussed in Note 7. Fair Value in this Form 10-Q. Actual results may differ from our estimates due to a number of risk factors, including those which are discussed in Item 1A, "Risk Factors" in this Form 10-Q. Intangible assets, net of accumulated amortization, were $83.3 million and $1.9 million as of June 30, 2015 and December 31, 2014, respectively.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2014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earnings per share growth of 5 percent per year and providing a dividend payout competitive with our industry.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ALLETE is predominantly a regulated utility through Minnesota Power, SWL&amp;P and an investment in ATC. Minnesota Power believes it is well positioned for the future as it executes on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initiative and serves a potentially growing industrial customer base. Minnesota Power will continue to pursue customer growth opportunities and cost recovery rider approval for environmental, renewable and transmission investments, as well as work with regulators to earn a fair rate of return. We believe that ATC is poised for future growth both organically and through its partnership with Duke Energy.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2015, ALLETE acquired U.S. Water Services, consistent with ALLETE’s stated strategy of investing in energy infrastructure and related services to complement its core regulated utility, balance exposure to business cycles and changing demand, and provide potential long-term earnings growth. ALLETE will now focus its energy infrastructure and related service efforts on ALLETE Clean Energy, U.S. Water Services and BNI Coal. ALLETE Clean Energy has a growing portfolio of wind energy facilities, and U.S. Water Services provides integrated water management to a growing base of industrial and commercial customers. ALLETE’s Energy Infrastructure and Related Services businesses primarily have contracted or recurring revenue.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ALLETE is focused on providing sustainable solutions to our customers, as exemplified by the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and Power of One initiatives at Minnesota Power, renewable energy investments at ALLETE Clean Energy, and investment in U.S. Water Services.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Regulated Operations –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regulators to earn a fair rate of return. We project that Minnesota Power will not earn its allowed rate of return in 2015.</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the PSCW or the NDPSC.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8. Regulatory Matters for discussion of regulatory matters within our Minnesota, FERC, Wisconsin and North Dakota jurisdictions.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industries. Approximately 46 percent of our Regulated Utility kWh sales in the six months ended June 30, 2015 (53 percent in the six months ended June 30, 2014)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(AISI), an association of North American steel producers, reported that U.S. raw steel production operated at approximately 73 percent of capacity during the first six months of 2015 compared to 77 percent in the first six months of 2014. Many steel producers have reduced production this year, citing higher levels of imports and lower prices. Some Minnesota taconite and iron concentrate producers have reduced production in response to declining U.S. taconite demand primarily resulting from the higher level of imports and lower prices.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taconite customers may experience annual variations in production levels due to such factors as economic conditions, short-term demand changes or maintenance outages. We estimate that a one million ton change in our taconite customers’ production would impact our annual earnings per share by approximately $0.03, net of expected power marketing sales at current prices. Changes in wholesale electric prices or customer contractual demand nominations could impact this estimate. Long-term reductions in taconite production or a permanent shut down of a taconite customer may lead us to file a rate case to recover lost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Large Power taconite customers, subject to demand nomination requirements, nominate demand levels for their energy needs each December, March, and August for the following four-month periods. Based on nominations received on July 31, 2015, Minnesota Power’s Large Power taconite customers nominated at approximately 80 percent of full demand levels for September 2015, and approximately 90 percent of full demand levels for October through December 2015. When there are reductions in demand nominations, we will market any available power to Other Power Suppliers in an effort to mitigate any earnings impact. Sales to Other Power Suppliers are dependent upon the availability of generation and are sold at market-based prices into the MISO market on a daily basis or through bilateral agreements in various durations. We can make no assurances that our power marketing efforts would fully offset any reduction in earnings resulting from lower demand nominations from our taconite customers.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USS Corporation</w:t>
      </w:r>
      <w:r>
        <w:rPr>
          <w:rFonts w:ascii="Arial" w:cs="Arial" w:eastAsia="Arial" w:hAnsi="Arial"/>
          <w:sz w:val="17"/>
          <w:szCs w:val="17"/>
          <w:color w:val="auto"/>
        </w:rPr>
        <w:t>. On July 31, 2015, Minnesota Power received near full demand nominations for September through December 2015 from USS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second quarter of 2015, USS Corporation temporarily idled its Minnesota Ore Operations - Keetac plant in Keewatin, MN and a portion of its Minnesota Ore Operations - Minntac plant in Mountain Iron, MN. These actions were due to its current inventory levels and ongoing adjustment of its steel producing operations throughout North America. Global influences in the market, including a higher level of imports, unfairly traded products and reduced steel prices, were cited as having an impact. Both facilities are Large Power Customers of Minnesota Power.</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On May 5, 2015, Magnetation announced that it had reached an agreement with holders of more than 70 percent of its 11.0 percent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notes due in 2018 to restructure its balance sheet and provide liquidity to support long-term operations. To implement this restructuring, Magnetation announced that it had filed voluntary petitions for reorganization under Chapter 11 of the Bankruptcy Code in the United States Bankruptcy Court for the District of Minnesota, citing the significant decrease in global iron ore prices and its existing capital structure.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Magnetation stated that it intends to continue to pay suppliers and vendors in full under normal terms for goods and services provided after the bankruptcy filing date of May 5, 2015. Magnetation stated that it expects its mining and pelletizing operations and customer shipments to continue in the ordinary course throughout the reorganization.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Magnetation is a Large Power Customer of Minnesota Power. On July 24, 2015, Minnesota Power filed a petition with the MPUC for approval of a new Electric Service Agreement (Agreement) for service to both Magnetation’s Plant 2 and Plant 4 facilities, and this Agreement has a term through at least December 31, 2025. This Agreement is subject to both MPUC and bankruptcy court approvals. On July 31, 2015, Minnesota Power received full demand nominations for September through December 2015, indicating full production. Minnesota Power’s pre-petition amounts due from Magnetation are less than $1 million.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29, 2015, Cliffs Natural Resources Inc. (Cliffs) announced the temporary idling of its United Taconite plant in Eveleth,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citing high levels of inventories, lower demand from its customers, and the high rate of imported steel. Cliffs stated that the idling of production at the plant will be initiated as soon as feasible and completed by the end of August; returning to production as soon as demand from customers return. Cliffs also stated that the idling offers a chance to start reworking the plant to produce a fully fluxed taconite pellet. That new product will replace a flux pellet now made at Cliffs’ Empire/Tilden operation in Michigan which is scheduled to shut down at the end of 2016. United Taconite produced approximately 4.9 million tons of taconite in 2014.</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u w:val="single" w:color="auto"/>
          <w:color w:val="auto"/>
        </w:rPr>
        <w:t>Steel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On May 26, 2015, Steel Dynamics announced the decision to idle its Minnesota Operations for an initial 24 month period. Its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include Mesabi Nugget and Mining Resources, both of which are Minnesota Power retail customers. Steel Dynamics cited the significant decline in pig iron pricing as the reasoning behind its decision. Mesabi Nugget and Mining Resources account for a combined 30 MW of load for Minnesota Power.</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On April 21, 2015, the Company amended its formula-based wholesale electric sales agreement with the Nashwauk</w:t>
      </w:r>
      <w:r>
        <w:rPr>
          <w:rFonts w:ascii="Arial" w:cs="Arial" w:eastAsia="Arial" w:hAnsi="Arial"/>
          <w:sz w:val="17"/>
          <w:szCs w:val="17"/>
          <w:i w:val="1"/>
          <w:iCs w:val="1"/>
          <w:color w:val="auto"/>
        </w:rPr>
        <w:t xml:space="preserve"> </w:t>
      </w:r>
      <w:r>
        <w:rPr>
          <w:rFonts w:ascii="Arial" w:cs="Arial" w:eastAsia="Arial" w:hAnsi="Arial"/>
          <w:sz w:val="17"/>
          <w:szCs w:val="17"/>
          <w:color w:val="auto"/>
        </w:rPr>
        <w:t>Public Utilities Commission for all of its electric service requirements, extending the term through June 30, 2028. A new Essar taconite facility is currently under construction in the city of Nashwauk, and the Nashwauk Public Utilities Commission also amended and extended its electric service agreement with Essar. Upon completion, this facility would result in up to approximately 110 MW of additional load for Minnesota Power. Essar announced the completion of project financing in October 2014 and has stated that it expects to achieve full production capability in 2016.</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contract with PolyMet, which is planning to start a new copper-nickel and precious metal (non-ferrous) mining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in northeastern Minnesota. On June 22, 2015, PolyMet announced the preliminary final EIS has been completed and is undergoing review by state and federal agencies prior to publication of the final EIS in the Federal Register and Minnesota Environmental Quality Board Monitor, which is expected in November 2015. Following publication, the final EIS requires an adequacy decision by the Minnesota Department of Natural Resources and Records of Decision by the federal agencies before final action can be taken on the required permits to construct and operate the mining operation, which are expected in 2016. Minnesota Power could supply between 45 MW and 50 MW of load under a ten-year power supply contract that would begin upon start-up of the mining operations.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Enbridge</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has a long-term contract with Enbridge that extends through December 31, 2020. Enbridge owns and operates a crude oil and</w:t>
      </w:r>
      <w:r>
        <w:rPr>
          <w:rFonts w:ascii="Arial" w:cs="Arial" w:eastAsia="Arial" w:hAnsi="Arial"/>
          <w:sz w:val="17"/>
          <w:szCs w:val="17"/>
          <w:i w:val="1"/>
          <w:iCs w:val="1"/>
          <w:color w:val="auto"/>
        </w:rPr>
        <w:t xml:space="preserve"> </w:t>
      </w:r>
      <w:r>
        <w:rPr>
          <w:rFonts w:ascii="Arial" w:cs="Arial" w:eastAsia="Arial" w:hAnsi="Arial"/>
          <w:sz w:val="17"/>
          <w:szCs w:val="17"/>
          <w:color w:val="auto"/>
        </w:rPr>
        <w:t>liquids transportation system in North America including in our service territories. Enbridge is expanding the capacity at two pumping stations located in Minnesota Power’s service territory in Deer River and Floodwood, Minnesota, with the project expected to be completed by the end of 2015. Enbridge also plans to construct a pipeline connecting its Beaver Lodge Station, near Tioga, North Dakota, to an existing terminal in Superior, Wisconsin by 2017. On June 5, 2015, the MPUC granted the certificate of need for the pipeline which will now go through the route permitting process. Upon completion and full operation of these projects, we expect to supply between 20 MW and 30 MW of additional load.</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January 2013, Minnesota Power announced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improving environmental performance. The plan includes completed and planned investments in wind and hydroelectric power, the addition of natural gas as a generation fuel source, and the installation of emissions control technology.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w:t>
      </w:r>
    </w:p>
    <w:p>
      <w:pPr>
        <w:spacing w:after="0" w:line="166" w:lineRule="exact"/>
        <w:rPr>
          <w:sz w:val="20"/>
          <w:szCs w:val="20"/>
          <w:color w:val="auto"/>
        </w:rPr>
      </w:pPr>
    </w:p>
    <w:p>
      <w:pPr>
        <w:ind w:left="660" w:right="2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Our Bison Wind Energy Center added 205 MW of capacity in the fourth quarter of 2014, bringing total capacity to 497 MW.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installation of approximately $260 million in emissions control technology underway at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which was completed in June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Retirement of Taconite Harbor Unit 3, one of three coal-fired units at Taconite Harbor.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July 9, 2015, Minnesota Power announced the next steps in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which will reduce carbon emissions, increase the use of renewable resources and add natural gas to meet customer electric service needs in a balanced, reliable and cost-effective way. Significant additional elements of the plan include:</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idling of the Taconite Harbor Units 1 and 2 in the fall of 2016 and the ceasing of coal-fired operations there in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Adding between 200 MW and 300 MW of cleaner and flexible natural gas generation to Minnesota Power’s portfolio within the next decade.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Building both large and small scale solar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the potential for additional energy efficiency savings.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Integrated Resource Plan. </w:t>
      </w:r>
      <w:r>
        <w:rPr>
          <w:rFonts w:ascii="Arial" w:cs="Arial" w:eastAsia="Arial" w:hAnsi="Arial"/>
          <w:sz w:val="16"/>
          <w:szCs w:val="16"/>
          <w:color w:val="auto"/>
        </w:rPr>
        <w:t>In a November 2013 order, the MPUC approved Minnesota Power’s 2013 Integrated Resource Plan which details elements of our</w:t>
      </w:r>
      <w:r>
        <w:rPr>
          <w:rFonts w:ascii="Arial" w:cs="Arial" w:eastAsia="Arial" w:hAnsi="Arial"/>
          <w:sz w:val="16"/>
          <w:szCs w:val="16"/>
          <w:i w:val="1"/>
          <w:iCs w:val="1"/>
          <w:color w:val="auto"/>
        </w:rPr>
        <w:t xml:space="preserve"> EnergyForward </w:t>
      </w:r>
      <w:r>
        <w:rPr>
          <w:rFonts w:ascii="Arial" w:cs="Arial" w:eastAsia="Arial" w:hAnsi="Arial"/>
          <w:sz w:val="16"/>
          <w:szCs w:val="16"/>
          <w:color w:val="auto"/>
        </w:rPr>
        <w:t>strategic plan, announced in January 2013, and includes an analysis of a variety of existing and future energy resource alternatives and a</w:t>
      </w:r>
      <w:r>
        <w:rPr>
          <w:rFonts w:ascii="Arial" w:cs="Arial" w:eastAsia="Arial" w:hAnsi="Arial"/>
          <w:sz w:val="16"/>
          <w:szCs w:val="16"/>
          <w:i w:val="1"/>
          <w:iCs w:val="1"/>
          <w:color w:val="auto"/>
        </w:rPr>
        <w:t xml:space="preserve"> </w:t>
      </w:r>
      <w:r>
        <w:rPr>
          <w:rFonts w:ascii="Arial" w:cs="Arial" w:eastAsia="Arial" w:hAnsi="Arial"/>
          <w:sz w:val="16"/>
          <w:szCs w:val="16"/>
          <w:color w:val="auto"/>
        </w:rPr>
        <w:t>projection of customer cost impact by class. We are required to submit our 2015 Integrated Resource Plan with the MPUC no later than September 1, 2015.</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Renewable Energy. </w:t>
      </w:r>
      <w:r>
        <w:rPr>
          <w:rFonts w:ascii="Arial" w:cs="Arial" w:eastAsia="Arial" w:hAnsi="Arial"/>
          <w:sz w:val="16"/>
          <w:szCs w:val="16"/>
          <w:color w:val="auto"/>
        </w:rPr>
        <w:t>In February 2007, Minnesota enacted a law requiring 25 percent of electric utilities’ total retail and municipal energy sales in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be from renewable energy sources by 2025. The law also requires electric utilities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2013 Integrated Resource Plan, which was approved by the MPUC in a November 2013 order, included an update on its plans and progress in meeting the Minnesota renewable energy milestones through 2025. (See </w:t>
      </w:r>
      <w:r>
        <w:rPr>
          <w:rFonts w:ascii="Arial" w:cs="Arial" w:eastAsia="Arial" w:hAnsi="Arial"/>
          <w:sz w:val="16"/>
          <w:szCs w:val="16"/>
          <w:i w:val="1"/>
          <w:iCs w:val="1"/>
          <w:color w:val="auto"/>
        </w:rPr>
        <w:t>EnergyForward</w:t>
      </w:r>
      <w:r>
        <w:rPr>
          <w:rFonts w:ascii="Arial" w:cs="Arial" w:eastAsia="Arial" w:hAnsi="Arial"/>
          <w:sz w:val="16"/>
          <w:szCs w:val="16"/>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We exceeded the interim milestone requirements and we expect 28 percent of the Company’s total retail and municipal energy sales will be supplied by renewable energy sources in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In May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industrial customers, to be generated by solar energy by the end of 2020. At least 10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costs are expected to be recovered in customer rates.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u w:val="single" w:color="auto"/>
          <w:color w:val="auto"/>
        </w:rPr>
        <w:t>Wind Energy</w:t>
      </w:r>
      <w:r>
        <w:rPr>
          <w:rFonts w:ascii="Arial" w:cs="Arial" w:eastAsia="Arial" w:hAnsi="Arial"/>
          <w:sz w:val="16"/>
          <w:szCs w:val="16"/>
          <w:i w:val="1"/>
          <w:iCs w:val="1"/>
          <w:color w:val="auto"/>
        </w:rPr>
        <w:t xml:space="preserve">. </w:t>
      </w:r>
      <w:r>
        <w:rPr>
          <w:rFonts w:ascii="Arial" w:cs="Arial" w:eastAsia="Arial" w:hAnsi="Arial"/>
          <w:sz w:val="16"/>
          <w:szCs w:val="16"/>
          <w:color w:val="auto"/>
        </w:rPr>
        <w:t>Our wind energy facilities consist of the 497 MW Bison Wind Energy Center located in North Dakota, which was placed in service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phases between 2010 and 2014, and the 25 MW Taconite Ridge Energy Center located in northeastern Minnesota. We also have two long-term wind PPAs with an affiliate of NextEra Energy, Inc. to purchase the output from Oliver Wind I (50 MW) and Oliver Wind II (48 MW) located in North Dakota.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billing rates for our Bison Wind Energy Center were approved by the MPUC in an order dated May 22, 2015. In November 2014, we filed a renewable resources factor filing which includes updated costs associated with Bison. Upon approval of the filing, we will be authorized to include updated billing rates on customer bills.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Construction of Manitoba Hydro’s hydroelectric generation facility commenced in the third quarter of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2014, Minnesota Power and Manitoba Hydro signed a long-term PPA that provides for Minnesota Power to purchase up to 133 MW of energy from Manitoba Hydro for 20 years beginning in 2020. The pricing under this PPA is based on forward market prices. The agreement was approved by the MPUC in an order dated January 30, 2015, and is subject to the construction of the GNTL.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Hydro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13, 2015, Minnesota Power supplemented its November 2014 renewable resources factor filing to include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restoration and repair of Thomson. In an order dated March 5, 2015, the MPUC approved our petition seeking cost recovery of investments and expenditures related to the restoration and repair of Thomson through a renewable resources rider.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 comply</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Minnesota Mercury Emissions Reduction Act and the Federal MATS rule. In August 2012, Minnesota Power filed its mercury emissions reduction plan for Boswell Unit 4 with the MPUC and the MPCA. Costs to implement the Boswell Unit 4 mercury emissions reduction plan are included in the estimated capital expenditures required for compliance with the MATS rule and are estimated to be approximately $260 million, of which approximately $184 million was spent through June 30, 2015. In a November 2013 order, the MPUC approved the Boswell Unit 4 mercury emissions reduction plan and cost recovery, establishing an environmental improvement rider. Customer billing rates for the environmental improvement rider were approved by the MPUC in a July 2014 order. In November 2014, we filed an updated environmental improvement factor filing which included updated costs associated with Boswell Unit 4. Upon approval of this filing, we will be authorized to include updated billing rates on customer bills.</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Transmission. </w:t>
      </w:r>
      <w:r>
        <w:rPr>
          <w:rFonts w:ascii="Arial" w:cs="Arial" w:eastAsia="Arial" w:hAnsi="Arial"/>
          <w:sz w:val="16"/>
          <w:szCs w:val="16"/>
          <w:color w:val="auto"/>
        </w:rPr>
        <w:t>We continue to make investments in transmission opportunities that strengthen or enhance the transmission grid or take advantage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April 2, 2015, the CapX2020 transmission line project from Fargo, North Dakota to St. Cloud, Minnesota was completed and placed into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previously participated in two additional CapX2020 projects which were completed and placed into service in 2011 and 2012.</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invested approximately $100 million to complete the three transmission line projects. As future CapX2020 projects are identified, Minnesota Power may elect to participate on a project-by-project basis.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GNTL is subject to various federal and state regulatory approvals. In October 2013, a Certificate of Need application was filed with the MPUC which was approved in an order dated June 30, 2015. Based on this order, our portion of the investments and expenditures for the project are eligible for cost recovery under our existing transmission cost recovery rider and are anticipated to be included in future transmission factor filings. In April 2014, Minnesota Power filed a route permit application with the MPUC and a request for a presidential permit to cross the U.S.-Canadian border with the U.S. Department of Energy. In a July 2014 order, the MPUC determined the route permit application to be complete. On June 19, 2015, the Minnesota Department of Commerce and the U.S. Department of Energy released the draft EIS for the GNTL. Public hearings on the draft EIS were held in July 2015 and comments are due by August 10, 2015. Hearings on the route permit will be held before an Administrative Law Judge in August 2015 with comments due by September 1, 2015.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June 30, 2015, our equity investment in ATC was $124.2 million, representing an approximate 8 percent ownership interest. ATC</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based on a FERC approved 12.2 percent return on common equity dedicated to utility plant. ATC’s 10-year transmission assessment, which covers the years 2014 through 2023, identifies a need for between $3.3 billion and $3.9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six months of 2015, we invested $0.8 million in ATC, and on July 30, 2015, we invested an additional $0.4 million. We expect to make additional investments of $0.7 million in 2015. (See Note 9. Investment in ATC.)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equity earnings in ATC for the six months ended June 30, 2015, were $8.6 million and reflected a $1.7 million reduction related to complaints filed with the FERC by several customer groups located within the MISO service area; of which $1.1 million was attributable to ATC’s change in estimate of a refund liability relating to prior years. The groups requested, among other things, a reduction in the base return on equity used by MISO transmission owners, including ATC, to 9.15 percent. ATC's current authorized return on equity is 12.2 percent. On February 12, 2015, an additional complaint was filed with the FERC seeking an order to further reduce the base return on equity used to 8.67 percent. We own approximately 8 percent of ATC and estimate that for every 50 basis point reduction in ATC’s allowed return on equity our equity earnings in ATC would be impacted annually by approximately $0.5 million on an after-tax basis ($0.9 million pre-tax).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 aims to acquire or develop capital projects that create energy solutions by way of wind, solar, biomass, hydro,</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shale resources, clean coal technology and other emerging energy innovations. In January 2014, ALLETE Clean Energy acquired wind energy facilities located in Lake Benton, Minnesota (Lake Benton), Storm Lake, Iowa (Storm Lake II) and Condon, Oregon (Condon) from The AES Corporation (AES) for $26.9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1999, while Condon began operations in 2002. All three wind energy facilities have PPAs in place for their entire output, which expire in various years between 2019 and 2032.</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2014, ALLETE Clean Energy acquired a business for $27.0 million to develop a wind facility near Hettinger, North Dakota. ALLETE Clean Energy is developing and constructing a 107 MW wind facility consisting of 43 turbines, which was approved to be sold to Montana-Dakota Utilities by the NDPSC on June 30, 2015 for approximately $200 million. Construction is expected to be completed in December 2015.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2014, ALLETE Clean Energy acquired a wind energy facility in Storm Lake, Iowa (Storm Lake I) from NRG Energy, Inc. for $15.1 million. Storm Lake I has 108 MW of generating capability and is located adjacent to Storm Lake II. The wind energy facility began commercial operations in 1999 and has a PPA in place for its entire output which expires in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15, 2015, ALLETE Clean Energy acquired wind energy facilities in southern Minnesota (Chanarambie/Viking) from EDF Energy Holdings Limited for $47.9 million, subject to a working capital adjustment. The facilities have 97.5 MW of generating capability and are located near our Lake Benton facility. The wind energy facilities began commercial operations in 2003 and have PPAs in place for their entire output, which expire in 2018 (12 MW) and 2023 (85.5 MW).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ALLETE Clean Energy acquired a wind energy facility located near Troy, Pennsylvania (Armenia Mountain) from The AES Corporation (AES) and a non-controlling interest from a minority shareholder for $108.0 million, plus the assumption of existing debt. The agreement with AES is subject to a purchase price adjustment. The facility has 100.5 MW of generating capability, began commercial operations in 2009, and has PPAs in place for its entire output, which expire in 2025.</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 Water Services. </w:t>
      </w:r>
      <w:r>
        <w:rPr>
          <w:rFonts w:ascii="Arial" w:cs="Arial" w:eastAsia="Arial" w:hAnsi="Arial"/>
          <w:sz w:val="18"/>
          <w:szCs w:val="18"/>
          <w:color w:val="auto"/>
        </w:rPr>
        <w:t>On February 10, 2015, ALLETE acquired U.S. Water Services. Headquartered in St. Michael, Minnesota, U.S. Water Services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water management for industry by combining chemical, equipment, engineering and service for customized solutions to reduce water and energy usage and improve efficiency. U.S. Water Services helps customers achieve efficient and sustainable use of their energy systems, is a leading provider to the biofuels industry, and has a growing presence in the power generation and midstream oil and gas industries. The acquisition is not expected to have a material impact on 2015 earnings per share. (See Note 4. Acquisitions.)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4.4 million tons of coal in 2015 (4.0 million tons were sold in 2014) and has sold 2.1 million tons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(1.8 million tons were sold as of June 30, 2014). BNI Coal operates under cost-plus fixed fee agreements extending through December 31, 2037.</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Florida real estate investment. Market conditions can impact land sales and could result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inability to cover our cost basis, operating expenses or fixed carrying costs such as community development district assessments and property taxes.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for ALLETE Properties has been to complete and maintain key entitlements and infrastructure improvements without requiring significant additional investment, and sell assets in the portfolio over time in order to optimize cash flows in support of future investment opportunities and growth initiatives. Opportunities for growth and investment in our energy infrastructure and related services strategy may impact management’s decisions to divest all or portions of the ALLETE Properties’ asset portfolio; this could impact the timing and pricing of divestitures. ALLETE does not intend to acquire additional Florida real estate.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Summary of Development Projects (100% Owned)</w:t>
            </w:r>
          </w:p>
        </w:tc>
        <w:tc>
          <w:tcPr>
            <w:tcW w:w="268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As of June 30, 2015</w:t>
            </w:r>
          </w:p>
        </w:tc>
        <w:tc>
          <w:tcPr>
            <w:tcW w:w="2680" w:type="dxa"/>
            <w:vAlign w:val="bottom"/>
          </w:tcPr>
          <w:p>
            <w:pPr>
              <w:jc w:val="right"/>
              <w:ind w:right="1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w:t>
            </w:r>
          </w:p>
        </w:tc>
      </w:tr>
      <w:tr>
        <w:trPr>
          <w:trHeight w:val="27"/>
        </w:trPr>
        <w:tc>
          <w:tcPr>
            <w:tcW w:w="56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Development Projects</w:t>
            </w:r>
          </w:p>
        </w:tc>
        <w:tc>
          <w:tcPr>
            <w:tcW w:w="2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60"/>
              <w:spacing w:after="0"/>
              <w:rPr>
                <w:sz w:val="20"/>
                <w:szCs w:val="20"/>
                <w:color w:val="auto"/>
              </w:rPr>
            </w:pPr>
            <w:r>
              <w:rPr>
                <w:rFonts w:ascii="Arial" w:cs="Arial" w:eastAsia="Arial" w:hAnsi="Arial"/>
                <w:sz w:val="18"/>
                <w:szCs w:val="18"/>
                <w:color w:val="auto"/>
              </w:rPr>
              <w:t>Town Center</w:t>
            </w:r>
          </w:p>
        </w:tc>
        <w:tc>
          <w:tcPr>
            <w:tcW w:w="2680" w:type="dxa"/>
            <w:vAlign w:val="bottom"/>
          </w:tcPr>
          <w:p>
            <w:pPr>
              <w:jc w:val="right"/>
              <w:ind w:right="170"/>
              <w:spacing w:after="0"/>
              <w:rPr>
                <w:sz w:val="20"/>
                <w:szCs w:val="20"/>
                <w:color w:val="auto"/>
              </w:rPr>
            </w:pPr>
            <w:r>
              <w:rPr>
                <w:rFonts w:ascii="Arial" w:cs="Arial" w:eastAsia="Arial" w:hAnsi="Arial"/>
                <w:sz w:val="18"/>
                <w:szCs w:val="18"/>
                <w:color w:val="auto"/>
              </w:rPr>
              <w:t>958</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2,359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2,236,700</w:t>
            </w:r>
          </w:p>
        </w:tc>
      </w:tr>
      <w:tr>
        <w:trPr>
          <w:trHeight w:val="27"/>
        </w:trPr>
        <w:tc>
          <w:tcPr>
            <w:tcW w:w="5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Palm Coast Park</w:t>
            </w:r>
          </w:p>
        </w:tc>
        <w:tc>
          <w:tcPr>
            <w:tcW w:w="2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3,777</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3,746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3,096,800</w:t>
            </w:r>
          </w:p>
        </w:tc>
      </w:tr>
      <w:tr>
        <w:trPr>
          <w:trHeight w:val="237"/>
        </w:trPr>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Current Development Projects</w:t>
            </w:r>
          </w:p>
        </w:tc>
        <w:tc>
          <w:tcPr>
            <w:tcW w:w="2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4,735</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6,105</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5,333,500</w:t>
            </w:r>
          </w:p>
        </w:tc>
      </w:tr>
      <w:tr>
        <w:trPr>
          <w:trHeight w:val="27"/>
        </w:trPr>
        <w:tc>
          <w:tcPr>
            <w:tcW w:w="5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84"/>
        </w:trPr>
        <w:tc>
          <w:tcPr>
            <w:tcW w:w="566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Planned Development Project</w:t>
            </w:r>
          </w:p>
        </w:tc>
        <w:tc>
          <w:tcPr>
            <w:tcW w:w="2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Ormond Crossings</w:t>
            </w:r>
          </w:p>
        </w:tc>
        <w:tc>
          <w:tcPr>
            <w:tcW w:w="2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2,883</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2,950</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3,215,000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Lake Swamp Wetland Mitigation Project</w:t>
            </w:r>
          </w:p>
        </w:tc>
        <w:tc>
          <w:tcPr>
            <w:tcW w:w="2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3,050</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(c)</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(c)</w:t>
            </w:r>
          </w:p>
        </w:tc>
      </w:tr>
      <w:tr>
        <w:trPr>
          <w:trHeight w:val="237"/>
        </w:trPr>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of Development Projects</w:t>
            </w:r>
          </w:p>
        </w:tc>
        <w:tc>
          <w:tcPr>
            <w:tcW w:w="2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10,668</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9,055</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8,548,500</w:t>
            </w:r>
          </w:p>
        </w:tc>
      </w:tr>
    </w:tbl>
    <w:p>
      <w:pPr>
        <w:spacing w:after="0" w:line="4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-575310</wp:posOffset>
            </wp:positionV>
            <wp:extent cx="7212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1,661 acres of other land available-for-sale.</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ALLETE’s aggregate federal and multi-state statutory tax rate is approximately 41 percent for 2015. On an ongoing basis, ALLETE has tax</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and other tax adjustments that reduce the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federal production tax credits as a result of wind generation, we expect our effective tax rate to be approximately 17 percent for 2015. We also expect that our effective tax rate will be lower than the statutory rate over the next ten years due to production tax credits attributable to our wind generation. (See Note 12. Income Tax Expense.)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June 30, 2015,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$60.6 million, $369.5 million in available consolidated lines of credit and a debt-to-capital ratio of 44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0"/>
        </w:trPr>
        <w:tc>
          <w:tcPr>
            <w:tcW w:w="5600" w:type="dxa"/>
            <w:vAlign w:val="bottom"/>
          </w:tcPr>
          <w:p>
            <w:pPr>
              <w:spacing w:after="0"/>
              <w:rPr>
                <w:sz w:val="24"/>
                <w:szCs w:val="24"/>
                <w:color w:val="auto"/>
              </w:rPr>
            </w:pPr>
          </w:p>
        </w:tc>
        <w:tc>
          <w:tcPr>
            <w:tcW w:w="2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4"/>
                <w:szCs w:val="24"/>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4"/>
                <w:szCs w:val="24"/>
                <w:color w:val="auto"/>
              </w:rPr>
            </w:pPr>
          </w:p>
        </w:tc>
      </w:tr>
      <w:tr>
        <w:trPr>
          <w:trHeight w:val="234"/>
        </w:trPr>
        <w:tc>
          <w:tcPr>
            <w:tcW w:w="5600" w:type="dxa"/>
            <w:vAlign w:val="bottom"/>
          </w:tcPr>
          <w:p>
            <w:pPr>
              <w:spacing w:after="0"/>
              <w:rPr>
                <w:sz w:val="20"/>
                <w:szCs w:val="20"/>
                <w:color w:val="auto"/>
              </w:rPr>
            </w:pPr>
          </w:p>
        </w:tc>
        <w:tc>
          <w:tcPr>
            <w:tcW w:w="22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6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$1,776.6</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$1,609.4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26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1,390.4</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1,373.5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2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$3,168.8</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$2,988.4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6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9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8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$145.8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182.3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(371.2)</w:t>
            </w:r>
          </w:p>
        </w:tc>
        <w:tc>
          <w:tcPr>
            <w:tcW w:w="104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103.7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r>
      <w:tr>
        <w:trPr>
          <w:trHeight w:val="237"/>
        </w:trPr>
        <w:tc>
          <w:tcPr>
            <w:tcW w:w="8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9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(85.2)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8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$60.6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r>
      <w:tr>
        <w:trPr>
          <w:trHeight w:val="20"/>
        </w:trPr>
        <w:tc>
          <w:tcPr>
            <w:tcW w:w="8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$182.3 million for the six months ended June 30, 2015 ($126.1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Cash from operating activities was higher in 2015 primarily due to higher net income and contract billings in excess of construction costs and estimated earnings related to the wind facility under development by ALLETE Clean Energy for sale to Montana-Dakota Utilities in December 2015. (See Note 4. Acquisitions.)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$371.2 million for the six months ended June 30, 2015 ($323.4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The increase in cash used for investing activities was primarily due to the U.S. Water Services acquisition on February 10, 2015, ALLETE Clean Energy’s April 15, 2015 acquisition, and a transfer of cash included in Other Investments to Cash and Cash Equivalents in 2014, partially offset by lower capital expenditures in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$103.7 million for the six months ended June 30, 2015 ($183.6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The decrease in cash from financing activities was primarily due to higher proceeds from the issuance of long-term debt in 2014, partially offset by higher proceeds from the issuance of common stock in 2015.</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paper. As of June 30, 2015, we had available consolidated bank lines of credit aggregating $369.5 million ($408.4 million available as of December 31, 2014), the majority of which expire in November 2018. In addition, as of June 30, 2015, we had 2.0 million original issue shares of our common stock available for issuance through Invest Direct, our direct stock purchase and dividend reinvestment plan, and 4.0 million original issue shares of common stock available for issuance through a distribution agreement with Lampert Capital Markets, Inc. (See </w:t>
      </w:r>
      <w:r>
        <w:rPr>
          <w:rFonts w:ascii="Arial" w:cs="Arial" w:eastAsia="Arial" w:hAnsi="Arial"/>
          <w:sz w:val="17"/>
          <w:szCs w:val="17"/>
          <w:i w:val="1"/>
          <w:iCs w:val="1"/>
          <w:color w:val="auto"/>
        </w:rPr>
        <w:t>Securities.</w:t>
      </w:r>
      <w:r>
        <w:rPr>
          <w:rFonts w:ascii="Arial" w:cs="Arial" w:eastAsia="Arial" w:hAnsi="Arial"/>
          <w:sz w:val="17"/>
          <w:szCs w:val="17"/>
          <w:color w:val="auto"/>
        </w:rPr>
        <w:t>) The amount and timing of future sales of our securities will depend upon market conditions and our specific needs.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36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Lampert Capital Markets, Inc., in 2008, as amended most recently in February 2015,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and sale of up to an aggregate of 13.6 million shares of our common stock, without par value, of which 4.0 million remain available for issuance. For the six months ended June 30, 2015, 1.3 million shares of common stock were issued under this agreement, resulting in net proceeds of $69.9 million (0.2 million shares were issued for the six months ended June 30, 2014, resulting in net proceeds of $8.2 million). The shares issued in 2015 were offered and sold pursuant to Registration Statement No. 333-190335.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2015, we issued 0.2 million shares of common stock through Invest Direct, the Employee Stock Purchase Plan, and the Retirement Savings and Stock Ownership Plan, resulting in net proceeds of $12.9 million (0.2 million shares were issued for the six months ended June 30, 2014, resulting in net proceeds of $10.5 million). These shares of common stock were registered under Registration Statement Nos. 333-188315, 333-183051 and 333-162890.</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2014, ALLETE entered into a confirmation of forward sale agreement (Agreement) with a forward counterparty in connection with a public offering of 2.8 million shares of ALLETE common stock. Pursuant to the Agreement, the forward counterparty (or its affiliate) borrowed 2.8 million shares of ALLETE common stock from third parties and sold them to the underwriters. The forward sale price was $48.01 per share, subject to adjustment as provided in the Agreement. In September 2014, ALLETE physically settled a portion of its obligations under the Agreement by delivering approximately 1.4 million shares of common stock in exchange for cash proceeds of $65.0 million and on February 4, 2015, ALLETE physically settled the remaining portion of its obligation under the Agreement by delivering approximately 1.4 million shares of common stock in exchange for cash proceeds of $65.4 million.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in March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14, 2015, we agreed to sell $100.0 million of the Company's first mortgage bonds (Bonds) to certain institutional buyers in the private placement market in two series on or about September 24, 2015. The Company intends to use the proceeds from the sale of the Bonds to fund utility capital expenditures and/or for general corporate purposes. (See Note 10. Short-Term and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10.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do not expect to make any contributions to our defined benefit pension plan or our other postretirement benefit plan in 2015. (See Note 15.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2014 Form 10-K, with additional disclosure in Note 16.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2015 are expected to be approximately $280 million. For the six months ended June 30, 2015,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totaled $117.9 million ($341.7 million for the six months ended June 30, 2014). The expenditures were primarily made in the Regulated Operations segment.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20"/>
          </w:cols>
          <w:pgMar w:left="240" w:top="36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2014 Form 10-K, with additional disclosure in Note 16.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579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Coal has 175 employees, of which 126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At June 30, 2015, our available-for-sale securities portfolio consisted primarily of securities held in other postretirement plans</w:t>
      </w:r>
      <w:r>
        <w:rPr>
          <w:rFonts w:ascii="Arial" w:cs="Arial" w:eastAsia="Arial" w:hAnsi="Arial"/>
          <w:sz w:val="18"/>
          <w:szCs w:val="18"/>
          <w:i w:val="1"/>
          <w:iCs w:val="1"/>
          <w:color w:val="auto"/>
        </w:rPr>
        <w:t xml:space="preserve"> </w:t>
      </w:r>
      <w:r>
        <w:rPr>
          <w:rFonts w:ascii="Arial" w:cs="Arial" w:eastAsia="Arial" w:hAnsi="Arial"/>
          <w:sz w:val="18"/>
          <w:szCs w:val="18"/>
          <w:color w:val="auto"/>
        </w:rPr>
        <w:t>to fund employee 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20"/>
          </w:cols>
          <w:pgMar w:left="240" w:top="36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June 30, 2015, and assuming no other changes to our financial structure, an increase of 100 basis points in interest rates would impact the amount of pretax interest expense by $0.6 million. This amount was determined by considering the impact of a hypothetical 100 basis point increase to the average variable interest rate on the variable rate debt outstanding as of June 30, 2015.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2015,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the 2014 Form 10-K and Note 8. Regulatory Matters and Note 16.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2014 Form 10-K includes a detailed discussion of our risk factors. The information presented below updates, and should be read in conjunction with, the risk factors and information disclosed in our 2014 Form 10-K.</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ALLETE has a significant goodwill and intangible asset balance related to its acquisition of U.S. Water Services. A determination that goodwill or intangible assets have been impaired could result in a significant non-cash charge to earnings.</w:t>
      </w:r>
    </w:p>
    <w:p>
      <w:pPr>
        <w:spacing w:after="0" w:line="16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had approximately $213 million of goodwill and intangible assets recorded on our Consolidated Balance Sheet as of June 30, 2015, primarily relating to our acquisition of U.S. Water Services on February 10, 2015. If we make changes in our business strategy or if market or other conditions adversely affect operations of our Investments and Other businesses, we may be required to record an impairment charge. Declines in projected operating cash flows at certain of our reported units may result in goodwill impairments. Depending on the amount of the impairment, an impairment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36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7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5" w:lineRule="exact"/>
        <w:rPr>
          <w:sz w:val="20"/>
          <w:szCs w:val="20"/>
          <w:color w:val="auto"/>
        </w:rPr>
      </w:pPr>
    </w:p>
    <w:p>
      <w:pPr>
        <w:ind w:left="1300" w:right="20" w:hanging="55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8"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9" w:lineRule="exact"/>
        <w:rPr>
          <w:sz w:val="20"/>
          <w:szCs w:val="20"/>
          <w:color w:val="auto"/>
        </w:rPr>
      </w:pPr>
    </w:p>
    <w:p>
      <w:pPr>
        <w:jc w:val="both"/>
        <w:ind w:left="1300" w:right="40" w:hanging="554"/>
        <w:spacing w:after="0" w:line="307"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ALLETE News Release dated August 4, 2015, announcing 2015 second quarter earnings. </w:t>
      </w:r>
      <w:r>
        <w:rPr>
          <w:rFonts w:ascii="Arial" w:cs="Arial" w:eastAsia="Arial" w:hAnsi="Arial"/>
          <w:sz w:val="16"/>
          <w:szCs w:val="16"/>
          <w:b w:val="1"/>
          <w:bCs w:val="1"/>
          <w:color w:val="auto"/>
        </w:rPr>
        <w:t>(This exhibit has been furnished and shall not</w:t>
      </w:r>
      <w:r>
        <w:rPr>
          <w:rFonts w:ascii="Arial" w:cs="Arial" w:eastAsia="Arial" w:hAnsi="Arial"/>
          <w:sz w:val="16"/>
          <w:szCs w:val="16"/>
          <w:color w:val="auto"/>
        </w:rPr>
        <w:t xml:space="preserve"> </w:t>
      </w:r>
      <w:r>
        <w:rPr>
          <w:rFonts w:ascii="Arial" w:cs="Arial" w:eastAsia="Arial" w:hAnsi="Arial"/>
          <w:sz w:val="16"/>
          <w:szCs w:val="16"/>
          <w:b w:val="1"/>
          <w:bCs w:val="1"/>
          <w:color w:val="auto"/>
        </w:rPr>
        <w:t>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101.SCH</w:t>
            </w:r>
          </w:p>
        </w:tc>
        <w:tc>
          <w:tcPr>
            <w:tcW w:w="10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Schema</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101.CAL</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Calculation</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101.DEF</w:t>
            </w:r>
          </w:p>
        </w:tc>
        <w:tc>
          <w:tcPr>
            <w:tcW w:w="10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Definition</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101.LAB</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43"/>
        </w:trPr>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101.PRE</w:t>
            </w:r>
          </w:p>
        </w:tc>
        <w:tc>
          <w:tcPr>
            <w:tcW w:w="10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Presentation</w:t>
            </w:r>
          </w:p>
        </w:tc>
      </w:tr>
      <w:tr>
        <w:trPr>
          <w:trHeight w:val="27"/>
        </w:trPr>
        <w:tc>
          <w:tcPr>
            <w:tcW w:w="1100" w:type="dxa"/>
            <w:vAlign w:val="bottom"/>
            <w:shd w:val="clear" w:color="auto" w:fill="CCEEFF"/>
          </w:tcPr>
          <w:p>
            <w:pPr>
              <w:spacing w:after="0"/>
              <w:rPr>
                <w:sz w:val="2"/>
                <w:szCs w:val="2"/>
                <w:color w:val="auto"/>
              </w:rPr>
            </w:pPr>
          </w:p>
        </w:tc>
        <w:tc>
          <w:tcPr>
            <w:tcW w:w="10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36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August 4, 2015</w:t>
            </w:r>
          </w:p>
        </w:tc>
        <w:tc>
          <w:tcPr>
            <w:tcW w:w="5800" w:type="dxa"/>
            <w:vAlign w:val="bottom"/>
          </w:tcPr>
          <w:p>
            <w:pPr>
              <w:jc w:val="center"/>
              <w:spacing w:after="0"/>
              <w:rPr>
                <w:sz w:val="20"/>
                <w:szCs w:val="20"/>
                <w:color w:val="auto"/>
              </w:rPr>
            </w:pPr>
            <w:r>
              <w:rPr>
                <w:rFonts w:ascii="Arial" w:cs="Arial" w:eastAsia="Arial" w:hAnsi="Arial"/>
                <w:sz w:val="18"/>
                <w:szCs w:val="18"/>
                <w:color w:val="auto"/>
                <w:w w:val="90"/>
              </w:rPr>
              <w:t>/s/ Steven Q. DeVinck</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Q. DeVinck</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August 4, 2015</w:t>
            </w: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Controller</w:t>
            </w:r>
          </w:p>
        </w:tc>
      </w:tr>
      <w:tr>
        <w:trPr>
          <w:trHeight w:val="588"/>
        </w:trPr>
        <w:tc>
          <w:tcPr>
            <w:tcW w:w="2700" w:type="dxa"/>
            <w:vAlign w:val="bottom"/>
          </w:tcPr>
          <w:p>
            <w:pPr>
              <w:spacing w:after="0"/>
              <w:rPr>
                <w:sz w:val="24"/>
                <w:szCs w:val="24"/>
                <w:color w:val="auto"/>
              </w:rPr>
            </w:pPr>
          </w:p>
        </w:tc>
        <w:tc>
          <w:tcPr>
            <w:tcW w:w="8680" w:type="dxa"/>
            <w:vAlign w:val="bottom"/>
            <w:gridSpan w:val="2"/>
          </w:tcPr>
          <w:p>
            <w:pPr>
              <w:ind w:left="1580"/>
              <w:spacing w:after="0"/>
              <w:rPr>
                <w:sz w:val="20"/>
                <w:szCs w:val="20"/>
                <w:color w:val="auto"/>
              </w:rPr>
            </w:pPr>
            <w:r>
              <w:rPr>
                <w:rFonts w:ascii="Arial" w:cs="Arial" w:eastAsia="Arial" w:hAnsi="Arial"/>
                <w:sz w:val="14"/>
                <w:szCs w:val="14"/>
                <w:color w:val="auto"/>
              </w:rPr>
              <w:t>ALLETE, Inc. Second Quarter 2015 Form 10-Q</w:t>
            </w:r>
          </w:p>
        </w:tc>
      </w:tr>
    </w:tbl>
    <w:p>
      <w:pPr>
        <w:jc w:val="right"/>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36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2015,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2015,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2015,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2015</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2015</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67" w:name="page68"/>
    <w:bookmarkEnd w:id="67"/>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$586</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For the quarter ended June 30, 2015, BNI Coal, owner of Center Mine, received no significant and substantial (S&amp;S) citations under Section 104(a) of the Mine Safety Act. In 2013, BNI Coal had a S&amp;S citation under Section 104(a) of the Mine and Safety Act for which the Mine Safety and Health Administration proposed a penalty of $52,500; a hearing case has been filed in relation to this penalty. For the quarter ended June 30, 2015,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775335</wp:posOffset>
            </wp:positionV>
            <wp:extent cx="1655445" cy="754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655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rPr>
          <w:sz w:val="20"/>
          <w:szCs w:val="20"/>
          <w:color w:val="auto"/>
        </w:rPr>
      </w:pPr>
      <w:r>
        <w:rPr>
          <w:rFonts w:ascii="Arial" w:cs="Arial" w:eastAsia="Arial" w:hAnsi="Arial"/>
          <w:sz w:val="38"/>
          <w:szCs w:val="38"/>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Arial" w:cs="Arial" w:eastAsia="Arial" w:hAnsi="Arial"/>
          <w:sz w:val="16"/>
          <w:szCs w:val="16"/>
          <w:color w:val="auto"/>
        </w:rPr>
        <w:t>Exhibit 99</w:t>
      </w:r>
    </w:p>
    <w:p>
      <w:pPr>
        <w:spacing w:after="0" w:line="73" w:lineRule="exact"/>
        <w:rPr>
          <w:sz w:val="20"/>
          <w:szCs w:val="20"/>
          <w:color w:val="auto"/>
        </w:rPr>
      </w:pPr>
    </w:p>
    <w:p>
      <w:pPr>
        <w:ind w:left="4320"/>
        <w:spacing w:after="0"/>
        <w:tabs>
          <w:tab w:leader="none" w:pos="6100" w:val="left"/>
        </w:tabs>
        <w:rPr>
          <w:sz w:val="20"/>
          <w:szCs w:val="20"/>
          <w:color w:val="auto"/>
        </w:rPr>
      </w:pPr>
      <w:r>
        <w:rPr>
          <w:rFonts w:ascii="Arial" w:cs="Arial" w:eastAsia="Arial" w:hAnsi="Arial"/>
          <w:sz w:val="16"/>
          <w:szCs w:val="16"/>
          <w:color w:val="auto"/>
        </w:rPr>
        <w:t>For Release:</w:t>
      </w:r>
      <w:r>
        <w:rPr>
          <w:sz w:val="20"/>
          <w:szCs w:val="20"/>
          <w:color w:val="auto"/>
        </w:rPr>
        <w:tab/>
      </w:r>
      <w:r>
        <w:rPr>
          <w:rFonts w:ascii="Arial" w:cs="Arial" w:eastAsia="Arial" w:hAnsi="Arial"/>
          <w:sz w:val="14"/>
          <w:szCs w:val="14"/>
          <w:color w:val="auto"/>
        </w:rPr>
        <w:t>August 4, 2015</w:t>
      </w:r>
    </w:p>
    <w:p>
      <w:pPr>
        <w:spacing w:after="0" w:line="73" w:lineRule="exact"/>
        <w:rPr>
          <w:sz w:val="20"/>
          <w:szCs w:val="20"/>
          <w:color w:val="auto"/>
        </w:rPr>
      </w:pPr>
    </w:p>
    <w:p>
      <w:pPr>
        <w:ind w:left="4320"/>
        <w:spacing w:after="0"/>
        <w:tabs>
          <w:tab w:leader="none" w:pos="6100" w:val="left"/>
        </w:tabs>
        <w:rPr>
          <w:sz w:val="20"/>
          <w:szCs w:val="20"/>
          <w:color w:val="auto"/>
        </w:rPr>
      </w:pPr>
      <w:r>
        <w:rPr>
          <w:rFonts w:ascii="Arial" w:cs="Arial" w:eastAsia="Arial" w:hAnsi="Arial"/>
          <w:sz w:val="16"/>
          <w:szCs w:val="16"/>
          <w:i w:val="1"/>
          <w:iCs w:val="1"/>
          <w:color w:val="auto"/>
        </w:rPr>
        <w:t>Investor Contacts:</w:t>
      </w:r>
      <w:r>
        <w:rPr>
          <w:sz w:val="20"/>
          <w:szCs w:val="20"/>
          <w:color w:val="auto"/>
        </w:rPr>
        <w:tab/>
      </w:r>
      <w:r>
        <w:rPr>
          <w:rFonts w:ascii="Arial" w:cs="Arial" w:eastAsia="Arial" w:hAnsi="Arial"/>
          <w:sz w:val="15"/>
          <w:szCs w:val="15"/>
          <w:color w:val="auto"/>
        </w:rPr>
        <w:t>Tim Thorp</w:t>
      </w:r>
    </w:p>
    <w:p>
      <w:pPr>
        <w:spacing w:after="0" w:line="8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tthorp@allete.com</w:t>
      </w:r>
    </w:p>
    <w:p>
      <w:pPr>
        <w:spacing w:after="0" w:line="383"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Vince Meyer</w:t>
      </w:r>
    </w:p>
    <w:p>
      <w:pPr>
        <w:spacing w:after="0" w:line="8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vmeyer@allete.com</w:t>
      </w: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ALLETE, Inc. quarterly earnings increase from a year ago</w:t>
      </w:r>
    </w:p>
    <w:p>
      <w:pPr>
        <w:spacing w:after="0" w:line="200" w:lineRule="exact"/>
        <w:rPr>
          <w:sz w:val="20"/>
          <w:szCs w:val="20"/>
          <w:color w:val="auto"/>
        </w:rPr>
      </w:pPr>
    </w:p>
    <w:p>
      <w:pPr>
        <w:sectPr>
          <w:pgSz w:w="11900" w:h="16838" w:orient="portrait"/>
          <w:cols w:equalWidth="0" w:num="2">
            <w:col w:w="1820" w:space="720"/>
            <w:col w:w="8880"/>
          </w:cols>
          <w:pgMar w:left="240" w:top="846" w:right="239" w:bottom="1440" w:gutter="0" w:footer="0" w:header="0"/>
        </w:sectPr>
      </w:pPr>
    </w:p>
    <w:p>
      <w:pPr>
        <w:jc w:val="center"/>
        <w:ind w:right="-19"/>
        <w:spacing w:after="0"/>
        <w:rPr>
          <w:sz w:val="20"/>
          <w:szCs w:val="20"/>
          <w:color w:val="auto"/>
        </w:rPr>
      </w:pPr>
      <w:r>
        <w:rPr>
          <w:rFonts w:ascii="Arial" w:cs="Arial" w:eastAsia="Arial" w:hAnsi="Arial"/>
          <w:sz w:val="22"/>
          <w:szCs w:val="22"/>
          <w:i w:val="1"/>
          <w:iCs w:val="1"/>
          <w:color w:val="auto"/>
        </w:rPr>
        <w:t>Full-year earnings guidance adjusted upward to $3.20-$3.40 per share</w:t>
      </w:r>
    </w:p>
    <w:p>
      <w:pPr>
        <w:spacing w:after="0" w:line="179"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 xml:space="preserve">DULUTH, Minn. </w:t>
      </w:r>
      <w:r>
        <w:rPr>
          <w:rFonts w:ascii="Arial" w:cs="Arial" w:eastAsia="Arial" w:hAnsi="Arial"/>
          <w:sz w:val="19"/>
          <w:szCs w:val="19"/>
          <w:color w:val="auto"/>
        </w:rPr>
        <w:t>–</w:t>
      </w:r>
      <w:r>
        <w:rPr>
          <w:rFonts w:ascii="Arial" w:cs="Arial" w:eastAsia="Arial" w:hAnsi="Arial"/>
          <w:sz w:val="16"/>
          <w:szCs w:val="16"/>
          <w:color w:val="auto"/>
        </w:rPr>
        <w:t xml:space="preserve"> ALLETE, Inc. (NYSE: ALE) today reported second quarter 2015 earnings of 46 cents per share on net income of $22.5 million and operating revenue of $323.3 million. Earnings for the second quarter of 2014 were 40 cents per share on net income of $16.8 million and operating revenue of $260.7 million. This year’s results included acquisition transaction fees amounting to $0.9 million, or two cents per share. In last year’s quarterly results was a $2.5 million, or six cents per share, non-recurring charge associated with a settlement agreement with the Environmental Protection Agency (EPA).</w:t>
      </w:r>
    </w:p>
    <w:p>
      <w:pPr>
        <w:spacing w:after="0" w:line="9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ALLETE’s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which includes Minnesota Power, Superior Water, Light and Power and the company’s investment in the American Transmission Co., recorded net income of $23.6 million, an increase of $6.1 million over 2014 second quarter net income. This year’s results reflect increases in cost recovery rider revenue, production tax credits, and power marketing sales due to the commencement of the Minnkota Power sales agreement in June 2014, partially offset by increased depreciation and interest expense. Included in last year’s quarterly results was the previously mentioned non-recurring charge related to a settlement agreement with the EPA.</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“With respect to Minnesota Power and the region it serves, we are pleased that our large power taconite customers nominated near 90% of full electricity demand levels for the fourth quarter of 2015.” said ALLETE Chairman, President and CEO Al Hodnik.</w:t>
      </w:r>
    </w:p>
    <w:p>
      <w:pPr>
        <w:spacing w:after="0" w:line="12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which includes U.S. Water Services, ALLETE Clean Energy, BNI Coal, ALLETE Properties, corporate expense and unallocated interest expense, posted a net loss of $1.1 million, compared to a second quarter 2014 net loss of $700,000 a year ago. Operating results from the companies in this segment were as expected. The net loss for the second quarter of 2015 included acquisition transaction fees of $.9 million and higher interest and income tax expenses. The increase in income tax expense included $1.2 million attributable to the first quarter of 2015, due to a higher estimated effective tax rate for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common shares outstanding resulted in 7 cents of earnings per share dilution compared to the same period a year ago.</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“Overall, these solid financial results are as we anticipated in the quarter and when we examine them closely we find evidence that the strategy to broaden our energy operations is taking hold,” said Hodnik. “The recent addition of U.S. Water Services and the consistent growth of ALLETE Clean Energy, combined with our strong utility base, set the stage for future growth.”</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ALLETE’s 2015 full-year guidance has been adjusted upward to a range of $3.20 to $3.40 per share to include ALLETE Clean Energy’s expected development fee from the MDU transaction. On June 30, 2015, the North Dakota Public Service Commission approved the sale of a wind facility under construction by ALLETE Clean Energy, to MDU. The company estimates the development fee from the MDU transaction to be between $20 million and $25 million, pre-tax, of which most will be recognized in earnings during the second half of 2015.</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2015 guidance excludes acquisition-related transaction fees. Additional details about earnings guidance for the year will be discussed in our conference call scheduled for today.</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Interested parties may listen to the conference live by calling (877) 303-5852, or by accessing the webcast on ALLETE’s Web site, </w:t>
      </w:r>
      <w:r>
        <w:rPr>
          <w:rFonts w:ascii="Arial" w:cs="Arial" w:eastAsia="Arial" w:hAnsi="Arial"/>
          <w:sz w:val="18"/>
          <w:szCs w:val="18"/>
          <w:u w:val="single" w:color="auto"/>
          <w:color w:val="0000FF"/>
        </w:rPr>
        <w:t>www.allete.com</w:t>
      </w:r>
      <w:r>
        <w:rPr>
          <w:rFonts w:ascii="Arial" w:cs="Arial" w:eastAsia="Arial" w:hAnsi="Arial"/>
          <w:sz w:val="18"/>
          <w:szCs w:val="18"/>
          <w:color w:val="auto"/>
        </w:rPr>
        <w:t xml:space="preserve">. A replay of the call will be available through August 6, 2015 by dialing (855) 859-2056, pass code 72675112. The webcast will be accessible for one year at </w:t>
      </w:r>
      <w:r>
        <w:rPr>
          <w:rFonts w:ascii="Arial" w:cs="Arial" w:eastAsia="Arial" w:hAnsi="Arial"/>
          <w:sz w:val="18"/>
          <w:szCs w:val="18"/>
          <w:u w:val="single" w:color="auto"/>
          <w:color w:val="0000FF"/>
        </w:rPr>
        <w:t>www.allete.com</w:t>
      </w:r>
      <w:r>
        <w:rPr>
          <w:rFonts w:ascii="Arial" w:cs="Arial" w:eastAsia="Arial" w:hAnsi="Arial"/>
          <w:sz w:val="18"/>
          <w:szCs w:val="18"/>
          <w:color w:val="000000"/>
        </w:rPr>
        <w:t>.</w:t>
      </w:r>
    </w:p>
    <w:p>
      <w:pPr>
        <w:sectPr>
          <w:pgSz w:w="11900" w:h="16838" w:orient="portrait"/>
          <w:cols w:equalWidth="0" w:num="1">
            <w:col w:w="11420"/>
          </w:cols>
          <w:pgMar w:left="240" w:top="846" w:right="239" w:bottom="1440" w:gutter="0" w:footer="0" w:header="0"/>
          <w:type w:val="continuous"/>
        </w:sectPr>
      </w:pPr>
    </w:p>
    <w:bookmarkStart w:id="69" w:name="page70"/>
    <w:bookmarkEnd w:id="69"/>
    <w:p>
      <w:pPr>
        <w:jc w:val="both"/>
        <w:ind w:right="40"/>
        <w:spacing w:after="0" w:line="312"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BNI Coal in Center, N.D., ALLETE Clean Energy, based in Duluth, U.S. Water Services headquartered in St. Michael, Minn.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4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900" w:type="dxa"/>
            <w:vAlign w:val="bottom"/>
          </w:tcPr>
          <w:p>
            <w:pPr>
              <w:spacing w:after="0"/>
              <w:rPr>
                <w:sz w:val="23"/>
                <w:szCs w:val="23"/>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r>
      <w:tr>
        <w:trPr>
          <w:trHeight w:val="270"/>
        </w:trPr>
        <w:tc>
          <w:tcPr>
            <w:tcW w:w="5900" w:type="dxa"/>
            <w:vAlign w:val="bottom"/>
          </w:tcPr>
          <w:p>
            <w:pPr>
              <w:spacing w:after="0"/>
              <w:rPr>
                <w:sz w:val="23"/>
                <w:szCs w:val="23"/>
                <w:color w:val="auto"/>
              </w:rPr>
            </w:pPr>
          </w:p>
        </w:tc>
        <w:tc>
          <w:tcPr>
            <w:tcW w:w="2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2014</w:t>
            </w: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$323.3</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$260.7</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$643.3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80.1</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83.6</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166.1</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11.3</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26.2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52.3</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18.9</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83.5</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85.4</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74.3</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165.1</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148.6</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41.3</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33.9</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80.3</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13.4</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11.3</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26.2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283.8</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232.5</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547.4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39.5</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28.2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95.9</w:t>
            </w:r>
          </w:p>
        </w:tc>
        <w:tc>
          <w:tcPr>
            <w:tcW w:w="78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(16.2)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(31.3)</w:t>
            </w: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0.7</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(10.8)</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4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28.7</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21.8</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75.0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4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22.3</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16.9</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62.4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4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$22.5</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$16.8</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$62.4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Basic</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48.6</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42.1</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47.7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48.7</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42.3</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4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$0.46</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$0.40</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$1.31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$0.46</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$0.40</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$0.505</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$0.49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78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384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384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$401.0</w:t>
            </w:r>
          </w:p>
        </w:tc>
        <w:tc>
          <w:tcPr>
            <w:tcW w:w="840" w:type="dxa"/>
            <w:vAlign w:val="bottom"/>
          </w:tcPr>
          <w:p>
            <w:pPr>
              <w:jc w:val="right"/>
              <w:spacing w:after="0"/>
              <w:rPr>
                <w:sz w:val="20"/>
                <w:szCs w:val="20"/>
                <w:color w:val="auto"/>
              </w:rPr>
            </w:pPr>
            <w:r>
              <w:rPr>
                <w:rFonts w:ascii="Arial" w:cs="Arial" w:eastAsia="Arial" w:hAnsi="Arial"/>
                <w:sz w:val="18"/>
                <w:szCs w:val="18"/>
                <w:color w:val="auto"/>
              </w:rPr>
              <w:t>$416.0</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3,451.5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3,284.8</w:t>
            </w:r>
          </w:p>
        </w:tc>
        <w:tc>
          <w:tcPr>
            <w:tcW w:w="38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572.5</w:t>
            </w:r>
          </w:p>
        </w:tc>
        <w:tc>
          <w:tcPr>
            <w:tcW w:w="840" w:type="dxa"/>
            <w:vAlign w:val="bottom"/>
          </w:tcPr>
          <w:p>
            <w:pPr>
              <w:jc w:val="right"/>
              <w:spacing w:after="0"/>
              <w:rPr>
                <w:sz w:val="20"/>
                <w:szCs w:val="20"/>
                <w:color w:val="auto"/>
              </w:rPr>
            </w:pPr>
            <w:r>
              <w:rPr>
                <w:rFonts w:ascii="Arial" w:cs="Arial" w:eastAsia="Arial" w:hAnsi="Arial"/>
                <w:sz w:val="18"/>
                <w:szCs w:val="18"/>
                <w:color w:val="auto"/>
              </w:rPr>
              <w:t>510.7</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121.1</w:t>
            </w:r>
          </w:p>
        </w:tc>
        <w:tc>
          <w:tcPr>
            <w:tcW w:w="384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190.0</w:t>
            </w:r>
          </w:p>
        </w:tc>
        <w:tc>
          <w:tcPr>
            <w:tcW w:w="84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84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jc w:val="right"/>
              <w:spacing w:after="0"/>
              <w:rPr>
                <w:sz w:val="20"/>
                <w:szCs w:val="20"/>
                <w:color w:val="auto"/>
              </w:rPr>
            </w:pPr>
            <w:r>
              <w:rPr>
                <w:rFonts w:ascii="Arial" w:cs="Arial" w:eastAsia="Arial" w:hAnsi="Arial"/>
                <w:sz w:val="18"/>
                <w:szCs w:val="18"/>
                <w:color w:val="auto"/>
              </w:rPr>
              <w:t>1,778.4</w:t>
            </w:r>
          </w:p>
        </w:tc>
        <w:tc>
          <w:tcPr>
            <w:tcW w:w="840" w:type="dxa"/>
            <w:vAlign w:val="bottom"/>
          </w:tcPr>
          <w:p>
            <w:pPr>
              <w:jc w:val="right"/>
              <w:spacing w:after="0"/>
              <w:rPr>
                <w:sz w:val="20"/>
                <w:szCs w:val="20"/>
                <w:color w:val="auto"/>
              </w:rPr>
            </w:pPr>
            <w:r>
              <w:rPr>
                <w:rFonts w:ascii="Arial" w:cs="Arial" w:eastAsia="Arial" w:hAnsi="Arial"/>
                <w:sz w:val="18"/>
                <w:szCs w:val="18"/>
                <w:color w:val="auto"/>
              </w:rPr>
              <w:t>1,611.2</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38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$4,673.0</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$4,360.8</w:t>
            </w:r>
          </w:p>
        </w:tc>
        <w:tc>
          <w:tcPr>
            <w:tcW w:w="38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$4,673.0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$4,360.8</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414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Quarter Ended</w:t>
            </w:r>
          </w:p>
        </w:tc>
        <w:tc>
          <w:tcPr>
            <w:tcW w:w="312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60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20" w:type="dxa"/>
            <w:vAlign w:val="bottom"/>
          </w:tcPr>
          <w:p>
            <w:pPr>
              <w:spacing w:after="0"/>
              <w:rPr>
                <w:sz w:val="23"/>
                <w:szCs w:val="23"/>
                <w:color w:val="auto"/>
              </w:rPr>
            </w:pP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60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2015</w:t>
            </w:r>
          </w:p>
        </w:tc>
        <w:tc>
          <w:tcPr>
            <w:tcW w:w="1540" w:type="dxa"/>
            <w:vAlign w:val="bottom"/>
          </w:tcPr>
          <w:p>
            <w:pPr>
              <w:jc w:val="right"/>
              <w:ind w:right="970"/>
              <w:spacing w:after="0"/>
              <w:rPr>
                <w:sz w:val="20"/>
                <w:szCs w:val="20"/>
                <w:color w:val="auto"/>
              </w:rPr>
            </w:pPr>
            <w:r>
              <w:rPr>
                <w:rFonts w:ascii="Arial" w:cs="Arial" w:eastAsia="Arial" w:hAnsi="Arial"/>
                <w:sz w:val="18"/>
                <w:szCs w:val="18"/>
                <w:b w:val="1"/>
                <w:bCs w:val="1"/>
                <w:color w:val="auto"/>
              </w:rPr>
              <w:t>2014</w:t>
            </w:r>
          </w:p>
        </w:tc>
        <w:tc>
          <w:tcPr>
            <w:tcW w:w="190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6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$23.6</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$17.5</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$65.0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$51.4</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2600" w:type="dxa"/>
            <w:vAlign w:val="bottom"/>
          </w:tcPr>
          <w:p>
            <w:pPr>
              <w:jc w:val="right"/>
              <w:ind w:right="750"/>
              <w:spacing w:after="0"/>
              <w:rPr>
                <w:sz w:val="20"/>
                <w:szCs w:val="20"/>
                <w:color w:val="auto"/>
              </w:rPr>
            </w:pPr>
            <w:r>
              <w:rPr>
                <w:rFonts w:ascii="Arial" w:cs="Arial" w:eastAsia="Arial" w:hAnsi="Arial"/>
                <w:sz w:val="18"/>
                <w:szCs w:val="18"/>
                <w:color w:val="auto"/>
              </w:rPr>
              <w:t>(1.1)</w:t>
            </w:r>
          </w:p>
        </w:tc>
        <w:tc>
          <w:tcPr>
            <w:tcW w:w="1540" w:type="dxa"/>
            <w:vAlign w:val="bottom"/>
          </w:tcPr>
          <w:p>
            <w:pPr>
              <w:jc w:val="right"/>
              <w:ind w:right="550"/>
              <w:spacing w:after="0"/>
              <w:rPr>
                <w:sz w:val="20"/>
                <w:szCs w:val="20"/>
                <w:color w:val="auto"/>
              </w:rPr>
            </w:pPr>
            <w:r>
              <w:rPr>
                <w:rFonts w:ascii="Arial" w:cs="Arial" w:eastAsia="Arial" w:hAnsi="Arial"/>
                <w:sz w:val="18"/>
                <w:szCs w:val="18"/>
                <w:color w:val="auto"/>
              </w:rPr>
              <w:t>(0.7)</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(2.6)</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(1.1)</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26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$22.5</w:t>
            </w:r>
          </w:p>
        </w:tc>
        <w:tc>
          <w:tcPr>
            <w:tcW w:w="15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$16.8</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$62.4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$50.3</w:t>
            </w:r>
          </w:p>
        </w:tc>
      </w:tr>
      <w:tr>
        <w:trPr>
          <w:trHeight w:val="237"/>
        </w:trPr>
        <w:tc>
          <w:tcPr>
            <w:tcW w:w="4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6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$0.46</w:t>
            </w:r>
          </w:p>
        </w:tc>
        <w:tc>
          <w:tcPr>
            <w:tcW w:w="15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$0.40</w:t>
            </w:r>
          </w:p>
        </w:tc>
        <w:tc>
          <w:tcPr>
            <w:tcW w:w="1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$1.30</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$1.20</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88"/>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High</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$52.98</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$52.54</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$59.73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$52.73</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$47.51</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$47.51</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$47.51</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$47.51</w:t>
            </w: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Close</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$51.35</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$51.35</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$51.35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$51.35</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$36.37</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$33.22</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$36.37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$33.22</w:t>
            </w:r>
          </w:p>
        </w:tc>
      </w:tr>
      <w:tr>
        <w:trPr>
          <w:trHeight w:val="594"/>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227</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249</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583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647</w:t>
            </w:r>
          </w:p>
        </w:tc>
      </w:tr>
      <w:tr>
        <w:trPr>
          <w:trHeight w:val="243"/>
        </w:trPr>
        <w:tc>
          <w:tcPr>
            <w:tcW w:w="41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331</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333</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715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728</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187</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198</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420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440</w:t>
            </w:r>
          </w:p>
        </w:tc>
      </w:tr>
      <w:tr>
        <w:trPr>
          <w:trHeight w:val="243"/>
        </w:trPr>
        <w:tc>
          <w:tcPr>
            <w:tcW w:w="41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1,575</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1,788</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3,525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3,604</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2,320</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2,568</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5,243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5,419</w:t>
            </w: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1,113</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631</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2,004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1,331</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3,433</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3,199</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7,247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6,750</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60</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64</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3,463</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3,229</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7,307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6,814</w:t>
            </w:r>
          </w:p>
        </w:tc>
      </w:tr>
      <w:tr>
        <w:trPr>
          <w:trHeight w:val="588"/>
        </w:trPr>
        <w:tc>
          <w:tcPr>
            <w:tcW w:w="4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6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$24.1</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$25.7</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$59.1</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$65.8</w:t>
            </w:r>
          </w:p>
        </w:tc>
      </w:tr>
      <w:tr>
        <w:trPr>
          <w:trHeight w:val="243"/>
        </w:trPr>
        <w:tc>
          <w:tcPr>
            <w:tcW w:w="41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31.5</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30.9</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65.1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66.0</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14.5</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14.5</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30.5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31.0</w:t>
            </w:r>
          </w:p>
        </w:tc>
      </w:tr>
      <w:tr>
        <w:trPr>
          <w:trHeight w:val="243"/>
        </w:trPr>
        <w:tc>
          <w:tcPr>
            <w:tcW w:w="41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104.2</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108.7</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218.9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220.1</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174.3</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179.8</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373.6</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382.9</w:t>
            </w:r>
          </w:p>
        </w:tc>
      </w:tr>
      <w:tr>
        <w:trPr>
          <w:trHeight w:val="243"/>
        </w:trPr>
        <w:tc>
          <w:tcPr>
            <w:tcW w:w="41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37.6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24.1</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71.3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53.7</w:t>
            </w:r>
          </w:p>
        </w:tc>
      </w:tr>
      <w:tr>
        <w:trPr>
          <w:trHeight w:val="27"/>
        </w:trPr>
        <w:tc>
          <w:tcPr>
            <w:tcW w:w="4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18.1</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25.7</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47.9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57.2</w:t>
            </w:r>
          </w:p>
        </w:tc>
      </w:tr>
      <w:tr>
        <w:trPr>
          <w:trHeight w:val="237"/>
        </w:trPr>
        <w:tc>
          <w:tcPr>
            <w:tcW w:w="4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6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$230.0</w:t>
            </w:r>
          </w:p>
        </w:tc>
        <w:tc>
          <w:tcPr>
            <w:tcW w:w="1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$229.6</w:t>
            </w:r>
          </w:p>
        </w:tc>
        <w:tc>
          <w:tcPr>
            <w:tcW w:w="19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$492.8</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$493.8</w:t>
            </w:r>
          </w:p>
        </w:tc>
      </w:tr>
      <w:tr>
        <w:trPr>
          <w:trHeight w:val="27"/>
        </w:trPr>
        <w:tc>
          <w:tcPr>
            <w:tcW w:w="4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8"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1"/>
      <w:numFmt w:val="decimal"/>
      <w:start w:val="99"/>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2019-12-29T15:20:45Z</dcterms:created>
  <dcterms:modified xsi:type="dcterms:W3CDTF">2019-12-29T15:20:45Z</dcterms:modified>
</cp:coreProperties>
</file>